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26134">
      <w:pPr>
        <w:widowControl/>
        <w:jc w:val="center"/>
        <w:outlineLvl w:val="1"/>
        <w:rPr>
          <w:rFonts w:hint="eastAsia" w:ascii="黑体" w:hAnsi="黑体" w:eastAsia="黑体" w:cs="宋体"/>
          <w:b/>
          <w:bCs/>
          <w:color w:val="auto"/>
          <w:kern w:val="0"/>
          <w:sz w:val="44"/>
          <w:szCs w:val="44"/>
        </w:rPr>
      </w:pPr>
      <w:r>
        <w:rPr>
          <w:rFonts w:hint="eastAsia" w:ascii="黑体" w:hAnsi="黑体" w:eastAsia="黑体" w:cs="宋体"/>
          <w:b/>
          <w:bCs/>
          <w:color w:val="auto"/>
          <w:kern w:val="0"/>
          <w:sz w:val="44"/>
          <w:szCs w:val="44"/>
        </w:rPr>
        <w:t>怀化市畜牧水产事务中心</w:t>
      </w:r>
    </w:p>
    <w:p w14:paraId="47C45DC4">
      <w:pPr>
        <w:widowControl/>
        <w:jc w:val="center"/>
        <w:outlineLvl w:val="1"/>
        <w:rPr>
          <w:rFonts w:ascii="黑体" w:hAnsi="黑体" w:eastAsia="黑体" w:cs="宋体"/>
          <w:b/>
          <w:bCs/>
          <w:color w:val="auto"/>
          <w:kern w:val="0"/>
          <w:sz w:val="44"/>
          <w:szCs w:val="44"/>
        </w:rPr>
      </w:pPr>
      <w:r>
        <w:rPr>
          <w:rFonts w:hint="eastAsia" w:ascii="黑体" w:hAnsi="黑体" w:eastAsia="黑体" w:cs="宋体"/>
          <w:b/>
          <w:bCs/>
          <w:color w:val="auto"/>
          <w:kern w:val="0"/>
          <w:sz w:val="44"/>
          <w:szCs w:val="44"/>
        </w:rPr>
        <w:t>2023年度部门预算公开说明</w:t>
      </w:r>
    </w:p>
    <w:p w14:paraId="62A4D317">
      <w:pPr>
        <w:widowControl/>
        <w:spacing w:line="450" w:lineRule="atLeast"/>
        <w:jc w:val="left"/>
        <w:rPr>
          <w:rFonts w:hint="eastAsia" w:ascii="Times New Roman" w:hAnsi="Times New Roman" w:eastAsia="微软雅黑" w:cs="Times New Roman"/>
          <w:color w:val="auto"/>
          <w:kern w:val="0"/>
          <w:szCs w:val="21"/>
        </w:rPr>
      </w:pPr>
      <w:r>
        <w:rPr>
          <w:rFonts w:ascii="Times New Roman" w:hAnsi="Times New Roman" w:eastAsia="微软雅黑" w:cs="Times New Roman"/>
          <w:color w:val="auto"/>
          <w:kern w:val="0"/>
          <w:szCs w:val="21"/>
        </w:rPr>
        <w:t>  </w:t>
      </w:r>
    </w:p>
    <w:p w14:paraId="63DF4DB3">
      <w:pPr>
        <w:widowControl/>
        <w:spacing w:line="437" w:lineRule="atLeast"/>
        <w:ind w:firstLine="627"/>
        <w:jc w:val="center"/>
        <w:rPr>
          <w:rFonts w:hint="eastAsia" w:ascii="黑体" w:hAnsi="黑体" w:eastAsia="黑体" w:cs="Times New Roman"/>
          <w:b/>
          <w:color w:val="auto"/>
          <w:kern w:val="0"/>
          <w:sz w:val="32"/>
          <w:szCs w:val="32"/>
        </w:rPr>
      </w:pPr>
      <w:r>
        <w:rPr>
          <w:rFonts w:hint="eastAsia" w:ascii="黑体" w:hAnsi="黑体" w:eastAsia="黑体" w:cs="Times New Roman"/>
          <w:b/>
          <w:color w:val="auto"/>
          <w:kern w:val="0"/>
          <w:sz w:val="32"/>
          <w:szCs w:val="32"/>
        </w:rPr>
        <w:t>目</w:t>
      </w:r>
      <w:r>
        <w:rPr>
          <w:rFonts w:hint="eastAsia" w:ascii="黑体" w:hAnsi="黑体" w:eastAsia="黑体" w:cs="宋体"/>
          <w:b/>
          <w:color w:val="auto"/>
          <w:kern w:val="0"/>
          <w:sz w:val="32"/>
          <w:szCs w:val="32"/>
        </w:rPr>
        <w:t xml:space="preserve"> </w:t>
      </w:r>
      <w:r>
        <w:rPr>
          <w:rFonts w:hint="eastAsia" w:ascii="黑体" w:hAnsi="黑体" w:eastAsia="黑体" w:cs="Times New Roman"/>
          <w:b/>
          <w:color w:val="auto"/>
          <w:kern w:val="0"/>
          <w:sz w:val="32"/>
          <w:szCs w:val="32"/>
        </w:rPr>
        <w:t>录</w:t>
      </w:r>
    </w:p>
    <w:p w14:paraId="606DB15D">
      <w:pPr>
        <w:widowControl/>
        <w:spacing w:line="437" w:lineRule="atLeast"/>
        <w:ind w:firstLine="627"/>
        <w:jc w:val="center"/>
        <w:rPr>
          <w:rFonts w:hint="eastAsia" w:ascii="黑体" w:hAnsi="黑体" w:eastAsia="黑体" w:cs="Times New Roman"/>
          <w:b/>
          <w:color w:val="auto"/>
          <w:kern w:val="0"/>
          <w:sz w:val="32"/>
          <w:szCs w:val="32"/>
        </w:rPr>
      </w:pPr>
    </w:p>
    <w:p w14:paraId="0E5BD772">
      <w:pPr>
        <w:widowControl/>
        <w:spacing w:line="437" w:lineRule="atLeast"/>
        <w:ind w:firstLine="627"/>
        <w:jc w:val="left"/>
        <w:rPr>
          <w:rFonts w:ascii="黑体" w:hAnsi="黑体" w:eastAsia="黑体" w:cs="Times New Roman"/>
          <w:b/>
          <w:color w:val="auto"/>
          <w:kern w:val="0"/>
          <w:szCs w:val="21"/>
        </w:rPr>
      </w:pPr>
      <w:r>
        <w:rPr>
          <w:rFonts w:hint="eastAsia" w:ascii="黑体" w:hAnsi="黑体" w:eastAsia="黑体" w:cs="Times New Roman"/>
          <w:b/>
          <w:color w:val="auto"/>
          <w:kern w:val="0"/>
          <w:sz w:val="32"/>
          <w:szCs w:val="32"/>
        </w:rPr>
        <w:t>第一部分2023年</w:t>
      </w:r>
      <w:r>
        <w:rPr>
          <w:rFonts w:ascii="黑体" w:hAnsi="黑体" w:eastAsia="黑体" w:cs="Times New Roman"/>
          <w:b/>
          <w:color w:val="auto"/>
          <w:kern w:val="0"/>
          <w:sz w:val="32"/>
          <w:szCs w:val="32"/>
        </w:rPr>
        <w:t>部门</w:t>
      </w:r>
      <w:r>
        <w:rPr>
          <w:rFonts w:hint="eastAsia" w:ascii="黑体" w:hAnsi="黑体" w:eastAsia="黑体" w:cs="Times New Roman"/>
          <w:b/>
          <w:color w:val="auto"/>
          <w:kern w:val="0"/>
          <w:sz w:val="32"/>
          <w:szCs w:val="32"/>
        </w:rPr>
        <w:t>预算说明</w:t>
      </w:r>
    </w:p>
    <w:p w14:paraId="2D30F747">
      <w:pPr>
        <w:widowControl/>
        <w:shd w:val="clear" w:color="auto" w:fill="FFFFFF"/>
        <w:autoSpaceDE w:val="0"/>
        <w:spacing w:line="600" w:lineRule="exact"/>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shd w:val="clear" w:color="auto" w:fill="FFFFFF"/>
        </w:rPr>
        <w:t>一、部门基本概况</w:t>
      </w:r>
    </w:p>
    <w:p w14:paraId="24BA22FA">
      <w:pPr>
        <w:widowControl/>
        <w:shd w:val="clear" w:color="auto" w:fill="FFFFFF"/>
        <w:autoSpaceDE w:val="0"/>
        <w:spacing w:line="600" w:lineRule="exact"/>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shd w:val="clear" w:color="auto" w:fill="FFFFFF"/>
        </w:rPr>
        <w:t>二、部门预算单位构成</w:t>
      </w:r>
    </w:p>
    <w:p w14:paraId="1578AA01">
      <w:pPr>
        <w:widowControl/>
        <w:shd w:val="clear" w:color="auto" w:fill="FFFFFF"/>
        <w:autoSpaceDE w:val="0"/>
        <w:spacing w:line="600" w:lineRule="exact"/>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shd w:val="clear" w:color="auto" w:fill="FFFFFF"/>
        </w:rPr>
        <w:t>三、部门收支总体情况</w:t>
      </w:r>
    </w:p>
    <w:p w14:paraId="68DED1EA">
      <w:pPr>
        <w:widowControl/>
        <w:shd w:val="clear" w:color="auto" w:fill="FFFFFF"/>
        <w:autoSpaceDE w:val="0"/>
        <w:spacing w:line="600" w:lineRule="exact"/>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shd w:val="clear" w:color="auto" w:fill="FFFFFF"/>
        </w:rPr>
        <w:t>四、一般公共预算拨款支出</w:t>
      </w:r>
    </w:p>
    <w:p w14:paraId="7519E02F">
      <w:pPr>
        <w:widowControl/>
        <w:shd w:val="clear" w:color="auto" w:fill="FFFFFF"/>
        <w:autoSpaceDE w:val="0"/>
        <w:spacing w:line="600" w:lineRule="exact"/>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shd w:val="clear" w:color="auto" w:fill="FFFFFF"/>
        </w:rPr>
        <w:t>五、政府性基金预算</w:t>
      </w:r>
      <w:bookmarkStart w:id="0" w:name="_GoBack"/>
      <w:bookmarkEnd w:id="0"/>
      <w:r>
        <w:rPr>
          <w:rFonts w:hint="eastAsia" w:ascii="仿宋_GB2312" w:hAnsi="宋体" w:eastAsia="仿宋_GB2312" w:cs="宋体"/>
          <w:color w:val="auto"/>
          <w:kern w:val="0"/>
          <w:sz w:val="32"/>
          <w:szCs w:val="32"/>
          <w:shd w:val="clear" w:color="auto" w:fill="FFFFFF"/>
        </w:rPr>
        <w:t>支出</w:t>
      </w:r>
    </w:p>
    <w:p w14:paraId="31E8485E">
      <w:pPr>
        <w:widowControl/>
        <w:shd w:val="clear" w:color="auto" w:fill="FFFFFF"/>
        <w:autoSpaceDE w:val="0"/>
        <w:spacing w:line="600" w:lineRule="exact"/>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shd w:val="clear" w:color="auto" w:fill="FFFFFF"/>
        </w:rPr>
        <w:t>六、其他重要事项的情况说明</w:t>
      </w:r>
    </w:p>
    <w:p w14:paraId="4EDBF425">
      <w:pPr>
        <w:widowControl/>
        <w:shd w:val="clear" w:color="auto" w:fill="FFFFFF"/>
        <w:autoSpaceDE w:val="0"/>
        <w:spacing w:line="600" w:lineRule="exact"/>
        <w:ind w:firstLine="640" w:firstLineChars="200"/>
        <w:jc w:val="left"/>
        <w:rPr>
          <w:rFonts w:hint="eastAsia" w:ascii="仿宋_GB2312" w:hAnsi="宋体" w:eastAsia="仿宋_GB2312" w:cs="宋体"/>
          <w:b/>
          <w:color w:val="auto"/>
          <w:kern w:val="0"/>
          <w:sz w:val="32"/>
          <w:szCs w:val="32"/>
        </w:rPr>
      </w:pPr>
      <w:r>
        <w:rPr>
          <w:rFonts w:hint="eastAsia" w:ascii="仿宋_GB2312" w:hAnsi="宋体" w:eastAsia="仿宋_GB2312" w:cs="宋体"/>
          <w:color w:val="auto"/>
          <w:kern w:val="0"/>
          <w:sz w:val="32"/>
          <w:szCs w:val="32"/>
          <w:shd w:val="clear" w:color="auto" w:fill="FFFFFF"/>
        </w:rPr>
        <w:t>七、名词解释</w:t>
      </w:r>
    </w:p>
    <w:p w14:paraId="3FB29567">
      <w:pPr>
        <w:widowControl/>
        <w:autoSpaceDE w:val="0"/>
        <w:spacing w:line="600" w:lineRule="exact"/>
        <w:ind w:firstLine="643" w:firstLineChars="200"/>
        <w:rPr>
          <w:rFonts w:hint="eastAsia" w:ascii="仿宋" w:hAnsi="仿宋" w:eastAsia="仿宋" w:cs="Times New Roman"/>
          <w:b/>
          <w:color w:val="auto"/>
          <w:kern w:val="0"/>
          <w:sz w:val="32"/>
          <w:szCs w:val="32"/>
        </w:rPr>
      </w:pPr>
      <w:r>
        <w:rPr>
          <w:rFonts w:hint="eastAsia" w:ascii="黑体" w:hAnsi="黑体" w:eastAsia="黑体" w:cs="Times New Roman"/>
          <w:b/>
          <w:color w:val="auto"/>
          <w:kern w:val="0"/>
          <w:sz w:val="32"/>
          <w:szCs w:val="32"/>
        </w:rPr>
        <w:t>第二部分 2023年部门预算表</w:t>
      </w:r>
    </w:p>
    <w:p w14:paraId="60F918E7">
      <w:pPr>
        <w:widowControl/>
        <w:autoSpaceDE w:val="0"/>
        <w:spacing w:line="600" w:lineRule="exact"/>
        <w:ind w:firstLine="640" w:firstLineChars="200"/>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rPr>
        <w:t>1、收支预算总表</w:t>
      </w:r>
    </w:p>
    <w:p w14:paraId="10A81BBF">
      <w:pPr>
        <w:widowControl/>
        <w:autoSpaceDE w:val="0"/>
        <w:spacing w:line="600" w:lineRule="exact"/>
        <w:ind w:firstLine="640" w:firstLineChars="200"/>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rPr>
        <w:t>2、收入预算总表</w:t>
      </w:r>
    </w:p>
    <w:p w14:paraId="301D9EA0">
      <w:pPr>
        <w:widowControl/>
        <w:autoSpaceDE w:val="0"/>
        <w:spacing w:line="600" w:lineRule="exact"/>
        <w:ind w:firstLine="640" w:firstLineChars="200"/>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rPr>
        <w:t>3、支出预算总表</w:t>
      </w:r>
    </w:p>
    <w:p w14:paraId="7C0753D7">
      <w:pPr>
        <w:widowControl/>
        <w:autoSpaceDE w:val="0"/>
        <w:spacing w:line="600" w:lineRule="exact"/>
        <w:ind w:firstLine="640" w:firstLineChars="2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4、财政拨款收支总表</w:t>
      </w:r>
    </w:p>
    <w:p w14:paraId="16F1D29E">
      <w:pPr>
        <w:widowControl/>
        <w:autoSpaceDE w:val="0"/>
        <w:spacing w:line="600" w:lineRule="exact"/>
        <w:ind w:firstLine="640" w:firstLineChars="2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5、一般公共预算支出表</w:t>
      </w:r>
    </w:p>
    <w:p w14:paraId="178EE1FD">
      <w:pPr>
        <w:widowControl/>
        <w:autoSpaceDE w:val="0"/>
        <w:spacing w:line="600" w:lineRule="exact"/>
        <w:ind w:firstLine="640" w:firstLineChars="2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6、一般公共预算基本支出表</w:t>
      </w:r>
    </w:p>
    <w:p w14:paraId="5ECB154F">
      <w:pPr>
        <w:widowControl/>
        <w:autoSpaceDE w:val="0"/>
        <w:spacing w:line="600" w:lineRule="exact"/>
        <w:ind w:firstLine="640" w:firstLineChars="2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7、一般公共预算“三公”经费支出表</w:t>
      </w:r>
    </w:p>
    <w:p w14:paraId="623500FB">
      <w:pPr>
        <w:widowControl/>
        <w:autoSpaceDE w:val="0"/>
        <w:spacing w:line="600" w:lineRule="exact"/>
        <w:ind w:firstLine="640" w:firstLineChars="2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8、政府性基金预算支出表</w:t>
      </w:r>
    </w:p>
    <w:p w14:paraId="6B967FA6">
      <w:pPr>
        <w:widowControl/>
        <w:autoSpaceDE w:val="0"/>
        <w:spacing w:line="600" w:lineRule="exact"/>
        <w:ind w:firstLine="640" w:firstLineChars="2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9、国有资本经营预算支出表</w:t>
      </w:r>
    </w:p>
    <w:p w14:paraId="0660CC79">
      <w:pPr>
        <w:widowControl/>
        <w:jc w:val="left"/>
        <w:rPr>
          <w:rFonts w:ascii="仿宋_GB2312" w:hAnsi="宋体" w:eastAsia="仿宋_GB2312" w:cs="宋体"/>
          <w:color w:val="auto"/>
          <w:sz w:val="32"/>
          <w:szCs w:val="32"/>
        </w:rPr>
        <w:sectPr>
          <w:pgSz w:w="11906" w:h="16838"/>
          <w:pgMar w:top="1440" w:right="1800" w:bottom="1440" w:left="1800" w:header="851" w:footer="992" w:gutter="0"/>
          <w:cols w:space="720" w:num="1"/>
          <w:docGrid w:type="lines" w:linePitch="312" w:charSpace="0"/>
        </w:sectPr>
      </w:pPr>
    </w:p>
    <w:p w14:paraId="553C9BE6">
      <w:pPr>
        <w:widowControl/>
        <w:autoSpaceDE w:val="0"/>
        <w:spacing w:line="600" w:lineRule="exact"/>
        <w:ind w:firstLine="640" w:firstLineChars="2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10、项目支出绩效目标表</w:t>
      </w:r>
      <w:r>
        <w:rPr>
          <w:rFonts w:hint="eastAsia" w:ascii="仿宋_GB2312" w:hAnsi="Times New Roman" w:eastAsia="仿宋_GB2312" w:cs="Times New Roman"/>
          <w:color w:val="auto"/>
          <w:sz w:val="32"/>
          <w:szCs w:val="32"/>
          <w:highlight w:val="yellow"/>
        </w:rPr>
        <w:t>（在平台集中公开）</w:t>
      </w:r>
    </w:p>
    <w:p w14:paraId="6FAB74FF">
      <w:pPr>
        <w:widowControl/>
        <w:autoSpaceDE w:val="0"/>
        <w:spacing w:line="600" w:lineRule="exact"/>
        <w:ind w:firstLine="640" w:firstLineChars="2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11、部门整体支出绩效目标表</w:t>
      </w:r>
      <w:r>
        <w:rPr>
          <w:rFonts w:hint="eastAsia" w:ascii="仿宋_GB2312" w:hAnsi="Times New Roman" w:eastAsia="仿宋_GB2312" w:cs="Times New Roman"/>
          <w:color w:val="auto"/>
          <w:sz w:val="32"/>
          <w:szCs w:val="32"/>
          <w:highlight w:val="yellow"/>
        </w:rPr>
        <w:t>（在平台集中公开）</w:t>
      </w:r>
    </w:p>
    <w:p w14:paraId="53215BB2">
      <w:pPr>
        <w:widowControl/>
        <w:autoSpaceDE w:val="0"/>
        <w:spacing w:line="600" w:lineRule="exact"/>
        <w:ind w:firstLine="640" w:firstLineChars="200"/>
        <w:rPr>
          <w:rFonts w:ascii="仿宋_GB2312" w:hAnsi="Times New Roman" w:eastAsia="仿宋_GB2312" w:cs="Times New Roman"/>
          <w:color w:val="auto"/>
          <w:kern w:val="0"/>
          <w:sz w:val="32"/>
          <w:szCs w:val="32"/>
        </w:rPr>
      </w:pPr>
      <w:r>
        <w:rPr>
          <w:rFonts w:hint="eastAsia" w:ascii="仿宋_GB2312" w:hAnsi="Times New Roman" w:eastAsia="仿宋_GB2312" w:cs="Times New Roman"/>
          <w:color w:val="auto"/>
          <w:kern w:val="0"/>
          <w:sz w:val="32"/>
          <w:szCs w:val="32"/>
        </w:rPr>
        <w:t>注：以上部门预算报表中，空表表示本部门无相关收支情况。</w:t>
      </w:r>
    </w:p>
    <w:p w14:paraId="0ABEF16E">
      <w:pPr>
        <w:widowControl/>
        <w:autoSpaceDE w:val="0"/>
        <w:spacing w:line="600" w:lineRule="exact"/>
        <w:jc w:val="center"/>
        <w:rPr>
          <w:rFonts w:ascii="Times New Roman" w:hAnsi="Times New Roman" w:eastAsia="方正小标宋_GBK" w:cs="Times New Roman"/>
          <w:bCs/>
          <w:color w:val="auto"/>
          <w:kern w:val="0"/>
          <w:sz w:val="36"/>
          <w:szCs w:val="36"/>
          <w:highlight w:val="yellow"/>
        </w:rPr>
      </w:pPr>
      <w:r>
        <w:rPr>
          <w:rFonts w:hint="eastAsia" w:ascii="宋体" w:hAnsi="宋体" w:eastAsia="宋体" w:cs="Times New Roman"/>
          <w:color w:val="auto"/>
          <w:kern w:val="0"/>
          <w:szCs w:val="21"/>
        </w:rPr>
        <w:br w:type="textWrapping" w:clear="all"/>
      </w:r>
      <w:r>
        <w:rPr>
          <w:rFonts w:hint="eastAsia" w:ascii="黑体" w:hAnsi="黑体" w:eastAsia="黑体" w:cs="Times New Roman"/>
          <w:b/>
          <w:color w:val="auto"/>
          <w:kern w:val="0"/>
          <w:sz w:val="44"/>
          <w:szCs w:val="44"/>
        </w:rPr>
        <w:t>第一部分 2023年部门预算说明</w:t>
      </w:r>
    </w:p>
    <w:p w14:paraId="078DF53E">
      <w:pPr>
        <w:widowControl/>
        <w:spacing w:line="450" w:lineRule="atLeast"/>
        <w:jc w:val="left"/>
        <w:rPr>
          <w:rFonts w:ascii="Times New Roman" w:hAnsi="Times New Roman" w:eastAsia="微软雅黑" w:cs="Times New Roman"/>
          <w:color w:val="auto"/>
          <w:kern w:val="0"/>
          <w:szCs w:val="21"/>
        </w:rPr>
      </w:pPr>
    </w:p>
    <w:p w14:paraId="06F92A43">
      <w:pPr>
        <w:keepNext w:val="0"/>
        <w:keepLines w:val="0"/>
        <w:pageBreakBefore w:val="0"/>
        <w:widowControl/>
        <w:kinsoku/>
        <w:wordWrap/>
        <w:overflowPunct/>
        <w:topLinePunct w:val="0"/>
        <w:autoSpaceDE w:val="0"/>
        <w:autoSpaceDN/>
        <w:bidi w:val="0"/>
        <w:adjustRightInd/>
        <w:snapToGrid/>
        <w:spacing w:line="600" w:lineRule="exact"/>
        <w:ind w:firstLine="640" w:firstLineChars="200"/>
        <w:jc w:val="left"/>
        <w:textAlignment w:val="auto"/>
        <w:rPr>
          <w:rFonts w:ascii="黑体" w:hAnsi="黑体" w:eastAsia="黑体" w:cs="Times New Roman"/>
          <w:bCs/>
          <w:color w:val="auto"/>
          <w:kern w:val="0"/>
          <w:sz w:val="32"/>
          <w:szCs w:val="32"/>
        </w:rPr>
      </w:pPr>
      <w:r>
        <w:rPr>
          <w:rFonts w:ascii="黑体" w:hAnsi="黑体" w:eastAsia="黑体" w:cs="Times New Roman"/>
          <w:bCs/>
          <w:color w:val="auto"/>
          <w:kern w:val="0"/>
          <w:sz w:val="32"/>
          <w:szCs w:val="32"/>
        </w:rPr>
        <w:t>一、部门</w:t>
      </w:r>
      <w:r>
        <w:rPr>
          <w:rFonts w:hint="eastAsia" w:ascii="黑体" w:hAnsi="黑体" w:eastAsia="黑体" w:cs="Times New Roman"/>
          <w:bCs/>
          <w:color w:val="auto"/>
          <w:kern w:val="0"/>
          <w:sz w:val="32"/>
          <w:szCs w:val="32"/>
        </w:rPr>
        <w:t>基本概况</w:t>
      </w:r>
    </w:p>
    <w:p w14:paraId="332613AE">
      <w:pPr>
        <w:keepNext w:val="0"/>
        <w:keepLines w:val="0"/>
        <w:pageBreakBefore w:val="0"/>
        <w:widowControl/>
        <w:kinsoku/>
        <w:wordWrap/>
        <w:overflowPunct/>
        <w:topLinePunct w:val="0"/>
        <w:autoSpaceDE w:val="0"/>
        <w:autoSpaceDN/>
        <w:bidi w:val="0"/>
        <w:adjustRightInd/>
        <w:snapToGrid/>
        <w:spacing w:line="600" w:lineRule="exact"/>
        <w:ind w:firstLine="643" w:firstLineChars="200"/>
        <w:jc w:val="left"/>
        <w:textAlignment w:val="auto"/>
        <w:rPr>
          <w:rFonts w:hint="eastAsia" w:ascii="仿宋_GB2312" w:hAnsi="Times New Roman" w:eastAsia="仿宋_GB2312" w:cs="Times New Roman"/>
          <w:b/>
          <w:bCs/>
          <w:color w:val="auto"/>
          <w:sz w:val="32"/>
          <w:szCs w:val="32"/>
        </w:rPr>
      </w:pPr>
      <w:r>
        <w:rPr>
          <w:rFonts w:hint="eastAsia" w:ascii="仿宋_GB2312" w:hAnsi="Times New Roman" w:eastAsia="仿宋_GB2312" w:cs="Times New Roman"/>
          <w:b/>
          <w:bCs/>
          <w:color w:val="auto"/>
          <w:sz w:val="32"/>
          <w:szCs w:val="32"/>
        </w:rPr>
        <w:t>（一）部门职责</w:t>
      </w:r>
    </w:p>
    <w:p w14:paraId="730C2C14">
      <w:pPr>
        <w:keepNext w:val="0"/>
        <w:keepLines w:val="0"/>
        <w:pageBreakBefore w:val="0"/>
        <w:widowControl/>
        <w:kinsoku/>
        <w:wordWrap/>
        <w:overflowPunct/>
        <w:topLinePunct w:val="0"/>
        <w:autoSpaceDE w:val="0"/>
        <w:autoSpaceDN/>
        <w:bidi w:val="0"/>
        <w:adjustRightInd/>
        <w:snapToGrid/>
        <w:spacing w:line="600" w:lineRule="exact"/>
        <w:ind w:firstLine="640" w:firstLineChars="200"/>
        <w:jc w:val="left"/>
        <w:textAlignment w:val="auto"/>
        <w:rPr>
          <w:rFonts w:ascii="仿宋_GB2312" w:hAnsi="Times New Roman" w:eastAsia="仿宋_GB2312" w:cs="Times New Roman"/>
          <w:color w:val="auto"/>
          <w:kern w:val="0"/>
          <w:sz w:val="32"/>
          <w:szCs w:val="32"/>
        </w:rPr>
      </w:pPr>
      <w:r>
        <w:rPr>
          <w:rFonts w:hint="eastAsia" w:ascii="仿宋_GB2312" w:hAnsi="Times New Roman" w:eastAsia="仿宋_GB2312" w:cs="Times New Roman"/>
          <w:color w:val="auto"/>
          <w:kern w:val="0"/>
          <w:sz w:val="32"/>
          <w:szCs w:val="32"/>
        </w:rPr>
        <w:t>怀化市畜牧水产事务中心为公益一类事业单位，主要职责是：</w:t>
      </w:r>
    </w:p>
    <w:p w14:paraId="7B1F7E52">
      <w:pPr>
        <w:keepNext w:val="0"/>
        <w:keepLines w:val="0"/>
        <w:pageBreakBefore w:val="0"/>
        <w:kinsoku/>
        <w:wordWrap/>
        <w:overflowPunct/>
        <w:topLinePunct w:val="0"/>
        <w:autoSpaceDN/>
        <w:bidi w:val="0"/>
        <w:adjustRightInd/>
        <w:snapToGrid/>
        <w:spacing w:line="600" w:lineRule="exact"/>
        <w:ind w:firstLine="640" w:firstLineChars="200"/>
        <w:textAlignment w:val="auto"/>
        <w:rPr>
          <w:rFonts w:ascii="Times New Roman" w:hAnsi="Times New Roman" w:eastAsia="宋体" w:cs="Times New Roman"/>
          <w:color w:val="auto"/>
          <w:szCs w:val="21"/>
        </w:rPr>
      </w:pPr>
      <w:r>
        <w:rPr>
          <w:rFonts w:hint="eastAsia" w:ascii="仿宋_GB2312" w:hAnsi="Times New Roman" w:eastAsia="仿宋_GB2312" w:cs="Times New Roman"/>
          <w:color w:val="auto"/>
          <w:sz w:val="32"/>
          <w:szCs w:val="32"/>
        </w:rPr>
        <w:t>（一）</w:t>
      </w:r>
      <w:r>
        <w:rPr>
          <w:rFonts w:ascii="仿宋_GB2312" w:hAnsi="Times New Roman" w:eastAsia="仿宋_GB2312" w:cs="Times New Roman"/>
          <w:color w:val="auto"/>
          <w:kern w:val="0"/>
          <w:sz w:val="32"/>
          <w:szCs w:val="32"/>
        </w:rPr>
        <w:t>负责全市畜牧水产产业发展技术指导，指导畜牧水产业规模化和标准化生产；负责畜禽遗传资源调查保护、开发利用以及种畜禽生产的技术指导；负责引进和推广国内外畜牧水产新品种、新技术，组织开展畜牧水产业技术合作与交流。</w:t>
      </w:r>
    </w:p>
    <w:p w14:paraId="1B19D82B">
      <w:pPr>
        <w:keepNext w:val="0"/>
        <w:keepLines w:val="0"/>
        <w:pageBreakBefore w:val="0"/>
        <w:kinsoku/>
        <w:wordWrap/>
        <w:overflowPunct/>
        <w:topLinePunct w:val="0"/>
        <w:autoSpaceDN/>
        <w:bidi w:val="0"/>
        <w:adjustRightInd/>
        <w:snapToGrid/>
        <w:spacing w:line="600" w:lineRule="exact"/>
        <w:ind w:firstLine="640" w:firstLineChars="200"/>
        <w:textAlignment w:val="auto"/>
        <w:rPr>
          <w:rFonts w:ascii="Times New Roman" w:hAnsi="Times New Roman" w:eastAsia="宋体" w:cs="Times New Roman"/>
          <w:color w:val="auto"/>
          <w:szCs w:val="21"/>
        </w:rPr>
      </w:pPr>
      <w:r>
        <w:rPr>
          <w:rFonts w:hint="eastAsia" w:ascii="仿宋_GB2312" w:hAnsi="Times New Roman" w:eastAsia="仿宋_GB2312" w:cs="Times New Roman"/>
          <w:color w:val="auto"/>
          <w:sz w:val="32"/>
          <w:szCs w:val="32"/>
        </w:rPr>
        <w:t>（二）</w:t>
      </w:r>
      <w:r>
        <w:rPr>
          <w:rFonts w:ascii="仿宋_GB2312" w:hAnsi="Times New Roman" w:eastAsia="仿宋_GB2312" w:cs="Times New Roman"/>
          <w:color w:val="auto"/>
          <w:kern w:val="0"/>
          <w:sz w:val="32"/>
          <w:szCs w:val="32"/>
        </w:rPr>
        <w:t>负责组织开展畜禽水产品质量安全技术示范，推广畜禽水产品质量安全生产技术和操作规程；指导养殖企业开展畜禽水产品质量安全认证；指导养殖企业制订企业标准；负责兽药生产、经营、使用环节的技术指导。</w:t>
      </w:r>
    </w:p>
    <w:p w14:paraId="728AB634">
      <w:pPr>
        <w:keepNext w:val="0"/>
        <w:keepLines w:val="0"/>
        <w:pageBreakBefore w:val="0"/>
        <w:kinsoku/>
        <w:wordWrap/>
        <w:overflowPunct/>
        <w:topLinePunct w:val="0"/>
        <w:autoSpaceDN/>
        <w:bidi w:val="0"/>
        <w:adjustRightInd/>
        <w:snapToGrid/>
        <w:spacing w:line="600" w:lineRule="exact"/>
        <w:ind w:firstLine="640" w:firstLineChars="200"/>
        <w:textAlignment w:val="auto"/>
        <w:rPr>
          <w:rFonts w:ascii="Times New Roman" w:hAnsi="Times New Roman" w:eastAsia="宋体" w:cs="Times New Roman"/>
          <w:color w:val="auto"/>
          <w:szCs w:val="21"/>
        </w:rPr>
      </w:pPr>
      <w:r>
        <w:rPr>
          <w:rFonts w:hint="eastAsia" w:ascii="仿宋_GB2312" w:hAnsi="Times New Roman" w:eastAsia="仿宋_GB2312" w:cs="Times New Roman"/>
          <w:color w:val="auto"/>
          <w:sz w:val="32"/>
          <w:szCs w:val="32"/>
        </w:rPr>
        <w:t>（三）</w:t>
      </w:r>
      <w:r>
        <w:rPr>
          <w:rFonts w:ascii="仿宋_GB2312" w:hAnsi="Times New Roman" w:eastAsia="仿宋_GB2312" w:cs="Times New Roman"/>
          <w:color w:val="auto"/>
          <w:kern w:val="0"/>
          <w:sz w:val="32"/>
          <w:szCs w:val="32"/>
        </w:rPr>
        <w:t>指导全市畜牧水产科技推广体系建设，开展畜牧水产业科技创新、能力建设和人才培训；指导全市畜牧水产新品种、新技术成果评价，促进畜牧水产科技成果转化应用；指导市畜牧水产兽医学会工作。</w:t>
      </w:r>
    </w:p>
    <w:p w14:paraId="1E880080">
      <w:pPr>
        <w:keepNext w:val="0"/>
        <w:keepLines w:val="0"/>
        <w:pageBreakBefore w:val="0"/>
        <w:kinsoku/>
        <w:wordWrap/>
        <w:overflowPunct/>
        <w:topLinePunct w:val="0"/>
        <w:autoSpaceDN/>
        <w:bidi w:val="0"/>
        <w:adjustRightInd/>
        <w:snapToGrid/>
        <w:spacing w:line="600" w:lineRule="exact"/>
        <w:ind w:firstLine="640" w:firstLineChars="200"/>
        <w:textAlignment w:val="auto"/>
        <w:rPr>
          <w:rFonts w:ascii="Times New Roman" w:hAnsi="Times New Roman" w:eastAsia="宋体" w:cs="Times New Roman"/>
          <w:color w:val="auto"/>
          <w:szCs w:val="21"/>
        </w:rPr>
      </w:pPr>
      <w:r>
        <w:rPr>
          <w:rFonts w:hint="eastAsia" w:ascii="仿宋_GB2312" w:hAnsi="Times New Roman" w:eastAsia="仿宋_GB2312" w:cs="Times New Roman"/>
          <w:color w:val="auto"/>
          <w:sz w:val="32"/>
          <w:szCs w:val="32"/>
        </w:rPr>
        <w:t>（四）</w:t>
      </w:r>
      <w:r>
        <w:rPr>
          <w:rFonts w:ascii="仿宋_GB2312" w:hAnsi="Times New Roman" w:eastAsia="仿宋_GB2312" w:cs="Times New Roman"/>
          <w:color w:val="auto"/>
          <w:kern w:val="0"/>
          <w:sz w:val="32"/>
          <w:szCs w:val="32"/>
        </w:rPr>
        <w:t>负责全市渔业资源和水生野生动物保护利用的技术指导，以及全市渔业水域环境保护和涉渔工程生态环境影响评价的技术指导。</w:t>
      </w:r>
    </w:p>
    <w:p w14:paraId="22670217">
      <w:pPr>
        <w:keepNext w:val="0"/>
        <w:keepLines w:val="0"/>
        <w:pageBreakBefore w:val="0"/>
        <w:kinsoku/>
        <w:wordWrap/>
        <w:overflowPunct/>
        <w:topLinePunct w:val="0"/>
        <w:autoSpaceDN/>
        <w:bidi w:val="0"/>
        <w:adjustRightInd/>
        <w:snapToGrid/>
        <w:spacing w:line="600" w:lineRule="exact"/>
        <w:ind w:firstLine="640" w:firstLineChars="200"/>
        <w:textAlignment w:val="auto"/>
        <w:rPr>
          <w:rFonts w:ascii="Times New Roman" w:hAnsi="Times New Roman" w:eastAsia="宋体" w:cs="Times New Roman"/>
          <w:color w:val="auto"/>
          <w:szCs w:val="21"/>
        </w:rPr>
      </w:pPr>
      <w:r>
        <w:rPr>
          <w:rFonts w:hint="eastAsia" w:ascii="仿宋_GB2312" w:hAnsi="Times New Roman" w:eastAsia="仿宋_GB2312" w:cs="Times New Roman"/>
          <w:color w:val="auto"/>
          <w:sz w:val="32"/>
          <w:szCs w:val="32"/>
        </w:rPr>
        <w:t>（五）</w:t>
      </w:r>
      <w:r>
        <w:rPr>
          <w:rFonts w:ascii="仿宋_GB2312" w:hAnsi="Times New Roman" w:eastAsia="仿宋_GB2312" w:cs="Times New Roman"/>
          <w:color w:val="auto"/>
          <w:kern w:val="0"/>
          <w:sz w:val="32"/>
          <w:szCs w:val="32"/>
        </w:rPr>
        <w:t>负责兽医技术指导；负责动物疫病检验检测、诊断；开展动物疫病流行病学调查、动物疫病风险评估和预报；负责人兽共患病防治技术指导；负责动物疫病防控、动物无害化处理的技术指导；负责动物疫病预防控制技术研究、推广、应用和人员培训。</w:t>
      </w:r>
    </w:p>
    <w:p w14:paraId="1F903996">
      <w:pPr>
        <w:keepNext w:val="0"/>
        <w:keepLines w:val="0"/>
        <w:pageBreakBefore w:val="0"/>
        <w:kinsoku/>
        <w:wordWrap/>
        <w:overflowPunct/>
        <w:topLinePunct w:val="0"/>
        <w:autoSpaceDN/>
        <w:bidi w:val="0"/>
        <w:adjustRightInd/>
        <w:snapToGrid/>
        <w:spacing w:line="600" w:lineRule="exact"/>
        <w:ind w:firstLine="640" w:firstLineChars="200"/>
        <w:textAlignment w:val="auto"/>
        <w:rPr>
          <w:rFonts w:ascii="Times New Roman" w:hAnsi="Times New Roman" w:eastAsia="宋体" w:cs="Times New Roman"/>
          <w:color w:val="auto"/>
          <w:szCs w:val="21"/>
        </w:rPr>
      </w:pPr>
      <w:r>
        <w:rPr>
          <w:rFonts w:hint="eastAsia" w:ascii="仿宋_GB2312" w:hAnsi="Times New Roman" w:eastAsia="仿宋_GB2312" w:cs="Times New Roman"/>
          <w:color w:val="auto"/>
          <w:sz w:val="32"/>
          <w:szCs w:val="32"/>
        </w:rPr>
        <w:t>（六）</w:t>
      </w:r>
      <w:r>
        <w:rPr>
          <w:rFonts w:ascii="仿宋_GB2312" w:hAnsi="Times New Roman" w:eastAsia="仿宋_GB2312" w:cs="Times New Roman"/>
          <w:color w:val="auto"/>
          <w:kern w:val="0"/>
          <w:sz w:val="32"/>
          <w:szCs w:val="32"/>
        </w:rPr>
        <w:t>负责开展全市饲料行业信息技术交流；承担全市高新生物科技环保饲料和饲料添加剂推广工作；引导饲料和饲料添加剂生产企业提高生产标准，指导饲料企业规范生产。</w:t>
      </w:r>
    </w:p>
    <w:p w14:paraId="6664DA05">
      <w:pPr>
        <w:keepNext w:val="0"/>
        <w:keepLines w:val="0"/>
        <w:pageBreakBefore w:val="0"/>
        <w:kinsoku/>
        <w:wordWrap/>
        <w:overflowPunct/>
        <w:topLinePunct w:val="0"/>
        <w:autoSpaceDN/>
        <w:bidi w:val="0"/>
        <w:adjustRightInd/>
        <w:snapToGrid/>
        <w:spacing w:line="600" w:lineRule="exact"/>
        <w:ind w:firstLine="640" w:firstLineChars="200"/>
        <w:textAlignment w:val="auto"/>
        <w:rPr>
          <w:rFonts w:ascii="Times New Roman" w:hAnsi="Times New Roman" w:eastAsia="宋体" w:cs="Times New Roman"/>
          <w:color w:val="auto"/>
          <w:szCs w:val="21"/>
        </w:rPr>
      </w:pPr>
      <w:r>
        <w:rPr>
          <w:rFonts w:hint="eastAsia" w:ascii="仿宋_GB2312" w:hAnsi="Times New Roman" w:eastAsia="仿宋_GB2312" w:cs="Times New Roman"/>
          <w:color w:val="auto"/>
          <w:sz w:val="32"/>
          <w:szCs w:val="32"/>
        </w:rPr>
        <w:t>（七）</w:t>
      </w:r>
      <w:r>
        <w:rPr>
          <w:rFonts w:ascii="仿宋_GB2312" w:hAnsi="Times New Roman" w:eastAsia="仿宋_GB2312" w:cs="Times New Roman"/>
          <w:color w:val="auto"/>
          <w:kern w:val="0"/>
          <w:sz w:val="32"/>
          <w:szCs w:val="32"/>
        </w:rPr>
        <w:t>负责全市兽药、饲料及饲料添加剂等养殖业投入品质量检验检测；承担全市畜禽水产品兽药残留、违禁药品等质量安全检验检测等相关工作。</w:t>
      </w:r>
    </w:p>
    <w:p w14:paraId="5115C1DE">
      <w:pPr>
        <w:keepNext w:val="0"/>
        <w:keepLines w:val="0"/>
        <w:pageBreakBefore w:val="0"/>
        <w:kinsoku/>
        <w:wordWrap/>
        <w:overflowPunct/>
        <w:topLinePunct w:val="0"/>
        <w:autoSpaceDN/>
        <w:bidi w:val="0"/>
        <w:adjustRightInd/>
        <w:snapToGrid/>
        <w:spacing w:line="600" w:lineRule="exact"/>
        <w:ind w:firstLine="640" w:firstLineChars="200"/>
        <w:textAlignment w:val="auto"/>
        <w:rPr>
          <w:rFonts w:ascii="Times New Roman" w:hAnsi="Times New Roman" w:eastAsia="宋体" w:cs="Times New Roman"/>
          <w:color w:val="auto"/>
          <w:szCs w:val="21"/>
        </w:rPr>
      </w:pPr>
      <w:r>
        <w:rPr>
          <w:rFonts w:hint="eastAsia" w:ascii="仿宋_GB2312" w:hAnsi="Times New Roman" w:eastAsia="仿宋_GB2312" w:cs="Times New Roman"/>
          <w:color w:val="auto"/>
          <w:sz w:val="32"/>
          <w:szCs w:val="32"/>
        </w:rPr>
        <w:t>（八）</w:t>
      </w:r>
      <w:r>
        <w:rPr>
          <w:rFonts w:ascii="仿宋_GB2312" w:hAnsi="Times New Roman" w:eastAsia="仿宋_GB2312" w:cs="Times New Roman"/>
          <w:color w:val="auto"/>
          <w:kern w:val="0"/>
          <w:sz w:val="32"/>
          <w:szCs w:val="32"/>
        </w:rPr>
        <w:t>承担动物和动物产品检疫相关事务性工作；承担动物及动物产品调运备案相关事务性工作。</w:t>
      </w:r>
    </w:p>
    <w:p w14:paraId="108B4A04">
      <w:pPr>
        <w:keepNext w:val="0"/>
        <w:keepLines w:val="0"/>
        <w:pageBreakBefore w:val="0"/>
        <w:kinsoku/>
        <w:wordWrap/>
        <w:overflowPunct/>
        <w:topLinePunct w:val="0"/>
        <w:autoSpaceDN/>
        <w:bidi w:val="0"/>
        <w:adjustRightInd/>
        <w:snapToGrid/>
        <w:spacing w:line="600" w:lineRule="exact"/>
        <w:ind w:firstLine="640" w:firstLineChars="200"/>
        <w:textAlignment w:val="auto"/>
        <w:rPr>
          <w:rFonts w:ascii="Times New Roman" w:hAnsi="Times New Roman" w:eastAsia="宋体" w:cs="Times New Roman"/>
          <w:color w:val="auto"/>
          <w:szCs w:val="21"/>
        </w:rPr>
      </w:pPr>
      <w:r>
        <w:rPr>
          <w:rFonts w:hint="eastAsia" w:ascii="仿宋_GB2312" w:hAnsi="Times New Roman" w:eastAsia="仿宋_GB2312" w:cs="Times New Roman"/>
          <w:color w:val="auto"/>
          <w:sz w:val="32"/>
          <w:szCs w:val="32"/>
        </w:rPr>
        <w:t>（九）</w:t>
      </w:r>
      <w:r>
        <w:rPr>
          <w:rFonts w:ascii="仿宋_GB2312" w:hAnsi="Times New Roman" w:eastAsia="仿宋_GB2312" w:cs="Times New Roman"/>
          <w:color w:val="auto"/>
          <w:kern w:val="0"/>
          <w:sz w:val="32"/>
          <w:szCs w:val="32"/>
        </w:rPr>
        <w:t>对各县市区畜牧水产事务中心进行业务指导。</w:t>
      </w:r>
    </w:p>
    <w:p w14:paraId="746C2043">
      <w:pPr>
        <w:keepNext w:val="0"/>
        <w:keepLines w:val="0"/>
        <w:pageBreakBefore w:val="0"/>
        <w:kinsoku/>
        <w:wordWrap/>
        <w:overflowPunct/>
        <w:topLinePunct w:val="0"/>
        <w:autoSpaceDN/>
        <w:bidi w:val="0"/>
        <w:adjustRightInd/>
        <w:snapToGrid/>
        <w:spacing w:line="600" w:lineRule="exact"/>
        <w:ind w:firstLine="640" w:firstLineChars="200"/>
        <w:textAlignment w:val="auto"/>
        <w:rPr>
          <w:rFonts w:ascii="Times New Roman" w:hAnsi="Times New Roman" w:eastAsia="宋体" w:cs="Times New Roman"/>
          <w:color w:val="auto"/>
          <w:szCs w:val="21"/>
        </w:rPr>
      </w:pPr>
      <w:r>
        <w:rPr>
          <w:rFonts w:hint="eastAsia" w:ascii="仿宋_GB2312" w:hAnsi="Times New Roman" w:eastAsia="仿宋_GB2312" w:cs="Times New Roman"/>
          <w:color w:val="auto"/>
          <w:sz w:val="32"/>
          <w:szCs w:val="32"/>
        </w:rPr>
        <w:t>（十）</w:t>
      </w:r>
      <w:r>
        <w:rPr>
          <w:rFonts w:ascii="仿宋_GB2312" w:hAnsi="Times New Roman" w:eastAsia="仿宋_GB2312" w:cs="Times New Roman"/>
          <w:color w:val="auto"/>
          <w:kern w:val="0"/>
          <w:sz w:val="32"/>
          <w:szCs w:val="32"/>
        </w:rPr>
        <w:t>承担市农业农村局交办的其他工作。</w:t>
      </w:r>
    </w:p>
    <w:p w14:paraId="07D386E8">
      <w:pPr>
        <w:keepNext w:val="0"/>
        <w:keepLines w:val="0"/>
        <w:pageBreakBefore w:val="0"/>
        <w:widowControl/>
        <w:kinsoku/>
        <w:wordWrap/>
        <w:overflowPunct/>
        <w:topLinePunct w:val="0"/>
        <w:autoSpaceDE w:val="0"/>
        <w:autoSpaceDN/>
        <w:bidi w:val="0"/>
        <w:adjustRightInd/>
        <w:snapToGrid/>
        <w:spacing w:line="600" w:lineRule="exact"/>
        <w:ind w:firstLine="643" w:firstLineChars="200"/>
        <w:jc w:val="left"/>
        <w:textAlignment w:val="auto"/>
        <w:rPr>
          <w:rFonts w:ascii="仿宋_GB2312" w:hAnsi="Times New Roman" w:eastAsia="仿宋_GB2312" w:cs="Times New Roman"/>
          <w:b/>
          <w:bCs/>
          <w:color w:val="auto"/>
          <w:sz w:val="32"/>
          <w:szCs w:val="32"/>
        </w:rPr>
      </w:pPr>
      <w:r>
        <w:rPr>
          <w:rFonts w:hint="eastAsia" w:ascii="仿宋_GB2312" w:hAnsi="Times New Roman" w:eastAsia="仿宋_GB2312" w:cs="Times New Roman"/>
          <w:b/>
          <w:bCs/>
          <w:color w:val="auto"/>
          <w:sz w:val="32"/>
          <w:szCs w:val="32"/>
        </w:rPr>
        <w:t>（二）机构设置情况</w:t>
      </w:r>
    </w:p>
    <w:p w14:paraId="7E95A2CA">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ascii="Times New Roman" w:hAnsi="Times New Roman" w:eastAsia="微软雅黑" w:cs="Times New Roman"/>
          <w:color w:val="auto"/>
          <w:kern w:val="0"/>
          <w:szCs w:val="21"/>
        </w:rPr>
      </w:pPr>
      <w:r>
        <w:rPr>
          <w:rFonts w:ascii="仿宋_GB2312" w:hAnsi="Times New Roman" w:eastAsia="仿宋_GB2312" w:cs="Times New Roman"/>
          <w:color w:val="auto"/>
          <w:kern w:val="0"/>
          <w:sz w:val="32"/>
          <w:szCs w:val="32"/>
        </w:rPr>
        <w:t>怀化市畜牧水产事务中心作为一级部门预算单位，内设</w:t>
      </w:r>
      <w:r>
        <w:rPr>
          <w:rFonts w:hint="eastAsia" w:ascii="仿宋_GB2312" w:hAnsi="仿宋" w:eastAsia="仿宋_GB2312" w:cs="Times New Roman"/>
          <w:color w:val="auto"/>
          <w:kern w:val="0"/>
          <w:sz w:val="32"/>
          <w:szCs w:val="32"/>
        </w:rPr>
        <w:t>科室</w:t>
      </w:r>
      <w:r>
        <w:rPr>
          <w:rFonts w:ascii="仿宋_GB2312" w:hAnsi="Times New Roman" w:eastAsia="仿宋_GB2312" w:cs="Times New Roman"/>
          <w:color w:val="auto"/>
          <w:kern w:val="0"/>
          <w:sz w:val="32"/>
          <w:szCs w:val="32"/>
        </w:rPr>
        <w:t>为：办公室、计划财务部、人事部、畜牧业发展部、渔业发展部、动物疫病预防控制事务部（市动物疫病预防控制中心）、动物检疫部、质量安全与饲料兽药部、畜禽水产品质量检验检测部（市畜禽水产品质量检验检测中心）。</w:t>
      </w:r>
    </w:p>
    <w:p w14:paraId="3C7E073C">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ascii="Times New Roman" w:hAnsi="Times New Roman" w:eastAsia="微软雅黑" w:cs="Times New Roman"/>
          <w:color w:val="auto"/>
          <w:kern w:val="0"/>
          <w:szCs w:val="21"/>
        </w:rPr>
      </w:pPr>
      <w:r>
        <w:rPr>
          <w:rFonts w:hint="eastAsia" w:ascii="黑体" w:hAnsi="黑体" w:eastAsia="黑体" w:cs="Times New Roman"/>
          <w:color w:val="auto"/>
          <w:kern w:val="0"/>
          <w:sz w:val="32"/>
          <w:szCs w:val="32"/>
        </w:rPr>
        <w:t>二、部门预算单位构成</w:t>
      </w:r>
    </w:p>
    <w:p w14:paraId="51047954">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ascii="仿宋_GB2312" w:hAnsi="Times New Roman" w:eastAsia="仿宋_GB2312" w:cs="Times New Roman"/>
          <w:color w:val="auto"/>
          <w:kern w:val="0"/>
          <w:sz w:val="32"/>
          <w:szCs w:val="32"/>
        </w:rPr>
      </w:pPr>
      <w:r>
        <w:rPr>
          <w:rFonts w:ascii="仿宋_GB2312" w:hAnsi="Times New Roman" w:eastAsia="仿宋_GB2312" w:cs="Times New Roman"/>
          <w:color w:val="auto"/>
          <w:kern w:val="0"/>
          <w:sz w:val="32"/>
          <w:szCs w:val="32"/>
        </w:rPr>
        <w:t>纳入202</w:t>
      </w:r>
      <w:r>
        <w:rPr>
          <w:rFonts w:hint="eastAsia" w:ascii="仿宋_GB2312" w:hAnsi="Times New Roman" w:eastAsia="仿宋_GB2312" w:cs="Times New Roman"/>
          <w:color w:val="auto"/>
          <w:kern w:val="0"/>
          <w:sz w:val="32"/>
          <w:szCs w:val="32"/>
        </w:rPr>
        <w:t>3</w:t>
      </w:r>
      <w:r>
        <w:rPr>
          <w:rFonts w:ascii="仿宋_GB2312" w:hAnsi="Times New Roman" w:eastAsia="仿宋_GB2312" w:cs="Times New Roman"/>
          <w:color w:val="auto"/>
          <w:kern w:val="0"/>
          <w:sz w:val="32"/>
          <w:szCs w:val="32"/>
        </w:rPr>
        <w:t>年怀化市畜牧水产事务中心部门预算编制范围的包括：怀化市畜牧水产事务中心本级。</w:t>
      </w:r>
    </w:p>
    <w:p w14:paraId="460CA5E3">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ascii="Times New Roman" w:hAnsi="Times New Roman" w:eastAsia="微软雅黑" w:cs="Times New Roman"/>
          <w:color w:val="auto"/>
          <w:kern w:val="0"/>
          <w:szCs w:val="21"/>
        </w:rPr>
      </w:pPr>
      <w:r>
        <w:rPr>
          <w:rFonts w:hint="eastAsia" w:ascii="黑体" w:hAnsi="黑体" w:eastAsia="黑体" w:cs="Times New Roman"/>
          <w:color w:val="auto"/>
          <w:kern w:val="0"/>
          <w:sz w:val="32"/>
          <w:szCs w:val="32"/>
        </w:rPr>
        <w:t>三</w:t>
      </w:r>
      <w:r>
        <w:rPr>
          <w:rFonts w:ascii="黑体" w:hAnsi="黑体" w:eastAsia="黑体" w:cs="Times New Roman"/>
          <w:color w:val="auto"/>
          <w:kern w:val="0"/>
          <w:sz w:val="32"/>
          <w:szCs w:val="32"/>
        </w:rPr>
        <w:t>、</w:t>
      </w:r>
      <w:r>
        <w:rPr>
          <w:rFonts w:hint="eastAsia" w:ascii="黑体" w:hAnsi="黑体" w:eastAsia="黑体" w:cs="Times New Roman"/>
          <w:color w:val="auto"/>
          <w:kern w:val="0"/>
          <w:sz w:val="32"/>
          <w:szCs w:val="32"/>
        </w:rPr>
        <w:t>部门收支总体情况</w:t>
      </w:r>
    </w:p>
    <w:p w14:paraId="203834AC">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ascii="Times New Roman" w:hAnsi="Times New Roman" w:eastAsia="微软雅黑" w:cs="Times New Roman"/>
          <w:color w:val="auto"/>
          <w:kern w:val="0"/>
          <w:szCs w:val="21"/>
        </w:rPr>
      </w:pPr>
      <w:r>
        <w:rPr>
          <w:rFonts w:hint="eastAsia" w:ascii="Times New Roman" w:hAnsi="Times New Roman" w:eastAsia="仿宋" w:cs="Times New Roman"/>
          <w:color w:val="auto"/>
          <w:kern w:val="0"/>
          <w:sz w:val="32"/>
          <w:szCs w:val="32"/>
        </w:rPr>
        <w:t>2023</w:t>
      </w:r>
      <w:r>
        <w:rPr>
          <w:rFonts w:hint="eastAsia" w:ascii="仿宋_GB2312" w:hAnsi="仿宋" w:eastAsia="仿宋_GB2312" w:cs="Times New Roman"/>
          <w:color w:val="auto"/>
          <w:kern w:val="0"/>
          <w:sz w:val="32"/>
          <w:szCs w:val="32"/>
        </w:rPr>
        <w:t>年部门预算包括本单位预算内的收支情况。</w:t>
      </w:r>
    </w:p>
    <w:p w14:paraId="4689FE1C">
      <w:pPr>
        <w:keepNext w:val="0"/>
        <w:keepLines w:val="0"/>
        <w:pageBreakBefore w:val="0"/>
        <w:kinsoku/>
        <w:wordWrap/>
        <w:overflowPunct/>
        <w:topLinePunct w:val="0"/>
        <w:autoSpaceDN/>
        <w:bidi w:val="0"/>
        <w:adjustRightInd/>
        <w:snapToGrid/>
        <w:spacing w:line="600" w:lineRule="exact"/>
        <w:ind w:firstLine="640" w:firstLineChars="200"/>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（一）收入预算：</w:t>
      </w:r>
      <w:r>
        <w:rPr>
          <w:rFonts w:hint="eastAsia" w:ascii="仿宋_GB2312" w:hAnsi="Times New Roman" w:eastAsia="仿宋_GB2312" w:cs="Times New Roman"/>
          <w:color w:val="auto"/>
          <w:sz w:val="32"/>
          <w:szCs w:val="32"/>
        </w:rPr>
        <w:t>包括一般公共预算、政府性基金、国有资本经营预算等财政拨款收入，以及经营收入、事业收入等单位资金</w:t>
      </w:r>
      <w:r>
        <w:rPr>
          <w:rFonts w:hint="eastAsia" w:ascii="仿宋_GB2312" w:hAnsi="仿宋" w:eastAsia="仿宋_GB2312" w:cs="Times New Roman"/>
          <w:color w:val="auto"/>
          <w:kern w:val="0"/>
          <w:sz w:val="32"/>
          <w:szCs w:val="32"/>
        </w:rPr>
        <w:t>。2023年本部门收入预算1275.37万元，其中，一般公共预算拨款1275.37万元</w:t>
      </w:r>
      <w:r>
        <w:rPr>
          <w:rFonts w:hint="eastAsia" w:ascii="仿宋_GB2312" w:hAnsi="仿宋" w:eastAsia="仿宋_GB2312" w:cs="Times New Roman"/>
          <w:color w:val="auto"/>
          <w:kern w:val="0"/>
          <w:sz w:val="32"/>
          <w:szCs w:val="32"/>
          <w:lang w:eastAsia="zh-CN"/>
        </w:rPr>
        <w:t>。</w:t>
      </w:r>
      <w:r>
        <w:rPr>
          <w:rFonts w:hint="eastAsia" w:ascii="仿宋_GB2312" w:hAnsi="仿宋" w:eastAsia="仿宋_GB2312" w:cs="Times New Roman"/>
          <w:color w:val="auto"/>
          <w:kern w:val="0"/>
          <w:sz w:val="32"/>
          <w:szCs w:val="32"/>
        </w:rPr>
        <w:t>收入较上年增加245.46万元，上升23.83%。主要原因是：一是在职人员工资正常增长；二是增加了在职人员绩效奖金、退休人员春节一次性生活补助等人员类费用。</w:t>
      </w:r>
    </w:p>
    <w:p w14:paraId="087263E3">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二）支出预算：2023年本部门支出预算1275.37万元，其中，社会保障和就业支出234.62万元，卫生健康支出38.03万元，农林水支出1002.73万元。支出较上年增加245.46万元，上升23.83%。主要原因是：一是在职人员工资正常增长；二是增加了在职人员绩效奖金、退休人员春节一次性生活补助等人员类费用。</w:t>
      </w:r>
    </w:p>
    <w:p w14:paraId="7958E4B5">
      <w:pPr>
        <w:keepNext w:val="0"/>
        <w:keepLines w:val="0"/>
        <w:pageBreakBefore w:val="0"/>
        <w:widowControl/>
        <w:kinsoku/>
        <w:wordWrap/>
        <w:overflowPunct/>
        <w:topLinePunct w:val="0"/>
        <w:autoSpaceDE w:val="0"/>
        <w:autoSpaceDN/>
        <w:bidi w:val="0"/>
        <w:adjustRightInd/>
        <w:snapToGrid/>
        <w:spacing w:line="600" w:lineRule="exact"/>
        <w:ind w:firstLine="640" w:firstLineChars="200"/>
        <w:jc w:val="left"/>
        <w:textAlignment w:val="auto"/>
        <w:rPr>
          <w:rFonts w:ascii="黑体" w:hAnsi="黑体" w:eastAsia="黑体" w:cs="Times New Roman"/>
          <w:bCs/>
          <w:color w:val="auto"/>
          <w:kern w:val="0"/>
          <w:sz w:val="32"/>
          <w:szCs w:val="32"/>
        </w:rPr>
      </w:pPr>
      <w:r>
        <w:rPr>
          <w:rFonts w:hint="eastAsia" w:ascii="黑体" w:hAnsi="黑体" w:eastAsia="黑体" w:cs="Times New Roman"/>
          <w:bCs/>
          <w:color w:val="auto"/>
          <w:kern w:val="0"/>
          <w:sz w:val="32"/>
          <w:szCs w:val="32"/>
        </w:rPr>
        <w:t>四、</w:t>
      </w:r>
      <w:r>
        <w:rPr>
          <w:rFonts w:ascii="黑体" w:hAnsi="黑体" w:eastAsia="黑体" w:cs="Times New Roman"/>
          <w:color w:val="auto"/>
          <w:sz w:val="32"/>
          <w:szCs w:val="32"/>
        </w:rPr>
        <w:t>一般公共预算拨款支出</w:t>
      </w:r>
    </w:p>
    <w:p w14:paraId="22AB6A9E">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2023年本部门一般公共预算拨款支出为1275.37万元，其中，社会保障和就业支出234.62万元，占18.40%；卫生健康支出38.03万元，占2.98%；农林水支出1002.73万元，占78.62%。具体安排情况如下：</w:t>
      </w:r>
    </w:p>
    <w:p w14:paraId="61A7785A">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一）基本支出：2023年本部门基本支出预算数1076.68万元，是指为保障单位机构正常运转、完成日常工作任务而发生的各项支出，包括用于基本工资265.71万元、津贴补贴35.89万元、机关事业单位基本养老保险缴费89.60万元、职工基本医疗保险缴费38.03万元、奖金173.82万元、绩效工资119.27万元、住房公积金71.18万元、其他社会保障缴费8.00万元、其他工资福利支出13.78万元、办公费3.00万元、差旅费1.50万元、公务接待费1.50万元、福利费10万元、其他交通费用1.30万元、工会经费40.41万元、其他商品和服务支出67.40万元、生活补助1.66万元、奖励金0.10万元、退休费25.83万元、离休费11.20万元、其他对个人和家庭的补助97.50万元。</w:t>
      </w:r>
    </w:p>
    <w:p w14:paraId="14D74BF9">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二）项目支出：2023年本部门项目支出预算数198.69万元，是指单位为完成特定行政工作任务或事业发展目标而发生的支出，包括有关事业发展专项、专项业务费、基本建设支出等。其中：动物疫病防控专项工作经费85.00万元，主要用于重大动物疫病防控、动物疫病监测和流行病学调查；畜牧兽医医疗卫生津贴支出</w:t>
      </w:r>
      <w:r>
        <w:rPr>
          <w:rFonts w:hint="eastAsia" w:ascii="仿宋_GB2312" w:hAnsi="仿宋" w:eastAsia="仿宋_GB2312" w:cs="Times New Roman"/>
          <w:color w:val="auto"/>
          <w:kern w:val="0"/>
          <w:sz w:val="32"/>
          <w:szCs w:val="32"/>
          <w:lang w:val="en-US" w:eastAsia="zh-CN"/>
        </w:rPr>
        <w:t>10.69</w:t>
      </w:r>
      <w:r>
        <w:rPr>
          <w:rFonts w:hint="eastAsia" w:ascii="仿宋_GB2312" w:hAnsi="仿宋" w:eastAsia="仿宋_GB2312" w:cs="Times New Roman"/>
          <w:color w:val="auto"/>
          <w:kern w:val="0"/>
          <w:sz w:val="32"/>
          <w:szCs w:val="32"/>
        </w:rPr>
        <w:t>万元，主要用于发放我单位专职从事和直接接触有毒、有害、有传染危险工作的干部职工的津贴；国有农场税费改革转移支付补助8.00万元，主要用于涉及种场改革的业务性工作；农业种质资源普查工作经费5.00万元，主要用于开展全市畜禽遗传资源、市水产养殖种质资源的普查工作；畜禽水产品质量安全抽样检测工作经费90.00万元，主要根据省农业农村厅下达的任务数，开展全市畜禽水产品质量安全抽样检测工作。</w:t>
      </w:r>
    </w:p>
    <w:p w14:paraId="51BE1CEB">
      <w:pPr>
        <w:keepNext w:val="0"/>
        <w:keepLines w:val="0"/>
        <w:pageBreakBefore w:val="0"/>
        <w:widowControl/>
        <w:kinsoku/>
        <w:wordWrap/>
        <w:overflowPunct/>
        <w:topLinePunct w:val="0"/>
        <w:autoSpaceDE w:val="0"/>
        <w:autoSpaceDN/>
        <w:bidi w:val="0"/>
        <w:adjustRightInd/>
        <w:snapToGrid/>
        <w:spacing w:line="600" w:lineRule="exact"/>
        <w:ind w:firstLine="640" w:firstLineChars="200"/>
        <w:jc w:val="left"/>
        <w:textAlignment w:val="auto"/>
        <w:rPr>
          <w:rFonts w:ascii="黑体" w:hAnsi="黑体" w:eastAsia="黑体" w:cs="Times New Roman"/>
          <w:color w:val="auto"/>
          <w:sz w:val="32"/>
          <w:szCs w:val="32"/>
        </w:rPr>
      </w:pPr>
      <w:r>
        <w:rPr>
          <w:rFonts w:hint="eastAsia" w:ascii="黑体" w:hAnsi="黑体" w:eastAsia="黑体" w:cs="Times New Roman"/>
          <w:color w:val="auto"/>
          <w:sz w:val="32"/>
          <w:szCs w:val="32"/>
        </w:rPr>
        <w:t>五、政府性基金预算支出情况</w:t>
      </w:r>
    </w:p>
    <w:p w14:paraId="3C7A78B4">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2023年本部门无政府性基金安排的支出。</w:t>
      </w:r>
    </w:p>
    <w:p w14:paraId="3942DDE2">
      <w:pPr>
        <w:keepNext w:val="0"/>
        <w:keepLines w:val="0"/>
        <w:pageBreakBefore w:val="0"/>
        <w:widowControl/>
        <w:kinsoku/>
        <w:wordWrap/>
        <w:overflowPunct/>
        <w:topLinePunct w:val="0"/>
        <w:autoSpaceDE w:val="0"/>
        <w:autoSpaceDN/>
        <w:bidi w:val="0"/>
        <w:adjustRightInd/>
        <w:snapToGrid/>
        <w:spacing w:line="600" w:lineRule="exact"/>
        <w:ind w:firstLine="640" w:firstLineChars="200"/>
        <w:jc w:val="left"/>
        <w:textAlignment w:val="auto"/>
        <w:rPr>
          <w:rFonts w:ascii="黑体" w:hAnsi="黑体" w:eastAsia="黑体" w:cs="Times New Roman"/>
          <w:color w:val="auto"/>
          <w:sz w:val="32"/>
          <w:szCs w:val="32"/>
        </w:rPr>
      </w:pPr>
      <w:r>
        <w:rPr>
          <w:rFonts w:hint="eastAsia" w:ascii="黑体" w:hAnsi="黑体" w:eastAsia="黑体" w:cs="Times New Roman"/>
          <w:color w:val="auto"/>
          <w:sz w:val="32"/>
          <w:szCs w:val="32"/>
        </w:rPr>
        <w:t>六、其他重要事项的情况说明</w:t>
      </w:r>
    </w:p>
    <w:p w14:paraId="66F6D270">
      <w:pPr>
        <w:keepNext w:val="0"/>
        <w:keepLines w:val="0"/>
        <w:pageBreakBefore w:val="0"/>
        <w:widowControl/>
        <w:kinsoku/>
        <w:wordWrap/>
        <w:overflowPunct/>
        <w:topLinePunct w:val="0"/>
        <w:autoSpaceDN/>
        <w:bidi w:val="0"/>
        <w:adjustRightInd/>
        <w:snapToGrid/>
        <w:spacing w:line="600" w:lineRule="exact"/>
        <w:ind w:firstLine="643" w:firstLineChars="200"/>
        <w:textAlignment w:val="auto"/>
        <w:rPr>
          <w:rFonts w:ascii="Times New Roman" w:hAnsi="Times New Roman" w:eastAsia="微软雅黑" w:cs="Times New Roman"/>
          <w:color w:val="auto"/>
          <w:kern w:val="0"/>
          <w:szCs w:val="21"/>
        </w:rPr>
      </w:pPr>
      <w:r>
        <w:rPr>
          <w:rFonts w:hint="eastAsia" w:ascii="仿宋_GB2312" w:hAnsi="仿宋" w:eastAsia="仿宋_GB2312" w:cs="Times New Roman"/>
          <w:b/>
          <w:bCs/>
          <w:color w:val="auto"/>
          <w:kern w:val="0"/>
          <w:sz w:val="32"/>
          <w:szCs w:val="32"/>
        </w:rPr>
        <w:t>（一）“三公”经费预算</w:t>
      </w:r>
    </w:p>
    <w:p w14:paraId="29EF53C1">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2023年怀化市畜牧水产事务中心安排“三公”经费预算数为9.20万元，其中，公务接待费1.50万元，公务用车购置及运行费7.70万元（其中，公务用车购置费0.00万元，公务用车运行费7.70万元，）因公出国（境）费0.00万元。2023年“三公”经费预算较上年预算数减少34.14万元，下降78.77%，主要因为按照“三公”经费“只减不增”原则，从严从紧安排“三公”经费预算。</w:t>
      </w:r>
    </w:p>
    <w:p w14:paraId="4E1ACE2A">
      <w:pPr>
        <w:keepNext w:val="0"/>
        <w:keepLines w:val="0"/>
        <w:pageBreakBefore w:val="0"/>
        <w:widowControl/>
        <w:kinsoku/>
        <w:wordWrap/>
        <w:overflowPunct/>
        <w:topLinePunct w:val="0"/>
        <w:autoSpaceDN/>
        <w:bidi w:val="0"/>
        <w:adjustRightInd/>
        <w:snapToGrid/>
        <w:spacing w:line="600" w:lineRule="exact"/>
        <w:ind w:firstLine="643" w:firstLineChars="200"/>
        <w:textAlignment w:val="auto"/>
        <w:rPr>
          <w:rFonts w:ascii="Times New Roman" w:hAnsi="Times New Roman" w:eastAsia="微软雅黑" w:cs="Times New Roman"/>
          <w:color w:val="auto"/>
          <w:kern w:val="0"/>
          <w:szCs w:val="21"/>
        </w:rPr>
      </w:pPr>
      <w:r>
        <w:rPr>
          <w:rFonts w:hint="eastAsia" w:ascii="仿宋_GB2312" w:hAnsi="仿宋" w:eastAsia="仿宋_GB2312" w:cs="Times New Roman"/>
          <w:b/>
          <w:bCs/>
          <w:color w:val="auto"/>
          <w:kern w:val="0"/>
          <w:sz w:val="32"/>
          <w:szCs w:val="32"/>
        </w:rPr>
        <w:t>（二）机关运行经费</w:t>
      </w:r>
    </w:p>
    <w:p w14:paraId="53ED3985">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2023年怀化市畜牧水产事务中心机关运行经费70.90万元，比上年预算数增加0.32万元，提高0.57%，主要因为认真学习贯彻党的二十大精神，增加机关党建工作经费。主要用于：办公费支出，3.00万元；差旅费支出，1.50万元；公务接待费支出，1.50万元；福利费支出，10.00万元；其他交通费用支出，1.30万元；工会经费支出，32.00万元；其他商品和服务支出，21.60万元。</w:t>
      </w:r>
    </w:p>
    <w:p w14:paraId="7AE980CD">
      <w:pPr>
        <w:keepNext w:val="0"/>
        <w:keepLines w:val="0"/>
        <w:pageBreakBefore w:val="0"/>
        <w:widowControl/>
        <w:kinsoku/>
        <w:wordWrap/>
        <w:overflowPunct/>
        <w:topLinePunct w:val="0"/>
        <w:autoSpaceDN/>
        <w:bidi w:val="0"/>
        <w:adjustRightInd/>
        <w:snapToGrid/>
        <w:spacing w:line="600" w:lineRule="exact"/>
        <w:ind w:firstLine="643" w:firstLineChars="200"/>
        <w:textAlignment w:val="auto"/>
        <w:rPr>
          <w:rFonts w:ascii="Times New Roman" w:hAnsi="Times New Roman" w:eastAsia="微软雅黑" w:cs="Times New Roman"/>
          <w:color w:val="auto"/>
          <w:kern w:val="0"/>
          <w:szCs w:val="21"/>
        </w:rPr>
      </w:pPr>
      <w:r>
        <w:rPr>
          <w:rFonts w:hint="eastAsia" w:ascii="仿宋" w:hAnsi="仿宋" w:eastAsia="仿宋" w:cs="Times New Roman"/>
          <w:b/>
          <w:bCs/>
          <w:color w:val="auto"/>
          <w:kern w:val="0"/>
          <w:sz w:val="32"/>
          <w:szCs w:val="32"/>
        </w:rPr>
        <w:t xml:space="preserve">  </w:t>
      </w:r>
      <w:r>
        <w:rPr>
          <w:rFonts w:hint="eastAsia" w:ascii="仿宋_GB2312" w:hAnsi="仿宋" w:eastAsia="仿宋_GB2312" w:cs="Times New Roman"/>
          <w:b/>
          <w:bCs/>
          <w:color w:val="auto"/>
          <w:kern w:val="0"/>
          <w:sz w:val="32"/>
          <w:szCs w:val="32"/>
        </w:rPr>
        <w:t>（三）政府采购情况</w:t>
      </w:r>
    </w:p>
    <w:p w14:paraId="6A6D49F2">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2023年怀化市畜牧水产事务中心政府采购预算总额为</w:t>
      </w:r>
      <w:r>
        <w:rPr>
          <w:rFonts w:hint="eastAsia" w:ascii="仿宋_GB2312" w:hAnsi="仿宋" w:eastAsia="仿宋_GB2312" w:cs="Times New Roman"/>
          <w:color w:val="auto"/>
          <w:kern w:val="0"/>
          <w:sz w:val="32"/>
          <w:szCs w:val="32"/>
          <w:lang w:val="en-US" w:eastAsia="zh-CN"/>
        </w:rPr>
        <w:t>0</w:t>
      </w:r>
      <w:r>
        <w:rPr>
          <w:rFonts w:hint="eastAsia" w:ascii="仿宋_GB2312" w:hAnsi="仿宋" w:eastAsia="仿宋_GB2312" w:cs="Times New Roman"/>
          <w:color w:val="auto"/>
          <w:kern w:val="0"/>
          <w:sz w:val="32"/>
          <w:szCs w:val="32"/>
        </w:rPr>
        <w:t>万元。</w:t>
      </w:r>
      <w:r>
        <w:rPr>
          <w:rFonts w:hint="default" w:ascii="仿宋_GB2312" w:hAnsi="仿宋" w:eastAsia="仿宋_GB2312" w:cs="Times New Roman"/>
          <w:color w:val="auto"/>
          <w:kern w:val="0"/>
          <w:sz w:val="32"/>
          <w:szCs w:val="32"/>
          <w:lang w:val="en-US" w:eastAsia="zh-CN"/>
        </w:rPr>
        <w:t>其中，政府采购货物预算0万元、政府采购工程预算0万元、政府采购服务预算0万元。</w:t>
      </w:r>
    </w:p>
    <w:p w14:paraId="12B87760">
      <w:pPr>
        <w:keepNext w:val="0"/>
        <w:keepLines w:val="0"/>
        <w:pageBreakBefore w:val="0"/>
        <w:widowControl/>
        <w:kinsoku/>
        <w:wordWrap/>
        <w:overflowPunct/>
        <w:topLinePunct w:val="0"/>
        <w:autoSpaceDN/>
        <w:bidi w:val="0"/>
        <w:adjustRightInd/>
        <w:snapToGrid/>
        <w:spacing w:line="600" w:lineRule="exact"/>
        <w:ind w:firstLine="643" w:firstLineChars="200"/>
        <w:jc w:val="left"/>
        <w:textAlignment w:val="auto"/>
        <w:rPr>
          <w:rFonts w:ascii="Times New Roman" w:hAnsi="Times New Roman" w:eastAsia="微软雅黑" w:cs="Times New Roman"/>
          <w:color w:val="auto"/>
          <w:kern w:val="0"/>
          <w:szCs w:val="21"/>
        </w:rPr>
      </w:pPr>
      <w:r>
        <w:rPr>
          <w:rFonts w:hint="eastAsia" w:ascii="仿宋_GB2312" w:hAnsi="仿宋" w:eastAsia="仿宋_GB2312" w:cs="Times New Roman"/>
          <w:b/>
          <w:bCs/>
          <w:color w:val="auto"/>
          <w:kern w:val="0"/>
          <w:sz w:val="32"/>
          <w:szCs w:val="32"/>
        </w:rPr>
        <w:t>（四）预算绩效管理情况</w:t>
      </w:r>
    </w:p>
    <w:p w14:paraId="06D0D045">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按照市本级预算绩效管理工作的总体要求，2023年我单位整体支出1275.37万元，全部实行整体支出绩效目标管理，基本支出1076.68万元，编报绩效目标的项目5个，涉及项目支出198.69万元，其中：动物疫病防控专项工作经费85.00万元，畜牧兽医医疗卫生津贴10.69万元，国有农场税费改革转移支付补助8.00万元，畜禽水产品质量安全抽样检测工作经费90.00万元，农业种质资源普查工作经费5.00万元，全部实行项目支出绩效目标管理。</w:t>
      </w:r>
    </w:p>
    <w:p w14:paraId="6E8F38B9">
      <w:pPr>
        <w:keepNext w:val="0"/>
        <w:keepLines w:val="0"/>
        <w:pageBreakBefore w:val="0"/>
        <w:widowControl/>
        <w:kinsoku/>
        <w:wordWrap/>
        <w:overflowPunct/>
        <w:topLinePunct w:val="0"/>
        <w:autoSpaceDN/>
        <w:bidi w:val="0"/>
        <w:adjustRightInd/>
        <w:snapToGrid/>
        <w:spacing w:line="600" w:lineRule="exact"/>
        <w:ind w:firstLine="643" w:firstLineChars="200"/>
        <w:jc w:val="left"/>
        <w:textAlignment w:val="auto"/>
        <w:rPr>
          <w:rFonts w:ascii="Times New Roman" w:hAnsi="Times New Roman" w:eastAsia="微软雅黑" w:cs="Times New Roman"/>
          <w:color w:val="auto"/>
          <w:kern w:val="0"/>
          <w:szCs w:val="21"/>
        </w:rPr>
      </w:pPr>
      <w:r>
        <w:rPr>
          <w:rFonts w:hint="eastAsia" w:ascii="仿宋_GB2312" w:hAnsi="仿宋" w:eastAsia="仿宋_GB2312" w:cs="Times New Roman"/>
          <w:b/>
          <w:bCs/>
          <w:color w:val="auto"/>
          <w:kern w:val="0"/>
          <w:sz w:val="32"/>
          <w:szCs w:val="32"/>
        </w:rPr>
        <w:t>（五）国有资产占用情况</w:t>
      </w:r>
    </w:p>
    <w:p w14:paraId="749B78F1">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截至2022年12月底，本单位共有公务用车2辆，其中，机要通信用车0辆，应急保障用车0辆，执法执勤用车0辆，特种专业技术用车0辆，其他按照规定配备的公务用车2辆；单位价值50万元以上通用设备0台，单位价值100万元以上专用设备0台。2023年拟新增配置公务用车0辆，其中，机要通信用车0辆，应急保障用车0辆，执法执勤用车0辆，特种专业技术用车0辆，其他按照规定配备的公务用车0辆；新增配备单位价值50万元以上通用设备0台，单位价值100万元以上专用设备0台。</w:t>
      </w:r>
    </w:p>
    <w:p w14:paraId="71871026">
      <w:pPr>
        <w:keepNext w:val="0"/>
        <w:keepLines w:val="0"/>
        <w:pageBreakBefore w:val="0"/>
        <w:widowControl/>
        <w:kinsoku/>
        <w:wordWrap/>
        <w:overflowPunct/>
        <w:topLinePunct w:val="0"/>
        <w:autoSpaceDN/>
        <w:bidi w:val="0"/>
        <w:adjustRightInd/>
        <w:snapToGrid/>
        <w:spacing w:line="600" w:lineRule="exact"/>
        <w:ind w:firstLine="643" w:firstLineChars="200"/>
        <w:jc w:val="left"/>
        <w:textAlignment w:val="auto"/>
        <w:rPr>
          <w:rFonts w:ascii="Times New Roman" w:hAnsi="Times New Roman" w:eastAsia="微软雅黑" w:cs="Times New Roman"/>
          <w:color w:val="auto"/>
          <w:kern w:val="0"/>
          <w:szCs w:val="21"/>
        </w:rPr>
      </w:pPr>
      <w:r>
        <w:rPr>
          <w:rFonts w:hint="eastAsia" w:ascii="仿宋_GB2312" w:hAnsi="仿宋" w:eastAsia="仿宋_GB2312" w:cs="Times New Roman"/>
          <w:b/>
          <w:bCs/>
          <w:color w:val="auto"/>
          <w:kern w:val="0"/>
          <w:sz w:val="32"/>
          <w:szCs w:val="32"/>
        </w:rPr>
        <w:t>（六）一般性支出情况</w:t>
      </w:r>
    </w:p>
    <w:p w14:paraId="0A949CD2">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1.2023年，本部门会议费预算1.50万元，具体为：全市畜牧水产工作会议，内容为安排部署全年畜牧水产工作，预计参会人数38人，预算0.50万元；秋季重大动物疫病防控工作会议，内容为安排部署动物疫病的秋季防控工作，预计参会人数35人，预算0.50万元；市畜禽遗传资源普查、市水产养殖种质资源普查工作推进会，内容为调度种质资源普查工作，预计参会人数42人，预算0.50万元。</w:t>
      </w:r>
    </w:p>
    <w:p w14:paraId="76A138CD">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2.2023年，怀化市畜牧水产事务中心培训费预算10.00万元，具体为：全市动物疫病监测采样及兽医实验室技术培训，内容为血清采样技术、动物疫病检测技术，预计人数157人，预算5.50万元；畜牧水产系统乡村振兴主题培训，内容为学习畜牧水产产业政策、现场观摩畜禽企业等，预计人数50人，预算4.50万元。畜禽遗传资源普查、市水产养殖种质资源普查工作培训，预计人数95人，预算2.00万元。</w:t>
      </w:r>
    </w:p>
    <w:p w14:paraId="49163B3E">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hint="eastAsia" w:ascii="仿宋_GB2312" w:hAnsi="仿宋" w:eastAsia="仿宋_GB2312" w:cs="Times New Roman"/>
          <w:color w:val="auto"/>
          <w:kern w:val="0"/>
          <w:sz w:val="32"/>
          <w:szCs w:val="32"/>
        </w:rPr>
      </w:pPr>
      <w:r>
        <w:rPr>
          <w:rFonts w:hint="eastAsia" w:ascii="仿宋_GB2312" w:hAnsi="仿宋" w:eastAsia="仿宋_GB2312" w:cs="Times New Roman"/>
          <w:color w:val="auto"/>
          <w:kern w:val="0"/>
          <w:sz w:val="32"/>
          <w:szCs w:val="32"/>
        </w:rPr>
        <w:t>3.2023年，怀化市畜牧水产事务中心无举办节庆、晚会、论坛、赛事等预算。</w:t>
      </w:r>
    </w:p>
    <w:p w14:paraId="724EA445">
      <w:pPr>
        <w:keepNext w:val="0"/>
        <w:keepLines w:val="0"/>
        <w:pageBreakBefore w:val="0"/>
        <w:widowControl/>
        <w:kinsoku/>
        <w:wordWrap/>
        <w:overflowPunct/>
        <w:topLinePunct w:val="0"/>
        <w:autoSpaceDN/>
        <w:bidi w:val="0"/>
        <w:adjustRightInd/>
        <w:snapToGrid/>
        <w:spacing w:line="600" w:lineRule="exact"/>
        <w:ind w:firstLine="640" w:firstLineChars="200"/>
        <w:jc w:val="left"/>
        <w:textAlignment w:val="auto"/>
        <w:rPr>
          <w:rFonts w:ascii="Times New Roman" w:hAnsi="Times New Roman" w:eastAsia="微软雅黑" w:cs="Times New Roman"/>
          <w:color w:val="auto"/>
          <w:kern w:val="0"/>
          <w:szCs w:val="21"/>
        </w:rPr>
      </w:pPr>
      <w:r>
        <w:rPr>
          <w:rFonts w:hint="eastAsia" w:ascii="黑体" w:hAnsi="黑体" w:eastAsia="黑体" w:cs="Times New Roman"/>
          <w:color w:val="auto"/>
          <w:kern w:val="0"/>
          <w:sz w:val="32"/>
          <w:szCs w:val="32"/>
        </w:rPr>
        <w:t>七、专业名词解释</w:t>
      </w:r>
    </w:p>
    <w:p w14:paraId="70022A3A">
      <w:pPr>
        <w:keepNext w:val="0"/>
        <w:keepLines w:val="0"/>
        <w:pageBreakBefore w:val="0"/>
        <w:widowControl/>
        <w:kinsoku/>
        <w:wordWrap/>
        <w:overflowPunct/>
        <w:topLinePunct w:val="0"/>
        <w:autoSpaceDN/>
        <w:bidi w:val="0"/>
        <w:adjustRightInd/>
        <w:snapToGrid/>
        <w:spacing w:line="600" w:lineRule="exact"/>
        <w:ind w:firstLine="643" w:firstLineChars="200"/>
        <w:jc w:val="left"/>
        <w:textAlignment w:val="auto"/>
        <w:rPr>
          <w:rFonts w:ascii="Times New Roman" w:hAnsi="Times New Roman" w:eastAsia="微软雅黑" w:cs="Times New Roman"/>
          <w:color w:val="auto"/>
          <w:kern w:val="0"/>
          <w:szCs w:val="21"/>
        </w:rPr>
      </w:pPr>
      <w:r>
        <w:rPr>
          <w:rFonts w:hint="eastAsia" w:ascii="楷体_GB2312" w:hAnsi="楷体" w:eastAsia="楷体_GB2312" w:cs="Times New Roman"/>
          <w:b/>
          <w:bCs/>
          <w:color w:val="auto"/>
          <w:kern w:val="0"/>
          <w:sz w:val="32"/>
          <w:szCs w:val="32"/>
        </w:rPr>
        <w:t>1.机关运行经费：</w:t>
      </w:r>
      <w:r>
        <w:rPr>
          <w:rFonts w:hint="eastAsia" w:ascii="仿宋_GB2312" w:hAnsi="仿宋" w:eastAsia="仿宋_GB2312" w:cs="Times New Roman"/>
          <w:color w:val="auto"/>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7007C67C">
      <w:pPr>
        <w:keepNext w:val="0"/>
        <w:keepLines w:val="0"/>
        <w:pageBreakBefore w:val="0"/>
        <w:widowControl/>
        <w:kinsoku/>
        <w:wordWrap/>
        <w:overflowPunct/>
        <w:topLinePunct w:val="0"/>
        <w:autoSpaceDN/>
        <w:bidi w:val="0"/>
        <w:adjustRightInd/>
        <w:snapToGrid/>
        <w:spacing w:line="600" w:lineRule="exact"/>
        <w:ind w:firstLine="643" w:firstLineChars="200"/>
        <w:jc w:val="left"/>
        <w:textAlignment w:val="auto"/>
        <w:rPr>
          <w:rFonts w:ascii="Times New Roman" w:hAnsi="Times New Roman" w:eastAsia="微软雅黑" w:cs="Times New Roman"/>
          <w:color w:val="auto"/>
          <w:kern w:val="0"/>
          <w:szCs w:val="21"/>
        </w:rPr>
      </w:pPr>
      <w:r>
        <w:rPr>
          <w:rFonts w:hint="eastAsia" w:ascii="楷体_GB2312" w:hAnsi="楷体" w:eastAsia="楷体_GB2312" w:cs="Times New Roman"/>
          <w:b/>
          <w:bCs/>
          <w:color w:val="auto"/>
          <w:kern w:val="0"/>
          <w:sz w:val="32"/>
          <w:szCs w:val="32"/>
        </w:rPr>
        <w:t>2.“三公”经费：</w:t>
      </w:r>
      <w:r>
        <w:rPr>
          <w:rFonts w:hint="eastAsia" w:ascii="仿宋_GB2312" w:hAnsi="仿宋" w:eastAsia="仿宋_GB2312" w:cs="Times New Roman"/>
          <w:color w:val="auto"/>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BEC33D8">
      <w:pPr>
        <w:rPr>
          <w:rFonts w:hint="eastAsia" w:ascii="黑体" w:hAnsi="黑体" w:eastAsia="黑体" w:cs="Times New Roman"/>
          <w:color w:val="auto"/>
          <w:kern w:val="0"/>
          <w:sz w:val="32"/>
          <w:szCs w:val="32"/>
        </w:rPr>
      </w:pPr>
    </w:p>
    <w:p w14:paraId="4A94DF68">
      <w:pPr>
        <w:spacing w:line="600" w:lineRule="exact"/>
        <w:ind w:firstLine="883" w:firstLineChars="200"/>
        <w:jc w:val="center"/>
        <w:rPr>
          <w:rFonts w:ascii="仿宋" w:hAnsi="仿宋" w:eastAsia="仿宋" w:cs="Times New Roman"/>
          <w:color w:val="auto"/>
          <w:sz w:val="23"/>
          <w:szCs w:val="23"/>
        </w:rPr>
      </w:pPr>
      <w:r>
        <w:rPr>
          <w:rFonts w:hint="eastAsia" w:ascii="黑体" w:hAnsi="黑体" w:eastAsia="黑体" w:cs="Times New Roman"/>
          <w:b/>
          <w:bCs/>
          <w:color w:val="auto"/>
          <w:sz w:val="44"/>
          <w:szCs w:val="44"/>
        </w:rPr>
        <w:t>第二部分2023年部门预算表</w:t>
      </w:r>
    </w:p>
    <w:p w14:paraId="0CF32991">
      <w:pPr>
        <w:spacing w:line="600" w:lineRule="exact"/>
        <w:ind w:firstLine="640" w:firstLineChars="200"/>
        <w:jc w:val="center"/>
        <w:rPr>
          <w:rFonts w:ascii="仿宋" w:hAnsi="仿宋" w:eastAsia="仿宋" w:cs="黑体"/>
          <w:color w:val="auto"/>
          <w:sz w:val="32"/>
          <w:szCs w:val="32"/>
        </w:rPr>
      </w:pPr>
      <w:r>
        <w:rPr>
          <w:rFonts w:hint="eastAsia" w:ascii="仿宋" w:hAnsi="仿宋" w:eastAsia="仿宋" w:cs="黑体"/>
          <w:color w:val="auto"/>
          <w:sz w:val="32"/>
          <w:szCs w:val="32"/>
        </w:rPr>
        <w:t>（详情见公开附表）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楷体_GB2312">
    <w:panose1 w:val="02010609030101010101"/>
    <w:charset w:val="86"/>
    <w:family w:val="roma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4MzQ4NDc4OWUwMGFkN2FmYWZiYzZiMTE4YWZkYTIifQ=="/>
  </w:docVars>
  <w:rsids>
    <w:rsidRoot w:val="00B91325"/>
    <w:rsid w:val="004E5631"/>
    <w:rsid w:val="006F13D4"/>
    <w:rsid w:val="009D3491"/>
    <w:rsid w:val="00A3768E"/>
    <w:rsid w:val="00A55852"/>
    <w:rsid w:val="00B86E6E"/>
    <w:rsid w:val="00B91325"/>
    <w:rsid w:val="00D6732B"/>
    <w:rsid w:val="00E330D1"/>
    <w:rsid w:val="00EE7892"/>
    <w:rsid w:val="08742648"/>
    <w:rsid w:val="0A0B0E13"/>
    <w:rsid w:val="11661336"/>
    <w:rsid w:val="1B521F0E"/>
    <w:rsid w:val="3AA65E47"/>
    <w:rsid w:val="3E44668D"/>
    <w:rsid w:val="476B7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3777</Words>
  <Characters>4187</Characters>
  <Lines>30</Lines>
  <Paragraphs>8</Paragraphs>
  <TotalTime>4</TotalTime>
  <ScaleCrop>false</ScaleCrop>
  <LinksUpToDate>false</LinksUpToDate>
  <CharactersWithSpaces>4191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2024-10-09T06:36:00Z</dcterms:created>
  <dc:creator>xb21cn</dc:creator>
  <cp:lastModifiedBy>Helen</cp:lastModifiedBy>
  <dcterms:modified xsi:type="dcterms:W3CDTF">2024-10-25T02:51:58Z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CAD03EFA05354E0BAD2C15B6A57D8A6A_12</vt:lpwstr>
  </property>
</Properties>
</file>