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7246CC">
      <w:pPr>
        <w:pStyle w:val="12"/>
        <w:jc w:val="center"/>
        <w:rPr>
          <w:sz w:val="56"/>
          <w:szCs w:val="56"/>
        </w:rPr>
      </w:pPr>
      <w:r>
        <w:rPr>
          <w:sz w:val="56"/>
        </w:rPr>
        <w:pict>
          <v:shape id="_x0000_s1026" o:spid="_x0000_s1026" o:spt="202" type="#_x0000_t202" style="position:absolute;left:0pt;margin-left:-18.6pt;margin-top:-23.4pt;height:40.75pt;width:119.95pt;z-index:251659264;mso-width-relative:page;mso-height-relative:page;" fillcolor="#FFFFFF"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path/>
            <v:fill on="t" focussize="0,0"/>
            <v:stroke on="f" weight="0.5pt" joinstyle="miter"/>
            <v:imagedata o:title=""/>
            <o:lock v:ext="edit"/>
            <v:textbox>
              <w:txbxContent>
                <w:p w14:paraId="167F81AC">
                  <w:pPr>
                    <w:rPr>
                      <w:rFonts w:ascii="楷体" w:hAnsi="楷体" w:eastAsia="楷体" w:cs="楷体"/>
                      <w:sz w:val="30"/>
                      <w:szCs w:val="30"/>
                    </w:rPr>
                  </w:pPr>
                  <w:r>
                    <w:rPr>
                      <w:rFonts w:hint="eastAsia" w:ascii="楷体" w:hAnsi="楷体" w:eastAsia="楷体" w:cs="楷体"/>
                      <w:sz w:val="30"/>
                      <w:szCs w:val="30"/>
                    </w:rPr>
                    <w:t>附件1：</w:t>
                  </w:r>
                </w:p>
              </w:txbxContent>
            </v:textbox>
          </v:shape>
        </w:pict>
      </w:r>
    </w:p>
    <w:p w14:paraId="3DBCFFC3">
      <w:pPr>
        <w:pStyle w:val="12"/>
        <w:jc w:val="center"/>
        <w:rPr>
          <w:sz w:val="56"/>
          <w:szCs w:val="56"/>
        </w:rPr>
      </w:pPr>
    </w:p>
    <w:p w14:paraId="1BA1407B">
      <w:pPr>
        <w:pStyle w:val="12"/>
        <w:tabs>
          <w:tab w:val="left" w:pos="5629"/>
        </w:tabs>
        <w:jc w:val="left"/>
        <w:rPr>
          <w:rFonts w:hint="eastAsia" w:eastAsia="黑体"/>
          <w:sz w:val="84"/>
          <w:szCs w:val="84"/>
          <w:lang w:eastAsia="zh-CN"/>
        </w:rPr>
      </w:pPr>
      <w:r>
        <w:rPr>
          <w:rFonts w:hint="eastAsia"/>
          <w:sz w:val="84"/>
          <w:szCs w:val="84"/>
          <w:lang w:eastAsia="zh-CN"/>
        </w:rPr>
        <w:tab/>
      </w:r>
    </w:p>
    <w:p w14:paraId="3EA246EC">
      <w:pPr>
        <w:pStyle w:val="12"/>
        <w:jc w:val="center"/>
        <w:rPr>
          <w:sz w:val="84"/>
          <w:szCs w:val="84"/>
        </w:rPr>
      </w:pPr>
    </w:p>
    <w:p w14:paraId="66B566F2">
      <w:pPr>
        <w:pStyle w:val="12"/>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2023年度</w:t>
      </w:r>
    </w:p>
    <w:p w14:paraId="6E723692">
      <w:pPr>
        <w:pStyle w:val="12"/>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怀化市林业调查设计院</w:t>
      </w:r>
    </w:p>
    <w:p w14:paraId="01AEFB19">
      <w:pPr>
        <w:pStyle w:val="12"/>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627AEE19">
      <w:pPr>
        <w:pStyle w:val="12"/>
        <w:jc w:val="center"/>
        <w:rPr>
          <w:rFonts w:ascii="方正小标宋_GBK" w:hAnsi="方正小标宋_GBK" w:eastAsia="方正小标宋_GBK" w:cs="方正小标宋_GBK"/>
          <w:sz w:val="56"/>
          <w:szCs w:val="56"/>
        </w:rPr>
      </w:pPr>
    </w:p>
    <w:p w14:paraId="460880FC">
      <w:pPr>
        <w:pStyle w:val="12"/>
        <w:jc w:val="center"/>
        <w:rPr>
          <w:sz w:val="56"/>
          <w:szCs w:val="56"/>
        </w:rPr>
      </w:pPr>
    </w:p>
    <w:p w14:paraId="3670B09F">
      <w:pPr>
        <w:pStyle w:val="12"/>
        <w:jc w:val="center"/>
        <w:rPr>
          <w:sz w:val="56"/>
          <w:szCs w:val="56"/>
        </w:rPr>
      </w:pPr>
    </w:p>
    <w:p w14:paraId="031D66E5">
      <w:pPr>
        <w:pStyle w:val="12"/>
        <w:jc w:val="center"/>
        <w:rPr>
          <w:sz w:val="56"/>
          <w:szCs w:val="56"/>
        </w:rPr>
      </w:pPr>
    </w:p>
    <w:p w14:paraId="4CFC94FF">
      <w:pPr>
        <w:pStyle w:val="12"/>
        <w:jc w:val="center"/>
        <w:rPr>
          <w:sz w:val="32"/>
          <w:szCs w:val="32"/>
        </w:rPr>
      </w:pPr>
    </w:p>
    <w:p w14:paraId="6989BB13">
      <w:pPr>
        <w:pStyle w:val="12"/>
        <w:jc w:val="center"/>
        <w:rPr>
          <w:sz w:val="32"/>
          <w:szCs w:val="32"/>
        </w:rPr>
      </w:pPr>
    </w:p>
    <w:p w14:paraId="5F1D378B">
      <w:pPr>
        <w:pStyle w:val="12"/>
        <w:jc w:val="center"/>
        <w:rPr>
          <w:sz w:val="32"/>
          <w:szCs w:val="32"/>
        </w:rPr>
      </w:pPr>
    </w:p>
    <w:p w14:paraId="26EADD24">
      <w:pPr>
        <w:pStyle w:val="12"/>
        <w:spacing w:line="500" w:lineRule="exact"/>
        <w:jc w:val="both"/>
        <w:rPr>
          <w:rFonts w:hint="eastAsia"/>
          <w:b/>
          <w:sz w:val="36"/>
          <w:szCs w:val="28"/>
        </w:rPr>
      </w:pPr>
    </w:p>
    <w:p w14:paraId="419A5621">
      <w:pPr>
        <w:pStyle w:val="12"/>
        <w:spacing w:line="500" w:lineRule="exact"/>
        <w:ind w:firstLine="5060" w:firstLineChars="1400"/>
        <w:jc w:val="both"/>
        <w:rPr>
          <w:b/>
          <w:sz w:val="36"/>
          <w:szCs w:val="28"/>
        </w:rPr>
      </w:pPr>
      <w:r>
        <w:rPr>
          <w:rFonts w:hint="eastAsia"/>
          <w:b/>
          <w:sz w:val="36"/>
          <w:szCs w:val="28"/>
        </w:rPr>
        <w:t>目录</w:t>
      </w:r>
    </w:p>
    <w:p w14:paraId="1429425E">
      <w:pPr>
        <w:pStyle w:val="12"/>
        <w:keepNext w:val="0"/>
        <w:keepLines w:val="0"/>
        <w:pageBreakBefore w:val="0"/>
        <w:widowControl w:val="0"/>
        <w:kinsoku/>
        <w:wordWrap/>
        <w:overflowPunct/>
        <w:topLinePunct w:val="0"/>
        <w:bidi w:val="0"/>
        <w:snapToGrid/>
        <w:spacing w:line="480" w:lineRule="exact"/>
        <w:textAlignment w:val="auto"/>
        <w:rPr>
          <w:rFonts w:hAnsi="黑体"/>
          <w:bCs/>
          <w:sz w:val="28"/>
          <w:szCs w:val="28"/>
        </w:rPr>
      </w:pPr>
      <w:r>
        <w:rPr>
          <w:rFonts w:hint="eastAsia" w:hAnsi="黑体"/>
          <w:bCs/>
          <w:sz w:val="28"/>
          <w:szCs w:val="28"/>
        </w:rPr>
        <w:t>第一部分 部门概况</w:t>
      </w:r>
    </w:p>
    <w:p w14:paraId="2DBEAAAA">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5787A6A7">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44C16B64">
      <w:pPr>
        <w:pStyle w:val="12"/>
        <w:keepNext w:val="0"/>
        <w:keepLines w:val="0"/>
        <w:pageBreakBefore w:val="0"/>
        <w:widowControl w:val="0"/>
        <w:kinsoku/>
        <w:wordWrap/>
        <w:overflowPunct/>
        <w:topLinePunct w:val="0"/>
        <w:bidi w:val="0"/>
        <w:snapToGrid/>
        <w:spacing w:line="480" w:lineRule="exact"/>
        <w:textAlignment w:val="auto"/>
        <w:rPr>
          <w:rFonts w:hAnsi="黑体"/>
          <w:bCs/>
          <w:sz w:val="28"/>
          <w:szCs w:val="28"/>
        </w:rPr>
      </w:pPr>
      <w:r>
        <w:rPr>
          <w:rFonts w:hint="eastAsia" w:hAnsi="黑体"/>
          <w:bCs/>
          <w:sz w:val="28"/>
          <w:szCs w:val="28"/>
        </w:rPr>
        <w:t>第二部分 部门决算表</w:t>
      </w:r>
    </w:p>
    <w:p w14:paraId="0C09395D">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44537BB6">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50F7FA01">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407086F3">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030BAFDD">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771C61EF">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09D50B20">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6F96BBB5">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4B768764">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763059E0">
      <w:pPr>
        <w:pStyle w:val="12"/>
        <w:keepNext w:val="0"/>
        <w:keepLines w:val="0"/>
        <w:pageBreakBefore w:val="0"/>
        <w:widowControl w:val="0"/>
        <w:kinsoku/>
        <w:wordWrap/>
        <w:overflowPunct/>
        <w:topLinePunct w:val="0"/>
        <w:bidi w:val="0"/>
        <w:snapToGrid/>
        <w:spacing w:line="480" w:lineRule="exact"/>
        <w:textAlignment w:val="auto"/>
        <w:rPr>
          <w:rFonts w:hAnsi="黑体"/>
          <w:bCs/>
          <w:sz w:val="28"/>
          <w:szCs w:val="28"/>
        </w:rPr>
      </w:pPr>
      <w:r>
        <w:rPr>
          <w:rFonts w:hint="eastAsia" w:hAnsi="黑体"/>
          <w:bCs/>
          <w:sz w:val="28"/>
          <w:szCs w:val="28"/>
        </w:rPr>
        <w:t>第三部分 部门决算情况说明</w:t>
      </w:r>
    </w:p>
    <w:p w14:paraId="05BEE694">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35EFB711">
      <w:pPr>
        <w:keepNext w:val="0"/>
        <w:keepLines w:val="0"/>
        <w:pageBreakBefore w:val="0"/>
        <w:widowControl w:val="0"/>
        <w:kinsoku/>
        <w:wordWrap/>
        <w:overflowPunct/>
        <w:topLinePunct w:val="0"/>
        <w:bidi w:val="0"/>
        <w:snapToGrid/>
        <w:spacing w:line="480" w:lineRule="exact"/>
        <w:ind w:firstLine="700" w:firstLineChars="250"/>
        <w:jc w:val="lef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3C412FC3">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0464C448">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3A7A781E">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6CB441BF">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497E5D1B">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7469FC81">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234B46B8">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九、国有资本经营预算收入支出决算情况</w:t>
      </w:r>
    </w:p>
    <w:p w14:paraId="5951DEA5">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十、关于机关运行经费支出说明</w:t>
      </w:r>
    </w:p>
    <w:p w14:paraId="65C83F4D">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十一、一般性支出情况说明</w:t>
      </w:r>
    </w:p>
    <w:p w14:paraId="0E7CD479">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十二、关于政府采购支出说明</w:t>
      </w:r>
    </w:p>
    <w:p w14:paraId="5F954279">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十三、关于国有资产占用情况说明</w:t>
      </w:r>
    </w:p>
    <w:p w14:paraId="6BB08C5E">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十四、关于</w:t>
      </w:r>
      <w:r>
        <w:rPr>
          <w:rFonts w:ascii="Times New Roman" w:hAnsi="Times New Roman" w:eastAsia="仿宋_GB2312" w:cs="Times New Roman"/>
          <w:sz w:val="28"/>
          <w:szCs w:val="28"/>
        </w:rPr>
        <w:t>2023</w:t>
      </w:r>
      <w:r>
        <w:rPr>
          <w:rFonts w:hint="eastAsia" w:ascii="仿宋_GB2312" w:hAnsi="仿宋_GB2312" w:eastAsia="仿宋_GB2312" w:cs="仿宋_GB2312"/>
          <w:sz w:val="28"/>
          <w:szCs w:val="28"/>
        </w:rPr>
        <w:t>年度预算绩效情况的说明</w:t>
      </w:r>
    </w:p>
    <w:p w14:paraId="5FD95F07">
      <w:pPr>
        <w:pStyle w:val="12"/>
        <w:keepNext w:val="0"/>
        <w:keepLines w:val="0"/>
        <w:pageBreakBefore w:val="0"/>
        <w:widowControl w:val="0"/>
        <w:kinsoku/>
        <w:wordWrap/>
        <w:overflowPunct/>
        <w:topLinePunct w:val="0"/>
        <w:bidi w:val="0"/>
        <w:snapToGrid/>
        <w:spacing w:line="480" w:lineRule="exact"/>
        <w:textAlignment w:val="auto"/>
        <w:rPr>
          <w:rFonts w:hint="eastAsia" w:hAnsi="黑体"/>
          <w:bCs/>
          <w:sz w:val="28"/>
          <w:szCs w:val="28"/>
        </w:rPr>
      </w:pPr>
      <w:r>
        <w:rPr>
          <w:rFonts w:hint="eastAsia" w:hAnsi="黑体"/>
          <w:bCs/>
          <w:sz w:val="28"/>
          <w:szCs w:val="28"/>
        </w:rPr>
        <w:t>第四部分 名词解释</w:t>
      </w:r>
    </w:p>
    <w:p w14:paraId="086A072C">
      <w:pPr>
        <w:pStyle w:val="12"/>
        <w:keepNext w:val="0"/>
        <w:keepLines w:val="0"/>
        <w:pageBreakBefore w:val="0"/>
        <w:widowControl w:val="0"/>
        <w:kinsoku/>
        <w:wordWrap/>
        <w:overflowPunct/>
        <w:topLinePunct w:val="0"/>
        <w:bidi w:val="0"/>
        <w:snapToGrid/>
        <w:spacing w:line="480" w:lineRule="exact"/>
        <w:textAlignment w:val="auto"/>
        <w:rPr>
          <w:rFonts w:hAnsi="黑体"/>
          <w:bCs/>
          <w:sz w:val="28"/>
          <w:szCs w:val="28"/>
        </w:rPr>
      </w:pPr>
      <w:r>
        <w:rPr>
          <w:rFonts w:hint="eastAsia" w:hAnsi="黑体"/>
          <w:bCs/>
          <w:sz w:val="28"/>
          <w:szCs w:val="28"/>
        </w:rPr>
        <w:t>第五部分 附件</w:t>
      </w:r>
    </w:p>
    <w:p w14:paraId="6D0AFABC">
      <w:pPr>
        <w:pStyle w:val="12"/>
        <w:keepNext w:val="0"/>
        <w:keepLines w:val="0"/>
        <w:pageBreakBefore w:val="0"/>
        <w:widowControl w:val="0"/>
        <w:kinsoku/>
        <w:wordWrap/>
        <w:overflowPunct/>
        <w:topLinePunct w:val="0"/>
        <w:bidi w:val="0"/>
        <w:snapToGrid/>
        <w:spacing w:line="480" w:lineRule="exact"/>
        <w:textAlignment w:val="auto"/>
        <w:rPr>
          <w:rFonts w:hAnsi="黑体"/>
          <w:bCs/>
          <w:sz w:val="28"/>
          <w:szCs w:val="28"/>
        </w:rPr>
      </w:pPr>
    </w:p>
    <w:p w14:paraId="223752C6">
      <w:pPr>
        <w:jc w:val="center"/>
        <w:rPr>
          <w:sz w:val="72"/>
          <w:szCs w:val="72"/>
        </w:rPr>
      </w:pPr>
    </w:p>
    <w:p w14:paraId="75E7BF3C">
      <w:pPr>
        <w:jc w:val="center"/>
        <w:rPr>
          <w:sz w:val="72"/>
          <w:szCs w:val="72"/>
        </w:rPr>
      </w:pPr>
    </w:p>
    <w:p w14:paraId="7E422BD1">
      <w:pPr>
        <w:jc w:val="center"/>
        <w:rPr>
          <w:sz w:val="72"/>
          <w:szCs w:val="72"/>
        </w:rPr>
      </w:pPr>
    </w:p>
    <w:p w14:paraId="58931C4C">
      <w:pPr>
        <w:jc w:val="center"/>
        <w:rPr>
          <w:sz w:val="72"/>
          <w:szCs w:val="72"/>
        </w:rPr>
      </w:pPr>
    </w:p>
    <w:p w14:paraId="51ACC7BA">
      <w:pPr>
        <w:rPr>
          <w:rFonts w:ascii="方正小标宋_GBK" w:hAnsi="方正小标宋_GBK" w:eastAsia="方正小标宋_GBK" w:cs="方正小标宋_GBK"/>
          <w:sz w:val="72"/>
          <w:szCs w:val="72"/>
        </w:rPr>
      </w:pPr>
    </w:p>
    <w:p w14:paraId="4FA0E9C3">
      <w:pPr>
        <w:pStyle w:val="12"/>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1C746367">
      <w:pPr>
        <w:pStyle w:val="12"/>
        <w:jc w:val="center"/>
        <w:rPr>
          <w:rFonts w:ascii="方正小标宋_GBK" w:hAnsi="方正小标宋_GBK" w:eastAsia="方正小标宋_GBK" w:cs="方正小标宋_GBK"/>
          <w:sz w:val="84"/>
          <w:szCs w:val="84"/>
        </w:rPr>
      </w:pPr>
    </w:p>
    <w:p w14:paraId="1B5F91EF">
      <w:pPr>
        <w:pStyle w:val="12"/>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怀化市林业调查设计院</w:t>
      </w:r>
    </w:p>
    <w:p w14:paraId="502A2842">
      <w:pPr>
        <w:pStyle w:val="12"/>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单位概况</w:t>
      </w:r>
    </w:p>
    <w:p w14:paraId="69BAE5EC">
      <w:pPr>
        <w:jc w:val="center"/>
        <w:rPr>
          <w:rFonts w:ascii="方正小标宋_GBK" w:hAnsi="方正小标宋_GBK" w:eastAsia="方正小标宋_GBK" w:cs="方正小标宋_GBK"/>
          <w:sz w:val="72"/>
          <w:szCs w:val="72"/>
        </w:rPr>
      </w:pPr>
    </w:p>
    <w:p w14:paraId="0B969CD0">
      <w:pPr>
        <w:jc w:val="center"/>
        <w:rPr>
          <w:rFonts w:ascii="方正小标宋_GBK" w:hAnsi="方正小标宋_GBK" w:eastAsia="方正小标宋_GBK" w:cs="方正小标宋_GBK"/>
          <w:sz w:val="72"/>
          <w:szCs w:val="72"/>
        </w:rPr>
      </w:pPr>
    </w:p>
    <w:p w14:paraId="496B3BBC">
      <w:pPr>
        <w:jc w:val="center"/>
        <w:rPr>
          <w:sz w:val="72"/>
          <w:szCs w:val="72"/>
        </w:rPr>
      </w:pPr>
    </w:p>
    <w:p w14:paraId="3C578876">
      <w:pPr>
        <w:jc w:val="center"/>
        <w:rPr>
          <w:sz w:val="72"/>
          <w:szCs w:val="72"/>
        </w:rPr>
      </w:pPr>
    </w:p>
    <w:p w14:paraId="5CAA553B">
      <w:pPr>
        <w:jc w:val="center"/>
        <w:rPr>
          <w:sz w:val="72"/>
          <w:szCs w:val="72"/>
        </w:rPr>
      </w:pPr>
    </w:p>
    <w:p w14:paraId="465823C8">
      <w:pPr>
        <w:pStyle w:val="13"/>
        <w:numPr>
          <w:ilvl w:val="0"/>
          <w:numId w:val="1"/>
        </w:numPr>
        <w:ind w:firstLineChars="0"/>
        <w:jc w:val="left"/>
        <w:rPr>
          <w:rFonts w:ascii="黑体" w:hAnsi="黑体" w:eastAsia="黑体" w:cs="黑体"/>
          <w:sz w:val="32"/>
          <w:szCs w:val="32"/>
        </w:rPr>
      </w:pPr>
      <w:r>
        <w:rPr>
          <w:rFonts w:hint="eastAsia" w:ascii="黑体" w:hAnsi="黑体" w:eastAsia="黑体" w:cs="黑体"/>
          <w:sz w:val="32"/>
          <w:szCs w:val="32"/>
        </w:rPr>
        <w:t>部门职责</w:t>
      </w:r>
      <w:bookmarkStart w:id="0" w:name="_GoBack"/>
      <w:bookmarkEnd w:id="0"/>
    </w:p>
    <w:p w14:paraId="17FE5C5F">
      <w:pPr>
        <w:widowControl/>
        <w:spacing w:line="600" w:lineRule="exact"/>
        <w:ind w:firstLine="640" w:firstLineChars="200"/>
        <w:rPr>
          <w:rFonts w:asciiTheme="minorEastAsia" w:hAnsiTheme="minorEastAsia"/>
          <w:sz w:val="32"/>
          <w:szCs w:val="32"/>
        </w:rPr>
      </w:pPr>
      <w:r>
        <w:rPr>
          <w:rFonts w:hint="eastAsia" w:asciiTheme="minorEastAsia" w:hAnsiTheme="minorEastAsia"/>
          <w:sz w:val="32"/>
          <w:szCs w:val="32"/>
        </w:rPr>
        <w:t>怀化市林业调查设计院属一类事业单位，隶属怀化市林业局。主要职责是主要承担森林、草原和湿地资源调查监测评价、林业和草原生态修复、林业产权交易的技术支撑和服务保障职责。</w:t>
      </w:r>
    </w:p>
    <w:p w14:paraId="40C96AE5">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3A3B9B43">
      <w:pPr>
        <w:widowControl/>
        <w:spacing w:line="600" w:lineRule="exact"/>
        <w:ind w:firstLine="640" w:firstLineChars="200"/>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p>
    <w:p w14:paraId="2DE55BC9">
      <w:pPr>
        <w:widowControl/>
        <w:spacing w:line="600" w:lineRule="exact"/>
        <w:ind w:firstLine="640" w:firstLineChars="200"/>
        <w:rPr>
          <w:rFonts w:asciiTheme="minorEastAsia" w:hAnsiTheme="minorEastAsia"/>
          <w:bCs/>
          <w:kern w:val="0"/>
          <w:sz w:val="32"/>
          <w:szCs w:val="32"/>
        </w:rPr>
      </w:pPr>
      <w:r>
        <w:rPr>
          <w:rFonts w:hint="eastAsia" w:asciiTheme="minorEastAsia" w:hAnsiTheme="minorEastAsia"/>
          <w:bCs/>
          <w:kern w:val="0"/>
          <w:sz w:val="32"/>
          <w:szCs w:val="32"/>
        </w:rPr>
        <w:t>怀化市林业调查设计院为二级预算单位。内设机构包括：办公室、财务室 、资源监测办、生态评价办、信息技术办、科学研究办6个办公室组成。</w:t>
      </w:r>
    </w:p>
    <w:p w14:paraId="0454C067">
      <w:pPr>
        <w:widowControl/>
        <w:numPr>
          <w:ilvl w:val="0"/>
          <w:numId w:val="2"/>
        </w:numPr>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决算单位构成。</w:t>
      </w:r>
    </w:p>
    <w:p w14:paraId="420746B5">
      <w:pPr>
        <w:widowControl/>
        <w:spacing w:line="600" w:lineRule="exact"/>
        <w:ind w:firstLine="640" w:firstLineChars="200"/>
        <w:rPr>
          <w:rFonts w:ascii="Times New Roman" w:hAnsi="Times New Roman" w:eastAsia="仿宋_GB2312" w:cs="仿宋_GB2312"/>
          <w:bCs/>
          <w:kern w:val="0"/>
          <w:sz w:val="32"/>
          <w:szCs w:val="32"/>
        </w:rPr>
      </w:pPr>
      <w:r>
        <w:rPr>
          <w:rFonts w:hint="eastAsia" w:asciiTheme="minorEastAsia" w:hAnsiTheme="minorEastAsia"/>
          <w:bCs/>
          <w:kern w:val="0"/>
          <w:sz w:val="32"/>
          <w:szCs w:val="32"/>
        </w:rPr>
        <w:t>怀化市林业调查设计院2023年部门决算汇总公开单位构成包括：怀化市林业调查设计院本级。</w:t>
      </w:r>
    </w:p>
    <w:p w14:paraId="3F9ADEF7">
      <w:pPr>
        <w:jc w:val="left"/>
        <w:rPr>
          <w:rFonts w:ascii="仿宋_GB2312" w:eastAsia="仿宋_GB2312" w:hAnsiTheme="minorEastAsia"/>
          <w:sz w:val="28"/>
          <w:szCs w:val="32"/>
        </w:rPr>
      </w:pPr>
    </w:p>
    <w:p w14:paraId="099C90C5">
      <w:pPr>
        <w:jc w:val="center"/>
        <w:rPr>
          <w:rFonts w:ascii="黑体" w:hAnsi="黑体" w:eastAsia="黑体"/>
          <w:sz w:val="28"/>
          <w:szCs w:val="28"/>
        </w:rPr>
      </w:pPr>
    </w:p>
    <w:p w14:paraId="337D6785">
      <w:pPr>
        <w:jc w:val="center"/>
        <w:rPr>
          <w:rFonts w:ascii="黑体" w:hAnsi="黑体" w:eastAsia="黑体"/>
          <w:sz w:val="28"/>
          <w:szCs w:val="28"/>
        </w:rPr>
      </w:pPr>
    </w:p>
    <w:p w14:paraId="2827502E">
      <w:pPr>
        <w:jc w:val="center"/>
        <w:rPr>
          <w:rFonts w:ascii="黑体" w:hAnsi="黑体" w:eastAsia="黑体"/>
          <w:sz w:val="28"/>
          <w:szCs w:val="28"/>
        </w:rPr>
      </w:pPr>
    </w:p>
    <w:p w14:paraId="648F8A62">
      <w:pPr>
        <w:jc w:val="center"/>
        <w:rPr>
          <w:rFonts w:ascii="黑体" w:hAnsi="黑体" w:eastAsia="黑体"/>
          <w:sz w:val="28"/>
          <w:szCs w:val="28"/>
        </w:rPr>
      </w:pPr>
    </w:p>
    <w:p w14:paraId="49A7D67C">
      <w:pPr>
        <w:jc w:val="center"/>
        <w:rPr>
          <w:rFonts w:ascii="黑体" w:hAnsi="黑体" w:eastAsia="黑体"/>
          <w:sz w:val="28"/>
          <w:szCs w:val="28"/>
        </w:rPr>
      </w:pPr>
    </w:p>
    <w:p w14:paraId="082A9CF9">
      <w:pPr>
        <w:jc w:val="center"/>
        <w:rPr>
          <w:rFonts w:ascii="黑体" w:hAnsi="黑体" w:eastAsia="黑体"/>
          <w:sz w:val="28"/>
          <w:szCs w:val="28"/>
        </w:rPr>
      </w:pPr>
    </w:p>
    <w:p w14:paraId="20C6C070">
      <w:pPr>
        <w:jc w:val="center"/>
        <w:rPr>
          <w:rFonts w:ascii="黑体" w:hAnsi="黑体" w:eastAsia="黑体"/>
          <w:sz w:val="28"/>
          <w:szCs w:val="28"/>
        </w:rPr>
      </w:pPr>
    </w:p>
    <w:p w14:paraId="1D0B8D84">
      <w:pPr>
        <w:pStyle w:val="12"/>
        <w:jc w:val="center"/>
        <w:rPr>
          <w:rFonts w:ascii="方正小标宋_GBK" w:hAnsi="方正小标宋_GBK" w:eastAsia="方正小标宋_GBK" w:cs="方正小标宋_GBK"/>
          <w:sz w:val="84"/>
          <w:szCs w:val="84"/>
        </w:rPr>
      </w:pPr>
    </w:p>
    <w:p w14:paraId="6829626A">
      <w:pPr>
        <w:pStyle w:val="12"/>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46ED141A">
      <w:pPr>
        <w:pStyle w:val="12"/>
        <w:jc w:val="center"/>
        <w:rPr>
          <w:rFonts w:ascii="方正小标宋_GBK" w:hAnsi="方正小标宋_GBK" w:eastAsia="方正小标宋_GBK" w:cs="方正小标宋_GBK"/>
          <w:sz w:val="84"/>
          <w:szCs w:val="84"/>
        </w:rPr>
      </w:pPr>
    </w:p>
    <w:p w14:paraId="2E801046">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25C392CE">
      <w:pPr>
        <w:pStyle w:val="12"/>
        <w:jc w:val="center"/>
        <w:rPr>
          <w:rFonts w:cs="方正小标宋_GBK" w:asciiTheme="minorEastAsia" w:hAnsiTheme="minorEastAsia" w:eastAsiaTheme="minorEastAsia"/>
          <w:sz w:val="72"/>
          <w:szCs w:val="72"/>
        </w:rPr>
      </w:pPr>
      <w:r>
        <w:rPr>
          <w:rFonts w:hint="eastAsia" w:cs="方正小标宋_GBK" w:asciiTheme="minorEastAsia" w:hAnsiTheme="minorEastAsia" w:eastAsiaTheme="minorEastAsia"/>
          <w:sz w:val="72"/>
          <w:szCs w:val="72"/>
        </w:rPr>
        <w:t>详情见附表</w:t>
      </w:r>
    </w:p>
    <w:p w14:paraId="116E7605">
      <w:pPr>
        <w:widowControl/>
        <w:rPr>
          <w:sz w:val="72"/>
          <w:szCs w:val="72"/>
        </w:rPr>
        <w:sectPr>
          <w:pgSz w:w="11906" w:h="16838"/>
          <w:pgMar w:top="720" w:right="720" w:bottom="720" w:left="720" w:header="851" w:footer="992" w:gutter="0"/>
          <w:cols w:space="425" w:num="1"/>
          <w:docGrid w:type="lines" w:linePitch="312" w:charSpace="0"/>
        </w:sectPr>
      </w:pPr>
      <w:r>
        <w:rPr>
          <w:rFonts w:ascii="黑体" w:hAnsi="黑体" w:eastAsia="黑体"/>
          <w:szCs w:val="21"/>
        </w:rPr>
        <w:br w:type="page"/>
      </w:r>
    </w:p>
    <w:p w14:paraId="06BEE033">
      <w:pPr>
        <w:pStyle w:val="12"/>
        <w:rPr>
          <w:sz w:val="72"/>
          <w:szCs w:val="72"/>
        </w:rPr>
      </w:pPr>
    </w:p>
    <w:p w14:paraId="546B0076">
      <w:pPr>
        <w:pStyle w:val="12"/>
        <w:rPr>
          <w:sz w:val="72"/>
          <w:szCs w:val="72"/>
        </w:rPr>
      </w:pPr>
    </w:p>
    <w:p w14:paraId="79E63CA8">
      <w:pPr>
        <w:pStyle w:val="12"/>
        <w:rPr>
          <w:sz w:val="72"/>
          <w:szCs w:val="72"/>
        </w:rPr>
      </w:pPr>
    </w:p>
    <w:p w14:paraId="1BC8936A">
      <w:pPr>
        <w:pStyle w:val="12"/>
        <w:rPr>
          <w:sz w:val="72"/>
          <w:szCs w:val="72"/>
        </w:rPr>
      </w:pPr>
    </w:p>
    <w:p w14:paraId="43014F7F">
      <w:pPr>
        <w:pStyle w:val="12"/>
        <w:jc w:val="center"/>
        <w:rPr>
          <w:sz w:val="72"/>
          <w:szCs w:val="72"/>
        </w:rPr>
      </w:pPr>
    </w:p>
    <w:p w14:paraId="0FE3E002">
      <w:pPr>
        <w:pStyle w:val="12"/>
        <w:jc w:val="center"/>
        <w:rPr>
          <w:rFonts w:ascii="方正小标宋_GBK" w:hAnsi="方正小标宋_GBK" w:eastAsia="方正小标宋_GBK" w:cs="方正小标宋_GBK"/>
          <w:sz w:val="72"/>
          <w:szCs w:val="72"/>
        </w:rPr>
      </w:pPr>
    </w:p>
    <w:p w14:paraId="73530384">
      <w:pPr>
        <w:pStyle w:val="12"/>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20FD90B3">
      <w:pPr>
        <w:pStyle w:val="12"/>
        <w:jc w:val="center"/>
        <w:rPr>
          <w:rFonts w:ascii="方正小标宋_GBK" w:hAnsi="方正小标宋_GBK" w:eastAsia="方正小标宋_GBK" w:cs="方正小标宋_GBK"/>
          <w:sz w:val="70"/>
          <w:szCs w:val="70"/>
        </w:rPr>
      </w:pPr>
    </w:p>
    <w:p w14:paraId="1CA8C509">
      <w:pPr>
        <w:pStyle w:val="12"/>
        <w:jc w:val="center"/>
        <w:rPr>
          <w:rFonts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2023年度部门决算情况说明</w:t>
      </w:r>
    </w:p>
    <w:p w14:paraId="19D636E1">
      <w:pPr>
        <w:widowControl/>
        <w:jc w:val="left"/>
        <w:rPr>
          <w:rFonts w:asciiTheme="minorEastAsia" w:hAnsiTheme="minorEastAsia"/>
          <w:sz w:val="32"/>
          <w:szCs w:val="32"/>
        </w:rPr>
      </w:pPr>
      <w:r>
        <w:rPr>
          <w:rFonts w:hint="eastAsia" w:ascii="方正小标宋_GBK" w:hAnsi="方正小标宋_GBK" w:eastAsia="方正小标宋_GBK" w:cs="方正小标宋_GBK"/>
          <w:sz w:val="70"/>
          <w:szCs w:val="70"/>
        </w:rPr>
        <w:br w:type="page"/>
      </w:r>
    </w:p>
    <w:p w14:paraId="631AE60B">
      <w:pPr>
        <w:pStyle w:val="12"/>
        <w:spacing w:line="600" w:lineRule="exact"/>
        <w:ind w:firstLine="640" w:firstLineChars="200"/>
        <w:rPr>
          <w:rFonts w:hAnsi="黑体"/>
          <w:bCs/>
          <w:sz w:val="32"/>
          <w:szCs w:val="32"/>
        </w:rPr>
      </w:pPr>
      <w:r>
        <w:rPr>
          <w:rFonts w:hint="eastAsia" w:hAnsi="黑体"/>
          <w:bCs/>
          <w:sz w:val="32"/>
          <w:szCs w:val="32"/>
        </w:rPr>
        <w:t>一、收入支出决算总体情况说明</w:t>
      </w:r>
    </w:p>
    <w:p w14:paraId="401F52A5">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2023年度收、支总计661.18万元。与上年相比，减少70.73万元，减少9.66%，主要是因为专项支出较上年减少45.00万元，临聘人员解聘减少其工资及福利开支。</w:t>
      </w:r>
    </w:p>
    <w:p w14:paraId="7CCDF281">
      <w:pPr>
        <w:pStyle w:val="12"/>
        <w:spacing w:line="600" w:lineRule="exact"/>
        <w:ind w:firstLine="640" w:firstLineChars="200"/>
        <w:rPr>
          <w:rFonts w:hAnsi="黑体"/>
          <w:bCs/>
          <w:sz w:val="32"/>
          <w:szCs w:val="32"/>
        </w:rPr>
      </w:pPr>
      <w:r>
        <w:rPr>
          <w:rFonts w:hint="eastAsia" w:hAnsi="黑体"/>
          <w:bCs/>
          <w:sz w:val="32"/>
          <w:szCs w:val="32"/>
        </w:rPr>
        <w:t>二、收入决算情况说明</w:t>
      </w:r>
    </w:p>
    <w:p w14:paraId="59A4AF29">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2023年度收入合计661.18万元，其中：财政拨款收入629.81万元，占95.26%；其他收入31.37万元，占47.44%。</w:t>
      </w:r>
    </w:p>
    <w:p w14:paraId="2B827998">
      <w:pPr>
        <w:pStyle w:val="12"/>
        <w:spacing w:line="600" w:lineRule="exact"/>
        <w:ind w:firstLine="640" w:firstLineChars="200"/>
        <w:rPr>
          <w:rFonts w:hAnsi="黑体"/>
          <w:bCs/>
          <w:sz w:val="32"/>
          <w:szCs w:val="32"/>
        </w:rPr>
      </w:pPr>
      <w:r>
        <w:rPr>
          <w:rFonts w:hint="eastAsia" w:hAnsi="黑体"/>
          <w:bCs/>
          <w:sz w:val="32"/>
          <w:szCs w:val="32"/>
        </w:rPr>
        <w:t>三、支出决算情况说明</w:t>
      </w:r>
    </w:p>
    <w:p w14:paraId="50F9A7D6">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2023年度支出合计661.18万元，其中：基本支出383.98万元，占58.07%；项目支出277.20万元，占41.93%。</w:t>
      </w:r>
    </w:p>
    <w:p w14:paraId="53BE8139">
      <w:pPr>
        <w:pStyle w:val="12"/>
        <w:spacing w:line="600" w:lineRule="exact"/>
        <w:ind w:firstLine="640" w:firstLineChars="200"/>
        <w:rPr>
          <w:rFonts w:hAnsi="黑体"/>
          <w:bCs/>
          <w:sz w:val="32"/>
          <w:szCs w:val="32"/>
        </w:rPr>
      </w:pPr>
      <w:r>
        <w:rPr>
          <w:rFonts w:hint="eastAsia" w:hAnsi="黑体"/>
          <w:bCs/>
          <w:sz w:val="32"/>
          <w:szCs w:val="32"/>
        </w:rPr>
        <w:t>四、财政拨款收入支出决算总体情况说明</w:t>
      </w:r>
    </w:p>
    <w:p w14:paraId="05056D7D">
      <w:pPr>
        <w:pStyle w:val="12"/>
        <w:spacing w:line="600" w:lineRule="exact"/>
        <w:rPr>
          <w:rFonts w:ascii="Times New Roman" w:hAnsi="Times New Roman" w:eastAsia="仿宋_GB2312"/>
          <w:sz w:val="32"/>
          <w:szCs w:val="32"/>
        </w:rPr>
      </w:pPr>
      <w:r>
        <w:rPr>
          <w:rFonts w:hint="eastAsia" w:ascii="Times New Roman" w:hAnsi="Times New Roman" w:eastAsia="仿宋_GB2312"/>
          <w:sz w:val="32"/>
          <w:szCs w:val="32"/>
        </w:rPr>
        <w:t xml:space="preserve">    2023年度财政拨款收、支总计629.81万元，与上年相比，减少77.01万元,减少10.90%，主要是因为专项支出较上年减少45.00万元。</w:t>
      </w:r>
    </w:p>
    <w:p w14:paraId="6142EC87">
      <w:pPr>
        <w:pStyle w:val="12"/>
        <w:spacing w:line="600" w:lineRule="exact"/>
        <w:ind w:firstLine="640" w:firstLineChars="200"/>
        <w:rPr>
          <w:rFonts w:hAnsi="黑体"/>
          <w:bCs/>
          <w:sz w:val="32"/>
          <w:szCs w:val="32"/>
        </w:rPr>
      </w:pPr>
      <w:r>
        <w:rPr>
          <w:rFonts w:hint="eastAsia" w:hAnsi="黑体"/>
          <w:bCs/>
          <w:sz w:val="32"/>
          <w:szCs w:val="32"/>
        </w:rPr>
        <w:t>五、一般公共预算财政拨款支出决算情况说明</w:t>
      </w:r>
    </w:p>
    <w:p w14:paraId="7B328BDB">
      <w:pPr>
        <w:pStyle w:val="12"/>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（一）一般公共预算财政拨款支出决算总体情况</w:t>
      </w:r>
    </w:p>
    <w:p w14:paraId="3F2A5050">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2023年度财政拨款支出629.81万元，占本年支出合计的95.26%，与上年相比，财政拨款支出减少77.01万元，减少10.90%，主要是因为因为专项支出较上年减少45.00万元，单位一人辞职减少其工资及福利的发放。</w:t>
      </w:r>
    </w:p>
    <w:p w14:paraId="4D838922">
      <w:pPr>
        <w:pStyle w:val="12"/>
        <w:spacing w:line="600" w:lineRule="exact"/>
        <w:ind w:firstLine="800" w:firstLineChars="250"/>
        <w:rPr>
          <w:rFonts w:ascii="楷体" w:hAnsi="楷体" w:eastAsia="楷体" w:cs="楷体"/>
          <w:bCs/>
          <w:sz w:val="32"/>
          <w:szCs w:val="32"/>
        </w:rPr>
      </w:pPr>
      <w:r>
        <w:rPr>
          <w:rFonts w:hint="eastAsia" w:ascii="楷体" w:hAnsi="楷体" w:eastAsia="楷体" w:cs="楷体"/>
          <w:bCs/>
          <w:sz w:val="32"/>
          <w:szCs w:val="32"/>
        </w:rPr>
        <w:t>（二）一般公共预算财政拨款支出决算结构情况</w:t>
      </w:r>
    </w:p>
    <w:p w14:paraId="6614DD93">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财政拨款支出629.81万元，主要用于以下方面：一般公共服务（类）支出16.00万元，占2.54%；社会保障和就业（类）支出55.83万元，占8.86%;卫生健康（类）支出16.65万元，占2.64%；农林水（类）支出541.33万元，占85.96%。</w:t>
      </w:r>
    </w:p>
    <w:p w14:paraId="4AA677B3">
      <w:pPr>
        <w:pStyle w:val="12"/>
        <w:spacing w:line="600" w:lineRule="exact"/>
        <w:ind w:firstLine="800" w:firstLineChars="250"/>
        <w:rPr>
          <w:rFonts w:ascii="楷体" w:hAnsi="楷体" w:eastAsia="楷体" w:cs="楷体"/>
          <w:bCs/>
          <w:sz w:val="32"/>
          <w:szCs w:val="32"/>
        </w:rPr>
      </w:pPr>
      <w:r>
        <w:rPr>
          <w:rFonts w:hint="eastAsia" w:ascii="楷体" w:hAnsi="楷体" w:eastAsia="楷体" w:cs="楷体"/>
          <w:bCs/>
          <w:sz w:val="32"/>
          <w:szCs w:val="32"/>
        </w:rPr>
        <w:t>（三）一般公共预算财政拨款支出决算具体情况</w:t>
      </w:r>
    </w:p>
    <w:p w14:paraId="15070869">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2023年度财政拨款支出年初预算数为566.62万元，支出决算数为629.81万元，完成年初预算的111.15%，其中：</w:t>
      </w:r>
    </w:p>
    <w:p w14:paraId="61963606">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1、一般公共服务（类）组织事物（款）其他组织事物支出（项）。</w:t>
      </w:r>
    </w:p>
    <w:p w14:paraId="14E29114">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年初预算为0万元，支出决算为16.00万元，完成年初预算的100%，决算数大于年初预算数的主要原因是：2023年人才引进5人年底津补贴16.00万元。</w:t>
      </w:r>
    </w:p>
    <w:p w14:paraId="329458FC">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2、社会保障和就业支出（类）行政事业单位养老支出（款）机关事业单位基本养老保险支出（项）。</w:t>
      </w:r>
    </w:p>
    <w:p w14:paraId="58DA51BF">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年初预算为32.19万元，支出决算为33.30万元，完成年初预算的103.45%，决算数大于年初预算数的主要原因是：因单位人员晋升，增加其养老保险开支。</w:t>
      </w:r>
    </w:p>
    <w:p w14:paraId="605FBEFA">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3、社会保障和就业支出（类）行政事业单位养老支出（款）其他行政事业单位养老支出（项）。</w:t>
      </w:r>
    </w:p>
    <w:p w14:paraId="26A34CDD">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年初预算为0万元，支出决算为22.53万元，完成年初预算的100%，决算数大于年初预算数的主要原因是：本单位为全额事业单位，退休人员的养老费用等支出由社保负责，无离退休费支出。</w:t>
      </w:r>
    </w:p>
    <w:p w14:paraId="6848CB36">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4、社会保障和就业支出（类）行政事业单位养老支出（款）事业单位离退休（项）。</w:t>
      </w:r>
    </w:p>
    <w:p w14:paraId="69A67A18">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年初预算为24.15万元，支出决算为0万元，完成年初预算的0%，决算数小于年初预算数的主要原因是：本单位为全额事业单位，退休人员的养老费用等支出由社保负责，无离退休费支出。</w:t>
      </w:r>
    </w:p>
    <w:p w14:paraId="1B0DFE98">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5、卫生健康支出（类）行政事业单位医疗（款）事业单位医疗（项）。</w:t>
      </w:r>
    </w:p>
    <w:p w14:paraId="400F90C5">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年初预算为13.64万元，支出决算为16.65万元，完成年初预算的122.07%，决算数大于年初预算数的主要原因是：因单位人员职称晋升，增加其医疗保险开支。</w:t>
      </w:r>
    </w:p>
    <w:p w14:paraId="5F297C93">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6、农林水支出（类）林业和草原（款）行政运行（项）。</w:t>
      </w:r>
    </w:p>
    <w:p w14:paraId="4022B4A8">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年初预算为214.61万元，支出决算为216.06万元，完成年初预算的100.68%，决算数大于年初预算数的主要原因是：住房公积金列支在行政运行科目，2023年工资标准调整增加单位人员工资及绩效奖金。</w:t>
      </w:r>
    </w:p>
    <w:p w14:paraId="4BDF188B">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7、农林水支出（类）林业和草原（款）事业机构（项）。</w:t>
      </w:r>
    </w:p>
    <w:p w14:paraId="21D7EB7F">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年初预算为40.37万元，支出决算为30.33万元，完成年初预算的75.13%，决算数小于年初预算数的主要原因是：因厉行节约原则，人头经费减少，业务减少，公务接待费及公务用车运行维护费减少。</w:t>
      </w:r>
    </w:p>
    <w:p w14:paraId="68EF7EC3">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8、农林水支出（类）林业和草原（款）其他林业和草原支出（项）。</w:t>
      </w:r>
    </w:p>
    <w:p w14:paraId="5F28320B">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年初预算为215.00万元，支出决算为17.73万元，完成年初预算的8.25%，决算数小于年初预算数的主要原因是：本年度专项支出列支在森林资源管理科目。</w:t>
      </w:r>
    </w:p>
    <w:p w14:paraId="1FB35D35">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9、农林水支出（类）林业和草原（款）森林资源管理（项）。</w:t>
      </w:r>
    </w:p>
    <w:p w14:paraId="08D365B6">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0万元，支出决算为277.20万元，完成年初预算的100%，决算数打于年初预算数的主要原因是：本年度专项支出列支在森林资源管理科目，新增7个项目，其中2022年森林蓄积量调查122.95万元，2023年森林蓄积量调查10.00万元，2022年森林样地调查9.98万元，2023年森林样地调查15.00万元，2022年其他样地调查2.50万元，2022年图斑监测7.00万元，2023年图斑监测20.00万元。</w:t>
      </w:r>
    </w:p>
    <w:p w14:paraId="15B0F38B">
      <w:pPr>
        <w:pStyle w:val="12"/>
        <w:spacing w:line="600" w:lineRule="exact"/>
        <w:ind w:firstLine="640" w:firstLineChars="200"/>
        <w:rPr>
          <w:rFonts w:hAnsi="黑体"/>
          <w:bCs/>
          <w:sz w:val="32"/>
          <w:szCs w:val="32"/>
        </w:rPr>
      </w:pPr>
      <w:r>
        <w:rPr>
          <w:rFonts w:hint="eastAsia" w:hAnsi="黑体"/>
          <w:bCs/>
          <w:sz w:val="32"/>
          <w:szCs w:val="32"/>
        </w:rPr>
        <w:t>六、一般公共预算财政拨款基本支出决算情况说明</w:t>
      </w:r>
    </w:p>
    <w:p w14:paraId="10D9F0A7">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2023年度财政拨款基本支出352.62万元，其中：</w:t>
      </w:r>
    </w:p>
    <w:p w14:paraId="6C2C9631">
      <w:pPr>
        <w:pStyle w:val="12"/>
        <w:spacing w:line="600" w:lineRule="exact"/>
        <w:ind w:firstLine="640" w:firstLineChars="200"/>
        <w:rPr>
          <w:rFonts w:ascii="Times New Roman" w:hAnsi="Times New Roman" w:eastAsia="仿宋_GB2312"/>
          <w:b/>
          <w:sz w:val="32"/>
          <w:szCs w:val="32"/>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334.44万元，占基本支出的94.84%,主要包括基本工资115.67万元、津贴补贴59.40万元、奖金17.27万元、伙食补助费1.33万元、绩效工资40.75万元、机关事业单位基本养老保险缴费34.34万元、职工基本医疗保险缴费16.27万元、其他社会保障缴费3.96万元、其他工资福利支出4.39万元、退休费20.88万元、生活补助19.53万元、其他对个人和家庭的补助0.66万元。</w:t>
      </w: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18.18万元，占基本支出的5.16%，主要包括办公费1.84万元、印刷费0.12万元、电费3.82万元、邮电费0.21万元、差旅费0.14万元、维修（护）费0.16万元、租赁费1.36万元、培训费0.03万元、公务接待费1.71万元、工会经费4.35万元、公务用车运行维护费2.57万元、其他商品和服务支出1.87万元。</w:t>
      </w:r>
    </w:p>
    <w:p w14:paraId="30041099">
      <w:pPr>
        <w:pStyle w:val="12"/>
        <w:spacing w:line="600" w:lineRule="exact"/>
        <w:ind w:firstLine="640" w:firstLineChars="200"/>
        <w:rPr>
          <w:rFonts w:ascii="Times New Roman" w:hAnsi="Times New Roman" w:eastAsia="仿宋_GB2312"/>
          <w:b/>
          <w:sz w:val="32"/>
          <w:szCs w:val="32"/>
        </w:rPr>
      </w:pPr>
      <w:r>
        <w:rPr>
          <w:rFonts w:hint="eastAsia" w:hAnsi="黑体"/>
          <w:bCs/>
          <w:sz w:val="32"/>
          <w:szCs w:val="32"/>
        </w:rPr>
        <w:t>七、财政拨款三公经费支出决算情况说明</w:t>
      </w:r>
    </w:p>
    <w:p w14:paraId="561E8D7E">
      <w:pPr>
        <w:pStyle w:val="12"/>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（一）“三公”经费财政拨款支出决算总体情况说明</w:t>
      </w:r>
    </w:p>
    <w:p w14:paraId="08B5B5F1">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7.58万元，支出决算为4.28万元，完成预算的56.46%，决算数小于预算数的主要原因是非税业务项目减少，招待人数次数减少，公务用车使用频率降低。与上年相比增加0.16万元，增长3.88%,增长的主要原因是专项项目增加，与各县市区公务交流较上年多公务接待费增加。其中：</w:t>
      </w:r>
    </w:p>
    <w:p w14:paraId="516F0759">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公务接待费支出预算为2.20万元，支出决算为1.71万元，完成预算的77.73%，决算数小于预算数的主要原因是非税业务项目减少，招待人数次数减少，与上年相比增加0.47万元，增长36.8%,增长的主要原因是专项项目增加，与各县市区公务交流较上年多公务接待费增加。</w:t>
      </w:r>
    </w:p>
    <w:p w14:paraId="19DC5BE4">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5.38万元，支出决算为2.57万元，完成预算的47.77%，决算数小于预算数的主要原因是非税业务项目减少，公车司机解聘，公车使用频率大大减少，与上年相比减少0.29万元，减少10.14%,减少的主要原因是公车司机解聘，公车使用频率大大减少。</w:t>
      </w:r>
    </w:p>
    <w:p w14:paraId="67B0A79D">
      <w:pPr>
        <w:pStyle w:val="12"/>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（二）“三公”经费财政拨款支出决算具体情况说明</w:t>
      </w:r>
    </w:p>
    <w:p w14:paraId="147D00A5">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2023年度“三公”经费财政拨款支出决算中，公务接待费支出决算1.71万元，占39.95%,公务用车购置费及运行维护费支出决算2.57万元，占60.05%。其中：</w:t>
      </w:r>
    </w:p>
    <w:p w14:paraId="7D01B4F1">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1、公务接待费支出决算为1.72万元，全年共接待来访团组29个、来宾116人次，主要是2023年森林蓄积量调查、2023年森林样地调查、2023年图斑监测发生的接待支出。</w:t>
      </w:r>
    </w:p>
    <w:p w14:paraId="2234C1D7">
      <w:pPr>
        <w:spacing w:line="600" w:lineRule="exact"/>
        <w:ind w:firstLine="800" w:firstLineChars="250"/>
        <w:rPr>
          <w:rFonts w:ascii="楷体" w:hAnsi="楷体" w:eastAsia="楷体" w:cs="楷体"/>
          <w:b/>
          <w:bCs/>
          <w:i/>
          <w:kern w:val="0"/>
          <w:sz w:val="32"/>
          <w:szCs w:val="32"/>
        </w:rPr>
      </w:pPr>
      <w:r>
        <w:rPr>
          <w:rFonts w:hint="eastAsia" w:ascii="Times New Roman" w:hAnsi="Times New Roman" w:eastAsia="仿宋_GB2312"/>
          <w:sz w:val="32"/>
          <w:szCs w:val="32"/>
        </w:rPr>
        <w:t>2、公务用车购置费及运行维护费支出决算为2.57万元，其中：公务用车运行维护费2.57万元，主要是公车燃料费、公车维修费、司机安全奖等支出，截止2023年12月31日，我单位开支财政拨款的公务用车保有量为1辆。</w:t>
      </w:r>
    </w:p>
    <w:p w14:paraId="3CC05562">
      <w:pPr>
        <w:pStyle w:val="12"/>
        <w:spacing w:line="600" w:lineRule="exact"/>
        <w:ind w:firstLine="640" w:firstLineChars="200"/>
        <w:rPr>
          <w:rFonts w:hAnsi="黑体"/>
          <w:bCs/>
          <w:sz w:val="32"/>
          <w:szCs w:val="32"/>
        </w:rPr>
      </w:pPr>
      <w:r>
        <w:rPr>
          <w:rFonts w:hint="eastAsia" w:hAnsi="黑体"/>
          <w:bCs/>
          <w:sz w:val="32"/>
          <w:szCs w:val="32"/>
        </w:rPr>
        <w:t>八、政府性基金预算收入支出决算情况</w:t>
      </w:r>
    </w:p>
    <w:p w14:paraId="7959509C">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本单位无政府性基金收支。</w:t>
      </w:r>
    </w:p>
    <w:p w14:paraId="5D4E8F93">
      <w:pPr>
        <w:pStyle w:val="12"/>
        <w:numPr>
          <w:ilvl w:val="0"/>
          <w:numId w:val="3"/>
        </w:numPr>
        <w:spacing w:line="600" w:lineRule="exact"/>
        <w:ind w:firstLine="640" w:firstLineChars="200"/>
        <w:rPr>
          <w:rFonts w:hAnsi="黑体"/>
          <w:bCs/>
          <w:sz w:val="32"/>
          <w:szCs w:val="32"/>
        </w:rPr>
      </w:pPr>
      <w:r>
        <w:rPr>
          <w:rFonts w:hint="eastAsia" w:hAnsi="黑体"/>
          <w:bCs/>
          <w:sz w:val="32"/>
          <w:szCs w:val="32"/>
        </w:rPr>
        <w:t>国有资本经营预算财政拨款收入支出决算情况说明</w:t>
      </w:r>
    </w:p>
    <w:p w14:paraId="3B2AAA75">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本单位无国有资本经营预算财政拨款收入支出。</w:t>
      </w:r>
    </w:p>
    <w:p w14:paraId="7DE4B22B">
      <w:pPr>
        <w:pStyle w:val="12"/>
        <w:numPr>
          <w:ilvl w:val="0"/>
          <w:numId w:val="4"/>
        </w:numPr>
        <w:spacing w:line="600" w:lineRule="exact"/>
        <w:ind w:firstLine="640" w:firstLineChars="200"/>
        <w:rPr>
          <w:rFonts w:hAnsi="黑体"/>
          <w:bCs/>
          <w:color w:val="auto"/>
          <w:sz w:val="32"/>
          <w:szCs w:val="32"/>
        </w:rPr>
      </w:pPr>
      <w:r>
        <w:rPr>
          <w:rFonts w:hint="eastAsia" w:hAnsi="黑体"/>
          <w:bCs/>
          <w:color w:val="auto"/>
          <w:sz w:val="32"/>
          <w:szCs w:val="32"/>
        </w:rPr>
        <w:t>关于机关运行经费支出说明</w:t>
      </w:r>
    </w:p>
    <w:p w14:paraId="24FD4043">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机关运行经费是为保障行政单位（包括参照公务员法管理的事业单位）运行，用一般公共预算拨款安排用于购买货物和服务的各项资金。我单位为事业单位，用于购买货物和服务的各项资金不属于机关运行经费。</w:t>
      </w:r>
    </w:p>
    <w:p w14:paraId="0563C35C">
      <w:pPr>
        <w:pStyle w:val="12"/>
        <w:spacing w:line="600" w:lineRule="exact"/>
        <w:ind w:firstLine="640" w:firstLineChars="200"/>
        <w:rPr>
          <w:rFonts w:hAnsi="黑体"/>
          <w:bCs/>
          <w:sz w:val="32"/>
          <w:szCs w:val="32"/>
        </w:rPr>
      </w:pPr>
      <w:r>
        <w:rPr>
          <w:rFonts w:hint="eastAsia" w:hAnsi="黑体"/>
          <w:bCs/>
          <w:sz w:val="32"/>
          <w:szCs w:val="32"/>
        </w:rPr>
        <w:t>十一、一般性支出情况说明</w:t>
      </w:r>
    </w:p>
    <w:p w14:paraId="2160338A">
      <w:pPr>
        <w:pStyle w:val="12"/>
        <w:spacing w:line="600" w:lineRule="exact"/>
        <w:ind w:firstLine="640" w:firstLineChars="200"/>
        <w:rPr>
          <w:rFonts w:ascii="楷体" w:hAnsi="楷体" w:eastAsia="楷体" w:cs="楷体"/>
          <w:b/>
          <w:bCs/>
          <w:i/>
          <w:color w:val="auto"/>
          <w:sz w:val="32"/>
          <w:szCs w:val="32"/>
        </w:rPr>
      </w:pPr>
      <w:r>
        <w:rPr>
          <w:rFonts w:hint="eastAsia" w:ascii="Times New Roman" w:hAnsi="Times New Roman" w:eastAsia="仿宋_GB2312"/>
          <w:sz w:val="32"/>
          <w:szCs w:val="32"/>
        </w:rPr>
        <w:t>2023年本部门开支会议费0.15万元，用于召开森林样地调查工作推进会，人数50人，内容为推进全市森林样地调查工作；开支会议费0.50万元，用于召开森林蓄积量调查工作推进会，人数100人，内容为森林蓄积量调查技术规程培训及推进全市森林蓄积量调查工作；开支培训费4.85万元，用于开展林业行业资质培训，人数41人，内容为林业技术业务提升培训；开支培训费1.10万元，人数2人，用于专项资金管理及使用培训；开支培训费1.89万元，人数12人，用于单位技术人员外市蓄积量调查野外培训；开支0.15万元，人数20人，用于蓄积量调查技术培训；开支1.29万元，人数7人，用于森林样地调查技术培训；开支0.25万元，用于图斑监测技术培训；开支0.77万元，人数21人，内容为事业单位培训。</w:t>
      </w:r>
    </w:p>
    <w:p w14:paraId="6C36A149">
      <w:pPr>
        <w:pStyle w:val="12"/>
        <w:spacing w:line="600" w:lineRule="exact"/>
        <w:ind w:firstLine="640" w:firstLineChars="200"/>
        <w:rPr>
          <w:rFonts w:hAnsi="黑体"/>
          <w:bCs/>
          <w:sz w:val="32"/>
          <w:szCs w:val="32"/>
        </w:rPr>
      </w:pPr>
      <w:r>
        <w:rPr>
          <w:rFonts w:hint="eastAsia" w:hAnsi="黑体"/>
          <w:bCs/>
          <w:sz w:val="32"/>
          <w:szCs w:val="32"/>
        </w:rPr>
        <w:t>十二、关于政府采购支出说明</w:t>
      </w:r>
    </w:p>
    <w:p w14:paraId="7F846B42">
      <w:pPr>
        <w:pStyle w:val="12"/>
        <w:spacing w:line="580" w:lineRule="exact"/>
        <w:ind w:firstLine="640" w:firstLineChars="200"/>
        <w:rPr>
          <w:rFonts w:hint="eastAsia" w:ascii="楷体" w:hAnsi="楷体" w:eastAsia="楷体" w:cs="楷体"/>
          <w:b/>
          <w:bCs/>
          <w:i/>
          <w:color w:val="auto"/>
          <w:sz w:val="32"/>
          <w:szCs w:val="32"/>
        </w:rPr>
      </w:pPr>
      <w:r>
        <w:rPr>
          <w:rFonts w:hint="eastAsia" w:ascii="Times New Roman" w:hAnsi="Times New Roman" w:eastAsia="仿宋_GB2312"/>
          <w:sz w:val="32"/>
          <w:szCs w:val="32"/>
        </w:rPr>
        <w:t>本部门2023年度政府采购支出总额40.05万元，其中：政府采购货物支出12.25万元、政府采购工程支出0万元、政府采购服务支出27.80万元。授予中小企业合同金额40.05万元，占政府采购支出总额的100%，其中：授予小微企业合同金额40.05万元，</w:t>
      </w:r>
      <w:r>
        <w:rPr>
          <w:rFonts w:hint="eastAsia" w:ascii="Times New Roman" w:hAnsi="Times New Roman" w:eastAsia="仿宋_GB2312"/>
          <w:color w:val="auto"/>
          <w:sz w:val="32"/>
          <w:szCs w:val="32"/>
        </w:rPr>
        <w:t>占授予中小企业合同金额的100%。货物采购授予中小企业合同金额占货物支出金额的100%，服务采购授予中小企业合同金额占服务支出金额的100%。</w:t>
      </w:r>
    </w:p>
    <w:p w14:paraId="42907A29">
      <w:pPr>
        <w:pStyle w:val="12"/>
        <w:spacing w:line="580" w:lineRule="exact"/>
        <w:ind w:firstLine="640" w:firstLineChars="200"/>
        <w:rPr>
          <w:rFonts w:hAnsi="黑体"/>
          <w:bCs/>
          <w:color w:val="auto"/>
          <w:sz w:val="32"/>
          <w:szCs w:val="32"/>
        </w:rPr>
      </w:pPr>
      <w:r>
        <w:rPr>
          <w:rFonts w:hint="eastAsia" w:hAnsi="黑体"/>
          <w:bCs/>
          <w:color w:val="auto"/>
          <w:sz w:val="32"/>
          <w:szCs w:val="32"/>
        </w:rPr>
        <w:t>十三、关于国有资产占用情况说明</w:t>
      </w:r>
    </w:p>
    <w:p w14:paraId="615D3D9D">
      <w:pPr>
        <w:pStyle w:val="12"/>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2023年12月31日，部门（单位）共有车辆1辆，其中，副部（省）级及以上领导用车0辆、主要负责人用车0辆、机要通信用车0辆、应急保障用车0辆、执法执勤用车0辆、特种专业技术用车0辆、离退休干部服务用车0辆、其他用车1辆，其他用车主要是</w:t>
      </w:r>
      <w:r>
        <w:rPr>
          <w:rFonts w:hint="eastAsia" w:ascii="Times New Roman" w:hAnsi="Times New Roman" w:eastAsia="仿宋_GB2312"/>
          <w:sz w:val="32"/>
          <w:szCs w:val="32"/>
        </w:rPr>
        <w:t>单位保留的业务用车，主要用于野外森林资源监测、调查、评估</w:t>
      </w:r>
      <w:r>
        <w:rPr>
          <w:rFonts w:hint="eastAsia" w:ascii="Times New Roman" w:hAnsi="Times New Roman" w:eastAsia="仿宋_GB2312"/>
          <w:color w:val="auto"/>
          <w:sz w:val="32"/>
          <w:szCs w:val="32"/>
        </w:rPr>
        <w:t>；单位价值100万元以上设备（不含车辆）0台（套）。</w:t>
      </w:r>
    </w:p>
    <w:p w14:paraId="46653A17">
      <w:pPr>
        <w:pStyle w:val="12"/>
        <w:spacing w:line="580" w:lineRule="exact"/>
        <w:ind w:firstLine="640" w:firstLineChars="200"/>
        <w:rPr>
          <w:rFonts w:hAnsi="黑体"/>
          <w:bCs/>
          <w:color w:val="auto"/>
          <w:sz w:val="32"/>
          <w:szCs w:val="32"/>
        </w:rPr>
      </w:pPr>
      <w:r>
        <w:rPr>
          <w:rFonts w:hint="eastAsia" w:hAnsi="黑体"/>
          <w:bCs/>
          <w:color w:val="auto"/>
          <w:sz w:val="32"/>
          <w:szCs w:val="32"/>
        </w:rPr>
        <w:t>十三、关于</w:t>
      </w:r>
      <w:r>
        <w:rPr>
          <w:rFonts w:hint="eastAsia" w:ascii="Times New Roman" w:hAnsi="Times New Roman" w:eastAsia="仿宋_GB2312"/>
          <w:color w:val="auto"/>
          <w:sz w:val="32"/>
          <w:szCs w:val="32"/>
        </w:rPr>
        <w:t>2023</w:t>
      </w:r>
      <w:r>
        <w:rPr>
          <w:rFonts w:hint="eastAsia" w:hAnsi="黑体"/>
          <w:bCs/>
          <w:color w:val="auto"/>
          <w:sz w:val="32"/>
          <w:szCs w:val="32"/>
        </w:rPr>
        <w:t>年度预算绩效情况的说明</w:t>
      </w:r>
    </w:p>
    <w:p w14:paraId="636FC211">
      <w:pPr>
        <w:pStyle w:val="12"/>
        <w:numPr>
          <w:ilvl w:val="0"/>
          <w:numId w:val="5"/>
        </w:numPr>
        <w:spacing w:line="580" w:lineRule="exact"/>
        <w:rPr>
          <w:rFonts w:hint="eastAsia" w:ascii="楷体" w:hAnsi="楷体" w:eastAsia="楷体" w:cs="楷体"/>
          <w:b/>
          <w:bCs/>
          <w:sz w:val="32"/>
          <w:szCs w:val="32"/>
        </w:rPr>
      </w:pPr>
      <w:r>
        <w:rPr>
          <w:rFonts w:hint="eastAsia" w:ascii="楷体" w:hAnsi="楷体" w:eastAsia="楷体" w:cs="楷体"/>
          <w:b/>
          <w:bCs/>
          <w:sz w:val="32"/>
          <w:szCs w:val="32"/>
        </w:rPr>
        <w:t>绩效管理工作开展情况</w:t>
      </w:r>
    </w:p>
    <w:p w14:paraId="4B062B2C">
      <w:pPr>
        <w:autoSpaceDE w:val="0"/>
        <w:autoSpaceDN w:val="0"/>
        <w:adjustRightInd w:val="0"/>
        <w:ind w:firstLine="640" w:firstLineChars="200"/>
        <w:jc w:val="left"/>
        <w:rPr>
          <w:rFonts w:ascii="Times New Roman" w:hAnsi="Times New Roman" w:eastAsia="仿宋_GB2312" w:cs="黑体"/>
          <w:color w:val="000000"/>
          <w:kern w:val="0"/>
          <w:sz w:val="32"/>
          <w:szCs w:val="32"/>
        </w:rPr>
      </w:pPr>
      <w:r>
        <w:rPr>
          <w:rFonts w:hint="eastAsia" w:ascii="Times New Roman" w:hAnsi="Times New Roman" w:eastAsia="仿宋_GB2312" w:cs="黑体"/>
          <w:color w:val="000000"/>
          <w:kern w:val="0"/>
          <w:sz w:val="32"/>
          <w:szCs w:val="32"/>
        </w:rPr>
        <w:t>根据预算绩效管理要求，我部门组织对</w:t>
      </w:r>
      <w:r>
        <w:rPr>
          <w:rFonts w:ascii="Times New Roman" w:hAnsi="Times New Roman" w:eastAsia="仿宋_GB2312" w:cs="黑体"/>
          <w:color w:val="000000"/>
          <w:kern w:val="0"/>
          <w:sz w:val="32"/>
          <w:szCs w:val="32"/>
        </w:rPr>
        <w:t>202</w:t>
      </w:r>
      <w:r>
        <w:rPr>
          <w:rFonts w:hint="eastAsia" w:ascii="Times New Roman" w:hAnsi="Times New Roman" w:eastAsia="仿宋_GB2312" w:cs="黑体"/>
          <w:color w:val="000000"/>
          <w:kern w:val="0"/>
          <w:sz w:val="32"/>
          <w:szCs w:val="32"/>
        </w:rPr>
        <w:t>3年度一般公共预算项目支出全面开展绩效自评，其中，一级项目1个，二级项目7个，共涉及资金277.20万元，占一般公共预算项目支出总额的100</w:t>
      </w:r>
      <w:r>
        <w:rPr>
          <w:rFonts w:ascii="Times New Roman" w:hAnsi="Times New Roman" w:eastAsia="仿宋_GB2312" w:cs="黑体"/>
          <w:color w:val="000000"/>
          <w:kern w:val="0"/>
          <w:sz w:val="32"/>
          <w:szCs w:val="32"/>
        </w:rPr>
        <w:t>%</w:t>
      </w:r>
      <w:r>
        <w:rPr>
          <w:rFonts w:hint="eastAsia" w:ascii="Times New Roman" w:hAnsi="Times New Roman" w:eastAsia="仿宋_GB2312" w:cs="黑体"/>
          <w:color w:val="000000"/>
          <w:kern w:val="0"/>
          <w:sz w:val="32"/>
          <w:szCs w:val="32"/>
        </w:rPr>
        <w:t>。</w:t>
      </w:r>
    </w:p>
    <w:p w14:paraId="6036FA2B">
      <w:pPr>
        <w:autoSpaceDE w:val="0"/>
        <w:autoSpaceDN w:val="0"/>
        <w:adjustRightInd w:val="0"/>
        <w:ind w:firstLine="640" w:firstLineChars="200"/>
        <w:jc w:val="left"/>
        <w:rPr>
          <w:rFonts w:ascii="Times New Roman" w:hAnsi="Times New Roman" w:eastAsia="仿宋_GB2312" w:cs="黑体"/>
          <w:color w:val="000000"/>
          <w:kern w:val="0"/>
          <w:sz w:val="32"/>
          <w:szCs w:val="32"/>
        </w:rPr>
      </w:pPr>
      <w:r>
        <w:rPr>
          <w:rFonts w:hint="eastAsia" w:ascii="Times New Roman" w:hAnsi="Times New Roman" w:eastAsia="仿宋_GB2312" w:cs="黑体"/>
          <w:color w:val="000000"/>
          <w:kern w:val="0"/>
          <w:sz w:val="32"/>
          <w:szCs w:val="32"/>
        </w:rPr>
        <w:t>组织对 “2022年蓄积量调查”、“2022年森林样地调查”、“2022年图斑监测” 、“ 2022年其他样地调查”“ 2023年蓄积量调查”、“2023年森林样地调查”、“2023年图斑监测”等7个项目开展了部门评价，涉及一般公共预算支出322.03万元。从评价情况来</w:t>
      </w:r>
      <w:r>
        <w:rPr>
          <w:rFonts w:hint="eastAsia" w:ascii="Times New Roman" w:hAnsi="Times New Roman" w:eastAsia="仿宋_GB2312" w:cs="黑体"/>
          <w:color w:val="000000"/>
          <w:sz w:val="32"/>
          <w:szCs w:val="32"/>
        </w:rPr>
        <w:t>看，成本控制率100%，数量完成率100%，质量达标率100%，完成及时率100%，项目的实施增加了护林、森林抚育等工作岗位，为当地林农增加了收入，促进社会和谐，维持社会稳定。项目的实施减少了水土流失、保护了生态环境、森林资源增长明显，对森林资源的持续发展意义重大，社会满意度95%。</w:t>
      </w:r>
    </w:p>
    <w:p w14:paraId="66C0DFE3">
      <w:pPr>
        <w:pStyle w:val="12"/>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（二）部门（单位）整体支出绩效情况</w:t>
      </w:r>
    </w:p>
    <w:p w14:paraId="0B545AD1">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组织对怀化市林业调查设计院开展整体支出绩效评价，涉及一般公共预算支出629.81万元。从评价情况来看，基本支出352.61万元，保障了人员经费及公用经费的正常开支。项目支出277.20万元，确保了项目的顺利实施。按照财政部门要求制定了整体支出绩效目标，并进行了整体支出绩效自评。</w:t>
      </w:r>
    </w:p>
    <w:p w14:paraId="555060FA">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年初预算支出为596.62万元，其中基本支出351.62万元，项目支出245.00万元。实际支出661.18万元，其中基本支出383.98万元，项目支出277.20万元，实际比预算增加64.56万元，较年初预算增加10.82%，主要是在职及退休人员养老保险退费及专项收入的增加。</w:t>
      </w:r>
    </w:p>
    <w:p w14:paraId="1BB3183D">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专项项目实施情况如下：</w:t>
      </w:r>
    </w:p>
    <w:p w14:paraId="6F8FCE0E">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1、2022年森林蓄积量调查：按时按质完成怀化市1900个森林蓄积量调查工作。</w:t>
      </w:r>
    </w:p>
    <w:p w14:paraId="2447D56C">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2、2023年森林蓄积量调查：：完成怀化市61个森林蓄积量样地的质量检查工作。</w:t>
      </w:r>
    </w:p>
    <w:p w14:paraId="3F3201AE">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3、2022年森林样地调查：按时间节点和要求完成怀化市175个森林样地调查工作。</w:t>
      </w:r>
    </w:p>
    <w:p w14:paraId="2A593632">
      <w:pPr>
        <w:pStyle w:val="12"/>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4、2023年森林样地调查：按时间节点和要求完成17个怀化市固定样地调查任务及永州市8个固定样地的省级检查。</w:t>
      </w:r>
    </w:p>
    <w:p w14:paraId="57B76DF2">
      <w:pPr>
        <w:pStyle w:val="12"/>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5、2022年其他样地调查：完成2022年样地调查的补充调查任务。</w:t>
      </w:r>
    </w:p>
    <w:p w14:paraId="3A952A3C">
      <w:pPr>
        <w:pStyle w:val="12"/>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6、2022年图斑监测：完成对吉首市136个变换图斑的省级检查。</w:t>
      </w:r>
    </w:p>
    <w:p w14:paraId="544EFDDD">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7、2023年图斑监测：2023年底前完成怀化市林草湿资源与沙化/石漠化现状“图数库”的更新，完善林地、草地、湿地、沙化/石漠化图斑监测数据采集、处理、分析工具软件和管理平台，建设调查监测数据库，并纳入林草生态网络感知系统。</w:t>
      </w:r>
    </w:p>
    <w:p w14:paraId="4C399766">
      <w:pPr>
        <w:pStyle w:val="12"/>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单位作为甲级林业调查资质队伍，近十几年一直承担国家及省级林业专项工作，在省内林业核查、调查工作中成绩显著，得到了上级林业部门的认可，每年均从上级财政争取部分专项资金，为单位的后续发展奠定了基础，也为地方财政减轻了压力。</w:t>
      </w:r>
    </w:p>
    <w:p w14:paraId="269F3FBA">
      <w:pPr>
        <w:pStyle w:val="12"/>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（三）存在的问题及原因分析</w:t>
      </w:r>
    </w:p>
    <w:p w14:paraId="6A85A06B">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专项经费拨付时间与项目实施要求时间不一致，导致项目开展实施中资金周转困难，业务人员垫付费用，报账资金滞后，影响专项工作的开展及预算支出执行偏离绩效目标。</w:t>
      </w:r>
    </w:p>
    <w:p w14:paraId="6B9E9B2E">
      <w:pPr>
        <w:pStyle w:val="12"/>
        <w:jc w:val="both"/>
        <w:rPr>
          <w:sz w:val="72"/>
          <w:szCs w:val="72"/>
        </w:rPr>
      </w:pPr>
    </w:p>
    <w:p w14:paraId="0FBDA90F">
      <w:pPr>
        <w:pStyle w:val="12"/>
        <w:jc w:val="center"/>
        <w:rPr>
          <w:sz w:val="72"/>
          <w:szCs w:val="72"/>
        </w:rPr>
      </w:pPr>
    </w:p>
    <w:p w14:paraId="50022F54">
      <w:pPr>
        <w:pStyle w:val="12"/>
        <w:jc w:val="center"/>
        <w:rPr>
          <w:sz w:val="72"/>
          <w:szCs w:val="72"/>
        </w:rPr>
      </w:pPr>
    </w:p>
    <w:p w14:paraId="353B9D21">
      <w:pPr>
        <w:pStyle w:val="12"/>
        <w:jc w:val="both"/>
        <w:rPr>
          <w:rFonts w:ascii="方正小标宋_GBK" w:hAnsi="方正小标宋_GBK" w:eastAsia="方正小标宋_GBK" w:cs="方正小标宋_GBK"/>
          <w:sz w:val="72"/>
          <w:szCs w:val="72"/>
        </w:rPr>
      </w:pPr>
    </w:p>
    <w:p w14:paraId="0313235A">
      <w:pPr>
        <w:pStyle w:val="12"/>
        <w:jc w:val="center"/>
        <w:rPr>
          <w:rFonts w:ascii="方正小标宋_GBK" w:hAnsi="方正小标宋_GBK" w:eastAsia="方正小标宋_GBK" w:cs="方正小标宋_GBK"/>
          <w:sz w:val="72"/>
          <w:szCs w:val="72"/>
        </w:rPr>
      </w:pPr>
    </w:p>
    <w:p w14:paraId="76C86F15">
      <w:pPr>
        <w:pStyle w:val="12"/>
        <w:jc w:val="center"/>
        <w:rPr>
          <w:rFonts w:hint="eastAsia" w:ascii="方正小标宋_GBK" w:hAnsi="方正小标宋_GBK" w:eastAsia="方正小标宋_GBK" w:cs="方正小标宋_GBK"/>
          <w:sz w:val="72"/>
          <w:szCs w:val="72"/>
        </w:rPr>
      </w:pPr>
    </w:p>
    <w:p w14:paraId="08B5D86F">
      <w:pPr>
        <w:pStyle w:val="12"/>
        <w:jc w:val="center"/>
        <w:rPr>
          <w:rFonts w:hint="eastAsia" w:ascii="方正小标宋_GBK" w:hAnsi="方正小标宋_GBK" w:eastAsia="方正小标宋_GBK" w:cs="方正小标宋_GBK"/>
          <w:sz w:val="72"/>
          <w:szCs w:val="72"/>
        </w:rPr>
      </w:pPr>
    </w:p>
    <w:p w14:paraId="1DCC86ED">
      <w:pPr>
        <w:pStyle w:val="12"/>
        <w:jc w:val="center"/>
        <w:rPr>
          <w:rFonts w:hint="eastAsia" w:ascii="方正小标宋_GBK" w:hAnsi="方正小标宋_GBK" w:eastAsia="方正小标宋_GBK" w:cs="方正小标宋_GBK"/>
          <w:sz w:val="72"/>
          <w:szCs w:val="72"/>
        </w:rPr>
      </w:pPr>
    </w:p>
    <w:p w14:paraId="154AB1B9">
      <w:pPr>
        <w:pStyle w:val="12"/>
        <w:jc w:val="center"/>
        <w:rPr>
          <w:rFonts w:hint="eastAsia" w:ascii="方正小标宋_GBK" w:hAnsi="方正小标宋_GBK" w:eastAsia="方正小标宋_GBK" w:cs="方正小标宋_GBK"/>
          <w:sz w:val="72"/>
          <w:szCs w:val="72"/>
        </w:rPr>
      </w:pPr>
    </w:p>
    <w:p w14:paraId="45840D54">
      <w:pPr>
        <w:pStyle w:val="12"/>
        <w:jc w:val="center"/>
        <w:rPr>
          <w:rFonts w:hint="eastAsia" w:ascii="方正小标宋_GBK" w:hAnsi="方正小标宋_GBK" w:eastAsia="方正小标宋_GBK" w:cs="方正小标宋_GBK"/>
          <w:sz w:val="72"/>
          <w:szCs w:val="72"/>
        </w:rPr>
      </w:pPr>
    </w:p>
    <w:p w14:paraId="37EE9AF2">
      <w:pPr>
        <w:pStyle w:val="12"/>
        <w:jc w:val="center"/>
        <w:rPr>
          <w:rFonts w:hint="eastAsia" w:ascii="方正小标宋_GBK" w:hAnsi="方正小标宋_GBK" w:eastAsia="方正小标宋_GBK" w:cs="方正小标宋_GBK"/>
          <w:sz w:val="72"/>
          <w:szCs w:val="72"/>
        </w:rPr>
      </w:pPr>
    </w:p>
    <w:p w14:paraId="63E1F7BF">
      <w:pPr>
        <w:pStyle w:val="12"/>
        <w:jc w:val="center"/>
        <w:rPr>
          <w:rFonts w:hint="eastAsia" w:ascii="方正小标宋_GBK" w:hAnsi="方正小标宋_GBK" w:eastAsia="方正小标宋_GBK" w:cs="方正小标宋_GBK"/>
          <w:sz w:val="72"/>
          <w:szCs w:val="72"/>
        </w:rPr>
      </w:pPr>
    </w:p>
    <w:p w14:paraId="0E90B693">
      <w:pPr>
        <w:pStyle w:val="12"/>
        <w:jc w:val="center"/>
        <w:rPr>
          <w:rFonts w:hint="eastAsia" w:ascii="方正小标宋_GBK" w:hAnsi="方正小标宋_GBK" w:eastAsia="方正小标宋_GBK" w:cs="方正小标宋_GBK"/>
          <w:sz w:val="72"/>
          <w:szCs w:val="72"/>
        </w:rPr>
      </w:pPr>
    </w:p>
    <w:p w14:paraId="52827ACC">
      <w:pPr>
        <w:pStyle w:val="12"/>
        <w:jc w:val="center"/>
        <w:rPr>
          <w:rFonts w:hint="eastAsia" w:ascii="方正小标宋_GBK" w:hAnsi="方正小标宋_GBK" w:eastAsia="方正小标宋_GBK" w:cs="方正小标宋_GBK"/>
          <w:sz w:val="72"/>
          <w:szCs w:val="72"/>
        </w:rPr>
      </w:pPr>
    </w:p>
    <w:p w14:paraId="18816D38">
      <w:pPr>
        <w:pStyle w:val="12"/>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267677E3">
      <w:pPr>
        <w:jc w:val="center"/>
        <w:rPr>
          <w:rFonts w:ascii="方正小标宋_GBK" w:hAnsi="方正小标宋_GBK" w:eastAsia="方正小标宋_GBK" w:cs="方正小标宋_GBK"/>
          <w:color w:val="000000"/>
          <w:kern w:val="0"/>
          <w:sz w:val="70"/>
          <w:szCs w:val="70"/>
        </w:rPr>
      </w:pPr>
    </w:p>
    <w:p w14:paraId="518AD3A4">
      <w:pPr>
        <w:jc w:val="center"/>
        <w:rPr>
          <w:rFonts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4D11AF71">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222DA06A">
      <w:pPr>
        <w:pStyle w:val="12"/>
        <w:spacing w:line="600" w:lineRule="exact"/>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19D9956C">
      <w:pPr>
        <w:pStyle w:val="12"/>
        <w:spacing w:line="600" w:lineRule="exact"/>
        <w:ind w:firstLine="640" w:firstLineChars="200"/>
        <w:rPr>
          <w:rFonts w:ascii="楷体" w:hAnsi="楷体" w:eastAsia="楷体" w:cs="楷体"/>
          <w:b/>
          <w:bCs/>
          <w:i/>
          <w:color w:val="auto"/>
          <w:sz w:val="32"/>
          <w:szCs w:val="32"/>
        </w:rPr>
      </w:pPr>
      <w:r>
        <w:rPr>
          <w:rFonts w:hint="eastAsia" w:asciiTheme="minorEastAsia" w:hAnsiTheme="minorEastAsia" w:eastAsiaTheme="minorEastAsia"/>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2B2C1A14">
      <w:pPr>
        <w:pStyle w:val="12"/>
        <w:jc w:val="center"/>
        <w:rPr>
          <w:sz w:val="72"/>
          <w:szCs w:val="72"/>
        </w:rPr>
      </w:pPr>
    </w:p>
    <w:p w14:paraId="1B229803">
      <w:pPr>
        <w:pStyle w:val="12"/>
        <w:jc w:val="center"/>
        <w:rPr>
          <w:sz w:val="72"/>
          <w:szCs w:val="72"/>
        </w:rPr>
      </w:pPr>
    </w:p>
    <w:p w14:paraId="54C70190">
      <w:pPr>
        <w:pStyle w:val="12"/>
        <w:jc w:val="center"/>
        <w:rPr>
          <w:sz w:val="72"/>
          <w:szCs w:val="72"/>
        </w:rPr>
      </w:pPr>
    </w:p>
    <w:p w14:paraId="726D4768">
      <w:pPr>
        <w:pStyle w:val="12"/>
        <w:jc w:val="center"/>
        <w:rPr>
          <w:sz w:val="72"/>
          <w:szCs w:val="72"/>
        </w:rPr>
      </w:pPr>
    </w:p>
    <w:p w14:paraId="34A5920C">
      <w:pPr>
        <w:pStyle w:val="12"/>
        <w:jc w:val="center"/>
        <w:rPr>
          <w:sz w:val="72"/>
          <w:szCs w:val="72"/>
        </w:rPr>
      </w:pPr>
    </w:p>
    <w:p w14:paraId="310E924E">
      <w:pPr>
        <w:pStyle w:val="12"/>
        <w:jc w:val="center"/>
        <w:rPr>
          <w:sz w:val="72"/>
          <w:szCs w:val="72"/>
        </w:rPr>
      </w:pPr>
    </w:p>
    <w:p w14:paraId="6936EA7F">
      <w:pPr>
        <w:pStyle w:val="12"/>
        <w:jc w:val="center"/>
        <w:rPr>
          <w:sz w:val="72"/>
          <w:szCs w:val="72"/>
        </w:rPr>
      </w:pPr>
    </w:p>
    <w:p w14:paraId="6ACEC4D8">
      <w:pPr>
        <w:pStyle w:val="12"/>
        <w:jc w:val="center"/>
        <w:rPr>
          <w:sz w:val="72"/>
          <w:szCs w:val="72"/>
        </w:rPr>
      </w:pPr>
    </w:p>
    <w:p w14:paraId="046AC497">
      <w:pPr>
        <w:rPr>
          <w:sz w:val="72"/>
          <w:szCs w:val="72"/>
        </w:rPr>
      </w:pPr>
      <w:r>
        <w:rPr>
          <w:sz w:val="72"/>
          <w:szCs w:val="72"/>
        </w:rPr>
        <w:br w:type="page"/>
      </w:r>
    </w:p>
    <w:p w14:paraId="00630642">
      <w:pPr>
        <w:pStyle w:val="12"/>
        <w:jc w:val="center"/>
        <w:rPr>
          <w:rFonts w:ascii="方正小标宋_GBK" w:hAnsi="方正小标宋_GBK" w:eastAsia="方正小标宋_GBK" w:cs="方正小标宋_GBK"/>
          <w:sz w:val="72"/>
          <w:szCs w:val="72"/>
        </w:rPr>
      </w:pPr>
    </w:p>
    <w:p w14:paraId="21A265B6">
      <w:pPr>
        <w:pStyle w:val="12"/>
        <w:jc w:val="center"/>
        <w:rPr>
          <w:rFonts w:ascii="方正小标宋_GBK" w:hAnsi="方正小标宋_GBK" w:eastAsia="方正小标宋_GBK" w:cs="方正小标宋_GBK"/>
          <w:sz w:val="72"/>
          <w:szCs w:val="72"/>
        </w:rPr>
      </w:pPr>
    </w:p>
    <w:p w14:paraId="0EE09315">
      <w:pPr>
        <w:pStyle w:val="12"/>
        <w:jc w:val="center"/>
        <w:rPr>
          <w:rFonts w:ascii="方正小标宋_GBK" w:hAnsi="方正小标宋_GBK" w:eastAsia="方正小标宋_GBK" w:cs="方正小标宋_GBK"/>
          <w:sz w:val="72"/>
          <w:szCs w:val="72"/>
        </w:rPr>
      </w:pPr>
    </w:p>
    <w:p w14:paraId="1C153ADE">
      <w:pPr>
        <w:pStyle w:val="12"/>
        <w:jc w:val="center"/>
        <w:rPr>
          <w:rFonts w:ascii="方正小标宋_GBK" w:hAnsi="方正小标宋_GBK" w:eastAsia="方正小标宋_GBK" w:cs="方正小标宋_GBK"/>
          <w:sz w:val="72"/>
          <w:szCs w:val="72"/>
        </w:rPr>
      </w:pPr>
    </w:p>
    <w:p w14:paraId="61A49A1B">
      <w:pPr>
        <w:pStyle w:val="12"/>
        <w:jc w:val="center"/>
        <w:rPr>
          <w:rFonts w:ascii="方正小标宋_GBK" w:hAnsi="方正小标宋_GBK" w:eastAsia="方正小标宋_GBK" w:cs="方正小标宋_GBK"/>
          <w:sz w:val="72"/>
          <w:szCs w:val="72"/>
        </w:rPr>
      </w:pPr>
    </w:p>
    <w:p w14:paraId="060DA8B0">
      <w:pPr>
        <w:pStyle w:val="12"/>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第五部分</w:t>
      </w:r>
    </w:p>
    <w:p w14:paraId="157E68EA">
      <w:pPr>
        <w:pStyle w:val="12"/>
        <w:jc w:val="center"/>
        <w:rPr>
          <w:rFonts w:ascii="方正小标宋_GBK" w:hAnsi="方正小标宋_GBK" w:eastAsia="方正小标宋_GBK" w:cs="方正小标宋_GBK"/>
          <w:sz w:val="70"/>
          <w:szCs w:val="70"/>
        </w:rPr>
      </w:pPr>
    </w:p>
    <w:p w14:paraId="3E441761">
      <w:pPr>
        <w:pStyle w:val="12"/>
        <w:jc w:val="center"/>
        <w:rPr>
          <w:sz w:val="72"/>
          <w:szCs w:val="72"/>
        </w:rPr>
      </w:pPr>
      <w:r>
        <w:rPr>
          <w:rFonts w:hint="eastAsia" w:ascii="方正小标宋_GBK" w:hAnsi="方正小标宋_GBK" w:eastAsia="方正小标宋_GBK" w:cs="方正小标宋_GBK"/>
          <w:sz w:val="70"/>
          <w:szCs w:val="70"/>
        </w:rPr>
        <w:t>附 件</w:t>
      </w:r>
    </w:p>
    <w:p w14:paraId="7BAB8DB0">
      <w:pPr>
        <w:rPr>
          <w:sz w:val="72"/>
          <w:szCs w:val="72"/>
        </w:rPr>
      </w:pPr>
      <w:r>
        <w:rPr>
          <w:sz w:val="72"/>
          <w:szCs w:val="72"/>
        </w:rPr>
        <w:br w:type="page"/>
      </w:r>
    </w:p>
    <w:p w14:paraId="0C885041">
      <w:pPr>
        <w:pStyle w:val="12"/>
        <w:spacing w:line="600" w:lineRule="exact"/>
        <w:ind w:firstLine="640" w:firstLineChars="200"/>
        <w:rPr>
          <w:rFonts w:ascii="Times New Roman" w:hAnsi="Times New Roman" w:eastAsia="仿宋_GB2312"/>
          <w:sz w:val="32"/>
          <w:szCs w:val="32"/>
        </w:rPr>
      </w:pPr>
      <w:r>
        <w:rPr>
          <w:rFonts w:hint="eastAsia" w:ascii="楷体" w:hAnsi="楷体" w:eastAsia="楷体" w:cs="楷体"/>
          <w:b/>
          <w:bCs/>
          <w:sz w:val="32"/>
          <w:szCs w:val="32"/>
        </w:rPr>
        <w:t>一、</w:t>
      </w:r>
      <w:r>
        <w:rPr>
          <w:rFonts w:hint="eastAsia" w:ascii="Times New Roman" w:hAnsi="Times New Roman" w:eastAsia="仿宋_GB2312"/>
          <w:sz w:val="32"/>
          <w:szCs w:val="32"/>
        </w:rPr>
        <w:t>2023年度部门(单位)整体支出绩效自评报告。</w:t>
      </w:r>
    </w:p>
    <w:p w14:paraId="7F43CE51">
      <w:pPr>
        <w:pStyle w:val="12"/>
        <w:ind w:firstLine="1280" w:firstLineChars="400"/>
        <w:rPr>
          <w:rFonts w:asciiTheme="minorEastAsia" w:hAnsiTheme="minorEastAsia" w:eastAsiaTheme="minorEastAsia"/>
          <w:sz w:val="32"/>
          <w:szCs w:val="32"/>
        </w:rPr>
      </w:pPr>
      <w:r>
        <w:rPr>
          <w:rFonts w:hint="eastAsia" w:asciiTheme="minorEastAsia" w:hAnsiTheme="minorEastAsia" w:eastAsiaTheme="minorEastAsia"/>
          <w:sz w:val="32"/>
          <w:szCs w:val="32"/>
        </w:rPr>
        <w:t>………</w:t>
      </w:r>
    </w:p>
    <w:p w14:paraId="4FF99473">
      <w:pPr>
        <w:pStyle w:val="12"/>
        <w:spacing w:line="600" w:lineRule="exact"/>
        <w:ind w:firstLine="640" w:firstLineChars="200"/>
        <w:rPr>
          <w:rFonts w:ascii="Times New Roman" w:hAnsi="Times New Roman" w:eastAsia="仿宋_GB2312"/>
          <w:sz w:val="32"/>
          <w:szCs w:val="32"/>
        </w:rPr>
      </w:pPr>
    </w:p>
    <w:p w14:paraId="4E40D4F8">
      <w:pPr>
        <w:pStyle w:val="12"/>
        <w:jc w:val="center"/>
        <w:rPr>
          <w:sz w:val="72"/>
          <w:szCs w:val="72"/>
        </w:rPr>
      </w:pPr>
    </w:p>
    <w:p w14:paraId="26E83B4E">
      <w:pPr>
        <w:pStyle w:val="12"/>
        <w:jc w:val="center"/>
        <w:rPr>
          <w:sz w:val="72"/>
          <w:szCs w:val="72"/>
        </w:rPr>
      </w:pPr>
    </w:p>
    <w:p w14:paraId="61E6B6FA">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B792B7"/>
    <w:multiLevelType w:val="singleLevel"/>
    <w:tmpl w:val="93B792B7"/>
    <w:lvl w:ilvl="0" w:tentative="0">
      <w:start w:val="9"/>
      <w:numFmt w:val="chineseCounting"/>
      <w:suff w:val="nothing"/>
      <w:lvlText w:val="%1、"/>
      <w:lvlJc w:val="left"/>
      <w:rPr>
        <w:rFonts w:hint="eastAsia"/>
      </w:rPr>
    </w:lvl>
  </w:abstractNum>
  <w:abstractNum w:abstractNumId="1">
    <w:nsid w:val="C3D41DE6"/>
    <w:multiLevelType w:val="singleLevel"/>
    <w:tmpl w:val="C3D41DE6"/>
    <w:lvl w:ilvl="0" w:tentative="0">
      <w:start w:val="10"/>
      <w:numFmt w:val="chineseCounting"/>
      <w:suff w:val="nothing"/>
      <w:lvlText w:val="%1、"/>
      <w:lvlJc w:val="left"/>
      <w:rPr>
        <w:rFonts w:hint="eastAsia"/>
      </w:rPr>
    </w:lvl>
  </w:abstractNum>
  <w:abstractNum w:abstractNumId="2">
    <w:nsid w:val="27AF2E29"/>
    <w:multiLevelType w:val="multilevel"/>
    <w:tmpl w:val="27AF2E29"/>
    <w:lvl w:ilvl="0" w:tentative="0">
      <w:start w:val="1"/>
      <w:numFmt w:val="japaneseCounting"/>
      <w:lvlText w:val="（%1）"/>
      <w:lvlJc w:val="left"/>
      <w:pPr>
        <w:ind w:left="1723" w:hanging="108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3">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AC3DA68"/>
    <w:multiLevelType w:val="singleLevel"/>
    <w:tmpl w:val="4AC3DA68"/>
    <w:lvl w:ilvl="0" w:tentative="0">
      <w:start w:val="2"/>
      <w:numFmt w:val="chineseCounting"/>
      <w:suff w:val="nothing"/>
      <w:lvlText w:val="（%1）"/>
      <w:lvlJc w:val="left"/>
      <w:rPr>
        <w:rFonts w:hint="eastAsia"/>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TI3MWRmZDFiYWFlNzU0ODExN2FiNThlYjk0NDIwZmQifQ=="/>
  </w:docVars>
  <w:rsids>
    <w:rsidRoot w:val="004506F9"/>
    <w:rsid w:val="0002229B"/>
    <w:rsid w:val="000273BD"/>
    <w:rsid w:val="00040CBC"/>
    <w:rsid w:val="000415B7"/>
    <w:rsid w:val="00041E3F"/>
    <w:rsid w:val="00055DAA"/>
    <w:rsid w:val="00061F7B"/>
    <w:rsid w:val="000658A3"/>
    <w:rsid w:val="00074155"/>
    <w:rsid w:val="000A3F69"/>
    <w:rsid w:val="00103957"/>
    <w:rsid w:val="00106CBE"/>
    <w:rsid w:val="00152C6D"/>
    <w:rsid w:val="00162D39"/>
    <w:rsid w:val="001678BD"/>
    <w:rsid w:val="00182373"/>
    <w:rsid w:val="001A67DB"/>
    <w:rsid w:val="001C3C29"/>
    <w:rsid w:val="001C408D"/>
    <w:rsid w:val="001D51E5"/>
    <w:rsid w:val="001E080D"/>
    <w:rsid w:val="001E53D0"/>
    <w:rsid w:val="001F0C3B"/>
    <w:rsid w:val="00202C82"/>
    <w:rsid w:val="00214427"/>
    <w:rsid w:val="00226CB7"/>
    <w:rsid w:val="00264552"/>
    <w:rsid w:val="00264EF9"/>
    <w:rsid w:val="00265724"/>
    <w:rsid w:val="0027426B"/>
    <w:rsid w:val="002E0A30"/>
    <w:rsid w:val="002F0CB5"/>
    <w:rsid w:val="003130C4"/>
    <w:rsid w:val="00316C4B"/>
    <w:rsid w:val="0032192B"/>
    <w:rsid w:val="003479BD"/>
    <w:rsid w:val="0037197D"/>
    <w:rsid w:val="003768D5"/>
    <w:rsid w:val="003926B9"/>
    <w:rsid w:val="003C47E6"/>
    <w:rsid w:val="003C4FC2"/>
    <w:rsid w:val="00416E61"/>
    <w:rsid w:val="0042790C"/>
    <w:rsid w:val="004506F9"/>
    <w:rsid w:val="00466D61"/>
    <w:rsid w:val="004717A2"/>
    <w:rsid w:val="00473DF3"/>
    <w:rsid w:val="00487911"/>
    <w:rsid w:val="00491741"/>
    <w:rsid w:val="004B0CEE"/>
    <w:rsid w:val="00500E5F"/>
    <w:rsid w:val="00511DAD"/>
    <w:rsid w:val="005122EF"/>
    <w:rsid w:val="0051441A"/>
    <w:rsid w:val="00517C33"/>
    <w:rsid w:val="00517D5F"/>
    <w:rsid w:val="00523644"/>
    <w:rsid w:val="0054069E"/>
    <w:rsid w:val="00544866"/>
    <w:rsid w:val="00561161"/>
    <w:rsid w:val="00564B4E"/>
    <w:rsid w:val="00567AAE"/>
    <w:rsid w:val="00573B87"/>
    <w:rsid w:val="005767CC"/>
    <w:rsid w:val="00577619"/>
    <w:rsid w:val="00590D9F"/>
    <w:rsid w:val="00595D26"/>
    <w:rsid w:val="005A74E6"/>
    <w:rsid w:val="005B404E"/>
    <w:rsid w:val="005D4D55"/>
    <w:rsid w:val="005E2CFB"/>
    <w:rsid w:val="005F2103"/>
    <w:rsid w:val="005F3D1C"/>
    <w:rsid w:val="0062378F"/>
    <w:rsid w:val="00641842"/>
    <w:rsid w:val="00651EEC"/>
    <w:rsid w:val="00654E88"/>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5C4A"/>
    <w:rsid w:val="00727A53"/>
    <w:rsid w:val="00787B42"/>
    <w:rsid w:val="007A3E83"/>
    <w:rsid w:val="007C15AF"/>
    <w:rsid w:val="007C4539"/>
    <w:rsid w:val="007F3657"/>
    <w:rsid w:val="00812ED5"/>
    <w:rsid w:val="008277D9"/>
    <w:rsid w:val="0084478C"/>
    <w:rsid w:val="0086638C"/>
    <w:rsid w:val="0087163D"/>
    <w:rsid w:val="008A3E8D"/>
    <w:rsid w:val="009237C4"/>
    <w:rsid w:val="00936987"/>
    <w:rsid w:val="00944C48"/>
    <w:rsid w:val="00950252"/>
    <w:rsid w:val="00967F5D"/>
    <w:rsid w:val="009A0F95"/>
    <w:rsid w:val="009B3ADF"/>
    <w:rsid w:val="009B7FF1"/>
    <w:rsid w:val="009C3B52"/>
    <w:rsid w:val="009E6817"/>
    <w:rsid w:val="009E6E9A"/>
    <w:rsid w:val="00A01D2B"/>
    <w:rsid w:val="00A32F69"/>
    <w:rsid w:val="00A42218"/>
    <w:rsid w:val="00A70249"/>
    <w:rsid w:val="00A70B02"/>
    <w:rsid w:val="00A71D9F"/>
    <w:rsid w:val="00A92E9F"/>
    <w:rsid w:val="00AB18FF"/>
    <w:rsid w:val="00B0215F"/>
    <w:rsid w:val="00B33BEA"/>
    <w:rsid w:val="00B57C9F"/>
    <w:rsid w:val="00B63572"/>
    <w:rsid w:val="00B776CE"/>
    <w:rsid w:val="00B845B3"/>
    <w:rsid w:val="00B85D8B"/>
    <w:rsid w:val="00BB4A40"/>
    <w:rsid w:val="00BD6C3E"/>
    <w:rsid w:val="00BE021B"/>
    <w:rsid w:val="00BE3674"/>
    <w:rsid w:val="00BF69B0"/>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EE3312"/>
    <w:rsid w:val="00F36114"/>
    <w:rsid w:val="00F5262F"/>
    <w:rsid w:val="00F74360"/>
    <w:rsid w:val="00FB462F"/>
    <w:rsid w:val="00FE16FA"/>
    <w:rsid w:val="00FE328A"/>
    <w:rsid w:val="00FE6269"/>
    <w:rsid w:val="00FF5CD6"/>
    <w:rsid w:val="11475CAC"/>
    <w:rsid w:val="1B027E29"/>
    <w:rsid w:val="1D97DEFF"/>
    <w:rsid w:val="1DFF72E5"/>
    <w:rsid w:val="1EFC6F07"/>
    <w:rsid w:val="2FDF85B8"/>
    <w:rsid w:val="2FFFEE04"/>
    <w:rsid w:val="34DF85B0"/>
    <w:rsid w:val="3B8F36BC"/>
    <w:rsid w:val="491FF225"/>
    <w:rsid w:val="4EAE1298"/>
    <w:rsid w:val="4FFD214C"/>
    <w:rsid w:val="5777D4F5"/>
    <w:rsid w:val="59DD8326"/>
    <w:rsid w:val="5DEF592A"/>
    <w:rsid w:val="5FC6BB1E"/>
    <w:rsid w:val="5FF720F1"/>
    <w:rsid w:val="65493BF9"/>
    <w:rsid w:val="67FF5C0B"/>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4"/>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5"/>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5519</Words>
  <Characters>6310</Characters>
  <Lines>46</Lines>
  <Paragraphs>13</Paragraphs>
  <TotalTime>405</TotalTime>
  <ScaleCrop>false</ScaleCrop>
  <LinksUpToDate>false</LinksUpToDate>
  <CharactersWithSpaces>6326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梁梦芸</cp:lastModifiedBy>
  <cp:lastPrinted>2024-08-08T10:20:00Z</cp:lastPrinted>
  <dcterms:modified xsi:type="dcterms:W3CDTF">2024-09-27T01:14:05Z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83B1821A6889410BAC55842C25C6D364_12</vt:lpwstr>
  </property>
</Properties>
</file>