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4C18D0">
      <w:pPr>
        <w:pStyle w:val="14"/>
        <w:jc w:val="center"/>
        <w:rPr>
          <w:rFonts w:hint="eastAsia"/>
          <w:sz w:val="56"/>
          <w:szCs w:val="56"/>
        </w:rPr>
      </w:pPr>
    </w:p>
    <w:p w14:paraId="2DE8F758">
      <w:pPr>
        <w:pStyle w:val="14"/>
        <w:jc w:val="center"/>
        <w:rPr>
          <w:sz w:val="56"/>
          <w:szCs w:val="56"/>
        </w:rPr>
      </w:pPr>
    </w:p>
    <w:p w14:paraId="1E16739B">
      <w:pPr>
        <w:pStyle w:val="14"/>
        <w:jc w:val="center"/>
        <w:rPr>
          <w:sz w:val="84"/>
          <w:szCs w:val="84"/>
        </w:rPr>
      </w:pPr>
    </w:p>
    <w:p w14:paraId="7D498CB4">
      <w:pPr>
        <w:pStyle w:val="14"/>
        <w:jc w:val="center"/>
        <w:rPr>
          <w:sz w:val="84"/>
          <w:szCs w:val="84"/>
        </w:rPr>
      </w:pPr>
    </w:p>
    <w:p w14:paraId="2D665521">
      <w:pPr>
        <w:pStyle w:val="14"/>
        <w:jc w:val="center"/>
        <w:rPr>
          <w:sz w:val="84"/>
          <w:szCs w:val="84"/>
        </w:rPr>
      </w:pPr>
      <w:r>
        <w:rPr>
          <w:rFonts w:hint="eastAsia"/>
          <w:sz w:val="84"/>
          <w:szCs w:val="84"/>
        </w:rPr>
        <w:t>202</w:t>
      </w:r>
      <w:r>
        <w:rPr>
          <w:rFonts w:hint="eastAsia"/>
          <w:sz w:val="84"/>
          <w:szCs w:val="84"/>
          <w:lang w:val="en-US" w:eastAsia="zh-CN"/>
        </w:rPr>
        <w:t>3</w:t>
      </w:r>
      <w:r>
        <w:rPr>
          <w:rFonts w:hint="eastAsia"/>
          <w:sz w:val="84"/>
          <w:szCs w:val="84"/>
        </w:rPr>
        <w:t>年度</w:t>
      </w:r>
    </w:p>
    <w:p w14:paraId="115F0A4D">
      <w:pPr>
        <w:pStyle w:val="14"/>
        <w:bidi w:val="0"/>
        <w:jc w:val="center"/>
        <w:rPr>
          <w:sz w:val="84"/>
          <w:szCs w:val="84"/>
        </w:rPr>
      </w:pPr>
      <w:r>
        <w:rPr>
          <w:rFonts w:hint="eastAsia"/>
          <w:sz w:val="84"/>
          <w:szCs w:val="84"/>
          <w:lang w:eastAsia="zh-CN"/>
        </w:rPr>
        <w:t>怀化市林业局</w:t>
      </w:r>
      <w:r>
        <w:rPr>
          <w:rFonts w:hint="eastAsia"/>
          <w:sz w:val="84"/>
          <w:szCs w:val="84"/>
        </w:rPr>
        <w:t>部门决算</w:t>
      </w:r>
    </w:p>
    <w:p w14:paraId="3324D435">
      <w:pPr>
        <w:pStyle w:val="14"/>
        <w:jc w:val="center"/>
        <w:rPr>
          <w:sz w:val="84"/>
          <w:szCs w:val="84"/>
        </w:rPr>
      </w:pPr>
    </w:p>
    <w:p w14:paraId="36B369FD">
      <w:pPr>
        <w:pStyle w:val="14"/>
        <w:jc w:val="center"/>
        <w:rPr>
          <w:sz w:val="56"/>
          <w:szCs w:val="56"/>
        </w:rPr>
      </w:pPr>
    </w:p>
    <w:p w14:paraId="62490C2B">
      <w:pPr>
        <w:pStyle w:val="14"/>
        <w:jc w:val="center"/>
        <w:rPr>
          <w:sz w:val="56"/>
          <w:szCs w:val="56"/>
        </w:rPr>
      </w:pPr>
    </w:p>
    <w:p w14:paraId="7096FF69">
      <w:pPr>
        <w:pStyle w:val="14"/>
        <w:jc w:val="center"/>
        <w:rPr>
          <w:sz w:val="56"/>
          <w:szCs w:val="56"/>
        </w:rPr>
      </w:pPr>
    </w:p>
    <w:p w14:paraId="0E57FF03">
      <w:pPr>
        <w:pStyle w:val="14"/>
        <w:jc w:val="center"/>
        <w:rPr>
          <w:sz w:val="32"/>
          <w:szCs w:val="32"/>
        </w:rPr>
      </w:pPr>
    </w:p>
    <w:p w14:paraId="2932F446">
      <w:pPr>
        <w:pStyle w:val="14"/>
        <w:jc w:val="center"/>
        <w:rPr>
          <w:sz w:val="32"/>
          <w:szCs w:val="32"/>
        </w:rPr>
      </w:pPr>
    </w:p>
    <w:p w14:paraId="571262B4">
      <w:pPr>
        <w:pStyle w:val="14"/>
        <w:jc w:val="center"/>
        <w:rPr>
          <w:sz w:val="32"/>
          <w:szCs w:val="32"/>
        </w:rPr>
      </w:pPr>
    </w:p>
    <w:p w14:paraId="0060F7ED">
      <w:pPr>
        <w:pStyle w:val="14"/>
        <w:jc w:val="center"/>
        <w:rPr>
          <w:sz w:val="32"/>
          <w:szCs w:val="32"/>
        </w:rPr>
      </w:pPr>
    </w:p>
    <w:p w14:paraId="4502908A">
      <w:pPr>
        <w:pStyle w:val="14"/>
        <w:jc w:val="center"/>
        <w:rPr>
          <w:sz w:val="32"/>
          <w:szCs w:val="32"/>
        </w:rPr>
      </w:pPr>
    </w:p>
    <w:p w14:paraId="4717720F">
      <w:pPr>
        <w:pStyle w:val="14"/>
        <w:spacing w:line="540" w:lineRule="exact"/>
        <w:jc w:val="center"/>
        <w:rPr>
          <w:sz w:val="56"/>
          <w:szCs w:val="56"/>
        </w:rPr>
      </w:pPr>
    </w:p>
    <w:p w14:paraId="19BC2B88">
      <w:pPr>
        <w:pStyle w:val="14"/>
        <w:spacing w:line="500" w:lineRule="exact"/>
        <w:jc w:val="center"/>
        <w:rPr>
          <w:b/>
          <w:sz w:val="36"/>
          <w:szCs w:val="28"/>
        </w:rPr>
      </w:pPr>
    </w:p>
    <w:p w14:paraId="792530F6">
      <w:pPr>
        <w:pStyle w:val="14"/>
        <w:spacing w:line="500" w:lineRule="exact"/>
        <w:jc w:val="center"/>
        <w:rPr>
          <w:rFonts w:hint="eastAsia"/>
          <w:b/>
          <w:sz w:val="36"/>
          <w:szCs w:val="28"/>
        </w:rPr>
      </w:pPr>
      <w:r>
        <w:rPr>
          <w:rFonts w:hint="eastAsia"/>
          <w:b/>
          <w:sz w:val="36"/>
          <w:szCs w:val="28"/>
        </w:rPr>
        <w:t>目录</w:t>
      </w:r>
    </w:p>
    <w:p w14:paraId="491029AC">
      <w:pPr>
        <w:pStyle w:val="14"/>
        <w:keepNext w:val="0"/>
        <w:keepLines w:val="0"/>
        <w:pageBreakBefore w:val="0"/>
        <w:widowControl w:val="0"/>
        <w:kinsoku/>
        <w:wordWrap/>
        <w:overflowPunct/>
        <w:topLinePunct w:val="0"/>
        <w:bidi w:val="0"/>
        <w:snapToGrid/>
        <w:spacing w:line="480" w:lineRule="exact"/>
        <w:jc w:val="both"/>
        <w:textAlignment w:val="auto"/>
        <w:rPr>
          <w:rFonts w:ascii="仿宋_GB2312" w:hAnsi="仿宋_GB2312" w:cs="仿宋_GB2312"/>
          <w:b/>
          <w:sz w:val="28"/>
          <w:szCs w:val="28"/>
        </w:rPr>
      </w:pPr>
      <w:r>
        <w:rPr>
          <w:rFonts w:hint="eastAsia"/>
          <w:b/>
          <w:sz w:val="28"/>
          <w:szCs w:val="28"/>
        </w:rPr>
        <w:t>第一部分</w:t>
      </w:r>
      <w:r>
        <w:rPr>
          <w:rFonts w:hint="eastAsia"/>
          <w:b/>
          <w:sz w:val="28"/>
          <w:szCs w:val="28"/>
          <w:lang w:val="en-US" w:eastAsia="zh-CN"/>
        </w:rPr>
        <w:t xml:space="preserve"> </w:t>
      </w:r>
      <w:r>
        <w:rPr>
          <w:rFonts w:hint="eastAsia"/>
          <w:b/>
          <w:sz w:val="28"/>
          <w:szCs w:val="28"/>
          <w:lang w:eastAsia="zh-CN"/>
        </w:rPr>
        <w:t>怀化市林业局</w:t>
      </w:r>
      <w:r>
        <w:rPr>
          <w:rFonts w:hint="eastAsia"/>
          <w:b/>
          <w:sz w:val="28"/>
          <w:szCs w:val="28"/>
        </w:rPr>
        <w:t>概况</w:t>
      </w:r>
    </w:p>
    <w:p w14:paraId="1F56B170">
      <w:pPr>
        <w:pStyle w:val="14"/>
        <w:keepNext w:val="0"/>
        <w:keepLines w:val="0"/>
        <w:pageBreakBefore w:val="0"/>
        <w:widowControl w:val="0"/>
        <w:tabs>
          <w:tab w:val="left" w:pos="3058"/>
        </w:tabs>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一、部门职责</w:t>
      </w:r>
      <w:r>
        <w:rPr>
          <w:rFonts w:hint="eastAsia" w:ascii="仿宋_GB2312" w:hAnsi="仿宋_GB2312" w:eastAsia="仿宋_GB2312" w:cs="仿宋_GB2312"/>
          <w:sz w:val="28"/>
          <w:szCs w:val="28"/>
          <w:lang w:eastAsia="zh-CN"/>
        </w:rPr>
        <w:tab/>
      </w:r>
    </w:p>
    <w:p w14:paraId="57DD02A5">
      <w:pPr>
        <w:pStyle w:val="14"/>
        <w:keepNext w:val="0"/>
        <w:keepLines w:val="0"/>
        <w:pageBreakBefore w:val="0"/>
        <w:widowControl w:val="0"/>
        <w:kinsoku/>
        <w:wordWrap/>
        <w:overflowPunct/>
        <w:topLinePunct w:val="0"/>
        <w:bidi w:val="0"/>
        <w:snapToGrid/>
        <w:spacing w:line="480" w:lineRule="exact"/>
        <w:ind w:firstLine="700" w:firstLineChars="250"/>
        <w:textAlignment w:val="auto"/>
        <w:rPr>
          <w:rFonts w:cs="仿宋_GB2312" w:asciiTheme="minorEastAsia" w:hAnsiTheme="minorEastAsia" w:eastAsiaTheme="minorEastAsia"/>
          <w:sz w:val="28"/>
          <w:szCs w:val="28"/>
        </w:rPr>
      </w:pPr>
      <w:r>
        <w:rPr>
          <w:rFonts w:hint="eastAsia" w:ascii="仿宋_GB2312" w:hAnsi="仿宋_GB2312" w:eastAsia="仿宋_GB2312" w:cs="仿宋_GB2312"/>
          <w:sz w:val="28"/>
          <w:szCs w:val="28"/>
        </w:rPr>
        <w:t>二、机构设置</w:t>
      </w:r>
    </w:p>
    <w:p w14:paraId="1831C1EC">
      <w:pPr>
        <w:pStyle w:val="14"/>
        <w:keepNext w:val="0"/>
        <w:keepLines w:val="0"/>
        <w:pageBreakBefore w:val="0"/>
        <w:widowControl w:val="0"/>
        <w:kinsoku/>
        <w:wordWrap/>
        <w:overflowPunct/>
        <w:topLinePunct w:val="0"/>
        <w:bidi w:val="0"/>
        <w:snapToGrid/>
        <w:spacing w:line="480" w:lineRule="exact"/>
        <w:textAlignment w:val="auto"/>
        <w:rPr>
          <w:rFonts w:ascii="仿宋_GB2312" w:hAnsi="仿宋_GB2312" w:cs="仿宋_GB2312"/>
          <w:b/>
          <w:sz w:val="28"/>
          <w:szCs w:val="28"/>
        </w:rPr>
      </w:pPr>
      <w:r>
        <w:rPr>
          <w:rFonts w:hint="eastAsia" w:hAnsi="仿宋_GB2312"/>
          <w:b/>
          <w:sz w:val="28"/>
          <w:szCs w:val="28"/>
        </w:rPr>
        <w:t>第二部分</w:t>
      </w:r>
      <w:r>
        <w:rPr>
          <w:rFonts w:hint="eastAsia" w:hAnsi="仿宋_GB2312"/>
          <w:b/>
          <w:sz w:val="28"/>
          <w:szCs w:val="28"/>
          <w:lang w:val="en-US" w:eastAsia="zh-CN"/>
        </w:rPr>
        <w:t xml:space="preserve"> </w:t>
      </w:r>
      <w:r>
        <w:rPr>
          <w:rFonts w:hint="eastAsia" w:hAnsi="仿宋_GB2312"/>
          <w:b/>
          <w:sz w:val="28"/>
          <w:szCs w:val="28"/>
        </w:rPr>
        <w:t>部门决算表</w:t>
      </w:r>
    </w:p>
    <w:p w14:paraId="4799774C">
      <w:pPr>
        <w:pStyle w:val="14"/>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6DC4093D">
      <w:pPr>
        <w:pStyle w:val="14"/>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7259DC0E">
      <w:pPr>
        <w:pStyle w:val="14"/>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45D0F636">
      <w:pPr>
        <w:pStyle w:val="14"/>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6F44D03B">
      <w:pPr>
        <w:pStyle w:val="14"/>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3177D0E3">
      <w:pPr>
        <w:pStyle w:val="14"/>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5EBADAA0">
      <w:pPr>
        <w:pStyle w:val="14"/>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020AA9F8">
      <w:pPr>
        <w:pStyle w:val="14"/>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3A9B203F">
      <w:pPr>
        <w:pStyle w:val="14"/>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九、</w:t>
      </w:r>
      <w:r>
        <w:rPr>
          <w:rFonts w:hint="eastAsia" w:ascii="仿宋_GB2312" w:hAnsi="仿宋_GB2312" w:eastAsia="仿宋_GB2312" w:cs="仿宋_GB2312"/>
          <w:sz w:val="28"/>
          <w:szCs w:val="28"/>
          <w:lang w:eastAsia="zh-CN"/>
        </w:rPr>
        <w:t>财政拨款“三公”经费支出决算表</w:t>
      </w:r>
    </w:p>
    <w:p w14:paraId="65767A17">
      <w:pPr>
        <w:pStyle w:val="14"/>
        <w:keepNext w:val="0"/>
        <w:keepLines w:val="0"/>
        <w:pageBreakBefore w:val="0"/>
        <w:widowControl w:val="0"/>
        <w:kinsoku/>
        <w:wordWrap/>
        <w:overflowPunct/>
        <w:topLinePunct w:val="0"/>
        <w:bidi w:val="0"/>
        <w:snapToGrid/>
        <w:spacing w:line="480" w:lineRule="exact"/>
        <w:textAlignment w:val="auto"/>
        <w:rPr>
          <w:rFonts w:ascii="仿宋_GB2312" w:hAnsi="仿宋_GB2312" w:cs="仿宋_GB2312"/>
          <w:b/>
          <w:sz w:val="28"/>
          <w:szCs w:val="28"/>
        </w:rPr>
      </w:pPr>
      <w:r>
        <w:rPr>
          <w:rFonts w:hint="eastAsia" w:hAnsi="仿宋_GB2312"/>
          <w:b/>
          <w:sz w:val="28"/>
          <w:szCs w:val="28"/>
        </w:rPr>
        <w:t>第三部分</w:t>
      </w:r>
      <w:r>
        <w:rPr>
          <w:rFonts w:hint="eastAsia" w:hAnsi="仿宋_GB2312"/>
          <w:b/>
          <w:sz w:val="28"/>
          <w:szCs w:val="28"/>
          <w:lang w:val="en-US" w:eastAsia="zh-CN"/>
        </w:rPr>
        <w:t xml:space="preserve"> </w:t>
      </w:r>
      <w:r>
        <w:rPr>
          <w:rFonts w:hint="eastAsia" w:hAnsi="仿宋_GB2312"/>
          <w:b/>
          <w:sz w:val="28"/>
          <w:szCs w:val="28"/>
        </w:rPr>
        <w:t>部门决算情况说明</w:t>
      </w:r>
    </w:p>
    <w:p w14:paraId="08E06A6F">
      <w:pPr>
        <w:pStyle w:val="14"/>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742C3E6C">
      <w:pPr>
        <w:keepNext w:val="0"/>
        <w:keepLines w:val="0"/>
        <w:pageBreakBefore w:val="0"/>
        <w:widowControl w:val="0"/>
        <w:kinsoku/>
        <w:wordWrap/>
        <w:overflowPunct/>
        <w:topLinePunct w:val="0"/>
        <w:bidi w:val="0"/>
        <w:snapToGrid/>
        <w:spacing w:line="480" w:lineRule="exact"/>
        <w:ind w:firstLine="700" w:firstLineChars="25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3CF05CB3">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063F309C">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26E2A3EE">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7B07DABA">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6EEC8D2B">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14:paraId="202D2D45">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75E8ACEE">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九、</w:t>
      </w:r>
      <w:r>
        <w:rPr>
          <w:rFonts w:hint="eastAsia" w:ascii="仿宋_GB2312" w:hAnsi="仿宋_GB2312" w:eastAsia="仿宋_GB2312" w:cs="仿宋_GB2312"/>
          <w:color w:val="000000"/>
          <w:kern w:val="0"/>
          <w:sz w:val="28"/>
          <w:szCs w:val="28"/>
        </w:rPr>
        <w:t>国有资本经营预算收入支出决算情况</w:t>
      </w:r>
    </w:p>
    <w:p w14:paraId="0A941742">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十、关于机关运行经费支出说明</w:t>
      </w:r>
    </w:p>
    <w:p w14:paraId="799D2F80">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十一</w:t>
      </w:r>
      <w:r>
        <w:rPr>
          <w:rFonts w:hint="eastAsia" w:ascii="仿宋_GB2312" w:hAnsi="仿宋_GB2312" w:eastAsia="仿宋_GB2312" w:cs="仿宋_GB2312"/>
          <w:color w:val="000000"/>
          <w:kern w:val="0"/>
          <w:sz w:val="28"/>
          <w:szCs w:val="28"/>
        </w:rPr>
        <w:t>、一般性支出情况说明</w:t>
      </w:r>
    </w:p>
    <w:p w14:paraId="41263BC8">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二</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kern w:val="0"/>
          <w:sz w:val="28"/>
          <w:szCs w:val="28"/>
          <w:lang w:eastAsia="zh-CN"/>
        </w:rPr>
        <w:t>关于政府采购支出说明</w:t>
      </w:r>
    </w:p>
    <w:p w14:paraId="71ECD55E">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三</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kern w:val="0"/>
          <w:sz w:val="28"/>
          <w:szCs w:val="28"/>
          <w:lang w:eastAsia="zh-CN"/>
        </w:rPr>
        <w:t>关于国有资产占用情况说明</w:t>
      </w:r>
    </w:p>
    <w:p w14:paraId="6A2B3C63">
      <w:pPr>
        <w:pStyle w:val="14"/>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关于</w:t>
      </w:r>
      <w:r>
        <w:rPr>
          <w:rFonts w:hint="eastAsia" w:ascii="仿宋_GB2312" w:hAnsi="仿宋_GB2312" w:eastAsia="仿宋_GB2312" w:cs="仿宋_GB2312"/>
          <w:sz w:val="28"/>
          <w:szCs w:val="28"/>
          <w:lang w:val="en-US" w:eastAsia="zh-CN"/>
        </w:rPr>
        <w:t>2023年度</w:t>
      </w:r>
      <w:r>
        <w:rPr>
          <w:rFonts w:hint="eastAsia" w:ascii="仿宋_GB2312" w:hAnsi="仿宋_GB2312" w:eastAsia="仿宋_GB2312" w:cs="仿宋_GB2312"/>
          <w:sz w:val="28"/>
          <w:szCs w:val="28"/>
          <w:lang w:eastAsia="zh-CN"/>
        </w:rPr>
        <w:t>预算绩效情况的说明</w:t>
      </w:r>
    </w:p>
    <w:p w14:paraId="203BAACB">
      <w:pPr>
        <w:pStyle w:val="14"/>
        <w:keepNext w:val="0"/>
        <w:keepLines w:val="0"/>
        <w:pageBreakBefore w:val="0"/>
        <w:widowControl w:val="0"/>
        <w:kinsoku/>
        <w:wordWrap/>
        <w:overflowPunct/>
        <w:topLinePunct w:val="0"/>
        <w:bidi w:val="0"/>
        <w:snapToGrid/>
        <w:spacing w:line="480" w:lineRule="exact"/>
        <w:textAlignment w:val="auto"/>
        <w:rPr>
          <w:rFonts w:ascii="黑体" w:hAnsi="黑体" w:eastAsia="黑体" w:cs="黑体"/>
          <w:b/>
          <w:color w:val="000000"/>
          <w:kern w:val="0"/>
          <w:sz w:val="28"/>
          <w:szCs w:val="28"/>
        </w:rPr>
      </w:pPr>
      <w:r>
        <w:rPr>
          <w:rFonts w:ascii="黑体" w:hAnsi="黑体" w:eastAsia="黑体" w:cs="黑体"/>
          <w:b/>
          <w:color w:val="000000"/>
          <w:kern w:val="0"/>
          <w:sz w:val="28"/>
          <w:szCs w:val="28"/>
        </w:rPr>
        <w:t>第四部分</w:t>
      </w:r>
      <w:r>
        <w:rPr>
          <w:rFonts w:hint="eastAsia" w:hAnsi="黑体" w:cs="黑体"/>
          <w:b/>
          <w:color w:val="000000"/>
          <w:kern w:val="0"/>
          <w:sz w:val="28"/>
          <w:szCs w:val="28"/>
          <w:lang w:val="en-US" w:eastAsia="zh-CN"/>
        </w:rPr>
        <w:t xml:space="preserve"> </w:t>
      </w:r>
      <w:r>
        <w:rPr>
          <w:rFonts w:ascii="黑体" w:hAnsi="黑体" w:eastAsia="黑体" w:cs="黑体"/>
          <w:b/>
          <w:color w:val="000000"/>
          <w:kern w:val="0"/>
          <w:sz w:val="28"/>
          <w:szCs w:val="28"/>
        </w:rPr>
        <w:t>名词解释</w:t>
      </w:r>
    </w:p>
    <w:p w14:paraId="780DE560">
      <w:pPr>
        <w:keepNext w:val="0"/>
        <w:keepLines w:val="0"/>
        <w:pageBreakBefore w:val="0"/>
        <w:widowControl w:val="0"/>
        <w:kinsoku/>
        <w:wordWrap/>
        <w:overflowPunct/>
        <w:topLinePunct w:val="0"/>
        <w:autoSpaceDE w:val="0"/>
        <w:autoSpaceDN w:val="0"/>
        <w:bidi w:val="0"/>
        <w:adjustRightInd w:val="0"/>
        <w:snapToGrid/>
        <w:spacing w:line="480" w:lineRule="exact"/>
        <w:jc w:val="left"/>
        <w:textAlignment w:val="auto"/>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w:t>
      </w:r>
      <w:r>
        <w:rPr>
          <w:rFonts w:hint="eastAsia" w:ascii="黑体" w:hAnsi="黑体" w:eastAsia="黑体" w:cs="黑体"/>
          <w:b/>
          <w:color w:val="000000"/>
          <w:kern w:val="0"/>
          <w:sz w:val="28"/>
          <w:szCs w:val="28"/>
          <w:lang w:val="en-US" w:eastAsia="zh-CN"/>
        </w:rPr>
        <w:t xml:space="preserve"> </w:t>
      </w:r>
      <w:r>
        <w:rPr>
          <w:rFonts w:hint="eastAsia" w:ascii="黑体" w:hAnsi="黑体" w:eastAsia="黑体" w:cs="黑体"/>
          <w:b/>
          <w:color w:val="000000"/>
          <w:kern w:val="0"/>
          <w:sz w:val="28"/>
          <w:szCs w:val="28"/>
        </w:rPr>
        <w:t>附件</w:t>
      </w:r>
    </w:p>
    <w:p w14:paraId="569C2F0C">
      <w:pPr>
        <w:jc w:val="center"/>
        <w:rPr>
          <w:sz w:val="72"/>
          <w:szCs w:val="72"/>
        </w:rPr>
      </w:pPr>
    </w:p>
    <w:p w14:paraId="35AD8D2C">
      <w:pPr>
        <w:jc w:val="center"/>
        <w:rPr>
          <w:sz w:val="72"/>
          <w:szCs w:val="72"/>
        </w:rPr>
      </w:pPr>
    </w:p>
    <w:p w14:paraId="2FDA4492">
      <w:pPr>
        <w:jc w:val="center"/>
        <w:rPr>
          <w:sz w:val="72"/>
          <w:szCs w:val="72"/>
        </w:rPr>
      </w:pPr>
    </w:p>
    <w:p w14:paraId="6DEDBBF4">
      <w:pPr>
        <w:jc w:val="center"/>
        <w:rPr>
          <w:sz w:val="72"/>
          <w:szCs w:val="72"/>
        </w:rPr>
      </w:pPr>
    </w:p>
    <w:p w14:paraId="4B95F8C5">
      <w:pPr>
        <w:rPr>
          <w:sz w:val="72"/>
          <w:szCs w:val="72"/>
        </w:rPr>
      </w:pPr>
    </w:p>
    <w:p w14:paraId="103C3FB2">
      <w:pPr>
        <w:pStyle w:val="14"/>
        <w:jc w:val="center"/>
        <w:rPr>
          <w:sz w:val="84"/>
          <w:szCs w:val="84"/>
        </w:rPr>
      </w:pPr>
      <w:r>
        <w:rPr>
          <w:rFonts w:hint="eastAsia"/>
          <w:sz w:val="84"/>
          <w:szCs w:val="84"/>
        </w:rPr>
        <w:t>第一部分</w:t>
      </w:r>
      <w:r>
        <w:rPr>
          <w:sz w:val="84"/>
          <w:szCs w:val="84"/>
        </w:rPr>
        <w:t xml:space="preserve"> </w:t>
      </w:r>
    </w:p>
    <w:p w14:paraId="59A79FE7">
      <w:pPr>
        <w:pStyle w:val="14"/>
        <w:jc w:val="center"/>
        <w:rPr>
          <w:sz w:val="84"/>
          <w:szCs w:val="84"/>
        </w:rPr>
      </w:pPr>
    </w:p>
    <w:p w14:paraId="795B8903">
      <w:pPr>
        <w:pStyle w:val="14"/>
        <w:jc w:val="center"/>
        <w:rPr>
          <w:sz w:val="84"/>
          <w:szCs w:val="84"/>
        </w:rPr>
      </w:pPr>
      <w:r>
        <w:rPr>
          <w:rFonts w:hint="eastAsia"/>
          <w:sz w:val="84"/>
          <w:szCs w:val="84"/>
          <w:lang w:eastAsia="zh-CN"/>
        </w:rPr>
        <w:t>怀化市林业局</w:t>
      </w:r>
      <w:r>
        <w:rPr>
          <w:rFonts w:hint="eastAsia"/>
          <w:sz w:val="84"/>
          <w:szCs w:val="84"/>
        </w:rPr>
        <w:t>概况</w:t>
      </w:r>
    </w:p>
    <w:p w14:paraId="36FAAD42">
      <w:pPr>
        <w:jc w:val="center"/>
        <w:rPr>
          <w:sz w:val="72"/>
          <w:szCs w:val="72"/>
        </w:rPr>
      </w:pPr>
    </w:p>
    <w:p w14:paraId="61BAE523">
      <w:pPr>
        <w:jc w:val="center"/>
        <w:rPr>
          <w:sz w:val="72"/>
          <w:szCs w:val="72"/>
        </w:rPr>
      </w:pPr>
    </w:p>
    <w:p w14:paraId="4A2A3BE6">
      <w:pPr>
        <w:jc w:val="center"/>
        <w:rPr>
          <w:sz w:val="72"/>
          <w:szCs w:val="72"/>
        </w:rPr>
      </w:pPr>
    </w:p>
    <w:p w14:paraId="125A2632">
      <w:pPr>
        <w:jc w:val="center"/>
        <w:rPr>
          <w:sz w:val="72"/>
          <w:szCs w:val="72"/>
        </w:rPr>
      </w:pPr>
    </w:p>
    <w:p w14:paraId="3C602154">
      <w:pPr>
        <w:jc w:val="center"/>
        <w:rPr>
          <w:sz w:val="72"/>
          <w:szCs w:val="72"/>
        </w:rPr>
      </w:pPr>
    </w:p>
    <w:p w14:paraId="5DD49537">
      <w:pPr>
        <w:pStyle w:val="15"/>
        <w:ind w:left="720" w:firstLine="0" w:firstLineChars="0"/>
        <w:jc w:val="left"/>
        <w:rPr>
          <w:rFonts w:ascii="黑体" w:hAnsi="黑体" w:eastAsia="黑体"/>
          <w:sz w:val="32"/>
          <w:szCs w:val="32"/>
        </w:rPr>
      </w:pPr>
    </w:p>
    <w:p w14:paraId="068036AB">
      <w:pPr>
        <w:pStyle w:val="15"/>
        <w:ind w:left="720" w:firstLine="0" w:firstLineChars="0"/>
        <w:jc w:val="left"/>
        <w:rPr>
          <w:rFonts w:ascii="黑体" w:hAnsi="黑体" w:eastAsia="黑体"/>
          <w:sz w:val="32"/>
          <w:szCs w:val="32"/>
        </w:rPr>
      </w:pPr>
    </w:p>
    <w:p w14:paraId="43253BB0">
      <w:pPr>
        <w:pStyle w:val="15"/>
        <w:ind w:left="720" w:firstLine="0" w:firstLineChars="0"/>
        <w:jc w:val="left"/>
        <w:rPr>
          <w:rFonts w:ascii="黑体" w:hAnsi="黑体" w:eastAsia="黑体"/>
          <w:sz w:val="32"/>
          <w:szCs w:val="32"/>
        </w:rPr>
      </w:pPr>
    </w:p>
    <w:p w14:paraId="4AB9B554">
      <w:pPr>
        <w:pStyle w:val="9"/>
        <w:widowControl/>
        <w:numPr>
          <w:ilvl w:val="0"/>
          <w:numId w:val="1"/>
        </w:numPr>
        <w:shd w:val="clear" w:color="auto" w:fill="FFFFFF"/>
        <w:spacing w:beforeAutospacing="0" w:afterAutospacing="0" w:line="560" w:lineRule="exact"/>
        <w:ind w:firstLine="697"/>
        <w:jc w:val="both"/>
        <w:rPr>
          <w:rFonts w:ascii="黑体" w:hAnsi="黑体" w:eastAsia="黑体"/>
          <w:sz w:val="32"/>
          <w:szCs w:val="32"/>
        </w:rPr>
      </w:pPr>
      <w:r>
        <w:rPr>
          <w:rFonts w:ascii="黑体" w:hAnsi="黑体" w:eastAsia="黑体"/>
          <w:sz w:val="32"/>
          <w:szCs w:val="32"/>
        </w:rPr>
        <w:t>部门职责</w:t>
      </w:r>
    </w:p>
    <w:p w14:paraId="68E4A673">
      <w:pPr>
        <w:pStyle w:val="9"/>
        <w:widowControl/>
        <w:shd w:val="clear" w:color="auto" w:fill="FFFFFF"/>
        <w:spacing w:beforeAutospacing="0" w:afterAutospacing="0" w:line="560" w:lineRule="exact"/>
        <w:ind w:firstLine="697"/>
        <w:jc w:val="both"/>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(一)负责全市林业和草原及其生态保护修复的监督管理。 拟订林业和草原及其生态保护修复的政策、规划、标准并组织实施,按规定起草相关地方性法规、规章草案。组织开展森林、草原、湿地、荒漠和陆生野生动植物资源动态监测与评价,统一发布相关信息。</w:t>
      </w:r>
    </w:p>
    <w:p w14:paraId="4AFECA76">
      <w:pPr>
        <w:pStyle w:val="9"/>
        <w:widowControl/>
        <w:shd w:val="clear" w:color="auto" w:fill="FFFFFF"/>
        <w:spacing w:beforeAutospacing="0" w:afterAutospacing="0" w:line="560" w:lineRule="exact"/>
        <w:ind w:firstLine="697"/>
        <w:jc w:val="both"/>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二)组织,协调,指导和监督全市林业和草原生态保护修复及造林绿化工作。组织实施林业和草原重点生态保护修复工程,指导、监督各类公益林和商品林的培育、指导、监督全民义务植树、城乡绿化工作,组织指导林木花卉工作。指导林业和草原有害生物防治、检疫工作。承担林业和草原应对气候变化的相关工作。承担市绿化委员会的具体工作.</w:t>
      </w:r>
    </w:p>
    <w:p w14:paraId="7800D2E0">
      <w:pPr>
        <w:pStyle w:val="9"/>
        <w:widowControl/>
        <w:shd w:val="clear" w:color="auto" w:fill="FFFFFF"/>
        <w:spacing w:beforeAutospacing="0" w:afterAutospacing="0" w:line="560" w:lineRule="exact"/>
        <w:ind w:firstLine="697"/>
        <w:jc w:val="both"/>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三)负责森林、草原、湿地资源的监督管理。组织编制并监督执行全市森林采伐限额。负责林地管理,拟订林地保护利用规划并组织实施,指导公益林区划界定和保护管理工作,按权限负责管理国有森林资源。负责草原禁牧、草畜平衡和草原生态修复治理工作,监督管理草原的开发利用。负责湿地生态保护修复工作,拟订湿地保护规划和相关标准,监督管理湿地的开发利用。</w:t>
      </w:r>
    </w:p>
    <w:p w14:paraId="59257CF6">
      <w:pPr>
        <w:pStyle w:val="9"/>
        <w:widowControl/>
        <w:shd w:val="clear" w:color="auto" w:fill="FFFFFF"/>
        <w:spacing w:beforeAutospacing="0" w:afterAutospacing="0" w:line="560" w:lineRule="exact"/>
        <w:ind w:firstLine="697"/>
        <w:jc w:val="both"/>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四)负责监督管理石漠化防治工作。组织开展荒漠调查,组织拟订防沙治沙、石漠化防治及沙化土地封禁保护区建设规划,拟订相关标准,监督管理沙化土地的开发利用，组织、指导建设项目对土地沙化影响的审核,组织沙化灾害预测预报和应急处置。</w:t>
      </w:r>
    </w:p>
    <w:p w14:paraId="6B8BB21C">
      <w:pPr>
        <w:pStyle w:val="9"/>
        <w:widowControl/>
        <w:shd w:val="clear" w:color="auto" w:fill="FFFFFF"/>
        <w:spacing w:beforeAutospacing="0" w:afterAutospacing="0" w:line="560" w:lineRule="exact"/>
        <w:ind w:firstLine="697"/>
        <w:jc w:val="both"/>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五)负责陆生野生动植物资源监督管理。组织开展陆生野生动植物资源调查,拟订及调整市级重点保护的陆生野生动物、植物名录,指导陆生野生动植物的救护繁育,栖息地恢复发展、疫源疫病监测,监督管理陆生野生动植物猎捕或采集,驯养繁殖或培植、经营利用，按分工监督管理野生动植物进出口。</w:t>
      </w:r>
    </w:p>
    <w:p w14:paraId="116F1A8B">
      <w:pPr>
        <w:pStyle w:val="9"/>
        <w:widowControl/>
        <w:shd w:val="clear" w:color="auto" w:fill="FFFFFF"/>
        <w:spacing w:beforeAutospacing="0" w:afterAutospacing="0" w:line="560" w:lineRule="exact"/>
        <w:ind w:firstLine="697"/>
        <w:jc w:val="both"/>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六)负责监督管理各类自然保护地。拟订各类自然保护地规划和相关标准,负责国家公园设立、规划、建设和特许经营等工作,负责省政府委托市政府或市政府直接行使所有权的国家公园等自然保护地的自然资源资产管理和国土空间用途管制。提出新建、调整各类自然保护地的审核建议并按程序报批,组织审核世界自然遗产的申报,会同有关部门审核自然与文化双重遗产的申报。负责生物多样性保护相关工作。</w:t>
      </w:r>
    </w:p>
    <w:p w14:paraId="2F5BF444">
      <w:pPr>
        <w:pStyle w:val="9"/>
        <w:widowControl/>
        <w:shd w:val="clear" w:color="auto" w:fill="FFFFFF"/>
        <w:spacing w:beforeAutospacing="0" w:afterAutospacing="0" w:line="560" w:lineRule="exact"/>
        <w:ind w:firstLine="697"/>
        <w:jc w:val="both"/>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(七)负责推进林业和草原改革相关工作。拟订集体林权制度、 国有林场、草原等重大改革意见并监督实施。拟订农村林业发展、维护林业经营者合法权益的政策措施,指导农村林地承包经营工作。 开展退耕(牧)还林还草,负责天然林保护工作。</w:t>
      </w:r>
    </w:p>
    <w:p w14:paraId="29A08599">
      <w:pPr>
        <w:pStyle w:val="9"/>
        <w:widowControl/>
        <w:shd w:val="clear" w:color="auto" w:fill="FFFFFF"/>
        <w:spacing w:beforeAutospacing="0" w:afterAutospacing="0" w:line="560" w:lineRule="exact"/>
        <w:ind w:firstLine="697"/>
        <w:jc w:val="both"/>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(八)拟订林业和草原资源优化配置及木材利用政策,拟订相关林业产业标准并监督实施,组织、指导林产品质量监督,指导生态扶贫相关工作。</w:t>
      </w:r>
    </w:p>
    <w:p w14:paraId="22FF0BD2">
      <w:pPr>
        <w:pStyle w:val="9"/>
        <w:widowControl/>
        <w:shd w:val="clear" w:color="auto" w:fill="FFFFFF"/>
        <w:spacing w:beforeAutospacing="0" w:afterAutospacing="0" w:line="560" w:lineRule="exact"/>
        <w:ind w:firstLine="697"/>
        <w:jc w:val="both"/>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(九)指导国有林场基本建设和发展,组织林木种子、草种种质资源普查,组织建立种质资源库,负责良种选育推广,管理林木种苗、草种生产经营行为,监管林木种苗、草种质量。 监督管理林业和草原生物种质资源转基因生物安全、植物新品种保护。</w:t>
      </w:r>
    </w:p>
    <w:p w14:paraId="1C8B9041">
      <w:pPr>
        <w:pStyle w:val="9"/>
        <w:widowControl/>
        <w:shd w:val="clear" w:color="auto" w:fill="FFFFFF"/>
        <w:spacing w:beforeAutospacing="0" w:afterAutospacing="0" w:line="560" w:lineRule="exact"/>
        <w:ind w:firstLine="697"/>
        <w:jc w:val="both"/>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(十)指导全市森林公安工作,监督管理森林公安队伍,指导全市林业重大违法案件的查处,负责相关行政执法监管工作,指导林区社会治安治理工作。</w:t>
      </w:r>
    </w:p>
    <w:p w14:paraId="582A5C32">
      <w:pPr>
        <w:pStyle w:val="9"/>
        <w:widowControl/>
        <w:shd w:val="clear" w:color="auto" w:fill="FFFFFF"/>
        <w:spacing w:beforeAutospacing="0" w:afterAutospacing="0" w:line="560" w:lineRule="exact"/>
        <w:ind w:firstLine="697"/>
        <w:jc w:val="both"/>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十一)负责落实综合防灾减灾规划相关要求,组织编制森林和草原火灾防治规划和防护标准并指导实施,指导开展防火巡护、火源管理、防火设施建设等工作。组织指导国有林场林区和草原开展宣传教育、监测预警、督促检查等防火工作。必要时,可以提请市应急管理局,以市应急指挥机构名义,部署相关防治工作。</w:t>
      </w:r>
    </w:p>
    <w:p w14:paraId="61865902">
      <w:pPr>
        <w:pStyle w:val="9"/>
        <w:widowControl/>
        <w:shd w:val="clear" w:color="auto" w:fill="FFFFFF"/>
        <w:spacing w:beforeAutospacing="0" w:afterAutospacing="0" w:line="560" w:lineRule="exact"/>
        <w:ind w:firstLine="697"/>
        <w:jc w:val="both"/>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十二)监督管理林业和草原资金和国有资产,提出林业和草原预算内投资、财政性资金安排建议,按市政府规定权限,审核市级规划内和年度计划内投资项目。参与拟订林业和草原经济调节政策,组织实施林业和草原生态补偿工作.</w:t>
      </w:r>
    </w:p>
    <w:p w14:paraId="4CC41115">
      <w:pPr>
        <w:pStyle w:val="9"/>
        <w:widowControl/>
        <w:shd w:val="clear" w:color="auto" w:fill="FFFFFF"/>
        <w:spacing w:beforeAutospacing="0" w:afterAutospacing="0" w:line="560" w:lineRule="exact"/>
        <w:ind w:firstLine="697"/>
        <w:jc w:val="both"/>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(十三)负责林业和草原科技、教育和外事工作,指导全市林业和草原人才队伍建设,组织实施林业和草原国际交流与合作事务,承担湿地、防治荒漠化、濒危野生动植物等国际公约履约工作。</w:t>
      </w:r>
    </w:p>
    <w:p w14:paraId="53265421">
      <w:pPr>
        <w:pStyle w:val="9"/>
        <w:widowControl/>
        <w:shd w:val="clear" w:color="auto" w:fill="FFFFFF"/>
        <w:spacing w:beforeAutospacing="0" w:afterAutospacing="0" w:line="560" w:lineRule="exact"/>
        <w:ind w:firstLine="697"/>
        <w:jc w:val="both"/>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(十四)完成市委,市政府交办的其他任务。</w:t>
      </w:r>
    </w:p>
    <w:p w14:paraId="61911111">
      <w:pPr>
        <w:pStyle w:val="9"/>
        <w:widowControl/>
        <w:shd w:val="clear" w:color="auto" w:fill="FFFFFF"/>
        <w:spacing w:beforeAutospacing="0" w:afterAutospacing="0" w:line="560" w:lineRule="exact"/>
        <w:ind w:firstLine="697"/>
        <w:jc w:val="both"/>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十五)职能转变。市林业局要切实加大生态系统保护力度,实施重要生态系统保护和修复工程,加强森林、草原、湿地监督管理的统筹协调,大力推进国土绿化保障国家生态安全,加快建立以国家公园为主体的自然保护地体系,统一推进全市各类自然保护地的清理规范和归并整合,构建统一规范高效的国家公园体制。</w:t>
      </w:r>
    </w:p>
    <w:p w14:paraId="35E64546">
      <w:pPr>
        <w:widowControl/>
        <w:spacing w:line="600" w:lineRule="exact"/>
        <w:ind w:firstLine="643" w:firstLineChars="200"/>
        <w:rPr>
          <w:rFonts w:ascii="黑体" w:hAnsi="黑体" w:eastAsia="黑体"/>
          <w:b/>
          <w:kern w:val="0"/>
          <w:sz w:val="32"/>
          <w:szCs w:val="32"/>
        </w:rPr>
      </w:pPr>
      <w:r>
        <w:rPr>
          <w:rFonts w:hint="eastAsia" w:ascii="黑体" w:hAnsi="黑体" w:eastAsia="黑体"/>
          <w:b/>
          <w:kern w:val="0"/>
          <w:sz w:val="32"/>
          <w:szCs w:val="32"/>
        </w:rPr>
        <w:t>二、机构设置及决算单位构成</w:t>
      </w:r>
    </w:p>
    <w:p w14:paraId="5EAD2443">
      <w:pPr>
        <w:widowControl/>
        <w:spacing w:line="560" w:lineRule="exact"/>
        <w:ind w:firstLine="640" w:firstLineChars="200"/>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一）内设机构设置。怀化市林业局作为一级部门预算单位，内设机构包括：怀化市林业局属全额拨款行政事业单位，行政级别正处级，辖7个内设行政科室（办公室、造林绿化科、森林资源管理科、自然保护地和野生动植物管理科、规划财务科、人事教育科、森林草原防火科）、5个非独立核算事业机构（怀化市林业综合服务中心、怀化市国有林场和森林公园服务中心、怀化市森林病虫害防治检疫站、怀化市野生动植物保护中心、怀化市林业改革发展服务中心）。下属的独立核算的二级单位有6个，其中全额拨款单位有1个：林业调查设计院；差额拨款财政补助单位2个：湖南省中坡森林公园管理处（副处级）、泸阳国有林场；自收自支事（企）业单位3个：五溪林场、木材公司、林业产业发展公司。</w:t>
      </w:r>
    </w:p>
    <w:p w14:paraId="1669214A">
      <w:pPr>
        <w:widowControl/>
        <w:spacing w:line="560" w:lineRule="exact"/>
        <w:ind w:firstLine="640" w:firstLineChars="200"/>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（二）决算单位构成。怀化市林业局2023年部门决算公开单位构成包括：怀化市林业局本级。</w:t>
      </w:r>
    </w:p>
    <w:p w14:paraId="1C200F97">
      <w:pPr>
        <w:keepNext w:val="0"/>
        <w:keepLines w:val="0"/>
        <w:pageBreakBefore w:val="0"/>
        <w:widowControl/>
        <w:kinsoku/>
        <w:wordWrap/>
        <w:overflowPunct/>
        <w:topLinePunct w:val="0"/>
        <w:autoSpaceDE/>
        <w:autoSpaceDN/>
        <w:bidi w:val="0"/>
        <w:adjustRightInd/>
        <w:snapToGrid/>
        <w:spacing w:line="500" w:lineRule="auto"/>
        <w:ind w:right="0" w:rightChars="0"/>
        <w:jc w:val="left"/>
        <w:textAlignment w:val="auto"/>
        <w:outlineLvl w:val="9"/>
        <w:rPr>
          <w:rFonts w:hint="eastAsia" w:ascii="仿宋_GB2312" w:hAnsi="仿宋_GB2312" w:eastAsia="仿宋_GB2312" w:cs="仿宋_GB2312"/>
          <w:color w:val="000000"/>
          <w:kern w:val="0"/>
          <w:sz w:val="32"/>
          <w:szCs w:val="32"/>
          <w:lang w:val="en-US" w:eastAsia="zh-CN" w:bidi="ar-SA"/>
        </w:rPr>
      </w:pPr>
    </w:p>
    <w:p w14:paraId="0459BFCA">
      <w:pPr>
        <w:jc w:val="left"/>
        <w:rPr>
          <w:rFonts w:ascii="仿宋_GB2312" w:eastAsia="仿宋_GB2312" w:hAnsiTheme="minorEastAsia"/>
          <w:sz w:val="32"/>
          <w:szCs w:val="32"/>
        </w:rPr>
      </w:pPr>
    </w:p>
    <w:p w14:paraId="30A000B6">
      <w:pPr>
        <w:jc w:val="center"/>
        <w:rPr>
          <w:rFonts w:ascii="黑体" w:hAnsi="黑体" w:eastAsia="黑体"/>
          <w:sz w:val="32"/>
          <w:szCs w:val="32"/>
        </w:rPr>
      </w:pPr>
    </w:p>
    <w:p w14:paraId="2C74B676">
      <w:pPr>
        <w:jc w:val="center"/>
        <w:rPr>
          <w:rFonts w:ascii="黑体" w:hAnsi="黑体" w:eastAsia="黑体"/>
          <w:sz w:val="28"/>
          <w:szCs w:val="28"/>
        </w:rPr>
      </w:pPr>
    </w:p>
    <w:p w14:paraId="32FB481D">
      <w:pPr>
        <w:jc w:val="center"/>
        <w:rPr>
          <w:rFonts w:ascii="黑体" w:hAnsi="黑体" w:eastAsia="黑体"/>
          <w:sz w:val="28"/>
          <w:szCs w:val="28"/>
        </w:rPr>
      </w:pPr>
    </w:p>
    <w:p w14:paraId="52CF125E">
      <w:pPr>
        <w:jc w:val="center"/>
        <w:rPr>
          <w:rFonts w:ascii="黑体" w:hAnsi="黑体" w:eastAsia="黑体"/>
          <w:sz w:val="28"/>
          <w:szCs w:val="28"/>
        </w:rPr>
      </w:pPr>
    </w:p>
    <w:p w14:paraId="663E02B3">
      <w:pPr>
        <w:jc w:val="center"/>
        <w:rPr>
          <w:rFonts w:ascii="黑体" w:hAnsi="黑体" w:eastAsia="黑体"/>
          <w:sz w:val="28"/>
          <w:szCs w:val="28"/>
        </w:rPr>
      </w:pPr>
    </w:p>
    <w:p w14:paraId="65E4870A">
      <w:pPr>
        <w:jc w:val="center"/>
        <w:rPr>
          <w:rFonts w:ascii="黑体" w:hAnsi="黑体" w:eastAsia="黑体"/>
          <w:sz w:val="28"/>
          <w:szCs w:val="28"/>
        </w:rPr>
      </w:pPr>
    </w:p>
    <w:p w14:paraId="4DF82DFC">
      <w:pPr>
        <w:jc w:val="center"/>
        <w:rPr>
          <w:sz w:val="72"/>
          <w:szCs w:val="72"/>
        </w:rPr>
      </w:pPr>
      <w:r>
        <w:rPr>
          <w:rFonts w:hint="eastAsia"/>
          <w:sz w:val="72"/>
          <w:szCs w:val="72"/>
          <w:lang w:val="en-US" w:eastAsia="zh-CN"/>
        </w:rPr>
        <w:t xml:space="preserve"> </w:t>
      </w:r>
      <w:r>
        <w:rPr>
          <w:rFonts w:hint="eastAsia"/>
          <w:sz w:val="72"/>
          <w:szCs w:val="72"/>
        </w:rPr>
        <w:t>第二部分</w:t>
      </w:r>
    </w:p>
    <w:p w14:paraId="562B529E">
      <w:pPr>
        <w:jc w:val="center"/>
        <w:rPr>
          <w:sz w:val="72"/>
          <w:szCs w:val="72"/>
        </w:rPr>
      </w:pPr>
    </w:p>
    <w:p w14:paraId="1847A428">
      <w:pPr>
        <w:ind w:firstLine="3600" w:firstLineChars="500"/>
        <w:jc w:val="both"/>
        <w:rPr>
          <w:rFonts w:hint="eastAsia"/>
          <w:sz w:val="72"/>
          <w:szCs w:val="72"/>
        </w:rPr>
      </w:pPr>
      <w:r>
        <w:rPr>
          <w:rFonts w:hint="eastAsia"/>
          <w:sz w:val="72"/>
          <w:szCs w:val="72"/>
        </w:rPr>
        <w:t>部门决算表</w:t>
      </w:r>
    </w:p>
    <w:p w14:paraId="724867F2">
      <w:pPr>
        <w:ind w:firstLine="4320" w:firstLineChars="1200"/>
        <w:jc w:val="both"/>
        <w:rPr>
          <w:sz w:val="36"/>
          <w:szCs w:val="36"/>
        </w:rPr>
      </w:pPr>
      <w:r>
        <w:rPr>
          <w:rFonts w:hint="eastAsia"/>
          <w:sz w:val="36"/>
          <w:szCs w:val="36"/>
          <w:lang w:eastAsia="zh-CN"/>
        </w:rPr>
        <w:t>公开表见附件</w:t>
      </w:r>
    </w:p>
    <w:p w14:paraId="5387B1EB">
      <w:pPr>
        <w:jc w:val="center"/>
        <w:rPr>
          <w:sz w:val="72"/>
          <w:szCs w:val="72"/>
        </w:rPr>
      </w:pPr>
    </w:p>
    <w:p w14:paraId="66CF7CF7">
      <w:pPr>
        <w:jc w:val="both"/>
        <w:rPr>
          <w:sz w:val="72"/>
          <w:szCs w:val="72"/>
        </w:rPr>
      </w:pPr>
    </w:p>
    <w:p w14:paraId="1371F5DA">
      <w:pPr>
        <w:jc w:val="center"/>
        <w:rPr>
          <w:sz w:val="72"/>
          <w:szCs w:val="72"/>
        </w:rPr>
      </w:pPr>
    </w:p>
    <w:p w14:paraId="50F6B577">
      <w:pPr>
        <w:jc w:val="center"/>
        <w:rPr>
          <w:sz w:val="72"/>
          <w:szCs w:val="72"/>
        </w:rPr>
      </w:pPr>
    </w:p>
    <w:p w14:paraId="61C0F2B6">
      <w:pPr>
        <w:jc w:val="center"/>
        <w:rPr>
          <w:sz w:val="72"/>
          <w:szCs w:val="72"/>
        </w:rPr>
      </w:pPr>
    </w:p>
    <w:p w14:paraId="7E382E63">
      <w:pPr>
        <w:jc w:val="center"/>
        <w:rPr>
          <w:sz w:val="72"/>
          <w:szCs w:val="72"/>
        </w:rPr>
      </w:pPr>
    </w:p>
    <w:p w14:paraId="54BBC29D">
      <w:pPr>
        <w:jc w:val="center"/>
        <w:rPr>
          <w:sz w:val="72"/>
          <w:szCs w:val="72"/>
        </w:rPr>
      </w:pPr>
    </w:p>
    <w:p w14:paraId="00960B41">
      <w:pPr>
        <w:jc w:val="left"/>
        <w:rPr>
          <w:sz w:val="32"/>
          <w:szCs w:val="32"/>
        </w:rPr>
      </w:pPr>
    </w:p>
    <w:p w14:paraId="632BF31C">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14:paraId="144FBD98">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p>
    <w:p w14:paraId="4A767065">
      <w:pPr>
        <w:widowControl/>
        <w:rPr>
          <w:rFonts w:ascii="Times New Roman" w:hAnsi="Times New Roman" w:eastAsia="方正小标宋_GBK" w:cs="Times New Roman"/>
          <w:color w:val="000000"/>
          <w:kern w:val="0"/>
          <w:sz w:val="36"/>
          <w:szCs w:val="36"/>
        </w:rPr>
      </w:pPr>
    </w:p>
    <w:p w14:paraId="71DB4355">
      <w:pPr>
        <w:widowControl/>
        <w:ind w:left="93"/>
        <w:jc w:val="center"/>
        <w:rPr>
          <w:rFonts w:ascii="Times New Roman" w:hAnsi="Times New Roman" w:eastAsia="方正小标宋_GBK" w:cs="Times New Roman"/>
          <w:color w:val="000000"/>
          <w:kern w:val="0"/>
          <w:sz w:val="36"/>
          <w:szCs w:val="21"/>
        </w:rPr>
      </w:pPr>
    </w:p>
    <w:p w14:paraId="747D97F6">
      <w:pPr>
        <w:pStyle w:val="14"/>
        <w:rPr>
          <w:sz w:val="72"/>
          <w:szCs w:val="72"/>
        </w:rPr>
      </w:pPr>
      <w:bookmarkStart w:id="0" w:name="RANGE!A1:I22"/>
      <w:bookmarkEnd w:id="0"/>
    </w:p>
    <w:p w14:paraId="43A374DC">
      <w:pPr>
        <w:pStyle w:val="14"/>
        <w:rPr>
          <w:sz w:val="72"/>
          <w:szCs w:val="72"/>
        </w:rPr>
      </w:pPr>
    </w:p>
    <w:p w14:paraId="6BDFC503">
      <w:pPr>
        <w:pStyle w:val="14"/>
        <w:rPr>
          <w:sz w:val="72"/>
          <w:szCs w:val="72"/>
        </w:rPr>
      </w:pPr>
    </w:p>
    <w:p w14:paraId="7D994D86">
      <w:pPr>
        <w:pStyle w:val="14"/>
        <w:ind w:firstLine="3600" w:firstLineChars="500"/>
        <w:jc w:val="both"/>
        <w:rPr>
          <w:sz w:val="72"/>
          <w:szCs w:val="72"/>
        </w:rPr>
      </w:pPr>
      <w:r>
        <w:rPr>
          <w:rFonts w:hint="eastAsia"/>
          <w:sz w:val="72"/>
          <w:szCs w:val="72"/>
        </w:rPr>
        <w:t>第三部分</w:t>
      </w:r>
    </w:p>
    <w:p w14:paraId="5B40E5D7">
      <w:pPr>
        <w:pStyle w:val="14"/>
        <w:jc w:val="center"/>
        <w:rPr>
          <w:sz w:val="70"/>
          <w:szCs w:val="70"/>
        </w:rPr>
      </w:pPr>
    </w:p>
    <w:p w14:paraId="7C83824E">
      <w:pPr>
        <w:pStyle w:val="14"/>
        <w:jc w:val="center"/>
        <w:rPr>
          <w:sz w:val="70"/>
          <w:szCs w:val="70"/>
        </w:rPr>
      </w:pPr>
      <w:r>
        <w:rPr>
          <w:sz w:val="70"/>
          <w:szCs w:val="70"/>
        </w:rPr>
        <w:t>20</w:t>
      </w:r>
      <w:r>
        <w:rPr>
          <w:rFonts w:hint="eastAsia"/>
          <w:sz w:val="70"/>
          <w:szCs w:val="70"/>
        </w:rPr>
        <w:t>2</w:t>
      </w:r>
      <w:r>
        <w:rPr>
          <w:rFonts w:hint="eastAsia"/>
          <w:sz w:val="70"/>
          <w:szCs w:val="70"/>
          <w:lang w:val="en-US" w:eastAsia="zh-CN"/>
        </w:rPr>
        <w:t>3</w:t>
      </w:r>
      <w:r>
        <w:rPr>
          <w:rFonts w:hint="eastAsia"/>
          <w:sz w:val="70"/>
          <w:szCs w:val="70"/>
        </w:rPr>
        <w:t>年度部门决算情况说明</w:t>
      </w:r>
    </w:p>
    <w:p w14:paraId="20733CE8">
      <w:pPr>
        <w:widowControl/>
        <w:jc w:val="left"/>
        <w:rPr>
          <w:rFonts w:ascii="黑体" w:eastAsia="黑体" w:cs="黑体"/>
          <w:color w:val="000000"/>
          <w:kern w:val="0"/>
          <w:sz w:val="70"/>
          <w:szCs w:val="70"/>
        </w:rPr>
      </w:pPr>
      <w:r>
        <w:rPr>
          <w:sz w:val="70"/>
          <w:szCs w:val="70"/>
        </w:rPr>
        <w:br w:type="page"/>
      </w:r>
    </w:p>
    <w:p w14:paraId="0A165008">
      <w:pPr>
        <w:pStyle w:val="14"/>
        <w:rPr>
          <w:rFonts w:asciiTheme="minorEastAsia" w:hAnsiTheme="minorEastAsia" w:eastAsiaTheme="minorEastAsia"/>
          <w:sz w:val="32"/>
          <w:szCs w:val="32"/>
        </w:rPr>
      </w:pPr>
    </w:p>
    <w:p w14:paraId="0F3D0E90">
      <w:pPr>
        <w:pStyle w:val="14"/>
        <w:rPr>
          <w:rFonts w:hint="eastAsia" w:ascii="黑体" w:hAnsi="黑体" w:eastAsia="黑体" w:cs="黑体"/>
          <w:b/>
          <w:sz w:val="32"/>
          <w:szCs w:val="32"/>
        </w:rPr>
      </w:pPr>
      <w:r>
        <w:rPr>
          <w:rFonts w:hint="eastAsia" w:ascii="黑体" w:hAnsi="黑体" w:eastAsia="黑体" w:cs="黑体"/>
          <w:b/>
          <w:sz w:val="32"/>
          <w:szCs w:val="32"/>
        </w:rPr>
        <w:t>一、收入支出决算总体情况说明</w:t>
      </w:r>
    </w:p>
    <w:p w14:paraId="728FC6FA">
      <w:pPr>
        <w:pStyle w:val="14"/>
        <w:ind w:firstLine="640" w:firstLineChars="200"/>
        <w:rPr>
          <w:rFonts w:hint="eastAsia" w:ascii="宋体" w:hAnsi="宋体" w:eastAsia="宋体" w:cs="宋体"/>
          <w:sz w:val="32"/>
          <w:szCs w:val="32"/>
          <w:lang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年度收、支总计</w:t>
      </w:r>
      <w:r>
        <w:rPr>
          <w:rFonts w:hint="eastAsia" w:ascii="仿宋_GB2312" w:hAnsi="仿宋_GB2312" w:eastAsia="仿宋_GB2312" w:cs="仿宋_GB2312"/>
          <w:sz w:val="32"/>
          <w:szCs w:val="32"/>
          <w:lang w:val="en-US" w:eastAsia="zh-CN"/>
        </w:rPr>
        <w:t>3449.55</w:t>
      </w:r>
      <w:r>
        <w:rPr>
          <w:rFonts w:hint="eastAsia" w:ascii="仿宋_GB2312" w:hAnsi="仿宋_GB2312" w:eastAsia="仿宋_GB2312" w:cs="仿宋_GB2312"/>
          <w:sz w:val="32"/>
          <w:szCs w:val="32"/>
        </w:rPr>
        <w:t>万元。与上年相比</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32.89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增长</w:t>
      </w:r>
      <w:r>
        <w:rPr>
          <w:rFonts w:hint="eastAsia" w:ascii="仿宋_GB2312" w:hAnsi="仿宋_GB2312" w:eastAsia="仿宋_GB2312" w:cs="仿宋_GB2312"/>
          <w:sz w:val="32"/>
          <w:szCs w:val="32"/>
          <w:lang w:val="en-US" w:eastAsia="zh-CN"/>
        </w:rPr>
        <w:t>0.96</w:t>
      </w:r>
      <w:r>
        <w:rPr>
          <w:rFonts w:hint="eastAsia" w:ascii="仿宋_GB2312" w:hAnsi="仿宋_GB2312" w:eastAsia="仿宋_GB2312" w:cs="仿宋_GB2312"/>
          <w:sz w:val="32"/>
          <w:szCs w:val="32"/>
        </w:rPr>
        <w:t>%，主要是因为</w:t>
      </w:r>
      <w:r>
        <w:rPr>
          <w:rFonts w:hint="eastAsia" w:ascii="仿宋_GB2312" w:hAnsi="仿宋_GB2312" w:eastAsia="仿宋_GB2312" w:cs="仿宋_GB2312"/>
          <w:sz w:val="32"/>
          <w:szCs w:val="32"/>
          <w:lang w:eastAsia="zh-CN"/>
        </w:rPr>
        <w:t>一般公共预算财政拨款收入增加。</w:t>
      </w:r>
    </w:p>
    <w:p w14:paraId="5621AB93">
      <w:pPr>
        <w:pStyle w:val="14"/>
        <w:rPr>
          <w:rFonts w:hAnsi="黑体"/>
          <w:b/>
          <w:sz w:val="32"/>
          <w:szCs w:val="32"/>
        </w:rPr>
      </w:pPr>
      <w:r>
        <w:rPr>
          <w:rFonts w:hint="eastAsia" w:hAnsi="黑体"/>
          <w:b/>
          <w:sz w:val="32"/>
          <w:szCs w:val="32"/>
        </w:rPr>
        <w:t>二、收入决算情况说明</w:t>
      </w:r>
    </w:p>
    <w:p w14:paraId="72A43F34">
      <w:pPr>
        <w:pStyle w:val="14"/>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年度收入合计</w:t>
      </w:r>
      <w:r>
        <w:rPr>
          <w:rFonts w:hint="eastAsia" w:ascii="仿宋_GB2312" w:hAnsi="仿宋_GB2312" w:eastAsia="仿宋_GB2312" w:cs="仿宋_GB2312"/>
          <w:sz w:val="32"/>
          <w:szCs w:val="32"/>
          <w:lang w:val="en-US" w:eastAsia="zh-CN"/>
        </w:rPr>
        <w:t>3449.55</w:t>
      </w:r>
      <w:r>
        <w:rPr>
          <w:rFonts w:hint="eastAsia" w:ascii="仿宋_GB2312" w:hAnsi="仿宋_GB2312" w:eastAsia="仿宋_GB2312" w:cs="仿宋_GB2312"/>
          <w:sz w:val="32"/>
          <w:szCs w:val="32"/>
        </w:rPr>
        <w:t>万元，其中：财政拨款收入</w:t>
      </w:r>
      <w:r>
        <w:rPr>
          <w:rFonts w:hint="eastAsia" w:ascii="仿宋_GB2312" w:hAnsi="仿宋_GB2312" w:eastAsia="仿宋_GB2312" w:cs="仿宋_GB2312"/>
          <w:sz w:val="32"/>
          <w:szCs w:val="32"/>
          <w:lang w:val="en-US" w:eastAsia="zh-CN"/>
        </w:rPr>
        <w:t>3449.55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%；上</w:t>
      </w:r>
      <w:r>
        <w:rPr>
          <w:rFonts w:hint="eastAsia" w:ascii="仿宋_GB2312" w:hAnsi="仿宋_GB2312" w:eastAsia="仿宋_GB2312" w:cs="仿宋_GB2312"/>
          <w:b w:val="0"/>
          <w:bCs w:val="0"/>
          <w:sz w:val="32"/>
          <w:szCs w:val="32"/>
        </w:rPr>
        <w:t>级补助收入</w:t>
      </w:r>
      <w:r>
        <w:rPr>
          <w:rFonts w:hint="eastAsia" w:ascii="仿宋_GB2312" w:hAnsi="仿宋_GB2312" w:eastAsia="仿宋_GB2312" w:cs="仿宋_GB2312"/>
          <w:b w:val="0"/>
          <w:bCs w:val="0"/>
          <w:sz w:val="32"/>
          <w:szCs w:val="32"/>
          <w:lang w:val="en-US" w:eastAsia="zh-CN"/>
        </w:rPr>
        <w:t>0</w:t>
      </w:r>
      <w:r>
        <w:rPr>
          <w:rFonts w:hint="eastAsia" w:ascii="仿宋_GB2312" w:hAnsi="仿宋_GB2312" w:eastAsia="仿宋_GB2312" w:cs="仿宋_GB2312"/>
          <w:b w:val="0"/>
          <w:bCs w:val="0"/>
          <w:sz w:val="32"/>
          <w:szCs w:val="32"/>
        </w:rPr>
        <w:t>万元，占</w:t>
      </w:r>
      <w:r>
        <w:rPr>
          <w:rFonts w:hint="eastAsia" w:ascii="仿宋_GB2312" w:hAnsi="仿宋_GB2312" w:eastAsia="仿宋_GB2312" w:cs="仿宋_GB2312"/>
          <w:b w:val="0"/>
          <w:bCs w:val="0"/>
          <w:sz w:val="32"/>
          <w:szCs w:val="32"/>
          <w:lang w:val="en-US" w:eastAsia="zh-CN"/>
        </w:rPr>
        <w:t>0</w:t>
      </w:r>
      <w:r>
        <w:rPr>
          <w:rFonts w:hint="eastAsia" w:ascii="仿宋_GB2312" w:hAnsi="仿宋_GB2312" w:eastAsia="仿宋_GB2312" w:cs="仿宋_GB2312"/>
          <w:b w:val="0"/>
          <w:bCs w:val="0"/>
          <w:sz w:val="32"/>
          <w:szCs w:val="32"/>
        </w:rPr>
        <w:t>%；事业收入</w:t>
      </w:r>
      <w:r>
        <w:rPr>
          <w:rFonts w:hint="eastAsia" w:ascii="仿宋_GB2312" w:hAnsi="仿宋_GB2312" w:eastAsia="仿宋_GB2312" w:cs="仿宋_GB2312"/>
          <w:b w:val="0"/>
          <w:bCs w:val="0"/>
          <w:sz w:val="32"/>
          <w:szCs w:val="32"/>
          <w:lang w:val="en-US" w:eastAsia="zh-CN"/>
        </w:rPr>
        <w:t>0</w:t>
      </w:r>
      <w:r>
        <w:rPr>
          <w:rFonts w:hint="eastAsia" w:ascii="仿宋_GB2312" w:hAnsi="仿宋_GB2312" w:eastAsia="仿宋_GB2312" w:cs="仿宋_GB2312"/>
          <w:b w:val="0"/>
          <w:bCs w:val="0"/>
          <w:sz w:val="32"/>
          <w:szCs w:val="32"/>
        </w:rPr>
        <w:t>万元，占</w:t>
      </w:r>
      <w:r>
        <w:rPr>
          <w:rFonts w:hint="eastAsia" w:ascii="仿宋_GB2312" w:hAnsi="仿宋_GB2312" w:eastAsia="仿宋_GB2312" w:cs="仿宋_GB2312"/>
          <w:b w:val="0"/>
          <w:bCs w:val="0"/>
          <w:sz w:val="32"/>
          <w:szCs w:val="32"/>
          <w:lang w:val="en-US" w:eastAsia="zh-CN"/>
        </w:rPr>
        <w:t>0</w:t>
      </w:r>
      <w:r>
        <w:rPr>
          <w:rFonts w:hint="eastAsia" w:ascii="仿宋_GB2312" w:hAnsi="仿宋_GB2312" w:eastAsia="仿宋_GB2312" w:cs="仿宋_GB2312"/>
          <w:b w:val="0"/>
          <w:bCs w:val="0"/>
          <w:sz w:val="32"/>
          <w:szCs w:val="32"/>
        </w:rPr>
        <w:t>%；经营收入</w:t>
      </w:r>
      <w:r>
        <w:rPr>
          <w:rFonts w:hint="eastAsia" w:ascii="仿宋_GB2312" w:hAnsi="仿宋_GB2312" w:eastAsia="仿宋_GB2312" w:cs="仿宋_GB2312"/>
          <w:b w:val="0"/>
          <w:bCs w:val="0"/>
          <w:sz w:val="32"/>
          <w:szCs w:val="32"/>
          <w:lang w:val="en-US" w:eastAsia="zh-CN"/>
        </w:rPr>
        <w:t>0</w:t>
      </w:r>
      <w:r>
        <w:rPr>
          <w:rFonts w:hint="eastAsia" w:ascii="仿宋_GB2312" w:hAnsi="仿宋_GB2312" w:eastAsia="仿宋_GB2312" w:cs="仿宋_GB2312"/>
          <w:b w:val="0"/>
          <w:bCs w:val="0"/>
          <w:sz w:val="32"/>
          <w:szCs w:val="32"/>
        </w:rPr>
        <w:t>万元，占</w:t>
      </w:r>
      <w:r>
        <w:rPr>
          <w:rFonts w:hint="eastAsia" w:ascii="仿宋_GB2312" w:hAnsi="仿宋_GB2312" w:eastAsia="仿宋_GB2312" w:cs="仿宋_GB2312"/>
          <w:b w:val="0"/>
          <w:bCs w:val="0"/>
          <w:sz w:val="32"/>
          <w:szCs w:val="32"/>
          <w:lang w:val="en-US" w:eastAsia="zh-CN"/>
        </w:rPr>
        <w:t>0</w:t>
      </w:r>
      <w:r>
        <w:rPr>
          <w:rFonts w:hint="eastAsia" w:ascii="仿宋_GB2312" w:hAnsi="仿宋_GB2312" w:eastAsia="仿宋_GB2312" w:cs="仿宋_GB2312"/>
          <w:b w:val="0"/>
          <w:bCs w:val="0"/>
          <w:sz w:val="32"/>
          <w:szCs w:val="32"/>
        </w:rPr>
        <w:t>%；附属单位上缴收入</w:t>
      </w:r>
      <w:r>
        <w:rPr>
          <w:rFonts w:hint="eastAsia" w:ascii="仿宋_GB2312" w:hAnsi="仿宋_GB2312" w:eastAsia="仿宋_GB2312" w:cs="仿宋_GB2312"/>
          <w:b w:val="0"/>
          <w:bCs w:val="0"/>
          <w:sz w:val="32"/>
          <w:szCs w:val="32"/>
          <w:lang w:val="en-US" w:eastAsia="zh-CN"/>
        </w:rPr>
        <w:t>0</w:t>
      </w:r>
      <w:r>
        <w:rPr>
          <w:rFonts w:hint="eastAsia" w:ascii="仿宋_GB2312" w:hAnsi="仿宋_GB2312" w:eastAsia="仿宋_GB2312" w:cs="仿宋_GB2312"/>
          <w:b w:val="0"/>
          <w:bCs w:val="0"/>
          <w:sz w:val="32"/>
          <w:szCs w:val="32"/>
        </w:rPr>
        <w:t>万元，</w:t>
      </w:r>
      <w:r>
        <w:rPr>
          <w:rFonts w:hint="eastAsia" w:ascii="仿宋_GB2312" w:hAnsi="仿宋_GB2312" w:eastAsia="仿宋_GB2312" w:cs="仿宋_GB2312"/>
          <w:sz w:val="32"/>
          <w:szCs w:val="32"/>
        </w:rPr>
        <w:t>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%；其他收入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14:paraId="1F84A9C1">
      <w:pPr>
        <w:pStyle w:val="14"/>
        <w:rPr>
          <w:rFonts w:hAnsi="黑体"/>
          <w:b/>
          <w:sz w:val="32"/>
          <w:szCs w:val="32"/>
        </w:rPr>
      </w:pPr>
      <w:r>
        <w:rPr>
          <w:rFonts w:hint="eastAsia" w:hAnsi="黑体"/>
          <w:b/>
          <w:sz w:val="32"/>
          <w:szCs w:val="32"/>
        </w:rPr>
        <w:t>三、支出决算情况说明</w:t>
      </w:r>
    </w:p>
    <w:p w14:paraId="459F415D">
      <w:pPr>
        <w:pStyle w:val="14"/>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年度支出合计</w:t>
      </w:r>
      <w:r>
        <w:rPr>
          <w:rFonts w:hint="eastAsia" w:ascii="仿宋_GB2312" w:hAnsi="仿宋_GB2312" w:eastAsia="仿宋_GB2312" w:cs="仿宋_GB2312"/>
          <w:sz w:val="32"/>
          <w:szCs w:val="32"/>
          <w:lang w:val="en-US" w:eastAsia="zh-CN"/>
        </w:rPr>
        <w:t>3449.47</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1721.28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49.90</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1728.19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50.1</w:t>
      </w:r>
      <w:r>
        <w:rPr>
          <w:rFonts w:hint="eastAsia" w:ascii="仿宋_GB2312" w:hAnsi="仿宋_GB2312" w:eastAsia="仿宋_GB2312" w:cs="仿宋_GB2312"/>
          <w:sz w:val="32"/>
          <w:szCs w:val="32"/>
        </w:rPr>
        <w:t>%；上缴上级支出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%；经营支出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%；对附属单位补助支出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14:paraId="19DDB4A0">
      <w:pPr>
        <w:pStyle w:val="14"/>
        <w:rPr>
          <w:rFonts w:hint="eastAsia" w:asciiTheme="minorEastAsia" w:hAnsiTheme="minorEastAsia" w:eastAsiaTheme="minorEastAsia" w:cstheme="minorEastAsia"/>
          <w:b/>
          <w:sz w:val="32"/>
          <w:szCs w:val="32"/>
        </w:rPr>
      </w:pPr>
      <w:r>
        <w:rPr>
          <w:rFonts w:hint="eastAsia" w:hAnsi="黑体"/>
          <w:b/>
          <w:sz w:val="32"/>
          <w:szCs w:val="32"/>
        </w:rPr>
        <w:t>四、财政拨款收入支出决算总体情况说明</w:t>
      </w:r>
    </w:p>
    <w:p w14:paraId="31B080BB">
      <w:pPr>
        <w:pStyle w:val="14"/>
        <w:rPr>
          <w:rFonts w:hint="eastAsia" w:ascii="仿宋_GB2312" w:hAnsi="仿宋_GB2312" w:eastAsia="仿宋_GB2312" w:cs="仿宋_GB2312"/>
          <w:sz w:val="32"/>
          <w:szCs w:val="32"/>
          <w:lang w:eastAsia="zh-CN"/>
        </w:rPr>
      </w:pPr>
      <w:r>
        <w:rPr>
          <w:rFonts w:hint="eastAsia" w:asciiTheme="minorEastAsia" w:hAnsiTheme="minorEastAsia" w:eastAsiaTheme="minorEastAsia" w:cstheme="minorEastAsia"/>
          <w:sz w:val="32"/>
          <w:szCs w:val="32"/>
        </w:rPr>
        <w:t xml:space="preserve">   </w:t>
      </w: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年度财政拨款收、支总计</w:t>
      </w:r>
      <w:r>
        <w:rPr>
          <w:rFonts w:hint="eastAsia" w:ascii="仿宋_GB2312" w:hAnsi="仿宋_GB2312" w:eastAsia="仿宋_GB2312" w:cs="仿宋_GB2312"/>
          <w:sz w:val="32"/>
          <w:szCs w:val="32"/>
          <w:lang w:val="en-US" w:eastAsia="zh-CN"/>
        </w:rPr>
        <w:t>3449.47</w:t>
      </w:r>
      <w:r>
        <w:rPr>
          <w:rFonts w:hint="eastAsia" w:ascii="仿宋_GB2312" w:hAnsi="仿宋_GB2312" w:eastAsia="仿宋_GB2312" w:cs="仿宋_GB2312"/>
          <w:sz w:val="32"/>
          <w:szCs w:val="32"/>
        </w:rPr>
        <w:t>万元，与上年相比，</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42.3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增长</w:t>
      </w:r>
      <w:r>
        <w:rPr>
          <w:rFonts w:hint="eastAsia" w:ascii="仿宋_GB2312" w:hAnsi="仿宋_GB2312" w:eastAsia="仿宋_GB2312" w:cs="仿宋_GB2312"/>
          <w:sz w:val="32"/>
          <w:szCs w:val="32"/>
          <w:lang w:val="en-US" w:eastAsia="zh-CN"/>
        </w:rPr>
        <w:t>1.24</w:t>
      </w:r>
      <w:r>
        <w:rPr>
          <w:rFonts w:hint="eastAsia" w:ascii="仿宋_GB2312" w:hAnsi="仿宋_GB2312" w:eastAsia="仿宋_GB2312" w:cs="仿宋_GB2312"/>
          <w:sz w:val="32"/>
          <w:szCs w:val="32"/>
        </w:rPr>
        <w:t>%，主要是因</w:t>
      </w:r>
      <w:r>
        <w:rPr>
          <w:rFonts w:hint="eastAsia" w:ascii="仿宋_GB2312" w:hAnsi="仿宋_GB2312" w:eastAsia="仿宋_GB2312" w:cs="仿宋_GB2312"/>
          <w:sz w:val="32"/>
          <w:szCs w:val="32"/>
          <w:lang w:eastAsia="zh-CN"/>
        </w:rPr>
        <w:t>为一般公共预算财政拨款收入增加。</w:t>
      </w:r>
    </w:p>
    <w:p w14:paraId="460CBA73">
      <w:pPr>
        <w:pStyle w:val="14"/>
        <w:rPr>
          <w:rFonts w:hAnsi="黑体"/>
          <w:b/>
          <w:sz w:val="32"/>
          <w:szCs w:val="32"/>
        </w:rPr>
      </w:pPr>
      <w:r>
        <w:rPr>
          <w:rFonts w:hint="eastAsia" w:hAnsi="黑体"/>
          <w:b/>
          <w:sz w:val="32"/>
          <w:szCs w:val="32"/>
        </w:rPr>
        <w:t>五、一般公共预算财政拨款支出决算情况说明</w:t>
      </w:r>
    </w:p>
    <w:p w14:paraId="565507F7">
      <w:pPr>
        <w:pStyle w:val="14"/>
        <w:ind w:firstLine="640" w:firstLineChars="200"/>
        <w:rPr>
          <w:rFonts w:hint="eastAsia" w:ascii="黑体" w:hAnsi="黑体" w:eastAsia="黑体" w:cs="黑体"/>
          <w:b/>
          <w:sz w:val="32"/>
          <w:szCs w:val="32"/>
        </w:rPr>
      </w:pPr>
      <w:r>
        <w:rPr>
          <w:rFonts w:hint="eastAsia" w:ascii="黑体" w:hAnsi="黑体" w:eastAsia="黑体" w:cs="黑体"/>
          <w:b/>
          <w:sz w:val="32"/>
          <w:szCs w:val="32"/>
        </w:rPr>
        <w:t>（一）财政拨款支出决算总体情况</w:t>
      </w:r>
    </w:p>
    <w:p w14:paraId="0D12720F">
      <w:pPr>
        <w:pStyle w:val="14"/>
        <w:ind w:firstLine="800" w:firstLineChars="25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年度财政拨款支出</w:t>
      </w:r>
      <w:r>
        <w:rPr>
          <w:rFonts w:hint="eastAsia" w:ascii="仿宋_GB2312" w:hAnsi="仿宋_GB2312" w:eastAsia="仿宋_GB2312" w:cs="仿宋_GB2312"/>
          <w:sz w:val="32"/>
          <w:szCs w:val="32"/>
          <w:lang w:val="en-US" w:eastAsia="zh-CN"/>
        </w:rPr>
        <w:t>3449.47</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%，与上年相比，财政拨款支出增加</w:t>
      </w:r>
      <w:r>
        <w:rPr>
          <w:rFonts w:hint="eastAsia" w:ascii="仿宋_GB2312" w:hAnsi="仿宋_GB2312" w:eastAsia="仿宋_GB2312" w:cs="仿宋_GB2312"/>
          <w:sz w:val="32"/>
          <w:szCs w:val="32"/>
          <w:lang w:val="en-US" w:eastAsia="zh-CN"/>
        </w:rPr>
        <w:t>42.3</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1.24</w:t>
      </w:r>
      <w:r>
        <w:rPr>
          <w:rFonts w:hint="eastAsia" w:ascii="仿宋_GB2312" w:hAnsi="仿宋_GB2312" w:eastAsia="仿宋_GB2312" w:cs="仿宋_GB2312"/>
          <w:sz w:val="32"/>
          <w:szCs w:val="32"/>
        </w:rPr>
        <w:t>%，主要是因为</w:t>
      </w:r>
      <w:r>
        <w:rPr>
          <w:rFonts w:hint="eastAsia" w:ascii="仿宋_GB2312" w:hAnsi="仿宋_GB2312" w:eastAsia="仿宋_GB2312" w:cs="仿宋_GB2312"/>
          <w:sz w:val="32"/>
          <w:szCs w:val="32"/>
          <w:lang w:val="en-US" w:eastAsia="zh-CN"/>
        </w:rPr>
        <w:t>2023年新招录3名事业单位工作人员及一名军转干，相应增加人员经费。</w:t>
      </w:r>
    </w:p>
    <w:p w14:paraId="3E26B065">
      <w:pPr>
        <w:pStyle w:val="14"/>
        <w:ind w:firstLine="640" w:firstLineChars="200"/>
        <w:rPr>
          <w:rFonts w:asciiTheme="minorEastAsia" w:hAnsiTheme="minorEastAsia" w:eastAsiaTheme="minorEastAsia"/>
          <w:b/>
          <w:sz w:val="32"/>
          <w:szCs w:val="32"/>
        </w:rPr>
      </w:pPr>
      <w:r>
        <w:rPr>
          <w:rFonts w:hint="eastAsia" w:ascii="黑体" w:hAnsi="黑体" w:eastAsia="黑体" w:cs="黑体"/>
          <w:b/>
          <w:sz w:val="32"/>
          <w:szCs w:val="32"/>
        </w:rPr>
        <w:t>（二）财政拨款支出决算结构情况</w:t>
      </w:r>
    </w:p>
    <w:p w14:paraId="4EE9C5BC">
      <w:pPr>
        <w:pStyle w:val="14"/>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年度财政拨款支出</w:t>
      </w:r>
      <w:r>
        <w:rPr>
          <w:rFonts w:hint="eastAsia" w:ascii="仿宋_GB2312" w:hAnsi="仿宋_GB2312" w:eastAsia="仿宋_GB2312" w:cs="仿宋_GB2312"/>
          <w:sz w:val="32"/>
          <w:szCs w:val="32"/>
          <w:lang w:val="en-US" w:eastAsia="zh-CN"/>
        </w:rPr>
        <w:t>3449.47</w:t>
      </w:r>
      <w:r>
        <w:rPr>
          <w:rFonts w:hint="eastAsia" w:ascii="仿宋_GB2312" w:hAnsi="仿宋_GB2312" w:eastAsia="仿宋_GB2312" w:cs="仿宋_GB2312"/>
          <w:sz w:val="32"/>
          <w:szCs w:val="32"/>
        </w:rPr>
        <w:t>万元，主要用于以下方面：一般公共服务支出</w:t>
      </w:r>
      <w:r>
        <w:rPr>
          <w:rFonts w:hint="eastAsia" w:ascii="仿宋_GB2312" w:hAnsi="仿宋_GB2312" w:eastAsia="仿宋_GB2312" w:cs="仿宋_GB2312"/>
          <w:sz w:val="32"/>
          <w:szCs w:val="32"/>
          <w:lang w:val="en-US" w:eastAsia="zh-CN"/>
        </w:rPr>
        <w:t>12.6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0.37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社会保障和就业支出255.06万元，占7.39%；卫生健康支出53.79万元，占1.56%；节能环保支出26.00万元，占0.75%；农林水支出2303.58万元。占66.78%；灾害防治及应急管理支出788.14万元，占22.85%；交通运输支出10.3万元，占0.3%</w:t>
      </w:r>
    </w:p>
    <w:p w14:paraId="3C8200D8">
      <w:pPr>
        <w:ind w:firstLine="960" w:firstLineChars="300"/>
        <w:rPr>
          <w:rFonts w:hint="eastAsia" w:ascii="黑体" w:hAnsi="黑体" w:eastAsia="黑体" w:cs="黑体"/>
          <w:b/>
          <w:sz w:val="32"/>
          <w:szCs w:val="32"/>
        </w:rPr>
      </w:pPr>
      <w:r>
        <w:rPr>
          <w:rFonts w:hint="eastAsia" w:ascii="黑体" w:hAnsi="黑体" w:eastAsia="黑体" w:cs="黑体"/>
          <w:b/>
          <w:sz w:val="32"/>
          <w:szCs w:val="32"/>
          <w:lang w:eastAsia="zh-CN"/>
        </w:rPr>
        <w:t>（三</w:t>
      </w:r>
      <w:r>
        <w:rPr>
          <w:rFonts w:hint="eastAsia" w:ascii="黑体" w:hAnsi="黑体" w:eastAsia="黑体" w:cs="黑体"/>
          <w:b/>
          <w:sz w:val="32"/>
          <w:szCs w:val="32"/>
        </w:rPr>
        <w:t>）财政拨款支出决算具体情况</w:t>
      </w:r>
    </w:p>
    <w:p w14:paraId="37837FF6">
      <w:pPr>
        <w:pStyle w:val="14"/>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年度财政拨款支出年初预算数为</w:t>
      </w:r>
      <w:r>
        <w:rPr>
          <w:rFonts w:hint="eastAsia" w:ascii="仿宋_GB2312" w:hAnsi="仿宋_GB2312" w:eastAsia="仿宋_GB2312" w:cs="仿宋_GB2312"/>
          <w:sz w:val="32"/>
          <w:szCs w:val="32"/>
          <w:lang w:val="en-US" w:eastAsia="zh-CN"/>
        </w:rPr>
        <w:t>2529.15</w:t>
      </w:r>
      <w:r>
        <w:rPr>
          <w:rFonts w:hint="eastAsia" w:ascii="仿宋_GB2312" w:hAnsi="仿宋_GB2312" w:eastAsia="仿宋_GB2312" w:cs="仿宋_GB2312"/>
          <w:sz w:val="32"/>
          <w:szCs w:val="32"/>
        </w:rPr>
        <w:t>万元，支出决算数为</w:t>
      </w:r>
      <w:r>
        <w:rPr>
          <w:rFonts w:hint="eastAsia" w:ascii="仿宋_GB2312" w:hAnsi="仿宋_GB2312" w:eastAsia="仿宋_GB2312" w:cs="仿宋_GB2312"/>
          <w:sz w:val="32"/>
          <w:szCs w:val="32"/>
          <w:lang w:val="en-US" w:eastAsia="zh-CN"/>
        </w:rPr>
        <w:t>3449.47</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136.39</w:t>
      </w:r>
      <w:r>
        <w:rPr>
          <w:rFonts w:hint="eastAsia" w:ascii="仿宋_GB2312" w:hAnsi="仿宋_GB2312" w:eastAsia="仿宋_GB2312" w:cs="仿宋_GB2312"/>
          <w:sz w:val="32"/>
          <w:szCs w:val="32"/>
        </w:rPr>
        <w:t>%，其中：</w:t>
      </w:r>
    </w:p>
    <w:p w14:paraId="2506CD06">
      <w:pPr>
        <w:pStyle w:val="14"/>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1、一般公共服务支出（类）</w:t>
      </w:r>
      <w:r>
        <w:rPr>
          <w:rFonts w:hint="eastAsia" w:ascii="仿宋_GB2312" w:hAnsi="仿宋_GB2312" w:eastAsia="仿宋_GB2312" w:cs="仿宋_GB2312"/>
          <w:sz w:val="32"/>
          <w:szCs w:val="32"/>
          <w:lang w:eastAsia="zh-CN"/>
        </w:rPr>
        <w:t>组织事务</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其他组织事务支出</w:t>
      </w:r>
      <w:r>
        <w:rPr>
          <w:rFonts w:hint="eastAsia" w:ascii="仿宋_GB2312" w:hAnsi="仿宋_GB2312" w:eastAsia="仿宋_GB2312" w:cs="仿宋_GB2312"/>
          <w:sz w:val="32"/>
          <w:szCs w:val="32"/>
        </w:rPr>
        <w:t>（项）。</w:t>
      </w:r>
    </w:p>
    <w:p w14:paraId="0BE7D4C5">
      <w:pPr>
        <w:pStyle w:val="14"/>
        <w:ind w:firstLine="800" w:firstLineChars="250"/>
        <w:rPr>
          <w:rFonts w:hint="eastAsia" w:ascii="仿宋_GB2312" w:hAnsi="仿宋_GB2312" w:eastAsia="仿宋_GB2312" w:cs="仿宋_GB2312"/>
          <w:sz w:val="32"/>
          <w:szCs w:val="32"/>
          <w:lang w:val="en-GB"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万元，决算数大于年初预算数的主要原因是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财政年度追加预算拨款下达人才资源开发专项柔性引进人才</w:t>
      </w:r>
      <w:r>
        <w:rPr>
          <w:rFonts w:hint="eastAsia" w:ascii="仿宋_GB2312" w:hAnsi="仿宋_GB2312" w:eastAsia="仿宋_GB2312" w:cs="仿宋_GB2312"/>
          <w:sz w:val="32"/>
          <w:szCs w:val="32"/>
          <w:lang w:eastAsia="zh-CN"/>
        </w:rPr>
        <w:t>补贴资金</w:t>
      </w:r>
      <w:r>
        <w:rPr>
          <w:rFonts w:hint="eastAsia" w:ascii="仿宋_GB2312" w:hAnsi="仿宋_GB2312" w:eastAsia="仿宋_GB2312" w:cs="仿宋_GB2312"/>
          <w:sz w:val="32"/>
          <w:szCs w:val="32"/>
          <w:lang w:val="en-GB" w:eastAsia="zh-CN"/>
        </w:rPr>
        <w:t>。</w:t>
      </w:r>
    </w:p>
    <w:p w14:paraId="27935607">
      <w:pPr>
        <w:pStyle w:val="14"/>
        <w:numPr>
          <w:ilvl w:val="0"/>
          <w:numId w:val="2"/>
        </w:numPr>
        <w:ind w:firstLine="800" w:firstLineChars="25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一般公共服务支出（类）其他一般公共服务支出（款）其他一般公共服务支出（项)</w:t>
      </w:r>
    </w:p>
    <w:p w14:paraId="424FE047">
      <w:pPr>
        <w:pStyle w:val="14"/>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0.6</w:t>
      </w:r>
      <w:r>
        <w:rPr>
          <w:rFonts w:hint="eastAsia" w:ascii="仿宋_GB2312" w:hAnsi="仿宋_GB2312" w:eastAsia="仿宋_GB2312" w:cs="仿宋_GB2312"/>
          <w:sz w:val="32"/>
          <w:szCs w:val="32"/>
        </w:rPr>
        <w:t>万元，决算数大于年初预算数的主要原因是</w:t>
      </w:r>
      <w:r>
        <w:rPr>
          <w:rFonts w:hint="eastAsia" w:ascii="仿宋_GB2312" w:hAnsi="仿宋_GB2312" w:eastAsia="仿宋_GB2312" w:cs="仿宋_GB2312"/>
          <w:sz w:val="32"/>
          <w:szCs w:val="32"/>
          <w:lang w:eastAsia="zh-CN"/>
        </w:rPr>
        <w:t>：市财政追加我局周开淼、卢环同志三等功奖励金。</w:t>
      </w:r>
    </w:p>
    <w:p w14:paraId="77D69067">
      <w:pPr>
        <w:pStyle w:val="14"/>
        <w:keepNext w:val="0"/>
        <w:keepLines w:val="0"/>
        <w:pageBreakBefore w:val="0"/>
        <w:widowControl w:val="0"/>
        <w:numPr>
          <w:ilvl w:val="0"/>
          <w:numId w:val="0"/>
        </w:numPr>
        <w:kinsoku/>
        <w:wordWrap/>
        <w:overflowPunct/>
        <w:topLinePunct w:val="0"/>
        <w:autoSpaceDE w:val="0"/>
        <w:autoSpaceDN w:val="0"/>
        <w:bidi w:val="0"/>
        <w:adjustRightInd w:val="0"/>
        <w:snapToGrid/>
        <w:ind w:firstLine="960" w:firstLineChars="3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社会保障和就业支出（类）行政</w:t>
      </w:r>
      <w:r>
        <w:rPr>
          <w:rFonts w:hint="eastAsia" w:ascii="仿宋_GB2312" w:hAnsi="仿宋_GB2312" w:eastAsia="仿宋_GB2312" w:cs="仿宋_GB2312"/>
          <w:sz w:val="32"/>
          <w:szCs w:val="32"/>
          <w:lang w:eastAsia="zh-CN"/>
        </w:rPr>
        <w:t>事业</w:t>
      </w:r>
      <w:r>
        <w:rPr>
          <w:rFonts w:hint="eastAsia" w:ascii="仿宋_GB2312" w:hAnsi="仿宋_GB2312" w:eastAsia="仿宋_GB2312" w:cs="仿宋_GB2312"/>
          <w:sz w:val="32"/>
          <w:szCs w:val="32"/>
        </w:rPr>
        <w:t>单位养老支出（款）行政单位离退休（项）。</w:t>
      </w:r>
    </w:p>
    <w:p w14:paraId="6F0D78D0">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sz w:val="32"/>
          <w:szCs w:val="32"/>
          <w:lang w:val="en-GB"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12.41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12.41</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100%。</w:t>
      </w:r>
    </w:p>
    <w:p w14:paraId="4C6DBE93">
      <w:pPr>
        <w:pStyle w:val="14"/>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、社会保障和就业支出（类）行政事业单位养老支出（款）机关事业单位基本养老保险缴费支出（项）。</w:t>
      </w:r>
    </w:p>
    <w:p w14:paraId="2A759A08">
      <w:pPr>
        <w:pStyle w:val="14"/>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142.97</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144.87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完成年初预算的</w:t>
      </w:r>
      <w:r>
        <w:rPr>
          <w:rFonts w:hint="eastAsia" w:ascii="仿宋_GB2312" w:hAnsi="仿宋_GB2312" w:eastAsia="仿宋_GB2312" w:cs="仿宋_GB2312"/>
          <w:sz w:val="32"/>
          <w:szCs w:val="32"/>
          <w:lang w:val="en-US" w:eastAsia="zh-CN"/>
        </w:rPr>
        <w:t>101.34%，</w:t>
      </w:r>
      <w:r>
        <w:rPr>
          <w:rFonts w:hint="eastAsia" w:ascii="仿宋_GB2312" w:hAnsi="仿宋_GB2312" w:eastAsia="仿宋_GB2312" w:cs="仿宋_GB2312"/>
          <w:sz w:val="32"/>
          <w:szCs w:val="32"/>
        </w:rPr>
        <w:t>决算数大于年初预算数的主要原因是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年初未纳入预算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财政年度追加预算拨款下达在职人员基本养老保险费用。</w:t>
      </w:r>
    </w:p>
    <w:p w14:paraId="0862673B">
      <w:pPr>
        <w:pStyle w:val="14"/>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5、社会保障</w:t>
      </w:r>
      <w:r>
        <w:rPr>
          <w:rFonts w:hint="eastAsia" w:ascii="仿宋_GB2312" w:hAnsi="仿宋_GB2312" w:eastAsia="仿宋_GB2312" w:cs="仿宋_GB2312"/>
          <w:sz w:val="32"/>
          <w:szCs w:val="32"/>
        </w:rPr>
        <w:t>就业支出（类）</w:t>
      </w:r>
      <w:r>
        <w:rPr>
          <w:rFonts w:hint="eastAsia" w:ascii="仿宋_GB2312" w:hAnsi="仿宋_GB2312" w:eastAsia="仿宋_GB2312" w:cs="仿宋_GB2312"/>
          <w:sz w:val="32"/>
          <w:szCs w:val="32"/>
          <w:lang w:eastAsia="zh-CN"/>
        </w:rPr>
        <w:t>行政事业单位养老支出</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其他行政事业单位养老支出</w:t>
      </w:r>
      <w:r>
        <w:rPr>
          <w:rFonts w:hint="eastAsia" w:ascii="仿宋_GB2312" w:hAnsi="仿宋_GB2312" w:eastAsia="仿宋_GB2312" w:cs="仿宋_GB2312"/>
          <w:sz w:val="32"/>
          <w:szCs w:val="32"/>
        </w:rPr>
        <w:t>（项）。</w:t>
      </w:r>
    </w:p>
    <w:p w14:paraId="6F069544">
      <w:pPr>
        <w:pStyle w:val="14"/>
        <w:ind w:firstLine="800" w:firstLineChars="25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161.28</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97.78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完成年初预算的</w:t>
      </w:r>
      <w:r>
        <w:rPr>
          <w:rFonts w:hint="eastAsia" w:ascii="仿宋_GB2312" w:hAnsi="仿宋_GB2312" w:eastAsia="仿宋_GB2312" w:cs="仿宋_GB2312"/>
          <w:sz w:val="32"/>
          <w:szCs w:val="32"/>
          <w:lang w:val="en-US" w:eastAsia="zh-CN"/>
        </w:rPr>
        <w:t>60.63%，</w:t>
      </w:r>
      <w:r>
        <w:rPr>
          <w:rFonts w:hint="eastAsia" w:ascii="仿宋_GB2312" w:hAnsi="仿宋_GB2312" w:eastAsia="仿宋_GB2312" w:cs="仿宋_GB2312"/>
          <w:sz w:val="32"/>
          <w:szCs w:val="32"/>
        </w:rPr>
        <w:t>决算数年初预算数的主要原因是：</w:t>
      </w:r>
      <w:r>
        <w:rPr>
          <w:rFonts w:hint="eastAsia" w:ascii="仿宋_GB2312" w:hAnsi="仿宋_GB2312" w:eastAsia="仿宋_GB2312" w:cs="仿宋_GB2312"/>
          <w:sz w:val="32"/>
          <w:szCs w:val="32"/>
          <w:lang w:eastAsia="zh-CN"/>
        </w:rPr>
        <w:t>提前退休人员工资与在职人员工资财政一并下指标到功能分类农林水支出中的行政运行中。</w:t>
      </w:r>
    </w:p>
    <w:p w14:paraId="3AAF7736">
      <w:pPr>
        <w:pStyle w:val="14"/>
        <w:ind w:firstLine="800" w:firstLineChars="25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6、卫生健康支出（类）行政事业单位医疗（款）行政单位医疗（项）。</w:t>
      </w:r>
    </w:p>
    <w:p w14:paraId="57CBF281">
      <w:pPr>
        <w:pStyle w:val="14"/>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61.21</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53.79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，完成年初预算的</w:t>
      </w:r>
      <w:r>
        <w:rPr>
          <w:rFonts w:hint="eastAsia" w:ascii="仿宋_GB2312" w:hAnsi="仿宋_GB2312" w:eastAsia="仿宋_GB2312" w:cs="仿宋_GB2312"/>
          <w:sz w:val="32"/>
          <w:szCs w:val="32"/>
          <w:lang w:val="en-US" w:eastAsia="zh-CN"/>
        </w:rPr>
        <w:t>87.88%，</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eastAsia="zh-CN"/>
        </w:rPr>
        <w:t>小于</w:t>
      </w:r>
      <w:r>
        <w:rPr>
          <w:rFonts w:hint="eastAsia" w:ascii="仿宋_GB2312" w:hAnsi="仿宋_GB2312" w:eastAsia="仿宋_GB2312" w:cs="仿宋_GB2312"/>
          <w:sz w:val="32"/>
          <w:szCs w:val="32"/>
        </w:rPr>
        <w:t>年初预算数的主要原因是：</w:t>
      </w:r>
      <w:r>
        <w:rPr>
          <w:rFonts w:hint="eastAsia" w:ascii="仿宋_GB2312" w:hAnsi="仿宋_GB2312" w:eastAsia="仿宋_GB2312" w:cs="仿宋_GB2312"/>
          <w:sz w:val="32"/>
          <w:szCs w:val="32"/>
          <w:lang w:eastAsia="zh-CN"/>
        </w:rPr>
        <w:t>行政在职人员医疗保险费用减少</w:t>
      </w:r>
      <w:r>
        <w:rPr>
          <w:rFonts w:hint="eastAsia" w:ascii="仿宋_GB2312" w:hAnsi="仿宋_GB2312" w:eastAsia="仿宋_GB2312" w:cs="仿宋_GB2312"/>
          <w:sz w:val="32"/>
          <w:szCs w:val="32"/>
        </w:rPr>
        <w:t>。</w:t>
      </w:r>
    </w:p>
    <w:p w14:paraId="395F53C9">
      <w:pPr>
        <w:pStyle w:val="14"/>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节能环保支出（类）</w:t>
      </w:r>
      <w:r>
        <w:rPr>
          <w:rFonts w:hint="eastAsia" w:ascii="仿宋_GB2312" w:hAnsi="仿宋_GB2312" w:eastAsia="仿宋_GB2312" w:cs="仿宋_GB2312"/>
          <w:sz w:val="32"/>
          <w:szCs w:val="32"/>
          <w:lang w:eastAsia="zh-CN"/>
        </w:rPr>
        <w:t>自然生态保护</w:t>
      </w:r>
      <w:r>
        <w:rPr>
          <w:rFonts w:hint="eastAsia" w:ascii="仿宋_GB2312" w:hAnsi="仿宋_GB2312" w:eastAsia="仿宋_GB2312" w:cs="仿宋_GB2312"/>
          <w:sz w:val="32"/>
          <w:szCs w:val="32"/>
        </w:rPr>
        <w:t>（款）其他</w:t>
      </w:r>
      <w:r>
        <w:rPr>
          <w:rFonts w:hint="eastAsia" w:ascii="仿宋_GB2312" w:hAnsi="仿宋_GB2312" w:eastAsia="仿宋_GB2312" w:cs="仿宋_GB2312"/>
          <w:sz w:val="32"/>
          <w:szCs w:val="32"/>
          <w:lang w:eastAsia="zh-CN"/>
        </w:rPr>
        <w:t>自然生态保护支出</w:t>
      </w:r>
      <w:r>
        <w:rPr>
          <w:rFonts w:hint="eastAsia" w:ascii="仿宋_GB2312" w:hAnsi="仿宋_GB2312" w:eastAsia="仿宋_GB2312" w:cs="仿宋_GB2312"/>
          <w:sz w:val="32"/>
          <w:szCs w:val="32"/>
        </w:rPr>
        <w:t>（项）。</w:t>
      </w:r>
    </w:p>
    <w:p w14:paraId="264F2AED">
      <w:pPr>
        <w:pStyle w:val="14"/>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年初预算为0万元，支出决算为</w:t>
      </w:r>
      <w:r>
        <w:rPr>
          <w:rFonts w:hint="eastAsia" w:ascii="仿宋_GB2312" w:hAnsi="仿宋_GB2312" w:eastAsia="仿宋_GB2312" w:cs="仿宋_GB2312"/>
          <w:sz w:val="32"/>
          <w:szCs w:val="32"/>
          <w:lang w:val="en-US" w:eastAsia="zh-CN"/>
        </w:rPr>
        <w:t>26.00</w:t>
      </w:r>
      <w:r>
        <w:rPr>
          <w:rFonts w:hint="eastAsia" w:ascii="仿宋_GB2312" w:hAnsi="仿宋_GB2312" w:eastAsia="仿宋_GB2312" w:cs="仿宋_GB2312"/>
          <w:sz w:val="32"/>
          <w:szCs w:val="32"/>
        </w:rPr>
        <w:t>万元，决算数大于预算数的原因是</w:t>
      </w:r>
      <w:r>
        <w:rPr>
          <w:rFonts w:hint="eastAsia" w:ascii="仿宋_GB2312" w:hAnsi="仿宋_GB2312" w:eastAsia="仿宋_GB2312" w:cs="仿宋_GB2312"/>
          <w:sz w:val="32"/>
          <w:szCs w:val="32"/>
          <w:lang w:eastAsia="zh-CN"/>
        </w:rPr>
        <w:t>追加上级资金</w:t>
      </w:r>
      <w:r>
        <w:rPr>
          <w:rFonts w:hint="eastAsia" w:ascii="仿宋_GB2312" w:hAnsi="仿宋_GB2312" w:eastAsia="仿宋_GB2312" w:cs="仿宋_GB2312"/>
          <w:sz w:val="32"/>
          <w:szCs w:val="32"/>
          <w:lang w:val="en-US" w:eastAsia="zh-CN"/>
        </w:rPr>
        <w:t>国家重点保护野生动植物调查监测和救护</w:t>
      </w:r>
      <w:r>
        <w:rPr>
          <w:rFonts w:hint="eastAsia" w:ascii="仿宋_GB2312" w:hAnsi="仿宋_GB2312" w:eastAsia="仿宋_GB2312" w:cs="仿宋_GB2312"/>
          <w:sz w:val="32"/>
          <w:szCs w:val="32"/>
        </w:rPr>
        <w:t>。</w:t>
      </w:r>
    </w:p>
    <w:p w14:paraId="21993B48">
      <w:pPr>
        <w:pStyle w:val="14"/>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农林水支出（类）林业和草原（款）行政运行（项）。</w:t>
      </w:r>
    </w:p>
    <w:p w14:paraId="27AF35B9">
      <w:pPr>
        <w:pStyle w:val="14"/>
        <w:ind w:firstLine="800" w:firstLineChars="25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1283.38</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1117.47</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87.07</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eastAsia="zh-CN"/>
        </w:rPr>
        <w:t>小于</w:t>
      </w:r>
      <w:r>
        <w:rPr>
          <w:rFonts w:hint="eastAsia" w:ascii="仿宋_GB2312" w:hAnsi="仿宋_GB2312" w:eastAsia="仿宋_GB2312" w:cs="仿宋_GB2312"/>
          <w:sz w:val="32"/>
          <w:szCs w:val="32"/>
        </w:rPr>
        <w:t>年初预算数的主要原因是：</w:t>
      </w:r>
      <w:r>
        <w:rPr>
          <w:rFonts w:hint="eastAsia" w:ascii="仿宋_GB2312" w:hAnsi="仿宋_GB2312" w:eastAsia="仿宋_GB2312" w:cs="仿宋_GB2312"/>
          <w:sz w:val="32"/>
          <w:szCs w:val="32"/>
          <w:lang w:eastAsia="zh-CN"/>
        </w:rPr>
        <w:t>开源节流、厉行节约。</w:t>
      </w:r>
    </w:p>
    <w:p w14:paraId="5183AE4F">
      <w:pPr>
        <w:pStyle w:val="14"/>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农林水支出（类）林业和草原（款）森林资源培育（项）。</w:t>
      </w:r>
    </w:p>
    <w:p w14:paraId="238A89BC">
      <w:pPr>
        <w:pStyle w:val="14"/>
        <w:ind w:firstLine="800" w:firstLineChars="25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14:paraId="5B0DB36E">
      <w:pPr>
        <w:pStyle w:val="14"/>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农林水支出（类）林业和草原（款）</w:t>
      </w:r>
      <w:r>
        <w:rPr>
          <w:rFonts w:hint="eastAsia" w:ascii="仿宋_GB2312" w:hAnsi="仿宋_GB2312" w:eastAsia="仿宋_GB2312" w:cs="仿宋_GB2312"/>
          <w:sz w:val="32"/>
          <w:szCs w:val="32"/>
          <w:lang w:eastAsia="zh-CN"/>
        </w:rPr>
        <w:t>技术推广与转化</w:t>
      </w:r>
      <w:r>
        <w:rPr>
          <w:rFonts w:hint="eastAsia" w:ascii="仿宋_GB2312" w:hAnsi="仿宋_GB2312" w:eastAsia="仿宋_GB2312" w:cs="仿宋_GB2312"/>
          <w:sz w:val="32"/>
          <w:szCs w:val="32"/>
        </w:rPr>
        <w:t>（项）。</w:t>
      </w:r>
    </w:p>
    <w:p w14:paraId="77684729">
      <w:pPr>
        <w:pStyle w:val="14"/>
        <w:ind w:firstLine="800" w:firstLineChars="25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30.00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决算数大于年初预算数的主要原因是追加了上级资金省级资金竹林下大球盖菇栽培技术推广项目。</w:t>
      </w:r>
    </w:p>
    <w:p w14:paraId="0F6B95CF">
      <w:pPr>
        <w:pStyle w:val="14"/>
        <w:ind w:firstLine="800" w:firstLineChars="25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11、农林水支出（类）林业和草原（款）林业草原防灾减灾（项）。</w:t>
      </w:r>
    </w:p>
    <w:p w14:paraId="56B49A33">
      <w:pPr>
        <w:pStyle w:val="14"/>
        <w:ind w:firstLine="800" w:firstLineChars="25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年初预算为0万元，支出决算为</w:t>
      </w:r>
      <w:r>
        <w:rPr>
          <w:rFonts w:hint="eastAsia" w:ascii="仿宋_GB2312" w:hAnsi="仿宋_GB2312" w:eastAsia="仿宋_GB2312" w:cs="仿宋_GB2312"/>
          <w:sz w:val="32"/>
          <w:szCs w:val="32"/>
          <w:lang w:val="en-US" w:eastAsia="zh-CN"/>
        </w:rPr>
        <w:t>19.94</w:t>
      </w:r>
      <w:r>
        <w:rPr>
          <w:rFonts w:hint="eastAsia" w:ascii="仿宋_GB2312" w:hAnsi="仿宋_GB2312" w:eastAsia="仿宋_GB2312" w:cs="仿宋_GB2312"/>
          <w:sz w:val="32"/>
          <w:szCs w:val="32"/>
        </w:rPr>
        <w:t>万元，决算数大于年初预算数的主要原因是：</w:t>
      </w:r>
      <w:r>
        <w:rPr>
          <w:rFonts w:hint="eastAsia" w:ascii="仿宋_GB2312" w:hAnsi="仿宋_GB2312" w:eastAsia="仿宋_GB2312" w:cs="仿宋_GB2312"/>
          <w:sz w:val="32"/>
          <w:szCs w:val="32"/>
          <w:lang w:eastAsia="zh-CN"/>
        </w:rPr>
        <w:t>追加省级资金，森林防火物质购置和监测调度中心建设项目。</w:t>
      </w:r>
    </w:p>
    <w:p w14:paraId="6B73F24A">
      <w:pPr>
        <w:pStyle w:val="14"/>
        <w:ind w:firstLine="800" w:firstLineChars="25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12、农林水支出（类）林业和草原（款）其他林业和草原支出（项）。</w:t>
      </w:r>
    </w:p>
    <w:p w14:paraId="0548036E">
      <w:pPr>
        <w:pStyle w:val="14"/>
        <w:ind w:firstLine="800" w:firstLineChars="25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849.9</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1118.17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完成年初预算的</w:t>
      </w:r>
      <w:r>
        <w:rPr>
          <w:rFonts w:hint="eastAsia" w:ascii="仿宋_GB2312" w:hAnsi="仿宋_GB2312" w:eastAsia="仿宋_GB2312" w:cs="仿宋_GB2312"/>
          <w:sz w:val="32"/>
          <w:szCs w:val="32"/>
          <w:lang w:val="en-US" w:eastAsia="zh-CN"/>
        </w:rPr>
        <w:t>160.67%，</w:t>
      </w:r>
      <w:r>
        <w:rPr>
          <w:rFonts w:hint="eastAsia" w:ascii="仿宋_GB2312" w:hAnsi="仿宋_GB2312" w:eastAsia="仿宋_GB2312" w:cs="仿宋_GB2312"/>
          <w:sz w:val="32"/>
          <w:szCs w:val="32"/>
        </w:rPr>
        <w:t>决算数大于年初预算数的主要原因是：</w:t>
      </w:r>
      <w:r>
        <w:rPr>
          <w:rFonts w:hint="eastAsia" w:ascii="仿宋_GB2312" w:hAnsi="仿宋_GB2312" w:eastAsia="仿宋_GB2312" w:cs="仿宋_GB2312"/>
          <w:sz w:val="32"/>
          <w:szCs w:val="32"/>
          <w:lang w:eastAsia="zh-CN"/>
        </w:rPr>
        <w:t>市本级财政追加油茶产业工作经费，以及上级补助资金市州分配的植被恢复费。</w:t>
      </w:r>
    </w:p>
    <w:p w14:paraId="5D5C82B7">
      <w:pPr>
        <w:pStyle w:val="14"/>
        <w:numPr>
          <w:ilvl w:val="0"/>
          <w:numId w:val="0"/>
        </w:numPr>
        <w:ind w:firstLine="800" w:firstLineChars="25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lang w:val="en-US" w:eastAsia="zh-CN" w:bidi="ar-SA"/>
        </w:rPr>
        <w:t>13、</w:t>
      </w:r>
      <w:r>
        <w:rPr>
          <w:rFonts w:hint="eastAsia" w:ascii="仿宋_GB2312" w:hAnsi="仿宋_GB2312" w:eastAsia="仿宋_GB2312" w:cs="仿宋_GB2312"/>
          <w:sz w:val="32"/>
          <w:szCs w:val="32"/>
          <w:lang w:val="en-US" w:eastAsia="zh-CN"/>
        </w:rPr>
        <w:t>交通运输支出（类）公路水路运输（款）其他公路水路运输支出</w:t>
      </w:r>
    </w:p>
    <w:p w14:paraId="7DF1038D">
      <w:pPr>
        <w:pStyle w:val="14"/>
        <w:numPr>
          <w:ilvl w:val="0"/>
          <w:numId w:val="0"/>
        </w:num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年初预算为0万元，支出决算为10.3万元，决算数大于年预算数的主要原因是：市本级追加凉山公路硬化项目。</w:t>
      </w:r>
    </w:p>
    <w:p w14:paraId="659752C5">
      <w:pPr>
        <w:pStyle w:val="14"/>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灾害防治及应急管理支出（类）</w:t>
      </w:r>
      <w:r>
        <w:rPr>
          <w:rFonts w:hint="eastAsia" w:ascii="仿宋_GB2312" w:hAnsi="仿宋_GB2312" w:eastAsia="仿宋_GB2312" w:cs="仿宋_GB2312"/>
          <w:sz w:val="32"/>
          <w:szCs w:val="32"/>
          <w:lang w:eastAsia="zh-CN"/>
        </w:rPr>
        <w:t>其他灾害防治及应急管理支出</w:t>
      </w:r>
      <w:r>
        <w:rPr>
          <w:rFonts w:hint="eastAsia" w:ascii="仿宋_GB2312" w:hAnsi="仿宋_GB2312" w:eastAsia="仿宋_GB2312" w:cs="仿宋_GB2312"/>
          <w:sz w:val="32"/>
          <w:szCs w:val="32"/>
        </w:rPr>
        <w:t>（款）其他</w:t>
      </w:r>
      <w:r>
        <w:rPr>
          <w:rFonts w:hint="eastAsia" w:ascii="仿宋_GB2312" w:hAnsi="仿宋_GB2312" w:eastAsia="仿宋_GB2312" w:cs="仿宋_GB2312"/>
          <w:sz w:val="32"/>
          <w:szCs w:val="32"/>
          <w:lang w:eastAsia="zh-CN"/>
        </w:rPr>
        <w:t>灾害防治及应急管理支出</w:t>
      </w:r>
      <w:r>
        <w:rPr>
          <w:rFonts w:hint="eastAsia" w:ascii="仿宋_GB2312" w:hAnsi="仿宋_GB2312" w:eastAsia="仿宋_GB2312" w:cs="仿宋_GB2312"/>
          <w:sz w:val="32"/>
          <w:szCs w:val="32"/>
        </w:rPr>
        <w:t>（项）。</w:t>
      </w:r>
    </w:p>
    <w:p w14:paraId="7E3FB33E">
      <w:pPr>
        <w:pStyle w:val="14"/>
        <w:ind w:firstLine="800" w:firstLineChars="25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788.14</w:t>
      </w:r>
      <w:r>
        <w:rPr>
          <w:rFonts w:hint="eastAsia" w:ascii="仿宋_GB2312" w:hAnsi="仿宋_GB2312" w:eastAsia="仿宋_GB2312" w:cs="仿宋_GB2312"/>
          <w:sz w:val="32"/>
          <w:szCs w:val="32"/>
        </w:rPr>
        <w:t>万元，决算数</w:t>
      </w:r>
      <w:r>
        <w:rPr>
          <w:rFonts w:hint="eastAsia" w:ascii="仿宋_GB2312" w:hAnsi="仿宋_GB2312" w:eastAsia="仿宋_GB2312" w:cs="仿宋_GB2312"/>
          <w:sz w:val="32"/>
          <w:szCs w:val="32"/>
          <w:lang w:eastAsia="zh-CN"/>
        </w:rPr>
        <w:t>大于</w:t>
      </w:r>
      <w:r>
        <w:rPr>
          <w:rFonts w:hint="eastAsia" w:ascii="仿宋_GB2312" w:hAnsi="仿宋_GB2312" w:eastAsia="仿宋_GB2312" w:cs="仿宋_GB2312"/>
          <w:sz w:val="32"/>
          <w:szCs w:val="32"/>
        </w:rPr>
        <w:t>年初预算数的主要原因是：</w:t>
      </w:r>
      <w:r>
        <w:rPr>
          <w:rFonts w:hint="eastAsia" w:ascii="仿宋_GB2312" w:hAnsi="仿宋_GB2312" w:eastAsia="仿宋_GB2312" w:cs="仿宋_GB2312"/>
          <w:sz w:val="32"/>
          <w:szCs w:val="32"/>
          <w:lang w:eastAsia="zh-CN"/>
        </w:rPr>
        <w:t>该资金为</w:t>
      </w:r>
      <w:r>
        <w:rPr>
          <w:rFonts w:hint="eastAsia" w:ascii="仿宋_GB2312" w:hAnsi="仿宋_GB2312" w:eastAsia="仿宋_GB2312" w:cs="仿宋_GB2312"/>
          <w:sz w:val="32"/>
          <w:szCs w:val="32"/>
          <w:lang w:val="en-US" w:eastAsia="zh-CN"/>
        </w:rPr>
        <w:t>2021年生态保护支撑体系专项中央预算内基建资金按项目实施进度开支，为结余结转资金，未在年初预算内。</w:t>
      </w:r>
    </w:p>
    <w:p w14:paraId="2049A05C">
      <w:pPr>
        <w:pStyle w:val="14"/>
        <w:ind w:firstLine="800" w:firstLineChars="250"/>
        <w:rPr>
          <w:rFonts w:hint="default" w:ascii="仿宋_GB2312" w:hAnsi="仿宋_GB2312" w:eastAsia="仿宋_GB2312" w:cs="仿宋_GB2312"/>
          <w:sz w:val="32"/>
          <w:szCs w:val="32"/>
          <w:lang w:val="en-US" w:eastAsia="zh-CN"/>
        </w:rPr>
      </w:pPr>
    </w:p>
    <w:p w14:paraId="42D503A9">
      <w:pPr>
        <w:pStyle w:val="14"/>
        <w:rPr>
          <w:rFonts w:hAnsi="黑体"/>
          <w:b/>
          <w:sz w:val="32"/>
          <w:szCs w:val="32"/>
        </w:rPr>
      </w:pPr>
      <w:r>
        <w:rPr>
          <w:rFonts w:hint="eastAsia" w:hAnsi="黑体"/>
          <w:b/>
          <w:sz w:val="32"/>
          <w:szCs w:val="32"/>
        </w:rPr>
        <w:t>六、一般公共预算财政拨款基本支出决算情况说明</w:t>
      </w:r>
    </w:p>
    <w:p w14:paraId="4FB15F58">
      <w:pPr>
        <w:pStyle w:val="14"/>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年度财政拨款基本支出</w:t>
      </w:r>
      <w:r>
        <w:rPr>
          <w:rFonts w:hint="eastAsia" w:ascii="仿宋_GB2312" w:hAnsi="仿宋_GB2312" w:eastAsia="仿宋_GB2312" w:cs="仿宋_GB2312"/>
          <w:sz w:val="32"/>
          <w:szCs w:val="32"/>
          <w:lang w:val="en-US" w:eastAsia="zh-CN"/>
        </w:rPr>
        <w:t>1721.28</w:t>
      </w:r>
      <w:r>
        <w:rPr>
          <w:rFonts w:hint="eastAsia" w:ascii="仿宋_GB2312" w:hAnsi="仿宋_GB2312" w:eastAsia="仿宋_GB2312" w:cs="仿宋_GB2312"/>
          <w:sz w:val="32"/>
          <w:szCs w:val="32"/>
        </w:rPr>
        <w:t>万元，其中：人员经费</w:t>
      </w:r>
      <w:r>
        <w:rPr>
          <w:rFonts w:hint="eastAsia" w:ascii="仿宋_GB2312" w:hAnsi="仿宋_GB2312" w:eastAsia="仿宋_GB2312" w:cs="仿宋_GB2312"/>
          <w:sz w:val="32"/>
          <w:szCs w:val="32"/>
          <w:lang w:val="en-US" w:eastAsia="zh-CN"/>
        </w:rPr>
        <w:t>1510.1</w:t>
      </w:r>
      <w:r>
        <w:rPr>
          <w:rFonts w:hint="eastAsia" w:ascii="仿宋_GB2312" w:hAnsi="仿宋_GB2312" w:eastAsia="仿宋_GB2312" w:cs="仿宋_GB2312"/>
          <w:sz w:val="32"/>
          <w:szCs w:val="32"/>
        </w:rPr>
        <w:t>万元，占基本支出的</w:t>
      </w:r>
      <w:r>
        <w:rPr>
          <w:rFonts w:hint="eastAsia" w:ascii="仿宋_GB2312" w:hAnsi="仿宋_GB2312" w:eastAsia="仿宋_GB2312" w:cs="仿宋_GB2312"/>
          <w:sz w:val="32"/>
          <w:szCs w:val="32"/>
          <w:lang w:val="en-US" w:eastAsia="zh-CN"/>
        </w:rPr>
        <w:t>87.73</w:t>
      </w:r>
      <w:r>
        <w:rPr>
          <w:rFonts w:hint="eastAsia" w:ascii="仿宋_GB2312" w:hAnsi="仿宋_GB2312" w:eastAsia="仿宋_GB2312" w:cs="仿宋_GB2312"/>
          <w:sz w:val="32"/>
          <w:szCs w:val="32"/>
        </w:rPr>
        <w:t>%,主要包括基本工资、津贴补贴、奖金、</w:t>
      </w:r>
      <w:r>
        <w:rPr>
          <w:rFonts w:hint="eastAsia" w:ascii="仿宋_GB2312" w:hAnsi="仿宋_GB2312" w:eastAsia="仿宋_GB2312" w:cs="仿宋_GB2312"/>
          <w:sz w:val="32"/>
          <w:szCs w:val="32"/>
          <w:lang w:eastAsia="zh-CN"/>
        </w:rPr>
        <w:t>绩效工</w:t>
      </w:r>
      <w:r>
        <w:rPr>
          <w:rFonts w:hint="eastAsia" w:ascii="仿宋_GB2312" w:hAnsi="仿宋_GB2312" w:eastAsia="仿宋_GB2312" w:cs="仿宋_GB2312"/>
          <w:sz w:val="32"/>
          <w:szCs w:val="32"/>
        </w:rPr>
        <w:t>资、机关事业单位基本养老保险缴费、职业年金缴费、职工基本医疗保险缴费、其他社会保障缴费、住房公积金、对个人和家庭的补助等；公用经费</w:t>
      </w:r>
      <w:r>
        <w:rPr>
          <w:rFonts w:hint="eastAsia" w:ascii="仿宋_GB2312" w:hAnsi="仿宋_GB2312" w:eastAsia="仿宋_GB2312" w:cs="仿宋_GB2312"/>
          <w:sz w:val="32"/>
          <w:szCs w:val="32"/>
          <w:lang w:val="en-US" w:eastAsia="zh-CN"/>
        </w:rPr>
        <w:t>211.18</w:t>
      </w:r>
      <w:r>
        <w:rPr>
          <w:rFonts w:hint="eastAsia" w:ascii="仿宋_GB2312" w:hAnsi="仿宋_GB2312" w:eastAsia="仿宋_GB2312" w:cs="仿宋_GB2312"/>
          <w:sz w:val="32"/>
          <w:szCs w:val="32"/>
        </w:rPr>
        <w:t>万元，占基本支出的</w:t>
      </w:r>
      <w:r>
        <w:rPr>
          <w:rFonts w:hint="eastAsia" w:ascii="仿宋_GB2312" w:hAnsi="仿宋_GB2312" w:eastAsia="仿宋_GB2312" w:cs="仿宋_GB2312"/>
          <w:sz w:val="32"/>
          <w:szCs w:val="32"/>
          <w:lang w:val="en-US" w:eastAsia="zh-CN"/>
        </w:rPr>
        <w:t>12.27</w:t>
      </w:r>
      <w:r>
        <w:rPr>
          <w:rFonts w:hint="eastAsia" w:ascii="仿宋_GB2312" w:hAnsi="仿宋_GB2312" w:eastAsia="仿宋_GB2312" w:cs="仿宋_GB2312"/>
          <w:sz w:val="32"/>
          <w:szCs w:val="32"/>
        </w:rPr>
        <w:t>%，主要包括办公费、印刷费、咨询费、手续费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电费、邮电费、物业管理费、差旅费、维修（护）费、会议费、培训费、公务接待费、福利费、公务用车运行维护费、其他交通费、其他商品服务支出等。</w:t>
      </w:r>
    </w:p>
    <w:p w14:paraId="3B40A550">
      <w:pPr>
        <w:pStyle w:val="14"/>
        <w:rPr>
          <w:rFonts w:hAnsi="黑体"/>
          <w:b/>
          <w:sz w:val="32"/>
          <w:szCs w:val="32"/>
        </w:rPr>
      </w:pPr>
      <w:r>
        <w:rPr>
          <w:rFonts w:hint="eastAsia" w:hAnsi="黑体"/>
          <w:b/>
          <w:sz w:val="32"/>
          <w:szCs w:val="32"/>
        </w:rPr>
        <w:t>七、财政拨款“三公”经费支出决算情况说明</w:t>
      </w:r>
    </w:p>
    <w:p w14:paraId="4C59B85D">
      <w:pPr>
        <w:pStyle w:val="14"/>
        <w:rPr>
          <w:rFonts w:hint="eastAsia" w:ascii="黑体" w:hAnsi="黑体" w:eastAsia="黑体" w:cs="黑体"/>
          <w:b/>
          <w:sz w:val="32"/>
          <w:szCs w:val="32"/>
        </w:rPr>
      </w:pPr>
      <w:r>
        <w:rPr>
          <w:rFonts w:hint="eastAsia" w:ascii="黑体" w:hAnsi="黑体" w:eastAsia="黑体" w:cs="黑体"/>
          <w:b/>
          <w:sz w:val="32"/>
          <w:szCs w:val="32"/>
        </w:rPr>
        <w:t>（一）“三公”经费财政拨款支出决算总体情况说明</w:t>
      </w:r>
    </w:p>
    <w:p w14:paraId="267FAC78">
      <w:pPr>
        <w:pStyle w:val="14"/>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年度“三公”经费财政拨款支出预算为</w:t>
      </w:r>
      <w:r>
        <w:rPr>
          <w:rFonts w:hint="eastAsia" w:ascii="仿宋_GB2312" w:hAnsi="仿宋_GB2312" w:eastAsia="仿宋_GB2312" w:cs="仿宋_GB2312"/>
          <w:sz w:val="32"/>
          <w:szCs w:val="32"/>
          <w:lang w:val="en-US" w:eastAsia="zh-CN"/>
        </w:rPr>
        <w:t>77.1</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67.4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87.42</w:t>
      </w:r>
      <w:r>
        <w:rPr>
          <w:rFonts w:hint="eastAsia" w:ascii="仿宋_GB2312" w:hAnsi="仿宋_GB2312" w:eastAsia="仿宋_GB2312" w:cs="仿宋_GB2312"/>
          <w:sz w:val="32"/>
          <w:szCs w:val="32"/>
        </w:rPr>
        <w:t>%，其中：</w:t>
      </w:r>
    </w:p>
    <w:p w14:paraId="7D6C296B">
      <w:pPr>
        <w:pStyle w:val="14"/>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因公出国（境）费支出预算为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与上年持平</w:t>
      </w:r>
      <w:r>
        <w:rPr>
          <w:rFonts w:hint="eastAsia" w:ascii="仿宋_GB2312" w:hAnsi="仿宋_GB2312" w:eastAsia="仿宋_GB2312" w:cs="仿宋_GB2312"/>
          <w:sz w:val="32"/>
          <w:szCs w:val="32"/>
        </w:rPr>
        <w:t>。</w:t>
      </w:r>
    </w:p>
    <w:p w14:paraId="6A49B916">
      <w:pPr>
        <w:pStyle w:val="14"/>
        <w:ind w:firstLine="800" w:firstLineChars="25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公务接待费支出预算为</w:t>
      </w:r>
      <w:r>
        <w:rPr>
          <w:rFonts w:hint="eastAsia" w:ascii="仿宋_GB2312" w:hAnsi="仿宋_GB2312" w:eastAsia="仿宋_GB2312" w:cs="仿宋_GB2312"/>
          <w:sz w:val="32"/>
          <w:szCs w:val="32"/>
          <w:lang w:val="en-US" w:eastAsia="zh-CN"/>
        </w:rPr>
        <w:t>21.8</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18.83</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86.38</w:t>
      </w:r>
      <w:r>
        <w:rPr>
          <w:rFonts w:hint="eastAsia" w:ascii="仿宋_GB2312" w:hAnsi="仿宋_GB2312" w:eastAsia="仿宋_GB2312" w:cs="仿宋_GB2312"/>
          <w:sz w:val="32"/>
          <w:szCs w:val="32"/>
        </w:rPr>
        <w:t>%，决算数小于预算数的主要原因是我局严格控制公务接待费的规模和比例，严把公务接待支出的审核、审批关，与上年相比</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5.21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，增长</w:t>
      </w:r>
      <w:r>
        <w:rPr>
          <w:rFonts w:hint="eastAsia" w:ascii="仿宋_GB2312" w:hAnsi="仿宋_GB2312" w:eastAsia="仿宋_GB2312" w:cs="仿宋_GB2312"/>
          <w:sz w:val="32"/>
          <w:szCs w:val="32"/>
          <w:lang w:val="en-US" w:eastAsia="zh-CN"/>
        </w:rPr>
        <w:t>35.25%，增长的主要原因是我局按照市委政府要求力争怀化市林长制工作纳入国务院、省政府真抓实干督查激励，高频率的接受各级检查、验收、考核、评估。</w:t>
      </w:r>
    </w:p>
    <w:p w14:paraId="5B97F039">
      <w:pPr>
        <w:pStyle w:val="14"/>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公务用车购置费支出预算为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w:t>
      </w:r>
    </w:p>
    <w:p w14:paraId="7AEC2DF3">
      <w:pPr>
        <w:pStyle w:val="14"/>
        <w:ind w:firstLine="800" w:firstLineChars="25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公务用车运行维护费支出预算为</w:t>
      </w:r>
      <w:r>
        <w:rPr>
          <w:rFonts w:hint="eastAsia" w:ascii="仿宋_GB2312" w:hAnsi="仿宋_GB2312" w:eastAsia="仿宋_GB2312" w:cs="仿宋_GB2312"/>
          <w:sz w:val="32"/>
          <w:szCs w:val="32"/>
          <w:lang w:val="en-US" w:eastAsia="zh-CN"/>
        </w:rPr>
        <w:t>55.3</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48.57</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87.83</w:t>
      </w:r>
      <w:r>
        <w:rPr>
          <w:rFonts w:hint="eastAsia" w:ascii="仿宋_GB2312" w:hAnsi="仿宋_GB2312" w:eastAsia="仿宋_GB2312" w:cs="仿宋_GB2312"/>
          <w:sz w:val="32"/>
          <w:szCs w:val="32"/>
        </w:rPr>
        <w:t>%，决算数小于预算数的主要原因是厉行节约，严把公务出行审批关</w:t>
      </w:r>
      <w:r>
        <w:rPr>
          <w:rFonts w:hint="eastAsia" w:ascii="仿宋_GB2312" w:hAnsi="仿宋_GB2312" w:eastAsia="仿宋_GB2312" w:cs="仿宋_GB2312"/>
          <w:sz w:val="32"/>
          <w:szCs w:val="32"/>
          <w:lang w:eastAsia="zh-CN"/>
        </w:rPr>
        <w:t>，与上年相比减少</w:t>
      </w:r>
      <w:r>
        <w:rPr>
          <w:rFonts w:hint="eastAsia" w:ascii="仿宋_GB2312" w:hAnsi="仿宋_GB2312" w:eastAsia="仿宋_GB2312" w:cs="仿宋_GB2312"/>
          <w:sz w:val="32"/>
          <w:szCs w:val="32"/>
          <w:lang w:val="en-US" w:eastAsia="zh-CN"/>
        </w:rPr>
        <w:t>5.08万元，下降9.47%。</w:t>
      </w:r>
    </w:p>
    <w:p w14:paraId="4F9314C2">
      <w:pPr>
        <w:pStyle w:val="14"/>
        <w:rPr>
          <w:rFonts w:hint="eastAsia" w:ascii="黑体" w:hAnsi="黑体" w:eastAsia="黑体" w:cs="黑体"/>
          <w:b/>
          <w:sz w:val="32"/>
          <w:szCs w:val="32"/>
        </w:rPr>
      </w:pPr>
      <w:r>
        <w:rPr>
          <w:rFonts w:hint="eastAsia" w:ascii="黑体" w:hAnsi="黑体" w:eastAsia="黑体" w:cs="黑体"/>
          <w:b/>
          <w:sz w:val="32"/>
          <w:szCs w:val="32"/>
        </w:rPr>
        <w:t>（二）“三公”经费财政拨款支出决算具体情况说明</w:t>
      </w:r>
    </w:p>
    <w:p w14:paraId="3C652068">
      <w:pPr>
        <w:pStyle w:val="14"/>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年度“三公”经费财政拨款支出决算中，公务接待费支出决算</w:t>
      </w:r>
      <w:r>
        <w:rPr>
          <w:rFonts w:hint="eastAsia" w:ascii="仿宋_GB2312" w:hAnsi="仿宋_GB2312" w:eastAsia="仿宋_GB2312" w:cs="仿宋_GB2312"/>
          <w:sz w:val="32"/>
          <w:szCs w:val="32"/>
          <w:lang w:val="en-US" w:eastAsia="zh-CN"/>
        </w:rPr>
        <w:t>18.83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27.94</w:t>
      </w:r>
      <w:r>
        <w:rPr>
          <w:rFonts w:hint="eastAsia" w:ascii="仿宋_GB2312" w:hAnsi="仿宋_GB2312" w:eastAsia="仿宋_GB2312" w:cs="仿宋_GB2312"/>
          <w:sz w:val="32"/>
          <w:szCs w:val="32"/>
        </w:rPr>
        <w:t>%,因公出国（境）费支出决算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%,公务用车购置费及运行维护费支出决算</w:t>
      </w:r>
      <w:r>
        <w:rPr>
          <w:rFonts w:hint="eastAsia" w:ascii="仿宋_GB2312" w:hAnsi="仿宋_GB2312" w:eastAsia="仿宋_GB2312" w:cs="仿宋_GB2312"/>
          <w:sz w:val="32"/>
          <w:szCs w:val="32"/>
          <w:lang w:val="en-US" w:eastAsia="zh-CN"/>
        </w:rPr>
        <w:t>48.57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72.06</w:t>
      </w:r>
      <w:r>
        <w:rPr>
          <w:rFonts w:hint="eastAsia" w:ascii="仿宋_GB2312" w:hAnsi="仿宋_GB2312" w:eastAsia="仿宋_GB2312" w:cs="仿宋_GB2312"/>
          <w:sz w:val="32"/>
          <w:szCs w:val="32"/>
        </w:rPr>
        <w:t>%。其中：</w:t>
      </w:r>
    </w:p>
    <w:p w14:paraId="7BB4EC25">
      <w:pPr>
        <w:pStyle w:val="14"/>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1、因公出国（境）费支出决算为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万元，全年安排因公出国（境）团组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个，累计</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人次</w:t>
      </w:r>
      <w:r>
        <w:rPr>
          <w:rFonts w:hint="eastAsia" w:ascii="仿宋_GB2312" w:hAnsi="仿宋_GB2312" w:eastAsia="仿宋_GB2312" w:cs="仿宋_GB2312"/>
          <w:sz w:val="32"/>
          <w:szCs w:val="32"/>
          <w:lang w:eastAsia="zh-CN"/>
        </w:rPr>
        <w:t>。</w:t>
      </w:r>
    </w:p>
    <w:p w14:paraId="59EB38A0">
      <w:pPr>
        <w:pStyle w:val="14"/>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2、公务接待费支出决算为</w:t>
      </w:r>
      <w:r>
        <w:rPr>
          <w:rFonts w:hint="eastAsia" w:ascii="仿宋_GB2312" w:hAnsi="仿宋_GB2312" w:eastAsia="仿宋_GB2312" w:cs="仿宋_GB2312"/>
          <w:sz w:val="32"/>
          <w:szCs w:val="32"/>
          <w:lang w:val="en-US" w:eastAsia="zh-CN"/>
        </w:rPr>
        <w:t>18.83</w:t>
      </w:r>
      <w:r>
        <w:rPr>
          <w:rFonts w:hint="eastAsia" w:ascii="仿宋_GB2312" w:hAnsi="仿宋_GB2312" w:eastAsia="仿宋_GB2312" w:cs="仿宋_GB2312"/>
          <w:sz w:val="32"/>
          <w:szCs w:val="32"/>
        </w:rPr>
        <w:t>万元，全年共接待来访团组</w:t>
      </w:r>
      <w:r>
        <w:rPr>
          <w:rFonts w:hint="eastAsia" w:ascii="仿宋_GB2312" w:hAnsi="仿宋_GB2312" w:eastAsia="仿宋_GB2312" w:cs="仿宋_GB2312"/>
          <w:sz w:val="32"/>
          <w:szCs w:val="32"/>
          <w:lang w:val="en-US" w:eastAsia="zh-CN"/>
        </w:rPr>
        <w:t>215</w:t>
      </w:r>
      <w:r>
        <w:rPr>
          <w:rFonts w:hint="eastAsia" w:ascii="仿宋_GB2312" w:hAnsi="仿宋_GB2312" w:eastAsia="仿宋_GB2312" w:cs="仿宋_GB2312"/>
          <w:sz w:val="32"/>
          <w:szCs w:val="32"/>
        </w:rPr>
        <w:t>个、来宾</w:t>
      </w:r>
      <w:r>
        <w:rPr>
          <w:rFonts w:hint="eastAsia" w:ascii="仿宋_GB2312" w:hAnsi="仿宋_GB2312" w:eastAsia="仿宋_GB2312" w:cs="仿宋_GB2312"/>
          <w:sz w:val="32"/>
          <w:szCs w:val="32"/>
          <w:lang w:val="en-US" w:eastAsia="zh-CN"/>
        </w:rPr>
        <w:t>1694</w:t>
      </w:r>
      <w:r>
        <w:rPr>
          <w:rFonts w:hint="eastAsia" w:ascii="仿宋_GB2312" w:hAnsi="仿宋_GB2312" w:eastAsia="仿宋_GB2312" w:cs="仿宋_GB2312"/>
          <w:sz w:val="32"/>
          <w:szCs w:val="32"/>
        </w:rPr>
        <w:t>人次，主要是</w:t>
      </w:r>
      <w:r>
        <w:rPr>
          <w:rFonts w:hint="eastAsia" w:ascii="仿宋_GB2312" w:hAnsi="仿宋_GB2312" w:eastAsia="仿宋_GB2312" w:cs="仿宋_GB2312"/>
          <w:sz w:val="32"/>
          <w:szCs w:val="32"/>
          <w:lang w:eastAsia="zh-CN"/>
        </w:rPr>
        <w:t>接待省及各县业务检查及汇报</w:t>
      </w:r>
      <w:r>
        <w:rPr>
          <w:rFonts w:hint="eastAsia" w:ascii="仿宋_GB2312" w:hAnsi="仿宋_GB2312" w:eastAsia="仿宋_GB2312" w:cs="仿宋_GB2312"/>
          <w:sz w:val="32"/>
          <w:szCs w:val="32"/>
        </w:rPr>
        <w:t>发生的接待支出。</w:t>
      </w:r>
    </w:p>
    <w:p w14:paraId="5A240014">
      <w:pPr>
        <w:ind w:firstLine="800" w:firstLineChars="25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3、公务用车购置费及运行维护费支出决算为</w:t>
      </w:r>
      <w:r>
        <w:rPr>
          <w:rFonts w:hint="eastAsia" w:ascii="仿宋_GB2312" w:hAnsi="仿宋_GB2312" w:eastAsia="仿宋_GB2312" w:cs="仿宋_GB2312"/>
          <w:sz w:val="32"/>
          <w:szCs w:val="32"/>
          <w:lang w:val="en-US" w:eastAsia="zh-CN"/>
        </w:rPr>
        <w:t>48.57</w:t>
      </w:r>
      <w:r>
        <w:rPr>
          <w:rFonts w:hint="eastAsia" w:ascii="仿宋_GB2312" w:hAnsi="仿宋_GB2312" w:eastAsia="仿宋_GB2312" w:cs="仿宋_GB2312"/>
          <w:sz w:val="32"/>
          <w:szCs w:val="32"/>
        </w:rPr>
        <w:t>万元，其中：公务用车购置费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万元，公务用车运行维护费</w:t>
      </w:r>
      <w:r>
        <w:rPr>
          <w:rFonts w:hint="eastAsia" w:ascii="仿宋_GB2312" w:hAnsi="仿宋_GB2312" w:eastAsia="仿宋_GB2312" w:cs="仿宋_GB2312"/>
          <w:sz w:val="32"/>
          <w:szCs w:val="32"/>
          <w:lang w:val="en-US" w:eastAsia="zh-CN"/>
        </w:rPr>
        <w:t>48.57</w:t>
      </w:r>
      <w:r>
        <w:rPr>
          <w:rFonts w:hint="eastAsia" w:ascii="仿宋_GB2312" w:hAnsi="仿宋_GB2312" w:eastAsia="仿宋_GB2312" w:cs="仿宋_GB2312"/>
          <w:sz w:val="32"/>
          <w:szCs w:val="32"/>
        </w:rPr>
        <w:t>万元，主要</w:t>
      </w:r>
      <w:r>
        <w:rPr>
          <w:rFonts w:hint="eastAsia" w:ascii="仿宋_GB2312" w:hAnsi="仿宋_GB2312" w:eastAsia="仿宋_GB2312" w:cs="仿宋_GB2312"/>
          <w:sz w:val="32"/>
          <w:szCs w:val="32"/>
          <w:lang w:eastAsia="zh-CN"/>
        </w:rPr>
        <w:t>是车辆购置费、车辆油料、保险、维修、路桥费等</w:t>
      </w:r>
      <w:r>
        <w:rPr>
          <w:rFonts w:hint="eastAsia" w:ascii="仿宋_GB2312" w:hAnsi="仿宋_GB2312" w:eastAsia="仿宋_GB2312" w:cs="仿宋_GB2312"/>
          <w:sz w:val="32"/>
          <w:szCs w:val="32"/>
        </w:rPr>
        <w:t>支出，截止202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年12月31日，我单位开支财政拨款的公务用车保有量为</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辆。</w:t>
      </w:r>
    </w:p>
    <w:p w14:paraId="4934BD07">
      <w:pPr>
        <w:pStyle w:val="14"/>
        <w:rPr>
          <w:rFonts w:hAnsi="黑体"/>
          <w:b/>
          <w:sz w:val="32"/>
          <w:szCs w:val="32"/>
        </w:rPr>
      </w:pPr>
      <w:r>
        <w:rPr>
          <w:rFonts w:hint="eastAsia" w:hAnsi="黑体"/>
          <w:b/>
          <w:sz w:val="32"/>
          <w:szCs w:val="32"/>
        </w:rPr>
        <w:t>八、政府性基金预算收入支出决算情况</w:t>
      </w:r>
    </w:p>
    <w:p w14:paraId="03206A69">
      <w:pPr>
        <w:pStyle w:val="14"/>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eastAsia="zh-CN"/>
        </w:rPr>
        <w:t>本单位无政府性基金预算财政拨款收支</w:t>
      </w:r>
    </w:p>
    <w:p w14:paraId="66A3C889">
      <w:pPr>
        <w:pStyle w:val="14"/>
        <w:rPr>
          <w:rFonts w:hint="eastAsia" w:hAnsi="黑体"/>
          <w:b/>
          <w:sz w:val="32"/>
          <w:szCs w:val="32"/>
        </w:rPr>
      </w:pPr>
      <w:r>
        <w:rPr>
          <w:rFonts w:hint="eastAsia" w:hAnsi="黑体"/>
          <w:b/>
          <w:sz w:val="32"/>
          <w:szCs w:val="32"/>
          <w:lang w:eastAsia="zh-CN"/>
        </w:rPr>
        <w:t>九、</w:t>
      </w:r>
      <w:r>
        <w:rPr>
          <w:rFonts w:hint="eastAsia" w:hAnsi="黑体"/>
          <w:b/>
          <w:sz w:val="32"/>
          <w:szCs w:val="32"/>
        </w:rPr>
        <w:t>国有资本经营预算收入支出决算情况</w:t>
      </w:r>
    </w:p>
    <w:p w14:paraId="70DDB41C">
      <w:pPr>
        <w:pStyle w:val="14"/>
        <w:ind w:firstLine="640" w:firstLineChars="200"/>
        <w:rPr>
          <w:rFonts w:hint="eastAsia" w:ascii="仿宋_GB2312" w:hAnsi="仿宋_GB2312" w:eastAsia="仿宋_GB2312" w:cs="仿宋_GB2312"/>
          <w:sz w:val="32"/>
          <w:szCs w:val="32"/>
          <w:lang w:eastAsia="zh-CN"/>
        </w:rPr>
      </w:pPr>
      <w:r>
        <w:rPr>
          <w:rFonts w:hint="eastAsia" w:ascii="仿宋_GB2312" w:eastAsia="仿宋_GB2312" w:cs="仿宋" w:hAnsiTheme="minorEastAsia"/>
          <w:color w:val="auto"/>
          <w:sz w:val="32"/>
          <w:szCs w:val="32"/>
        </w:rPr>
        <w:t>202</w:t>
      </w:r>
      <w:r>
        <w:rPr>
          <w:rFonts w:hint="eastAsia" w:ascii="仿宋_GB2312" w:eastAsia="仿宋_GB2312" w:cs="仿宋" w:hAnsiTheme="minorEastAsia"/>
          <w:color w:val="auto"/>
          <w:sz w:val="32"/>
          <w:szCs w:val="32"/>
          <w:lang w:val="en-US" w:eastAsia="zh-CN"/>
        </w:rPr>
        <w:t>3</w:t>
      </w:r>
      <w:r>
        <w:rPr>
          <w:rFonts w:hint="eastAsia" w:ascii="仿宋_GB2312" w:eastAsia="仿宋_GB2312" w:cs="仿宋" w:hAnsiTheme="minorEastAsia"/>
          <w:color w:val="auto"/>
          <w:sz w:val="32"/>
          <w:szCs w:val="32"/>
        </w:rPr>
        <w:t>年本单位无</w:t>
      </w:r>
      <w:r>
        <w:rPr>
          <w:rFonts w:hint="eastAsia" w:ascii="仿宋_GB2312" w:eastAsia="仿宋_GB2312" w:cs="仿宋" w:hAnsiTheme="minorEastAsia"/>
          <w:bCs/>
          <w:sz w:val="32"/>
          <w:szCs w:val="32"/>
        </w:rPr>
        <w:t>国有资本经营预算财政拨款收支</w:t>
      </w:r>
    </w:p>
    <w:p w14:paraId="31E8CD6D">
      <w:pPr>
        <w:pStyle w:val="14"/>
        <w:rPr>
          <w:rFonts w:hint="eastAsia" w:hAnsi="黑体"/>
          <w:b/>
          <w:sz w:val="32"/>
          <w:szCs w:val="32"/>
          <w:lang w:eastAsia="zh-CN"/>
        </w:rPr>
      </w:pPr>
    </w:p>
    <w:p w14:paraId="291132F5">
      <w:pPr>
        <w:pStyle w:val="14"/>
        <w:rPr>
          <w:rFonts w:ascii="Times New Roman" w:hAnsi="Times New Roman" w:eastAsia="仿宋_GB2312"/>
          <w:b/>
          <w:sz w:val="32"/>
          <w:szCs w:val="32"/>
        </w:rPr>
      </w:pPr>
      <w:r>
        <w:rPr>
          <w:rFonts w:hint="eastAsia" w:hAnsi="黑体"/>
          <w:b/>
          <w:sz w:val="32"/>
          <w:szCs w:val="32"/>
          <w:lang w:eastAsia="zh-CN"/>
        </w:rPr>
        <w:t>十、关于机关运行经费支出说明</w:t>
      </w:r>
    </w:p>
    <w:p w14:paraId="1E3A2A6C">
      <w:pPr>
        <w:pStyle w:val="14"/>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本部门202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年度机关运行经费支出</w:t>
      </w:r>
      <w:r>
        <w:rPr>
          <w:rFonts w:hint="eastAsia" w:ascii="仿宋_GB2312" w:hAnsi="仿宋_GB2312" w:eastAsia="仿宋_GB2312" w:cs="仿宋_GB2312"/>
          <w:sz w:val="32"/>
          <w:szCs w:val="32"/>
          <w:lang w:val="en-US" w:eastAsia="zh-CN"/>
        </w:rPr>
        <w:t>211.19</w:t>
      </w:r>
      <w:r>
        <w:rPr>
          <w:rFonts w:hint="eastAsia" w:ascii="仿宋_GB2312" w:hAnsi="仿宋_GB2312" w:eastAsia="仿宋_GB2312" w:cs="仿宋_GB2312"/>
          <w:sz w:val="32"/>
          <w:szCs w:val="32"/>
        </w:rPr>
        <w:t>万元，比</w:t>
      </w:r>
      <w:r>
        <w:rPr>
          <w:rFonts w:hint="eastAsia" w:ascii="仿宋_GB2312" w:hAnsi="仿宋_GB2312" w:eastAsia="仿宋_GB2312" w:cs="仿宋_GB2312"/>
          <w:sz w:val="32"/>
          <w:szCs w:val="32"/>
          <w:lang w:eastAsia="zh-CN"/>
        </w:rPr>
        <w:t>去年决算数减少</w:t>
      </w:r>
      <w:r>
        <w:rPr>
          <w:rFonts w:hint="eastAsia" w:ascii="仿宋_GB2312" w:hAnsi="仿宋_GB2312" w:eastAsia="仿宋_GB2312" w:cs="仿宋_GB2312"/>
          <w:sz w:val="32"/>
          <w:szCs w:val="32"/>
          <w:lang w:val="en-US" w:eastAsia="zh-CN"/>
        </w:rPr>
        <w:t>8.21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lang w:val="en-US" w:eastAsia="zh-CN"/>
        </w:rPr>
        <w:t>3.74</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eastAsia="zh-CN"/>
        </w:rPr>
        <w:t>厉行节约、缩减开支</w:t>
      </w:r>
      <w:r>
        <w:rPr>
          <w:rFonts w:hint="eastAsia" w:ascii="仿宋_GB2312" w:hAnsi="仿宋_GB2312" w:eastAsia="仿宋_GB2312" w:cs="仿宋_GB2312"/>
          <w:sz w:val="32"/>
          <w:szCs w:val="32"/>
          <w:lang w:val="en-US" w:eastAsia="zh-CN"/>
        </w:rPr>
        <w:t>。</w:t>
      </w:r>
    </w:p>
    <w:p w14:paraId="1113B0D8">
      <w:pPr>
        <w:pStyle w:val="14"/>
        <w:rPr>
          <w:rFonts w:hint="eastAsia" w:hAnsi="黑体" w:eastAsia="黑体"/>
          <w:b/>
          <w:sz w:val="32"/>
          <w:szCs w:val="32"/>
          <w:lang w:eastAsia="zh-CN"/>
        </w:rPr>
      </w:pPr>
      <w:r>
        <w:rPr>
          <w:rFonts w:hint="eastAsia" w:hAnsi="黑体"/>
          <w:b/>
          <w:sz w:val="32"/>
          <w:szCs w:val="32"/>
          <w:lang w:eastAsia="zh-CN"/>
        </w:rPr>
        <w:t>十一</w:t>
      </w:r>
      <w:r>
        <w:rPr>
          <w:rFonts w:hint="eastAsia" w:hAnsi="黑体"/>
          <w:b/>
          <w:sz w:val="32"/>
          <w:szCs w:val="32"/>
        </w:rPr>
        <w:t>、</w:t>
      </w:r>
      <w:r>
        <w:rPr>
          <w:rFonts w:hint="eastAsia" w:hAnsi="黑体"/>
          <w:b/>
          <w:sz w:val="32"/>
          <w:szCs w:val="32"/>
          <w:lang w:eastAsia="zh-CN"/>
        </w:rPr>
        <w:t>一般性支出情况说明</w:t>
      </w:r>
    </w:p>
    <w:p w14:paraId="010DF3A1">
      <w:pPr>
        <w:pStyle w:val="14"/>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年本部门开支会议费</w:t>
      </w:r>
      <w:r>
        <w:rPr>
          <w:rFonts w:hint="eastAsia" w:ascii="仿宋_GB2312" w:hAnsi="仿宋_GB2312" w:eastAsia="仿宋_GB2312" w:cs="仿宋_GB2312"/>
          <w:sz w:val="32"/>
          <w:szCs w:val="32"/>
          <w:lang w:val="en-US" w:eastAsia="zh-CN"/>
        </w:rPr>
        <w:t>16.09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主要用于召开以下会议：</w:t>
      </w:r>
    </w:p>
    <w:p w14:paraId="0B2214B3">
      <w:pPr>
        <w:pStyle w:val="14"/>
        <w:numPr>
          <w:ilvl w:val="0"/>
          <w:numId w:val="3"/>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用于召</w:t>
      </w:r>
      <w:r>
        <w:rPr>
          <w:rFonts w:hint="eastAsia" w:ascii="仿宋_GB2312" w:hAnsi="仿宋_GB2312" w:eastAsia="仿宋_GB2312" w:cs="仿宋_GB2312"/>
          <w:sz w:val="32"/>
          <w:szCs w:val="32"/>
          <w:lang w:eastAsia="zh-CN"/>
        </w:rPr>
        <w:t>开</w:t>
      </w:r>
      <w:r>
        <w:rPr>
          <w:rFonts w:hint="eastAsia" w:ascii="仿宋_GB2312" w:hAnsi="仿宋_GB2312" w:eastAsia="仿宋_GB2312" w:cs="仿宋_GB2312"/>
          <w:sz w:val="32"/>
          <w:szCs w:val="32"/>
          <w:lang w:val="en-US" w:eastAsia="zh-CN"/>
        </w:rPr>
        <w:t>2023年林业有害生物防治工作会议</w:t>
      </w:r>
      <w:r>
        <w:rPr>
          <w:rFonts w:hint="eastAsia" w:ascii="仿宋_GB2312" w:hAnsi="仿宋_GB2312" w:eastAsia="仿宋_GB2312" w:cs="仿宋_GB2312"/>
          <w:sz w:val="32"/>
          <w:szCs w:val="32"/>
        </w:rPr>
        <w:t>，人数</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人，内容为</w:t>
      </w:r>
      <w:r>
        <w:rPr>
          <w:rFonts w:hint="eastAsia" w:ascii="仿宋_GB2312" w:hAnsi="仿宋_GB2312" w:eastAsia="仿宋_GB2312" w:cs="仿宋_GB2312"/>
          <w:sz w:val="32"/>
          <w:szCs w:val="32"/>
          <w:lang w:eastAsia="zh-CN"/>
        </w:rPr>
        <w:t>推进怀化市松材线虫病防控，预算支出</w:t>
      </w:r>
      <w:r>
        <w:rPr>
          <w:rFonts w:hint="eastAsia" w:ascii="仿宋_GB2312" w:hAnsi="仿宋_GB2312" w:eastAsia="仿宋_GB2312" w:cs="仿宋_GB2312"/>
          <w:sz w:val="32"/>
          <w:szCs w:val="32"/>
          <w:lang w:val="en-US" w:eastAsia="zh-CN"/>
        </w:rPr>
        <w:t>0.15万元。</w:t>
      </w:r>
    </w:p>
    <w:p w14:paraId="4F08A507">
      <w:pPr>
        <w:pStyle w:val="14"/>
        <w:numPr>
          <w:ilvl w:val="0"/>
          <w:numId w:val="3"/>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用于召开全市创建国家森林城市称号申报工作推进会暨林业工作务虚会，人数50人，内容为各县市区林业局长汇报《关于做好国家森林城市称号报批工作的紧急通知》（怀创森版发【2023】1号）的落实情况、创森称号申报工作存在的主要问题和主要措施，预算支出0.5万元。</w:t>
      </w:r>
    </w:p>
    <w:p w14:paraId="4263E362">
      <w:pPr>
        <w:pStyle w:val="14"/>
        <w:numPr>
          <w:ilvl w:val="0"/>
          <w:numId w:val="3"/>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用于召开怀化市基层林长办建设暨护林员管理现场会，人数81人，内容为传达国家、省关于林长制工作有关要求；研究部署全市林长制工作，特别是乡镇林长办建设和护林员管理工作，预算支出2.5万元；</w:t>
      </w:r>
    </w:p>
    <w:p w14:paraId="07644E2B">
      <w:pPr>
        <w:pStyle w:val="14"/>
        <w:numPr>
          <w:ilvl w:val="0"/>
          <w:numId w:val="3"/>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用于召开2023年全省自然保护地工作会议，人数57人，内容为通报2022年度自然保护地管理考核评估结果，总结2022年全市自然保护地工作，研究部署2023年自然保护地重点工作，预算支出0.25万元；</w:t>
      </w:r>
    </w:p>
    <w:p w14:paraId="4FB51286">
      <w:pPr>
        <w:pStyle w:val="14"/>
        <w:numPr>
          <w:ilvl w:val="0"/>
          <w:numId w:val="3"/>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用于召开全市林草科技推广工作座谈会，人数35人，内容为听取各县市区林草科技推广工作情况汇报以及中央财政、省级财政林业科技项目实施情报的汇报及意见建议，预算支出0.25万元；</w:t>
      </w:r>
    </w:p>
    <w:p w14:paraId="66C58BE5">
      <w:pPr>
        <w:pStyle w:val="14"/>
        <w:numPr>
          <w:ilvl w:val="0"/>
          <w:numId w:val="3"/>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用于召开省林业局督导怀化油茶生产座谈会，人数54人，内容为听取各县市区贯彻落实全省油茶产业高质量发展现场推进会精神情况、2023年油茶生产任务完成情况，安排部署下阶段油茶生产工作，预算支出0.8万元；</w:t>
      </w:r>
    </w:p>
    <w:p w14:paraId="228455C1">
      <w:pPr>
        <w:pStyle w:val="14"/>
        <w:numPr>
          <w:ilvl w:val="0"/>
          <w:numId w:val="3"/>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用于召开省级财政油茶产业项目验收推进会，人数22人，内容为听取相关县市2022年省级财政林业生态保护修复及发展资金油茶产业项目实施情况和存在的问题，研究部署项目验收工作，预算支出0.12万元；</w:t>
      </w:r>
    </w:p>
    <w:p w14:paraId="78BEC2CF">
      <w:pPr>
        <w:pStyle w:val="14"/>
        <w:numPr>
          <w:ilvl w:val="0"/>
          <w:numId w:val="3"/>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用于召开怀化市森林资源管理暨森林督查工作座谈会，人数55人，内容为森林资源管理工作问题答疑、部署2023年森林督查后续工作，预算支出0.3万元；</w:t>
      </w:r>
    </w:p>
    <w:p w14:paraId="6F370A3A">
      <w:pPr>
        <w:pStyle w:val="14"/>
        <w:numPr>
          <w:ilvl w:val="0"/>
          <w:numId w:val="3"/>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用于召开全市深化集体林权制度改革试点会议，人数42人，内容为讨论《怀化市深化集体林权制度改革试点实施方案》（征求意见稿）并提出修改意见，预算支出0.5万元；</w:t>
      </w:r>
    </w:p>
    <w:p w14:paraId="0D1F4544">
      <w:pPr>
        <w:pStyle w:val="14"/>
        <w:numPr>
          <w:ilvl w:val="0"/>
          <w:numId w:val="3"/>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用于召开全省林业系统项目资金监管、国有“三资”清查处置与管理改革、林业产业财源建设、林业重大项目工作推进视频会，人数50人，内容为部署全省林业系统项目资金监督国有“三资”清查处置与管理改革、林业产业财源建设、林业重大项目等四项工作,预算支出0.5万元；</w:t>
      </w:r>
    </w:p>
    <w:p w14:paraId="383789A4">
      <w:pPr>
        <w:pStyle w:val="14"/>
        <w:numPr>
          <w:ilvl w:val="0"/>
          <w:numId w:val="3"/>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用于召开怀化市国家储备林林权储备工作会议，人数</w:t>
      </w:r>
      <w:r>
        <w:rPr>
          <w:rFonts w:hint="eastAsia" w:ascii="仿宋_GB2312" w:hAnsi="仿宋_GB2312" w:eastAsia="仿宋_GB2312" w:cs="仿宋_GB2312"/>
          <w:sz w:val="32"/>
          <w:szCs w:val="32"/>
          <w:lang w:val="en-US" w:eastAsia="zh-CN"/>
        </w:rPr>
        <w:t>51人，内容安排部署为国家储备林林权储备相关工作，预算支出0.3万元；</w:t>
      </w:r>
    </w:p>
    <w:p w14:paraId="022A6FD9">
      <w:pPr>
        <w:pStyle w:val="14"/>
        <w:numPr>
          <w:ilvl w:val="0"/>
          <w:numId w:val="3"/>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用于召开怀化市2023年油茶实用技术培训会，人数85人，内容为油茶丰产栽培关键技术；油茶水肥一体化技术等现场教学，预算支出2.98万元；</w:t>
      </w:r>
    </w:p>
    <w:p w14:paraId="1B2A9D8F">
      <w:pPr>
        <w:pStyle w:val="14"/>
        <w:numPr>
          <w:ilvl w:val="0"/>
          <w:numId w:val="3"/>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用于召开全省油茶生产工作推进视频会议，人数</w:t>
      </w:r>
      <w:r>
        <w:rPr>
          <w:rFonts w:hint="eastAsia" w:ascii="仿宋_GB2312" w:hAnsi="仿宋_GB2312" w:eastAsia="仿宋_GB2312" w:cs="仿宋_GB2312"/>
          <w:sz w:val="32"/>
          <w:szCs w:val="32"/>
          <w:lang w:val="en-US" w:eastAsia="zh-CN"/>
        </w:rPr>
        <w:t>78人，内容为督促各地抢抓冬季油茶造林，确保完成国家下达我省2023年油茶生产任务，并通过国家林草局林长制考核，预算支出；</w:t>
      </w:r>
    </w:p>
    <w:p w14:paraId="77C1FE19">
      <w:pPr>
        <w:pStyle w:val="14"/>
        <w:numPr>
          <w:ilvl w:val="0"/>
          <w:numId w:val="3"/>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用于召开怀化市风电项目高质量发展座谈会，人数60人，内容为调研风电项目质量发展相关工作，预算支出0.3万元；</w:t>
      </w:r>
    </w:p>
    <w:p w14:paraId="71F5D582">
      <w:pPr>
        <w:pStyle w:val="14"/>
        <w:numPr>
          <w:ilvl w:val="0"/>
          <w:numId w:val="3"/>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用于召开怀化市2024年中央财政国土绿化试点示范项目申报工作部署会议，人数30人，内容为安排部署全市2024年中央财政国土绿化试点示范项目申报工作，预算支出0.15万元；</w:t>
      </w:r>
    </w:p>
    <w:p w14:paraId="5B1B4C8E">
      <w:pPr>
        <w:pStyle w:val="14"/>
        <w:numPr>
          <w:ilvl w:val="0"/>
          <w:numId w:val="3"/>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用于召开怀化市林长制工作会议，人数46人，内容为传达学习省林长会议精神，观看省林长制督查暗访专题片，表彰2022年度林长制工作先进单位，研究部署我市2023年林长制重点工作，预算支出0.2万元；</w:t>
      </w:r>
    </w:p>
    <w:p w14:paraId="192DF8BC">
      <w:pPr>
        <w:pStyle w:val="14"/>
        <w:numPr>
          <w:ilvl w:val="0"/>
          <w:numId w:val="3"/>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用于召开《湖南省油茶产业发展若干规定》立法调研座谈会，人数</w:t>
      </w:r>
      <w:r>
        <w:rPr>
          <w:rFonts w:hint="eastAsia" w:ascii="仿宋_GB2312" w:hAnsi="仿宋_GB2312" w:eastAsia="仿宋_GB2312" w:cs="仿宋_GB2312"/>
          <w:sz w:val="32"/>
          <w:szCs w:val="32"/>
          <w:lang w:val="en-US" w:eastAsia="zh-CN"/>
        </w:rPr>
        <w:t>26人，内容为调研</w:t>
      </w:r>
      <w:r>
        <w:rPr>
          <w:rFonts w:hint="eastAsia" w:ascii="仿宋_GB2312" w:hAnsi="仿宋_GB2312" w:eastAsia="仿宋_GB2312" w:cs="仿宋_GB2312"/>
          <w:sz w:val="32"/>
          <w:szCs w:val="32"/>
          <w:lang w:eastAsia="zh-CN"/>
        </w:rPr>
        <w:t>湖南省油茶产业发展若干规定》相关工作，预算支出</w:t>
      </w:r>
      <w:r>
        <w:rPr>
          <w:rFonts w:hint="eastAsia" w:ascii="仿宋_GB2312" w:hAnsi="仿宋_GB2312" w:eastAsia="仿宋_GB2312" w:cs="仿宋_GB2312"/>
          <w:sz w:val="32"/>
          <w:szCs w:val="32"/>
          <w:lang w:val="en-US" w:eastAsia="zh-CN"/>
        </w:rPr>
        <w:t>0.3万元</w:t>
      </w:r>
      <w:r>
        <w:rPr>
          <w:rFonts w:hint="eastAsia" w:ascii="仿宋_GB2312" w:hAnsi="仿宋_GB2312" w:eastAsia="仿宋_GB2312" w:cs="仿宋_GB2312"/>
          <w:sz w:val="32"/>
          <w:szCs w:val="32"/>
          <w:lang w:eastAsia="zh-CN"/>
        </w:rPr>
        <w:t>；</w:t>
      </w:r>
    </w:p>
    <w:p w14:paraId="29C8B338">
      <w:pPr>
        <w:pStyle w:val="14"/>
        <w:numPr>
          <w:ilvl w:val="0"/>
          <w:numId w:val="3"/>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用于召开全市退化林本底评估工作部署技术培训会议，人数</w:t>
      </w:r>
      <w:r>
        <w:rPr>
          <w:rFonts w:hint="eastAsia" w:ascii="仿宋_GB2312" w:hAnsi="仿宋_GB2312" w:eastAsia="仿宋_GB2312" w:cs="仿宋_GB2312"/>
          <w:sz w:val="32"/>
          <w:szCs w:val="32"/>
          <w:lang w:val="en-US" w:eastAsia="zh-CN"/>
        </w:rPr>
        <w:t>71人，内容为部署全市退化</w:t>
      </w:r>
      <w:r>
        <w:rPr>
          <w:rFonts w:hint="eastAsia" w:ascii="仿宋_GB2312" w:hAnsi="仿宋_GB2312" w:eastAsia="仿宋_GB2312" w:cs="仿宋_GB2312"/>
          <w:sz w:val="32"/>
          <w:szCs w:val="32"/>
          <w:lang w:eastAsia="zh-CN"/>
        </w:rPr>
        <w:t>林本底评估工作，开展退化林本底评估技术培训，预算支出</w:t>
      </w:r>
      <w:r>
        <w:rPr>
          <w:rFonts w:hint="eastAsia" w:ascii="仿宋_GB2312" w:hAnsi="仿宋_GB2312" w:eastAsia="仿宋_GB2312" w:cs="仿宋_GB2312"/>
          <w:sz w:val="32"/>
          <w:szCs w:val="32"/>
          <w:lang w:val="en-US" w:eastAsia="zh-CN"/>
        </w:rPr>
        <w:t>0.4万元</w:t>
      </w:r>
      <w:r>
        <w:rPr>
          <w:rFonts w:hint="eastAsia" w:ascii="仿宋_GB2312" w:hAnsi="仿宋_GB2312" w:eastAsia="仿宋_GB2312" w:cs="仿宋_GB2312"/>
          <w:sz w:val="32"/>
          <w:szCs w:val="32"/>
          <w:lang w:eastAsia="zh-CN"/>
        </w:rPr>
        <w:t>；</w:t>
      </w:r>
    </w:p>
    <w:p w14:paraId="0313D07D">
      <w:pPr>
        <w:pStyle w:val="14"/>
        <w:numPr>
          <w:ilvl w:val="0"/>
          <w:numId w:val="3"/>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用于召开全市林业工作会议暨森林防火工作现场会，人数</w:t>
      </w:r>
      <w:r>
        <w:rPr>
          <w:rFonts w:hint="eastAsia" w:ascii="仿宋_GB2312" w:hAnsi="仿宋_GB2312" w:eastAsia="仿宋_GB2312" w:cs="仿宋_GB2312"/>
          <w:sz w:val="32"/>
          <w:szCs w:val="32"/>
          <w:lang w:val="en-US" w:eastAsia="zh-CN"/>
        </w:rPr>
        <w:t>140人，内容为总结2023年全市林业工作及对2024年林业工作的安排及部署，预算支出2万元；</w:t>
      </w:r>
    </w:p>
    <w:p w14:paraId="4202C6A3">
      <w:pPr>
        <w:pStyle w:val="14"/>
        <w:numPr>
          <w:ilvl w:val="0"/>
          <w:numId w:val="3"/>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用于召开国家油茶产业发展示范奖补项目方案编制座谈会，人数</w:t>
      </w:r>
      <w:r>
        <w:rPr>
          <w:rFonts w:hint="eastAsia" w:ascii="仿宋_GB2312" w:hAnsi="仿宋_GB2312" w:eastAsia="仿宋_GB2312" w:cs="仿宋_GB2312"/>
          <w:sz w:val="32"/>
          <w:szCs w:val="32"/>
          <w:lang w:val="en-US" w:eastAsia="zh-CN"/>
        </w:rPr>
        <w:t>33人，内容为项目方案编制组传达贯彻方案编制的有关要求，安排部署方案编制的有关工作；预算支出0.2万元；</w:t>
      </w:r>
    </w:p>
    <w:p w14:paraId="6F977E21">
      <w:pPr>
        <w:pStyle w:val="14"/>
        <w:numPr>
          <w:ilvl w:val="0"/>
          <w:numId w:val="3"/>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用于召开全市森林督查业务培训会议，人数90人，内容为推进全市森林督查业务各项工作；预算支出0.5万元，预算支出0.5万元。</w:t>
      </w:r>
    </w:p>
    <w:p w14:paraId="4AD4AF93">
      <w:pPr>
        <w:pStyle w:val="14"/>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本部门用于</w:t>
      </w:r>
      <w:r>
        <w:rPr>
          <w:rFonts w:hint="eastAsia" w:ascii="仿宋_GB2312" w:hAnsi="仿宋_GB2312" w:eastAsia="仿宋_GB2312" w:cs="仿宋_GB2312"/>
          <w:sz w:val="32"/>
          <w:szCs w:val="32"/>
        </w:rPr>
        <w:t>开支培训费</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主要</w:t>
      </w:r>
      <w:r>
        <w:rPr>
          <w:rFonts w:hint="eastAsia" w:ascii="仿宋_GB2312" w:hAnsi="仿宋_GB2312" w:eastAsia="仿宋_GB2312" w:cs="仿宋_GB2312"/>
          <w:sz w:val="32"/>
          <w:szCs w:val="32"/>
        </w:rPr>
        <w:t>用于</w:t>
      </w:r>
      <w:r>
        <w:rPr>
          <w:rFonts w:hint="eastAsia" w:ascii="仿宋_GB2312" w:hAnsi="仿宋_GB2312" w:eastAsia="仿宋_GB2312" w:cs="仿宋_GB2312"/>
          <w:sz w:val="32"/>
          <w:szCs w:val="32"/>
          <w:lang w:eastAsia="zh-CN"/>
        </w:rPr>
        <w:t>全市林业行政执法培训费</w:t>
      </w:r>
      <w:r>
        <w:rPr>
          <w:rFonts w:hint="eastAsia" w:ascii="仿宋_GB2312" w:hAnsi="仿宋_GB2312" w:eastAsia="仿宋_GB2312" w:cs="仿宋_GB2312"/>
          <w:sz w:val="32"/>
          <w:szCs w:val="32"/>
        </w:rPr>
        <w:t>，人数</w:t>
      </w:r>
      <w:r>
        <w:rPr>
          <w:rFonts w:hint="eastAsia" w:ascii="仿宋_GB2312" w:hAnsi="仿宋_GB2312" w:eastAsia="仿宋_GB2312" w:cs="仿宋_GB2312"/>
          <w:sz w:val="32"/>
          <w:szCs w:val="32"/>
          <w:lang w:val="en-US" w:eastAsia="zh-CN"/>
        </w:rPr>
        <w:t>82</w:t>
      </w:r>
      <w:r>
        <w:rPr>
          <w:rFonts w:hint="eastAsia" w:ascii="仿宋_GB2312" w:hAnsi="仿宋_GB2312" w:eastAsia="仿宋_GB2312" w:cs="仿宋_GB2312"/>
          <w:sz w:val="32"/>
          <w:szCs w:val="32"/>
        </w:rPr>
        <w:t>人，内容</w:t>
      </w:r>
      <w:r>
        <w:rPr>
          <w:rFonts w:hint="eastAsia" w:ascii="仿宋_GB2312" w:hAnsi="仿宋_GB2312" w:eastAsia="仿宋_GB2312" w:cs="仿宋_GB2312"/>
          <w:sz w:val="32"/>
          <w:szCs w:val="32"/>
          <w:lang w:eastAsia="zh-CN"/>
        </w:rPr>
        <w:t>为林业行政处罚程序、林业行政处罚案例解析、交流研讨林业行政执法过程中遇到的疑难问题、《中华人民共和国行政处罚法》解读</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用于开展事业单位工作人员培训，人数</w:t>
      </w:r>
      <w:r>
        <w:rPr>
          <w:rFonts w:hint="eastAsia" w:ascii="仿宋_GB2312" w:hAnsi="仿宋_GB2312" w:eastAsia="仿宋_GB2312" w:cs="仿宋_GB2312"/>
          <w:sz w:val="32"/>
          <w:szCs w:val="32"/>
          <w:lang w:val="en-US" w:eastAsia="zh-CN"/>
        </w:rPr>
        <w:t>38人，内容为习近平新时代中国特色社会主义思想、中国共产党十九届六中全会精神、事业单位人事管理相关政策法规等；用于全市野生动植物保护及自然保护地管理业务培训，人数64人，内容为野生动植物保护及自然保护地专业知识讲解培训；无举办节庆、晚会、论坛、赛事等活动开支。</w:t>
      </w:r>
    </w:p>
    <w:p w14:paraId="36FD0632">
      <w:pPr>
        <w:pStyle w:val="14"/>
        <w:rPr>
          <w:rFonts w:hAnsi="黑体"/>
          <w:b/>
          <w:sz w:val="32"/>
          <w:szCs w:val="32"/>
        </w:rPr>
      </w:pPr>
      <w:r>
        <w:rPr>
          <w:rFonts w:hint="eastAsia" w:hAnsi="黑体"/>
          <w:b/>
          <w:sz w:val="32"/>
          <w:szCs w:val="32"/>
        </w:rPr>
        <w:t>十</w:t>
      </w:r>
      <w:r>
        <w:rPr>
          <w:rFonts w:hint="eastAsia" w:hAnsi="黑体"/>
          <w:b/>
          <w:sz w:val="32"/>
          <w:szCs w:val="32"/>
          <w:lang w:eastAsia="zh-CN"/>
        </w:rPr>
        <w:t>二</w:t>
      </w:r>
      <w:r>
        <w:rPr>
          <w:rFonts w:hint="eastAsia" w:hAnsi="黑体"/>
          <w:b/>
          <w:sz w:val="32"/>
          <w:szCs w:val="32"/>
        </w:rPr>
        <w:t>、政府采购支出说明</w:t>
      </w:r>
    </w:p>
    <w:p w14:paraId="682734A5">
      <w:pPr>
        <w:pStyle w:val="14"/>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年度政府采购支出总额</w:t>
      </w:r>
      <w:r>
        <w:rPr>
          <w:rFonts w:hint="eastAsia" w:ascii="仿宋_GB2312" w:hAnsi="仿宋_GB2312" w:eastAsia="仿宋_GB2312" w:cs="仿宋_GB2312"/>
          <w:sz w:val="32"/>
          <w:szCs w:val="32"/>
          <w:lang w:val="en-US" w:eastAsia="zh-CN"/>
        </w:rPr>
        <w:t>816.05</w:t>
      </w:r>
      <w:r>
        <w:rPr>
          <w:rFonts w:hint="eastAsia" w:ascii="仿宋_GB2312" w:hAnsi="仿宋_GB2312" w:eastAsia="仿宋_GB2312" w:cs="仿宋_GB2312"/>
          <w:sz w:val="32"/>
          <w:szCs w:val="32"/>
        </w:rPr>
        <w:t>万元，其中：政府采购货物支出</w:t>
      </w:r>
      <w:r>
        <w:rPr>
          <w:rFonts w:hint="eastAsia" w:ascii="仿宋_GB2312" w:hAnsi="仿宋_GB2312" w:eastAsia="仿宋_GB2312" w:cs="仿宋_GB2312"/>
          <w:sz w:val="32"/>
          <w:szCs w:val="32"/>
          <w:lang w:val="en-US" w:eastAsia="zh-CN"/>
        </w:rPr>
        <w:t>158.05</w:t>
      </w:r>
      <w:r>
        <w:rPr>
          <w:rFonts w:hint="eastAsia" w:ascii="仿宋_GB2312" w:hAnsi="仿宋_GB2312" w:eastAsia="仿宋_GB2312" w:cs="仿宋_GB2312"/>
          <w:sz w:val="32"/>
          <w:szCs w:val="32"/>
        </w:rPr>
        <w:t>万元、政府采购工程支出</w:t>
      </w:r>
      <w:r>
        <w:rPr>
          <w:rFonts w:hint="eastAsia" w:ascii="仿宋_GB2312" w:hAnsi="仿宋_GB2312" w:eastAsia="仿宋_GB2312" w:cs="仿宋_GB2312"/>
          <w:sz w:val="32"/>
          <w:szCs w:val="32"/>
          <w:lang w:val="en-US" w:eastAsia="zh-CN"/>
        </w:rPr>
        <w:t>596.00</w:t>
      </w:r>
      <w:r>
        <w:rPr>
          <w:rFonts w:hint="eastAsia" w:ascii="仿宋_GB2312" w:hAnsi="仿宋_GB2312" w:eastAsia="仿宋_GB2312" w:cs="仿宋_GB2312"/>
          <w:sz w:val="32"/>
          <w:szCs w:val="32"/>
        </w:rPr>
        <w:t>万元、政府采购服务支出</w:t>
      </w:r>
      <w:r>
        <w:rPr>
          <w:rFonts w:hint="eastAsia" w:ascii="仿宋_GB2312" w:hAnsi="仿宋_GB2312" w:eastAsia="仿宋_GB2312" w:cs="仿宋_GB2312"/>
          <w:sz w:val="32"/>
          <w:szCs w:val="32"/>
          <w:lang w:val="en-US" w:eastAsia="zh-CN"/>
        </w:rPr>
        <w:t>62.00</w:t>
      </w:r>
      <w:r>
        <w:rPr>
          <w:rFonts w:hint="eastAsia" w:ascii="仿宋_GB2312" w:hAnsi="仿宋_GB2312" w:eastAsia="仿宋_GB2312" w:cs="仿宋_GB2312"/>
          <w:sz w:val="32"/>
          <w:szCs w:val="32"/>
        </w:rPr>
        <w:t>万元。授予中小企业合同金额</w:t>
      </w:r>
      <w:r>
        <w:rPr>
          <w:rFonts w:hint="eastAsia" w:ascii="仿宋_GB2312" w:hAnsi="仿宋_GB2312" w:eastAsia="仿宋_GB2312" w:cs="仿宋_GB2312"/>
          <w:sz w:val="32"/>
          <w:szCs w:val="32"/>
          <w:lang w:val="en-US" w:eastAsia="zh-CN"/>
        </w:rPr>
        <w:t>235.41</w:t>
      </w:r>
      <w:r>
        <w:rPr>
          <w:rFonts w:hint="eastAsia" w:ascii="仿宋_GB2312" w:hAnsi="仿宋_GB2312" w:eastAsia="仿宋_GB2312" w:cs="仿宋_GB2312"/>
          <w:sz w:val="32"/>
          <w:szCs w:val="32"/>
        </w:rPr>
        <w:t>万元，占政府采购支出总额的</w:t>
      </w:r>
      <w:r>
        <w:rPr>
          <w:rFonts w:hint="eastAsia" w:ascii="仿宋_GB2312" w:hAnsi="仿宋_GB2312" w:eastAsia="仿宋_GB2312" w:cs="仿宋_GB2312"/>
          <w:sz w:val="32"/>
          <w:szCs w:val="32"/>
          <w:lang w:val="en-US" w:eastAsia="zh-CN"/>
        </w:rPr>
        <w:t>28.85</w:t>
      </w:r>
      <w:r>
        <w:rPr>
          <w:rFonts w:hint="eastAsia" w:ascii="仿宋_GB2312" w:hAnsi="仿宋_GB2312" w:eastAsia="仿宋_GB2312" w:cs="仿宋_GB2312"/>
          <w:sz w:val="32"/>
          <w:szCs w:val="32"/>
        </w:rPr>
        <w:t>%，其中：授予小微企业合同金额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万元，占授予中小企业合同金额的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%；货物采购授予中小企业合同金额占货物支出金额的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%，工程采购授予中小企业合同金额占工程支出金额的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%，服务采购授予中小企业合同金额占服务支出金额的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14:paraId="7539F7D2">
      <w:pPr>
        <w:pStyle w:val="14"/>
        <w:rPr>
          <w:rFonts w:hAnsi="黑体"/>
          <w:b/>
          <w:sz w:val="32"/>
          <w:szCs w:val="32"/>
        </w:rPr>
      </w:pPr>
      <w:r>
        <w:rPr>
          <w:rFonts w:hint="eastAsia" w:hAnsi="黑体"/>
          <w:b/>
          <w:sz w:val="32"/>
          <w:szCs w:val="32"/>
        </w:rPr>
        <w:t>十</w:t>
      </w:r>
      <w:r>
        <w:rPr>
          <w:rFonts w:hint="eastAsia" w:hAnsi="黑体"/>
          <w:b/>
          <w:sz w:val="32"/>
          <w:szCs w:val="32"/>
          <w:lang w:eastAsia="zh-CN"/>
        </w:rPr>
        <w:t>三</w:t>
      </w:r>
      <w:r>
        <w:rPr>
          <w:rFonts w:hint="eastAsia" w:hAnsi="黑体"/>
          <w:b/>
          <w:sz w:val="32"/>
          <w:szCs w:val="32"/>
        </w:rPr>
        <w:t>、国有资产占用情况说明</w:t>
      </w:r>
    </w:p>
    <w:p w14:paraId="66D84E6C">
      <w:pPr>
        <w:pStyle w:val="14"/>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年12月31日，</w:t>
      </w:r>
      <w:r>
        <w:rPr>
          <w:rFonts w:hint="eastAsia" w:ascii="仿宋_GB2312" w:hAnsi="仿宋_GB2312" w:eastAsia="仿宋_GB2312" w:cs="仿宋_GB2312"/>
          <w:sz w:val="32"/>
          <w:szCs w:val="32"/>
          <w:lang w:eastAsia="zh-CN"/>
        </w:rPr>
        <w:t>本</w:t>
      </w:r>
      <w:r>
        <w:rPr>
          <w:rFonts w:hint="eastAsia" w:ascii="仿宋_GB2312" w:hAnsi="仿宋_GB2312" w:eastAsia="仿宋_GB2312" w:cs="仿宋_GB2312"/>
          <w:sz w:val="32"/>
          <w:szCs w:val="32"/>
        </w:rPr>
        <w:t>单位共有车辆</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辆，其中，主要领导干部用车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辆，机要通信用车</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辆、应急保障用车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辆、执法执勤用车</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辆、特种专业技术用车</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辆、其他用</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辆，其他用车主要</w:t>
      </w:r>
      <w:r>
        <w:rPr>
          <w:rFonts w:hint="eastAsia" w:ascii="仿宋_GB2312" w:hAnsi="仿宋_GB2312" w:eastAsia="仿宋_GB2312" w:cs="仿宋_GB2312"/>
          <w:sz w:val="32"/>
          <w:szCs w:val="32"/>
          <w:lang w:eastAsia="zh-CN"/>
        </w:rPr>
        <w:t>是一般公务用车</w:t>
      </w:r>
      <w:r>
        <w:rPr>
          <w:rFonts w:hint="eastAsia" w:ascii="仿宋_GB2312" w:hAnsi="仿宋_GB2312" w:eastAsia="仿宋_GB2312" w:cs="仿宋_GB2312"/>
          <w:sz w:val="32"/>
          <w:szCs w:val="32"/>
        </w:rPr>
        <w:t>；单位价值50万元以上通用设备</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台（套）；单位价值100万元以上专用设备</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台（套）。</w:t>
      </w:r>
    </w:p>
    <w:p w14:paraId="32CD56C4">
      <w:pPr>
        <w:pStyle w:val="14"/>
        <w:rPr>
          <w:rFonts w:hint="eastAsia" w:ascii="黑体" w:hAnsi="黑体" w:eastAsia="黑体" w:cs="黑体"/>
          <w:b/>
          <w:sz w:val="32"/>
          <w:szCs w:val="32"/>
        </w:rPr>
      </w:pPr>
      <w:r>
        <w:rPr>
          <w:rFonts w:hint="eastAsia" w:ascii="黑体" w:hAnsi="黑体" w:eastAsia="黑体" w:cs="黑体"/>
          <w:b/>
          <w:sz w:val="32"/>
          <w:szCs w:val="32"/>
        </w:rPr>
        <w:t>十</w:t>
      </w:r>
      <w:r>
        <w:rPr>
          <w:rFonts w:hint="eastAsia" w:hAnsi="黑体" w:cs="黑体"/>
          <w:b/>
          <w:sz w:val="32"/>
          <w:szCs w:val="32"/>
          <w:lang w:eastAsia="zh-CN"/>
        </w:rPr>
        <w:t>四</w:t>
      </w:r>
      <w:r>
        <w:rPr>
          <w:rFonts w:hint="eastAsia" w:ascii="黑体" w:hAnsi="黑体" w:eastAsia="黑体" w:cs="黑体"/>
          <w:b/>
          <w:sz w:val="32"/>
          <w:szCs w:val="32"/>
        </w:rPr>
        <w:t>、202</w:t>
      </w:r>
      <w:r>
        <w:rPr>
          <w:rFonts w:hint="eastAsia" w:hAnsi="黑体" w:cs="黑体"/>
          <w:b/>
          <w:sz w:val="32"/>
          <w:szCs w:val="32"/>
          <w:lang w:val="en-US" w:eastAsia="zh-CN"/>
        </w:rPr>
        <w:t>3</w:t>
      </w:r>
      <w:r>
        <w:rPr>
          <w:rFonts w:hint="eastAsia" w:ascii="黑体" w:hAnsi="黑体" w:eastAsia="黑体" w:cs="黑体"/>
          <w:b/>
          <w:sz w:val="32"/>
          <w:szCs w:val="32"/>
        </w:rPr>
        <w:t>年度预算绩效情况说明</w:t>
      </w:r>
    </w:p>
    <w:p w14:paraId="1BE35A73">
      <w:pPr>
        <w:pStyle w:val="14"/>
        <w:keepNext w:val="0"/>
        <w:keepLines w:val="0"/>
        <w:pageBreakBefore w:val="0"/>
        <w:widowControl w:val="0"/>
        <w:numPr>
          <w:ilvl w:val="0"/>
          <w:numId w:val="4"/>
        </w:numPr>
        <w:kinsoku/>
        <w:wordWrap/>
        <w:overflowPunct/>
        <w:topLinePunct w:val="0"/>
        <w:bidi w:val="0"/>
        <w:snapToGrid/>
        <w:spacing w:line="600" w:lineRule="exact"/>
        <w:ind w:firstLine="640" w:firstLineChars="200"/>
        <w:jc w:val="left"/>
        <w:textAlignment w:val="auto"/>
        <w:rPr>
          <w:rFonts w:hint="eastAsia" w:hAnsi="黑体" w:cs="黑体"/>
          <w:b/>
          <w:bCs/>
          <w:sz w:val="32"/>
          <w:szCs w:val="32"/>
          <w:lang w:val="en-US" w:eastAsia="zh-CN"/>
        </w:rPr>
      </w:pPr>
      <w:r>
        <w:rPr>
          <w:rFonts w:hint="eastAsia" w:hAnsi="黑体" w:cs="黑体"/>
          <w:b/>
          <w:bCs/>
          <w:sz w:val="32"/>
          <w:szCs w:val="32"/>
          <w:lang w:val="en-US" w:eastAsia="zh-CN"/>
        </w:rPr>
        <w:t>绩效管理工作开展情况</w:t>
      </w:r>
    </w:p>
    <w:p w14:paraId="48D63540">
      <w:pPr>
        <w:pStyle w:val="20"/>
        <w:keepNext w:val="0"/>
        <w:keepLines w:val="0"/>
        <w:pageBreakBefore w:val="0"/>
        <w:kinsoku/>
        <w:wordWrap/>
        <w:overflowPunct/>
        <w:topLinePunct w:val="0"/>
        <w:autoSpaceDE/>
        <w:bidi w:val="0"/>
        <w:spacing w:line="560" w:lineRule="exact"/>
        <w:ind w:firstLine="960" w:firstLineChars="300"/>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根据《怀化市财政局关于开展202</w:t>
      </w:r>
      <w:r>
        <w:rPr>
          <w:rFonts w:hint="default" w:ascii="仿宋_GB2312" w:hAnsi="仿宋_GB2312" w:eastAsia="仿宋_GB2312" w:cs="仿宋_GB2312"/>
          <w:color w:val="000000"/>
          <w:kern w:val="0"/>
          <w:sz w:val="32"/>
          <w:szCs w:val="32"/>
          <w:lang w:val="en-US" w:eastAsia="zh-CN" w:bidi="ar-SA"/>
        </w:rPr>
        <w:t>3</w:t>
      </w:r>
      <w:r>
        <w:rPr>
          <w:rFonts w:hint="eastAsia" w:ascii="仿宋_GB2312" w:hAnsi="仿宋_GB2312" w:eastAsia="仿宋_GB2312" w:cs="仿宋_GB2312"/>
          <w:color w:val="000000"/>
          <w:kern w:val="0"/>
          <w:sz w:val="32"/>
          <w:szCs w:val="32"/>
          <w:lang w:val="en-US" w:eastAsia="zh-CN" w:bidi="ar-SA"/>
        </w:rPr>
        <w:t>年度</w:t>
      </w:r>
      <w:r>
        <w:rPr>
          <w:rFonts w:hint="default" w:ascii="仿宋_GB2312" w:hAnsi="仿宋_GB2312" w:eastAsia="仿宋_GB2312" w:cs="仿宋_GB2312"/>
          <w:color w:val="000000"/>
          <w:kern w:val="0"/>
          <w:sz w:val="32"/>
          <w:szCs w:val="32"/>
          <w:lang w:val="en-US" w:eastAsia="zh-CN" w:bidi="ar-SA"/>
        </w:rPr>
        <w:t>预算支出绩效自评工作</w:t>
      </w:r>
      <w:r>
        <w:rPr>
          <w:rFonts w:hint="eastAsia" w:ascii="仿宋_GB2312" w:hAnsi="仿宋_GB2312" w:eastAsia="仿宋_GB2312" w:cs="仿宋_GB2312"/>
          <w:color w:val="000000"/>
          <w:kern w:val="0"/>
          <w:sz w:val="32"/>
          <w:szCs w:val="32"/>
          <w:lang w:val="en-US" w:eastAsia="zh-CN" w:bidi="ar-SA"/>
        </w:rPr>
        <w:t>的通知》（怀财绩[202</w:t>
      </w:r>
      <w:r>
        <w:rPr>
          <w:rFonts w:hint="default" w:ascii="仿宋_GB2312" w:hAnsi="仿宋_GB2312" w:eastAsia="仿宋_GB2312" w:cs="仿宋_GB2312"/>
          <w:color w:val="000000"/>
          <w:kern w:val="0"/>
          <w:sz w:val="32"/>
          <w:szCs w:val="32"/>
          <w:lang w:val="en-US" w:eastAsia="zh-CN" w:bidi="ar-SA"/>
        </w:rPr>
        <w:t>4</w:t>
      </w:r>
      <w:r>
        <w:rPr>
          <w:rFonts w:hint="eastAsia" w:ascii="仿宋_GB2312" w:hAnsi="仿宋_GB2312" w:eastAsia="仿宋_GB2312" w:cs="仿宋_GB2312"/>
          <w:color w:val="000000"/>
          <w:kern w:val="0"/>
          <w:sz w:val="32"/>
          <w:szCs w:val="32"/>
          <w:lang w:val="en-US" w:eastAsia="zh-CN" w:bidi="ar-SA"/>
        </w:rPr>
        <w:t>]</w:t>
      </w:r>
      <w:r>
        <w:rPr>
          <w:rFonts w:hint="default" w:ascii="仿宋_GB2312" w:hAnsi="仿宋_GB2312" w:eastAsia="仿宋_GB2312" w:cs="仿宋_GB2312"/>
          <w:color w:val="000000"/>
          <w:kern w:val="0"/>
          <w:sz w:val="32"/>
          <w:szCs w:val="32"/>
          <w:lang w:val="en-US" w:eastAsia="zh-CN" w:bidi="ar-SA"/>
        </w:rPr>
        <w:t>46</w:t>
      </w:r>
      <w:r>
        <w:rPr>
          <w:rFonts w:hint="eastAsia" w:ascii="仿宋_GB2312" w:hAnsi="仿宋_GB2312" w:eastAsia="仿宋_GB2312" w:cs="仿宋_GB2312"/>
          <w:color w:val="000000"/>
          <w:kern w:val="0"/>
          <w:sz w:val="32"/>
          <w:szCs w:val="32"/>
          <w:lang w:val="en-US" w:eastAsia="zh-CN" w:bidi="ar-SA"/>
        </w:rPr>
        <w:t>号）文件要求，我单位领导高度重视，组织专门人员及相关科室，对202</w:t>
      </w:r>
      <w:r>
        <w:rPr>
          <w:rFonts w:hint="default" w:ascii="仿宋_GB2312" w:hAnsi="仿宋_GB2312" w:eastAsia="仿宋_GB2312" w:cs="仿宋_GB2312"/>
          <w:color w:val="000000"/>
          <w:kern w:val="0"/>
          <w:sz w:val="32"/>
          <w:szCs w:val="32"/>
          <w:lang w:val="en-US" w:eastAsia="zh-CN" w:bidi="ar-SA"/>
        </w:rPr>
        <w:t>3</w:t>
      </w:r>
      <w:r>
        <w:rPr>
          <w:rFonts w:hint="eastAsia" w:ascii="仿宋_GB2312" w:hAnsi="仿宋_GB2312" w:eastAsia="仿宋_GB2312" w:cs="仿宋_GB2312"/>
          <w:color w:val="000000"/>
          <w:kern w:val="0"/>
          <w:sz w:val="32"/>
          <w:szCs w:val="32"/>
          <w:lang w:val="en-US" w:eastAsia="zh-CN" w:bidi="ar-SA"/>
        </w:rPr>
        <w:t>年市级财政专项资金的使用完成情况进行真实、准确、客观的自评，具体工作开展情况如下：</w:t>
      </w:r>
    </w:p>
    <w:p w14:paraId="4928E3F5">
      <w:pPr>
        <w:keepNext w:val="0"/>
        <w:keepLines w:val="0"/>
        <w:pageBreakBefore w:val="0"/>
        <w:kinsoku/>
        <w:wordWrap/>
        <w:overflowPunct/>
        <w:topLinePunct w:val="0"/>
        <w:autoSpaceDE/>
        <w:bidi w:val="0"/>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加强</w:t>
      </w:r>
      <w:r>
        <w:rPr>
          <w:rFonts w:hint="eastAsia" w:ascii="仿宋_GB2312" w:hAnsi="仿宋_GB2312" w:eastAsia="仿宋_GB2312" w:cs="仿宋_GB2312"/>
          <w:color w:val="000000"/>
          <w:kern w:val="0"/>
          <w:sz w:val="32"/>
          <w:szCs w:val="32"/>
          <w:lang w:val="en-US" w:eastAsia="zh-CN" w:bidi="ar-SA"/>
        </w:rPr>
        <w:t>组织</w:t>
      </w:r>
      <w:r>
        <w:rPr>
          <w:rFonts w:hint="eastAsia" w:ascii="仿宋_GB2312" w:hAnsi="仿宋_GB2312" w:eastAsia="仿宋_GB2312" w:cs="仿宋_GB2312"/>
          <w:color w:val="000000"/>
          <w:kern w:val="0"/>
          <w:sz w:val="32"/>
          <w:szCs w:val="32"/>
          <w:lang w:val="en-US" w:eastAsia="zh-CN" w:bidi="ar-SA"/>
        </w:rPr>
        <w:t>领导，明确工作责任。对</w:t>
      </w:r>
      <w:r>
        <w:rPr>
          <w:rFonts w:hint="default" w:ascii="仿宋_GB2312" w:hAnsi="仿宋_GB2312" w:eastAsia="仿宋_GB2312" w:cs="仿宋_GB2312"/>
          <w:color w:val="000000"/>
          <w:kern w:val="0"/>
          <w:sz w:val="32"/>
          <w:szCs w:val="32"/>
          <w:lang w:val="en-US" w:eastAsia="zh-CN" w:bidi="ar-SA"/>
        </w:rPr>
        <w:t>部门整体支出</w:t>
      </w:r>
      <w:r>
        <w:rPr>
          <w:rFonts w:hint="eastAsia" w:ascii="仿宋_GB2312" w:hAnsi="仿宋_GB2312" w:eastAsia="仿宋_GB2312" w:cs="仿宋_GB2312"/>
          <w:color w:val="000000"/>
          <w:kern w:val="0"/>
          <w:sz w:val="32"/>
          <w:szCs w:val="32"/>
          <w:lang w:val="en-US" w:eastAsia="zh-CN" w:bidi="ar-SA"/>
        </w:rPr>
        <w:t>绩效自评工作，我局领导高度重视，由分管财务的局领导主持召开了专门会议，将绩效自评工作落实到相关二级单位以及相对应的部门，规财部门综合管理和汇总，层层抓落实。</w:t>
      </w:r>
    </w:p>
    <w:p w14:paraId="35A2FD16">
      <w:pPr>
        <w:keepNext w:val="0"/>
        <w:keepLines w:val="0"/>
        <w:pageBreakBefore w:val="0"/>
        <w:kinsoku/>
        <w:wordWrap/>
        <w:overflowPunct/>
        <w:topLinePunct w:val="0"/>
        <w:autoSpaceDE/>
        <w:bidi w:val="0"/>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抽调专门力量，认真做好自评。责任单位和科室安排专门业务骨干人员，根据专项资金绩效评价共性指标内容，通过查阅资料、实地查看、报账支出等对每一项专项工作的完成情况、完成质量、预期产生的经济、社会、生态效益进行详细地自评和分析。规财部门组织</w:t>
      </w:r>
      <w:r>
        <w:rPr>
          <w:rFonts w:hint="eastAsia" w:ascii="仿宋_GB2312" w:hAnsi="仿宋_GB2312" w:eastAsia="仿宋_GB2312" w:cs="仿宋_GB2312"/>
          <w:color w:val="000000"/>
          <w:kern w:val="0"/>
          <w:sz w:val="32"/>
          <w:szCs w:val="32"/>
          <w:lang w:val="en-US" w:eastAsia="zh-CN" w:bidi="ar-SA"/>
        </w:rPr>
        <w:t>人员</w:t>
      </w:r>
      <w:r>
        <w:rPr>
          <w:rFonts w:hint="eastAsia" w:ascii="仿宋_GB2312" w:hAnsi="仿宋_GB2312" w:eastAsia="仿宋_GB2312" w:cs="仿宋_GB2312"/>
          <w:color w:val="000000"/>
          <w:kern w:val="0"/>
          <w:sz w:val="32"/>
          <w:szCs w:val="32"/>
          <w:lang w:val="en-US" w:eastAsia="zh-CN" w:bidi="ar-SA"/>
        </w:rPr>
        <w:t>对本级林业专项资金管理、使用、预算执行以及存在的问题进行总结和评价分析，并对各科室提供的自评材料进行再次自评，以确保自评质量。</w:t>
      </w:r>
    </w:p>
    <w:p w14:paraId="3A7B9B9F">
      <w:pPr>
        <w:pStyle w:val="14"/>
        <w:keepNext w:val="0"/>
        <w:keepLines w:val="0"/>
        <w:pageBreakBefore w:val="0"/>
        <w:widowControl w:val="0"/>
        <w:numPr>
          <w:numId w:val="0"/>
        </w:numPr>
        <w:kinsoku/>
        <w:wordWrap/>
        <w:overflowPunct/>
        <w:topLinePunct w:val="0"/>
        <w:bidi w:val="0"/>
        <w:snapToGrid/>
        <w:spacing w:line="600" w:lineRule="exact"/>
        <w:ind w:firstLine="320" w:firstLineChars="100"/>
        <w:jc w:val="left"/>
        <w:textAlignment w:val="auto"/>
        <w:rPr>
          <w:rFonts w:hint="eastAsia" w:ascii="楷体" w:hAnsi="楷体" w:eastAsia="楷体" w:cs="楷体"/>
          <w:b/>
          <w:bCs/>
          <w:sz w:val="32"/>
          <w:szCs w:val="32"/>
        </w:rPr>
      </w:pPr>
      <w:r>
        <w:rPr>
          <w:rFonts w:hint="eastAsia" w:hAnsi="黑体" w:cs="黑体"/>
          <w:b/>
          <w:bCs/>
          <w:sz w:val="32"/>
          <w:szCs w:val="32"/>
          <w:lang w:val="en-US" w:eastAsia="zh-CN"/>
        </w:rPr>
        <w:t>(</w:t>
      </w:r>
      <w:r>
        <w:rPr>
          <w:rFonts w:hint="eastAsia" w:hAnsi="黑体" w:cs="黑体"/>
          <w:b/>
          <w:bCs/>
          <w:sz w:val="32"/>
          <w:szCs w:val="32"/>
          <w:lang w:eastAsia="zh-CN"/>
        </w:rPr>
        <w:t>二</w:t>
      </w:r>
      <w:r>
        <w:rPr>
          <w:rFonts w:hint="eastAsia" w:ascii="黑体" w:hAnsi="黑体" w:eastAsia="黑体" w:cs="黑体"/>
          <w:b/>
          <w:bCs/>
          <w:sz w:val="32"/>
          <w:szCs w:val="32"/>
          <w:lang w:eastAsia="zh-CN"/>
        </w:rPr>
        <w:t>）</w:t>
      </w:r>
      <w:r>
        <w:rPr>
          <w:rFonts w:hint="eastAsia" w:ascii="黑体" w:hAnsi="黑体" w:eastAsia="黑体" w:cs="黑体"/>
          <w:b/>
          <w:bCs/>
          <w:sz w:val="32"/>
          <w:szCs w:val="32"/>
        </w:rPr>
        <w:t>部门整体支出绩效情况</w:t>
      </w:r>
    </w:p>
    <w:p w14:paraId="592A25D0">
      <w:pPr>
        <w:pStyle w:val="14"/>
        <w:keepNext w:val="0"/>
        <w:keepLines w:val="0"/>
        <w:pageBreakBefore w:val="0"/>
        <w:widowControl w:val="0"/>
        <w:kinsoku/>
        <w:wordWrap/>
        <w:overflowPunct/>
        <w:topLinePunct w:val="0"/>
        <w:bidi w:val="0"/>
        <w:snapToGrid/>
        <w:spacing w:line="600" w:lineRule="exact"/>
        <w:ind w:firstLine="960" w:firstLineChars="300"/>
        <w:jc w:val="left"/>
        <w:textAlignment w:val="auto"/>
        <w:rPr>
          <w:rFonts w:hint="default"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color w:val="000000"/>
          <w:kern w:val="0"/>
          <w:sz w:val="32"/>
          <w:szCs w:val="32"/>
          <w:lang w:val="en-US" w:eastAsia="zh-CN" w:bidi="ar-SA"/>
        </w:rPr>
        <w:t>全市林业有害生物成灾面积小于等于9.1万亩，控制在省定指标2.98‰以下；森林火灾的受灾</w:t>
      </w:r>
      <w:r>
        <w:rPr>
          <w:rFonts w:hint="eastAsia" w:ascii="仿宋_GB2312" w:hAnsi="仿宋_GB2312" w:eastAsia="仿宋_GB2312" w:cs="仿宋_GB2312"/>
          <w:color w:val="000000"/>
          <w:kern w:val="0"/>
          <w:sz w:val="32"/>
          <w:szCs w:val="32"/>
          <w:lang w:val="en-US" w:eastAsia="zh-CN" w:bidi="ar-SA"/>
        </w:rPr>
        <w:t>率低于0.9‰，未发生重特大以上森林火灾</w:t>
      </w:r>
      <w:r>
        <w:rPr>
          <w:rFonts w:hint="default" w:ascii="仿宋_GB2312" w:hAnsi="仿宋_GB2312" w:eastAsia="仿宋_GB2312" w:cs="仿宋_GB2312"/>
          <w:color w:val="000000"/>
          <w:kern w:val="0"/>
          <w:sz w:val="32"/>
          <w:szCs w:val="32"/>
          <w:lang w:val="en-US" w:eastAsia="zh-CN" w:bidi="ar-SA"/>
        </w:rPr>
        <w:t>；</w:t>
      </w:r>
      <w:r>
        <w:rPr>
          <w:rFonts w:hint="eastAsia" w:ascii="仿宋_GB2312" w:hAnsi="仿宋_GB2312" w:eastAsia="仿宋_GB2312" w:cs="仿宋_GB2312"/>
          <w:color w:val="000000"/>
          <w:kern w:val="0"/>
          <w:sz w:val="32"/>
          <w:szCs w:val="32"/>
          <w:lang w:val="en-US" w:eastAsia="zh-CN" w:bidi="ar-SA"/>
        </w:rPr>
        <w:t>完成0.97万亩草原建设任务、0.5万亩生态廊道建设和2万亩封山育林</w:t>
      </w:r>
      <w:r>
        <w:rPr>
          <w:rFonts w:hint="default" w:ascii="仿宋_GB2312" w:hAnsi="仿宋_GB2312" w:eastAsia="仿宋_GB2312" w:cs="仿宋_GB2312"/>
          <w:color w:val="000000"/>
          <w:kern w:val="0"/>
          <w:sz w:val="32"/>
          <w:szCs w:val="32"/>
          <w:lang w:val="en-US" w:eastAsia="zh-CN" w:bidi="ar-SA"/>
        </w:rPr>
        <w:t>；</w:t>
      </w:r>
      <w:r>
        <w:rPr>
          <w:rFonts w:hint="eastAsia" w:ascii="仿宋_GB2312" w:hAnsi="仿宋_GB2312" w:eastAsia="仿宋_GB2312" w:cs="仿宋_GB2312"/>
          <w:color w:val="000000"/>
          <w:kern w:val="0"/>
          <w:sz w:val="32"/>
          <w:szCs w:val="32"/>
          <w:lang w:val="en-US" w:eastAsia="zh-CN" w:bidi="ar-SA"/>
        </w:rPr>
        <w:t>创建国家森林城市5大类24项指标全部达标，成果通过国家专家评审并得到国家、省局的充分认可；建立健全森林防火监测体系，提高火情早期处置能力和监测预警能力；深入推进林长制“四化”建设（队伍专业化、管理制度化、护林网格化、监管信息化），怀化市本级、靖州县获得2023年湖南省政府林长制真抓实干督查激励表彰及湖南省林长制工作考核优秀等次；保障驻村工作队正常运行，加大对乡村振兴驻村林业产业项目支持，林业科技推广项目完成率100%；开展国家储备林贷款项目建设及林业碳汇工作</w:t>
      </w:r>
      <w:r>
        <w:rPr>
          <w:rFonts w:hint="default" w:ascii="仿宋_GB2312" w:hAnsi="仿宋_GB2312" w:eastAsia="仿宋_GB2312" w:cs="仿宋_GB2312"/>
          <w:color w:val="000000"/>
          <w:kern w:val="0"/>
          <w:sz w:val="32"/>
          <w:szCs w:val="32"/>
          <w:lang w:val="en-US" w:eastAsia="zh-CN" w:bidi="ar-SA"/>
        </w:rPr>
        <w:t>，</w:t>
      </w:r>
      <w:r>
        <w:rPr>
          <w:rFonts w:hint="eastAsia" w:ascii="仿宋_GB2312" w:hAnsi="仿宋_GB2312" w:eastAsia="仿宋_GB2312" w:cs="仿宋_GB2312"/>
          <w:color w:val="000000"/>
          <w:kern w:val="0"/>
          <w:sz w:val="32"/>
          <w:szCs w:val="32"/>
          <w:lang w:val="en-US" w:eastAsia="zh-CN" w:bidi="ar-SA"/>
        </w:rPr>
        <w:t>溆浦县、通道县完成银行授信10亿元以上</w:t>
      </w:r>
      <w:r>
        <w:rPr>
          <w:rFonts w:hint="default" w:ascii="仿宋_GB2312" w:hAnsi="仿宋_GB2312" w:eastAsia="仿宋_GB2312" w:cs="仿宋_GB2312"/>
          <w:color w:val="000000"/>
          <w:kern w:val="0"/>
          <w:sz w:val="32"/>
          <w:szCs w:val="32"/>
          <w:lang w:val="en-US" w:eastAsia="zh-CN" w:bidi="ar-SA"/>
        </w:rPr>
        <w:t>，银行发放贷款5亿元以上，林地流转5万亩以上。</w:t>
      </w:r>
    </w:p>
    <w:p w14:paraId="5EC3E3BB">
      <w:pPr>
        <w:pStyle w:val="14"/>
        <w:keepNext w:val="0"/>
        <w:keepLines w:val="0"/>
        <w:pageBreakBefore w:val="0"/>
        <w:widowControl w:val="0"/>
        <w:kinsoku/>
        <w:wordWrap/>
        <w:overflowPunct/>
        <w:topLinePunct w:val="0"/>
        <w:bidi w:val="0"/>
        <w:snapToGrid/>
        <w:spacing w:line="600" w:lineRule="exact"/>
        <w:jc w:val="left"/>
        <w:textAlignment w:val="auto"/>
        <w:rPr>
          <w:rFonts w:hint="eastAsia" w:ascii="黑体" w:hAnsi="黑体" w:eastAsia="黑体" w:cs="黑体"/>
          <w:b/>
          <w:bCs/>
          <w:sz w:val="32"/>
          <w:szCs w:val="32"/>
        </w:rPr>
      </w:pPr>
      <w:r>
        <w:rPr>
          <w:rFonts w:hint="eastAsia" w:ascii="黑体" w:hAnsi="黑体" w:eastAsia="黑体" w:cs="黑体"/>
          <w:b/>
          <w:bCs/>
          <w:sz w:val="32"/>
          <w:szCs w:val="32"/>
          <w:lang w:eastAsia="zh-CN"/>
        </w:rPr>
        <w:t>（</w:t>
      </w:r>
      <w:r>
        <w:rPr>
          <w:rFonts w:hint="eastAsia" w:hAnsi="黑体" w:cs="黑体"/>
          <w:b/>
          <w:bCs/>
          <w:sz w:val="32"/>
          <w:szCs w:val="32"/>
          <w:lang w:eastAsia="zh-CN"/>
        </w:rPr>
        <w:t>三</w:t>
      </w:r>
      <w:r>
        <w:rPr>
          <w:rFonts w:hint="eastAsia" w:ascii="黑体" w:hAnsi="黑体" w:eastAsia="黑体" w:cs="黑体"/>
          <w:b/>
          <w:bCs/>
          <w:sz w:val="32"/>
          <w:szCs w:val="32"/>
          <w:lang w:eastAsia="zh-CN"/>
        </w:rPr>
        <w:t>）</w:t>
      </w:r>
      <w:r>
        <w:rPr>
          <w:rFonts w:hint="eastAsia" w:ascii="黑体" w:hAnsi="黑体" w:eastAsia="黑体" w:cs="黑体"/>
          <w:b/>
          <w:bCs/>
          <w:sz w:val="32"/>
          <w:szCs w:val="32"/>
        </w:rPr>
        <w:t>存在的问题及原因分析</w:t>
      </w:r>
    </w:p>
    <w:p w14:paraId="188C9C26">
      <w:pPr>
        <w:pStyle w:val="8"/>
        <w:keepNext w:val="0"/>
        <w:keepLines w:val="0"/>
        <w:widowControl/>
        <w:suppressLineNumbers w:val="0"/>
        <w:shd w:val="clear" w:color="auto" w:fill="FFFFFF"/>
        <w:wordWrap/>
        <w:spacing w:before="0" w:beforeAutospacing="0" w:after="0" w:afterAutospacing="0"/>
        <w:ind w:left="0" w:right="0" w:firstLine="640" w:firstLineChars="200"/>
        <w:jc w:val="left"/>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年中预算追加比例较大，既存在金额上的不确定，也存在时间上及时性的不确定，导致会一定程度的影响项目工作的计划和开展，也一定程度的影响了项目支出的预算执行进度。</w:t>
      </w:r>
    </w:p>
    <w:p w14:paraId="1966B5CA">
      <w:pPr>
        <w:rPr>
          <w:rFonts w:hint="eastAsia" w:ascii="仿宋_GB2312" w:hAnsi="仿宋_GB2312" w:eastAsia="仿宋_GB2312" w:cs="仿宋_GB2312"/>
          <w:color w:val="000000"/>
          <w:kern w:val="0"/>
          <w:sz w:val="32"/>
          <w:szCs w:val="32"/>
          <w:lang w:val="en-US" w:eastAsia="zh-CN" w:bidi="ar-SA"/>
        </w:rPr>
      </w:pPr>
    </w:p>
    <w:p w14:paraId="0FFB2ACD">
      <w:pPr>
        <w:pStyle w:val="14"/>
        <w:jc w:val="center"/>
        <w:rPr>
          <w:rFonts w:hint="eastAsia" w:ascii="仿宋_GB2312" w:hAnsi="仿宋_GB2312" w:eastAsia="仿宋_GB2312" w:cs="仿宋_GB2312"/>
          <w:color w:val="000000"/>
          <w:kern w:val="0"/>
          <w:sz w:val="32"/>
          <w:szCs w:val="32"/>
          <w:lang w:val="en-US" w:eastAsia="zh-CN" w:bidi="ar-SA"/>
        </w:rPr>
      </w:pPr>
    </w:p>
    <w:p w14:paraId="27210A7C">
      <w:pPr>
        <w:pStyle w:val="14"/>
        <w:jc w:val="center"/>
        <w:rPr>
          <w:rFonts w:hint="eastAsia" w:ascii="仿宋_GB2312" w:hAnsi="仿宋_GB2312" w:eastAsia="仿宋_GB2312" w:cs="仿宋_GB2312"/>
          <w:color w:val="000000"/>
          <w:kern w:val="0"/>
          <w:sz w:val="32"/>
          <w:szCs w:val="32"/>
          <w:lang w:val="en-US" w:eastAsia="zh-CN" w:bidi="ar-SA"/>
        </w:rPr>
      </w:pPr>
    </w:p>
    <w:p w14:paraId="47ADD28A">
      <w:pPr>
        <w:pStyle w:val="14"/>
        <w:jc w:val="center"/>
        <w:rPr>
          <w:sz w:val="72"/>
          <w:szCs w:val="72"/>
        </w:rPr>
      </w:pPr>
    </w:p>
    <w:p w14:paraId="71B542C9">
      <w:pPr>
        <w:pStyle w:val="14"/>
        <w:jc w:val="center"/>
        <w:rPr>
          <w:sz w:val="72"/>
          <w:szCs w:val="72"/>
        </w:rPr>
      </w:pPr>
    </w:p>
    <w:p w14:paraId="419F229A">
      <w:pPr>
        <w:pStyle w:val="14"/>
        <w:rPr>
          <w:sz w:val="72"/>
          <w:szCs w:val="72"/>
        </w:rPr>
      </w:pPr>
    </w:p>
    <w:p w14:paraId="2294D320">
      <w:pPr>
        <w:pStyle w:val="14"/>
        <w:rPr>
          <w:sz w:val="72"/>
          <w:szCs w:val="72"/>
        </w:rPr>
      </w:pPr>
    </w:p>
    <w:p w14:paraId="5BD4EC92">
      <w:pPr>
        <w:pStyle w:val="14"/>
        <w:ind w:firstLine="3600" w:firstLineChars="500"/>
        <w:jc w:val="both"/>
        <w:rPr>
          <w:rFonts w:hint="eastAsia"/>
          <w:sz w:val="72"/>
          <w:szCs w:val="72"/>
        </w:rPr>
      </w:pPr>
    </w:p>
    <w:p w14:paraId="2D0E475B">
      <w:pPr>
        <w:pStyle w:val="14"/>
        <w:ind w:firstLine="3600" w:firstLineChars="500"/>
        <w:jc w:val="both"/>
        <w:rPr>
          <w:rFonts w:hint="eastAsia"/>
          <w:sz w:val="72"/>
          <w:szCs w:val="72"/>
        </w:rPr>
      </w:pPr>
    </w:p>
    <w:p w14:paraId="2F408A97">
      <w:pPr>
        <w:pStyle w:val="14"/>
        <w:tabs>
          <w:tab w:val="left" w:pos="3471"/>
        </w:tabs>
        <w:ind w:firstLine="3600" w:firstLineChars="500"/>
        <w:jc w:val="both"/>
        <w:rPr>
          <w:rFonts w:hint="eastAsia"/>
          <w:sz w:val="72"/>
          <w:szCs w:val="72"/>
        </w:rPr>
      </w:pPr>
      <w:r>
        <w:rPr>
          <w:rFonts w:hint="eastAsia"/>
          <w:sz w:val="72"/>
          <w:szCs w:val="72"/>
        </w:rPr>
        <w:t>第四部分</w:t>
      </w:r>
    </w:p>
    <w:p w14:paraId="338E429C">
      <w:pPr>
        <w:pStyle w:val="14"/>
        <w:tabs>
          <w:tab w:val="left" w:pos="3471"/>
        </w:tabs>
        <w:ind w:firstLine="3600" w:firstLineChars="500"/>
        <w:jc w:val="both"/>
        <w:rPr>
          <w:rFonts w:hint="eastAsia"/>
          <w:sz w:val="72"/>
          <w:szCs w:val="72"/>
        </w:rPr>
      </w:pPr>
    </w:p>
    <w:p w14:paraId="590130B5">
      <w:pPr>
        <w:pStyle w:val="14"/>
        <w:tabs>
          <w:tab w:val="left" w:pos="3471"/>
        </w:tabs>
        <w:ind w:firstLine="3500" w:firstLineChars="500"/>
        <w:jc w:val="both"/>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78F943A8">
      <w:pPr>
        <w:widowControl/>
        <w:ind w:firstLine="640" w:firstLineChars="200"/>
        <w:jc w:val="left"/>
        <w:rPr>
          <w:rFonts w:hint="eastAsia" w:ascii="黑体" w:hAnsi="黑体" w:eastAsia="黑体" w:cs="黑体"/>
          <w:color w:val="000000"/>
          <w:kern w:val="0"/>
          <w:sz w:val="32"/>
          <w:szCs w:val="32"/>
        </w:rPr>
      </w:pPr>
    </w:p>
    <w:p w14:paraId="3EED8721">
      <w:pPr>
        <w:widowControl/>
        <w:ind w:firstLine="640" w:firstLineChars="200"/>
        <w:jc w:val="left"/>
        <w:rPr>
          <w:rFonts w:hint="eastAsia" w:ascii="黑体" w:hAnsi="黑体" w:eastAsia="黑体" w:cs="黑体"/>
          <w:color w:val="000000"/>
          <w:kern w:val="0"/>
          <w:sz w:val="32"/>
          <w:szCs w:val="32"/>
        </w:rPr>
      </w:pPr>
    </w:p>
    <w:p w14:paraId="62552174">
      <w:pPr>
        <w:widowControl/>
        <w:ind w:firstLine="640" w:firstLineChars="200"/>
        <w:jc w:val="left"/>
        <w:rPr>
          <w:rFonts w:hint="eastAsia" w:ascii="黑体" w:hAnsi="黑体" w:eastAsia="黑体" w:cs="黑体"/>
          <w:color w:val="000000"/>
          <w:kern w:val="0"/>
          <w:sz w:val="32"/>
          <w:szCs w:val="32"/>
        </w:rPr>
      </w:pPr>
    </w:p>
    <w:p w14:paraId="0F0953FB">
      <w:pPr>
        <w:widowControl/>
        <w:ind w:firstLine="640" w:firstLineChars="200"/>
        <w:jc w:val="left"/>
        <w:rPr>
          <w:rFonts w:hint="eastAsia" w:ascii="黑体" w:hAnsi="黑体" w:eastAsia="黑体" w:cs="黑体"/>
          <w:color w:val="000000"/>
          <w:kern w:val="0"/>
          <w:sz w:val="32"/>
          <w:szCs w:val="32"/>
        </w:rPr>
      </w:pPr>
    </w:p>
    <w:p w14:paraId="5A458A86">
      <w:pPr>
        <w:widowControl/>
        <w:ind w:firstLine="640" w:firstLineChars="200"/>
        <w:jc w:val="left"/>
        <w:rPr>
          <w:rFonts w:hint="eastAsia" w:ascii="黑体" w:hAnsi="黑体" w:eastAsia="黑体" w:cs="黑体"/>
          <w:color w:val="000000"/>
          <w:kern w:val="0"/>
          <w:sz w:val="32"/>
          <w:szCs w:val="32"/>
        </w:rPr>
      </w:pPr>
    </w:p>
    <w:p w14:paraId="46A73AFC">
      <w:pPr>
        <w:widowControl/>
        <w:ind w:firstLine="640" w:firstLineChars="200"/>
        <w:jc w:val="left"/>
        <w:rPr>
          <w:rFonts w:hint="eastAsia" w:ascii="黑体" w:hAnsi="黑体" w:eastAsia="黑体" w:cs="黑体"/>
          <w:color w:val="000000"/>
          <w:kern w:val="0"/>
          <w:sz w:val="32"/>
          <w:szCs w:val="32"/>
        </w:rPr>
      </w:pPr>
    </w:p>
    <w:p w14:paraId="42E4A3B3">
      <w:pPr>
        <w:widowControl/>
        <w:ind w:firstLine="640" w:firstLineChars="200"/>
        <w:jc w:val="left"/>
        <w:rPr>
          <w:rFonts w:hint="eastAsia" w:ascii="黑体" w:hAnsi="黑体" w:eastAsia="黑体" w:cs="黑体"/>
          <w:color w:val="000000"/>
          <w:kern w:val="0"/>
          <w:sz w:val="32"/>
          <w:szCs w:val="32"/>
        </w:rPr>
      </w:pPr>
    </w:p>
    <w:p w14:paraId="38DCFB9B">
      <w:pPr>
        <w:widowControl/>
        <w:ind w:firstLine="640" w:firstLineChars="200"/>
        <w:jc w:val="left"/>
        <w:rPr>
          <w:rFonts w:hint="eastAsia" w:ascii="黑体" w:hAnsi="黑体" w:eastAsia="黑体" w:cs="黑体"/>
          <w:color w:val="000000"/>
          <w:kern w:val="0"/>
          <w:sz w:val="32"/>
          <w:szCs w:val="32"/>
        </w:rPr>
      </w:pPr>
    </w:p>
    <w:p w14:paraId="2ED9728C">
      <w:pPr>
        <w:widowControl/>
        <w:ind w:firstLine="640" w:firstLineChars="200"/>
        <w:jc w:val="left"/>
        <w:rPr>
          <w:rFonts w:hint="eastAsia" w:ascii="黑体" w:hAnsi="黑体" w:eastAsia="黑体" w:cs="黑体"/>
          <w:color w:val="000000"/>
          <w:kern w:val="0"/>
          <w:sz w:val="32"/>
          <w:szCs w:val="32"/>
        </w:rPr>
      </w:pPr>
    </w:p>
    <w:p w14:paraId="40B0B891">
      <w:pPr>
        <w:widowControl/>
        <w:ind w:firstLine="640" w:firstLineChars="200"/>
        <w:jc w:val="left"/>
        <w:rPr>
          <w:rFonts w:hint="eastAsia" w:ascii="黑体" w:hAnsi="黑体" w:eastAsia="黑体" w:cs="黑体"/>
          <w:color w:val="000000"/>
          <w:kern w:val="0"/>
          <w:sz w:val="32"/>
          <w:szCs w:val="32"/>
        </w:rPr>
      </w:pPr>
    </w:p>
    <w:p w14:paraId="281F4C2F">
      <w:pPr>
        <w:widowControl/>
        <w:ind w:firstLine="640" w:firstLineChars="200"/>
        <w:jc w:val="left"/>
        <w:rPr>
          <w:rFonts w:hint="eastAsia" w:ascii="黑体" w:hAnsi="黑体" w:eastAsia="黑体" w:cs="黑体"/>
          <w:color w:val="000000"/>
          <w:kern w:val="0"/>
          <w:sz w:val="32"/>
          <w:szCs w:val="32"/>
        </w:rPr>
      </w:pPr>
    </w:p>
    <w:p w14:paraId="5BA7127F">
      <w:pPr>
        <w:widowControl/>
        <w:ind w:firstLine="640" w:firstLineChars="200"/>
        <w:jc w:val="left"/>
        <w:rPr>
          <w:rFonts w:hint="eastAsia" w:ascii="黑体" w:hAnsi="黑体" w:eastAsia="黑体" w:cs="黑体"/>
          <w:color w:val="000000"/>
          <w:kern w:val="0"/>
          <w:sz w:val="32"/>
          <w:szCs w:val="32"/>
        </w:rPr>
      </w:pPr>
    </w:p>
    <w:p w14:paraId="0D147479">
      <w:pPr>
        <w:widowControl/>
        <w:ind w:firstLine="640" w:firstLineChars="200"/>
        <w:jc w:val="left"/>
        <w:rPr>
          <w:rFonts w:hint="eastAsia" w:ascii="黑体" w:hAnsi="黑体" w:eastAsia="黑体" w:cs="黑体"/>
          <w:color w:val="000000"/>
          <w:kern w:val="0"/>
          <w:sz w:val="32"/>
          <w:szCs w:val="32"/>
        </w:rPr>
      </w:pPr>
    </w:p>
    <w:p w14:paraId="40FD05DF">
      <w:pPr>
        <w:widowControl/>
        <w:ind w:firstLine="640" w:firstLineChars="200"/>
        <w:jc w:val="left"/>
        <w:rPr>
          <w:rFonts w:hint="eastAsia" w:ascii="黑体" w:hAnsi="黑体" w:eastAsia="黑体" w:cs="黑体"/>
          <w:color w:val="000000"/>
          <w:kern w:val="0"/>
          <w:sz w:val="32"/>
          <w:szCs w:val="32"/>
        </w:rPr>
      </w:pPr>
    </w:p>
    <w:p w14:paraId="665FB7A9">
      <w:pPr>
        <w:widowControl/>
        <w:ind w:firstLine="640" w:firstLineChars="200"/>
        <w:jc w:val="left"/>
        <w:rPr>
          <w:rFonts w:hint="eastAsia" w:cs="黑体" w:asciiTheme="minorEastAsia" w:hAnsiTheme="minorEastAsia"/>
          <w:color w:val="000000"/>
          <w:kern w:val="0"/>
          <w:sz w:val="32"/>
          <w:szCs w:val="32"/>
        </w:rPr>
      </w:pPr>
      <w:r>
        <w:rPr>
          <w:rFonts w:hint="eastAsia" w:ascii="黑体" w:hAnsi="黑体" w:eastAsia="黑体" w:cs="黑体"/>
          <w:color w:val="000000"/>
          <w:kern w:val="0"/>
          <w:sz w:val="32"/>
          <w:szCs w:val="32"/>
        </w:rPr>
        <w:t>一</w:t>
      </w:r>
      <w:r>
        <w:rPr>
          <w:rFonts w:hint="eastAsia" w:ascii="黑体" w:hAnsi="黑体" w:eastAsia="黑体" w:cs="黑体"/>
          <w:b/>
          <w:color w:val="000000"/>
          <w:kern w:val="0"/>
          <w:sz w:val="32"/>
          <w:szCs w:val="32"/>
        </w:rPr>
        <w:t>、机关运行经费：</w:t>
      </w:r>
      <w:r>
        <w:rPr>
          <w:rFonts w:hint="eastAsia" w:cs="黑体" w:asciiTheme="minorEastAsia" w:hAnsiTheme="minorEastAsia"/>
          <w:color w:val="000000"/>
          <w:kern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00739185">
      <w:pPr>
        <w:autoSpaceDE w:val="0"/>
        <w:autoSpaceDN w:val="0"/>
        <w:adjustRightInd w:val="0"/>
        <w:ind w:firstLine="640" w:firstLineChars="200"/>
        <w:jc w:val="left"/>
        <w:rPr>
          <w:rFonts w:hint="eastAsia" w:cs="黑体" w:asciiTheme="minorEastAsia" w:hAnsiTheme="minorEastAsia"/>
          <w:color w:val="000000"/>
          <w:kern w:val="0"/>
          <w:sz w:val="32"/>
          <w:szCs w:val="32"/>
        </w:rPr>
      </w:pPr>
    </w:p>
    <w:p w14:paraId="1173F25E">
      <w:pPr>
        <w:autoSpaceDE w:val="0"/>
        <w:autoSpaceDN w:val="0"/>
        <w:adjustRightInd w:val="0"/>
        <w:ind w:firstLine="640" w:firstLineChars="200"/>
        <w:jc w:val="left"/>
        <w:rPr>
          <w:rFonts w:hint="eastAsia" w:cs="黑体" w:asciiTheme="minorEastAsia" w:hAnsiTheme="minorEastAsia"/>
          <w:color w:val="000000"/>
          <w:kern w:val="0"/>
          <w:sz w:val="32"/>
          <w:szCs w:val="32"/>
        </w:rPr>
      </w:pPr>
      <w:r>
        <w:rPr>
          <w:rFonts w:hint="eastAsia" w:ascii="黑体" w:hAnsi="黑体" w:eastAsia="黑体" w:cs="黑体"/>
          <w:color w:val="000000"/>
          <w:kern w:val="0"/>
          <w:sz w:val="32"/>
          <w:szCs w:val="32"/>
          <w:lang w:eastAsia="zh-CN"/>
        </w:rPr>
        <w:t>二、</w:t>
      </w:r>
      <w:r>
        <w:rPr>
          <w:rFonts w:hint="eastAsia" w:ascii="黑体" w:hAnsi="黑体" w:eastAsia="黑体" w:cs="黑体"/>
          <w:color w:val="000000"/>
          <w:kern w:val="0"/>
          <w:sz w:val="32"/>
          <w:szCs w:val="32"/>
        </w:rPr>
        <w:t>“三公”</w:t>
      </w:r>
      <w:r>
        <w:rPr>
          <w:rFonts w:hint="eastAsia" w:ascii="黑体" w:hAnsi="黑体" w:eastAsia="黑体" w:cs="黑体"/>
          <w:b/>
          <w:color w:val="000000"/>
          <w:kern w:val="0"/>
          <w:sz w:val="32"/>
          <w:szCs w:val="32"/>
        </w:rPr>
        <w:t>经费：</w:t>
      </w:r>
      <w:r>
        <w:rPr>
          <w:rFonts w:hint="eastAsia" w:cs="黑体" w:asciiTheme="minorEastAsia" w:hAnsiTheme="minorEastAsia"/>
          <w:color w:val="000000"/>
          <w:kern w:val="0"/>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08DA8B6E">
      <w:pPr>
        <w:ind w:firstLine="640" w:firstLineChars="200"/>
        <w:jc w:val="left"/>
        <w:rPr>
          <w:rFonts w:cs="黑体" w:asciiTheme="minorEastAsia" w:hAnsiTheme="minorEastAsia"/>
          <w:color w:val="000000"/>
          <w:kern w:val="0"/>
          <w:sz w:val="32"/>
          <w:szCs w:val="32"/>
        </w:rPr>
      </w:pPr>
    </w:p>
    <w:p w14:paraId="2635EBD7">
      <w:pPr>
        <w:widowControl/>
        <w:tabs>
          <w:tab w:val="right" w:pos="10466"/>
        </w:tabs>
        <w:jc w:val="left"/>
        <w:rPr>
          <w:rFonts w:hint="eastAsia" w:cs="黑体" w:asciiTheme="minorEastAsia" w:hAnsiTheme="minorEastAsia" w:eastAsiaTheme="minorEastAsia"/>
          <w:color w:val="000000"/>
          <w:kern w:val="0"/>
          <w:sz w:val="28"/>
          <w:szCs w:val="32"/>
          <w:lang w:eastAsia="zh-CN"/>
        </w:rPr>
      </w:pPr>
    </w:p>
    <w:p w14:paraId="7FB28EAA">
      <w:pPr>
        <w:pStyle w:val="14"/>
        <w:jc w:val="center"/>
        <w:rPr>
          <w:sz w:val="72"/>
          <w:szCs w:val="72"/>
        </w:rPr>
      </w:pPr>
    </w:p>
    <w:p w14:paraId="26371EA0">
      <w:pPr>
        <w:pStyle w:val="14"/>
        <w:jc w:val="center"/>
        <w:rPr>
          <w:sz w:val="72"/>
          <w:szCs w:val="72"/>
        </w:rPr>
      </w:pPr>
    </w:p>
    <w:p w14:paraId="3544C793">
      <w:pPr>
        <w:pStyle w:val="14"/>
        <w:jc w:val="center"/>
        <w:rPr>
          <w:sz w:val="72"/>
          <w:szCs w:val="72"/>
        </w:rPr>
      </w:pPr>
    </w:p>
    <w:p w14:paraId="4B7A5845">
      <w:pPr>
        <w:pStyle w:val="14"/>
        <w:jc w:val="center"/>
        <w:rPr>
          <w:sz w:val="72"/>
          <w:szCs w:val="72"/>
        </w:rPr>
      </w:pPr>
    </w:p>
    <w:p w14:paraId="03A840BD">
      <w:pPr>
        <w:pStyle w:val="14"/>
        <w:jc w:val="center"/>
        <w:rPr>
          <w:sz w:val="72"/>
          <w:szCs w:val="72"/>
        </w:rPr>
      </w:pPr>
    </w:p>
    <w:p w14:paraId="12E9F397">
      <w:pPr>
        <w:pStyle w:val="14"/>
        <w:jc w:val="center"/>
        <w:rPr>
          <w:sz w:val="72"/>
          <w:szCs w:val="72"/>
        </w:rPr>
      </w:pPr>
    </w:p>
    <w:p w14:paraId="18D0DB7E">
      <w:pPr>
        <w:pStyle w:val="14"/>
        <w:jc w:val="center"/>
        <w:rPr>
          <w:sz w:val="72"/>
          <w:szCs w:val="72"/>
        </w:rPr>
      </w:pPr>
    </w:p>
    <w:p w14:paraId="2F160184">
      <w:pPr>
        <w:pStyle w:val="14"/>
        <w:jc w:val="center"/>
        <w:rPr>
          <w:sz w:val="72"/>
          <w:szCs w:val="72"/>
        </w:rPr>
      </w:pPr>
    </w:p>
    <w:p w14:paraId="5DF112B9">
      <w:pPr>
        <w:pStyle w:val="14"/>
        <w:jc w:val="center"/>
        <w:rPr>
          <w:sz w:val="72"/>
          <w:szCs w:val="72"/>
        </w:rPr>
      </w:pPr>
    </w:p>
    <w:p w14:paraId="7870B5BF">
      <w:pPr>
        <w:pStyle w:val="14"/>
        <w:ind w:firstLine="3600" w:firstLineChars="500"/>
        <w:jc w:val="both"/>
        <w:rPr>
          <w:sz w:val="72"/>
          <w:szCs w:val="72"/>
        </w:rPr>
      </w:pPr>
      <w:r>
        <w:rPr>
          <w:rFonts w:hint="eastAsia"/>
          <w:sz w:val="72"/>
          <w:szCs w:val="72"/>
        </w:rPr>
        <w:t>第五部分</w:t>
      </w:r>
    </w:p>
    <w:p w14:paraId="0B1B9DDF">
      <w:pPr>
        <w:jc w:val="center"/>
        <w:rPr>
          <w:rFonts w:ascii="黑体" w:eastAsia="黑体" w:cs="黑体"/>
          <w:color w:val="000000"/>
          <w:kern w:val="0"/>
          <w:sz w:val="70"/>
          <w:szCs w:val="70"/>
        </w:rPr>
      </w:pPr>
    </w:p>
    <w:p w14:paraId="49C01C2B">
      <w:pPr>
        <w:jc w:val="center"/>
        <w:rPr>
          <w:rFonts w:hint="eastAsia" w:ascii="黑体" w:eastAsia="黑体" w:cs="黑体"/>
          <w:color w:val="000000"/>
          <w:kern w:val="0"/>
          <w:sz w:val="70"/>
          <w:szCs w:val="70"/>
        </w:rPr>
      </w:pPr>
      <w:r>
        <w:rPr>
          <w:rFonts w:hint="eastAsia" w:ascii="黑体" w:eastAsia="黑体" w:cs="黑体"/>
          <w:color w:val="000000"/>
          <w:kern w:val="0"/>
          <w:sz w:val="70"/>
          <w:szCs w:val="70"/>
        </w:rPr>
        <w:t>附件</w:t>
      </w:r>
    </w:p>
    <w:p w14:paraId="2E0B4C35">
      <w:pPr>
        <w:tabs>
          <w:tab w:val="left" w:pos="538"/>
        </w:tabs>
        <w:ind w:left="638" w:leftChars="304" w:firstLine="0" w:firstLineChars="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br w:type="textWrapping"/>
      </w:r>
    </w:p>
    <w:p w14:paraId="5F4BC0F5">
      <w:pPr>
        <w:tabs>
          <w:tab w:val="left" w:pos="538"/>
        </w:tabs>
        <w:ind w:left="638" w:leftChars="304" w:firstLine="0" w:firstLineChars="0"/>
        <w:jc w:val="left"/>
        <w:rPr>
          <w:rFonts w:hint="eastAsia" w:cs="黑体" w:asciiTheme="minorEastAsia" w:hAnsiTheme="minorEastAsia" w:eastAsiaTheme="minorEastAsia"/>
          <w:color w:val="000000"/>
          <w:kern w:val="0"/>
          <w:sz w:val="32"/>
          <w:szCs w:val="32"/>
          <w:lang w:eastAsia="zh-CN"/>
        </w:rPr>
      </w:pPr>
      <w:r>
        <w:rPr>
          <w:rFonts w:hint="eastAsia" w:cs="黑体" w:asciiTheme="minorEastAsia" w:hAnsiTheme="minorEastAsia"/>
          <w:color w:val="000000"/>
          <w:kern w:val="0"/>
          <w:sz w:val="32"/>
          <w:szCs w:val="32"/>
        </w:rPr>
        <w:t>附件一、</w:t>
      </w:r>
      <w:r>
        <w:rPr>
          <w:rFonts w:hint="eastAsia" w:cs="黑体" w:asciiTheme="minorEastAsia" w:hAnsiTheme="minorEastAsia"/>
          <w:color w:val="000000"/>
          <w:kern w:val="0"/>
          <w:sz w:val="32"/>
          <w:szCs w:val="32"/>
          <w:lang w:eastAsia="zh-CN"/>
        </w:rPr>
        <w:t>怀化市林业局</w:t>
      </w:r>
      <w:r>
        <w:rPr>
          <w:rFonts w:hint="eastAsia" w:cs="黑体" w:asciiTheme="minorEastAsia" w:hAnsiTheme="minorEastAsia"/>
          <w:color w:val="000000"/>
          <w:kern w:val="0"/>
          <w:sz w:val="32"/>
          <w:szCs w:val="32"/>
          <w:lang w:val="en-US" w:eastAsia="zh-CN"/>
        </w:rPr>
        <w:t>2023年</w:t>
      </w:r>
      <w:r>
        <w:rPr>
          <w:rFonts w:hint="eastAsia" w:cs="黑体" w:asciiTheme="minorEastAsia" w:hAnsiTheme="minorEastAsia"/>
          <w:color w:val="000000"/>
          <w:kern w:val="0"/>
          <w:sz w:val="32"/>
          <w:szCs w:val="32"/>
          <w:lang w:eastAsia="zh-CN"/>
        </w:rPr>
        <w:t>部门决算公开表</w:t>
      </w:r>
    </w:p>
    <w:p w14:paraId="5639EB8D">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附件二、</w:t>
      </w:r>
      <w:r>
        <w:rPr>
          <w:rFonts w:hint="eastAsia" w:cs="黑体" w:asciiTheme="minorEastAsia" w:hAnsiTheme="minorEastAsia"/>
          <w:color w:val="000000"/>
          <w:kern w:val="0"/>
          <w:sz w:val="32"/>
          <w:szCs w:val="32"/>
          <w:lang w:eastAsia="zh-CN"/>
        </w:rPr>
        <w:t>怀化市林业局</w:t>
      </w:r>
      <w:r>
        <w:rPr>
          <w:rFonts w:hint="eastAsia" w:cs="黑体" w:asciiTheme="minorEastAsia" w:hAnsiTheme="minorEastAsia"/>
          <w:color w:val="000000"/>
          <w:kern w:val="0"/>
          <w:sz w:val="32"/>
          <w:szCs w:val="32"/>
        </w:rPr>
        <w:t>202</w:t>
      </w:r>
      <w:r>
        <w:rPr>
          <w:rFonts w:hint="eastAsia" w:cs="黑体" w:asciiTheme="minorEastAsia" w:hAnsiTheme="minorEastAsia"/>
          <w:color w:val="000000"/>
          <w:kern w:val="0"/>
          <w:sz w:val="32"/>
          <w:szCs w:val="32"/>
          <w:lang w:val="en-US" w:eastAsia="zh-CN"/>
        </w:rPr>
        <w:t>3</w:t>
      </w:r>
      <w:r>
        <w:rPr>
          <w:rFonts w:hint="eastAsia" w:cs="黑体" w:asciiTheme="minorEastAsia" w:hAnsiTheme="minorEastAsia"/>
          <w:color w:val="000000"/>
          <w:kern w:val="0"/>
          <w:sz w:val="32"/>
          <w:szCs w:val="32"/>
        </w:rPr>
        <w:t>年度部门整体支出绩效评价报告</w:t>
      </w:r>
      <w:bookmarkStart w:id="1" w:name="_GoBack"/>
      <w:bookmarkEnd w:id="1"/>
    </w:p>
    <w:p w14:paraId="6C8B11F8">
      <w:pPr>
        <w:jc w:val="center"/>
        <w:rPr>
          <w:rFonts w:hint="eastAsia" w:ascii="黑体" w:eastAsia="黑体" w:cs="黑体"/>
          <w:color w:val="000000"/>
          <w:kern w:val="0"/>
          <w:sz w:val="70"/>
          <w:szCs w:val="70"/>
        </w:rPr>
      </w:pPr>
    </w:p>
    <w:p w14:paraId="574E5939">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20BD5FE6">
      <w:pPr>
        <w:jc w:val="center"/>
        <w:rPr>
          <w:rFonts w:ascii="黑体" w:eastAsia="黑体" w:cs="黑体"/>
          <w:color w:val="000000"/>
          <w:kern w:val="0"/>
          <w:sz w:val="70"/>
          <w:szCs w:val="70"/>
        </w:rPr>
      </w:pPr>
    </w:p>
    <w:p w14:paraId="16FA64E9">
      <w:pPr>
        <w:ind w:firstLine="640" w:firstLineChars="200"/>
        <w:jc w:val="center"/>
        <w:rPr>
          <w:rFonts w:cs="黑体" w:asciiTheme="minorEastAsia" w:hAnsiTheme="minorEastAsia"/>
          <w:color w:val="000000"/>
          <w:kern w:val="0"/>
          <w:sz w:val="32"/>
          <w:szCs w:val="32"/>
        </w:rPr>
      </w:pPr>
    </w:p>
    <w:p w14:paraId="645A822A">
      <w:pPr>
        <w:ind w:firstLine="640" w:firstLineChars="200"/>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8C4FB7"/>
    <w:multiLevelType w:val="singleLevel"/>
    <w:tmpl w:val="808C4FB7"/>
    <w:lvl w:ilvl="0" w:tentative="0">
      <w:start w:val="2"/>
      <w:numFmt w:val="decimal"/>
      <w:suff w:val="nothing"/>
      <w:lvlText w:val="%1、"/>
      <w:lvlJc w:val="left"/>
    </w:lvl>
  </w:abstractNum>
  <w:abstractNum w:abstractNumId="1">
    <w:nsid w:val="F16BFCCE"/>
    <w:multiLevelType w:val="singleLevel"/>
    <w:tmpl w:val="F16BFCCE"/>
    <w:lvl w:ilvl="0" w:tentative="0">
      <w:start w:val="1"/>
      <w:numFmt w:val="chineseCounting"/>
      <w:suff w:val="space"/>
      <w:lvlText w:val="%1、"/>
      <w:lvlJc w:val="left"/>
      <w:rPr>
        <w:rFonts w:hint="eastAsia"/>
      </w:rPr>
    </w:lvl>
  </w:abstractNum>
  <w:abstractNum w:abstractNumId="2">
    <w:nsid w:val="00E4E4E6"/>
    <w:multiLevelType w:val="singleLevel"/>
    <w:tmpl w:val="00E4E4E6"/>
    <w:lvl w:ilvl="0" w:tentative="0">
      <w:start w:val="1"/>
      <w:numFmt w:val="chineseCounting"/>
      <w:suff w:val="nothing"/>
      <w:lvlText w:val="（%1）"/>
      <w:lvlJc w:val="left"/>
      <w:rPr>
        <w:rFonts w:hint="eastAsia"/>
      </w:rPr>
    </w:lvl>
  </w:abstractNum>
  <w:abstractNum w:abstractNumId="3">
    <w:nsid w:val="59C19CDF"/>
    <w:multiLevelType w:val="singleLevel"/>
    <w:tmpl w:val="59C19CDF"/>
    <w:lvl w:ilvl="0" w:tentative="0">
      <w:start w:val="1"/>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3MWRmZDFiYWFlNzU0ODExN2FiNThlYjk0NDIwZmQ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D10E6"/>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B462F"/>
    <w:rsid w:val="00FE16FA"/>
    <w:rsid w:val="00FE328A"/>
    <w:rsid w:val="00FE6269"/>
    <w:rsid w:val="00FF5CD6"/>
    <w:rsid w:val="015E00BA"/>
    <w:rsid w:val="02346091"/>
    <w:rsid w:val="03422937"/>
    <w:rsid w:val="07902878"/>
    <w:rsid w:val="08AA7A85"/>
    <w:rsid w:val="0C7731BC"/>
    <w:rsid w:val="1211173E"/>
    <w:rsid w:val="12257C11"/>
    <w:rsid w:val="151614F8"/>
    <w:rsid w:val="164245F6"/>
    <w:rsid w:val="16C76A23"/>
    <w:rsid w:val="18DA4E7F"/>
    <w:rsid w:val="197A6CD1"/>
    <w:rsid w:val="1C906247"/>
    <w:rsid w:val="1DDB5B97"/>
    <w:rsid w:val="1EFA2C91"/>
    <w:rsid w:val="20A75059"/>
    <w:rsid w:val="2274320D"/>
    <w:rsid w:val="247F4F04"/>
    <w:rsid w:val="25970B0B"/>
    <w:rsid w:val="2B2F4C6A"/>
    <w:rsid w:val="2EA87DC6"/>
    <w:rsid w:val="2EB93AAA"/>
    <w:rsid w:val="2EC41C64"/>
    <w:rsid w:val="30612CBB"/>
    <w:rsid w:val="31BE4652"/>
    <w:rsid w:val="32130E41"/>
    <w:rsid w:val="33135FEB"/>
    <w:rsid w:val="34340069"/>
    <w:rsid w:val="363D4C1C"/>
    <w:rsid w:val="364C2B74"/>
    <w:rsid w:val="367C4ADB"/>
    <w:rsid w:val="37BD243A"/>
    <w:rsid w:val="3806764A"/>
    <w:rsid w:val="382E421D"/>
    <w:rsid w:val="392E785A"/>
    <w:rsid w:val="39D42638"/>
    <w:rsid w:val="3BC66F24"/>
    <w:rsid w:val="3F15107B"/>
    <w:rsid w:val="3FC941ED"/>
    <w:rsid w:val="3FD3741F"/>
    <w:rsid w:val="40930AD5"/>
    <w:rsid w:val="40937319"/>
    <w:rsid w:val="40B96999"/>
    <w:rsid w:val="41144316"/>
    <w:rsid w:val="417D1C55"/>
    <w:rsid w:val="43597ACD"/>
    <w:rsid w:val="443D3040"/>
    <w:rsid w:val="456357E4"/>
    <w:rsid w:val="47D66741"/>
    <w:rsid w:val="4A9B157C"/>
    <w:rsid w:val="4ADB55B3"/>
    <w:rsid w:val="4D506D9A"/>
    <w:rsid w:val="4E1F1B59"/>
    <w:rsid w:val="4E564138"/>
    <w:rsid w:val="520B6FE7"/>
    <w:rsid w:val="537C4B13"/>
    <w:rsid w:val="54513E1C"/>
    <w:rsid w:val="55AE4D3E"/>
    <w:rsid w:val="564B4D97"/>
    <w:rsid w:val="56A90798"/>
    <w:rsid w:val="56F12C1A"/>
    <w:rsid w:val="58B11162"/>
    <w:rsid w:val="5C57132C"/>
    <w:rsid w:val="5DD813EE"/>
    <w:rsid w:val="5E584E0E"/>
    <w:rsid w:val="5EBD78BB"/>
    <w:rsid w:val="5FD9103F"/>
    <w:rsid w:val="611F41BC"/>
    <w:rsid w:val="637003AD"/>
    <w:rsid w:val="63EE7D45"/>
    <w:rsid w:val="66F16012"/>
    <w:rsid w:val="68E35C01"/>
    <w:rsid w:val="6AA16D87"/>
    <w:rsid w:val="6D9F54CE"/>
    <w:rsid w:val="6E57228B"/>
    <w:rsid w:val="71002B46"/>
    <w:rsid w:val="71C36596"/>
    <w:rsid w:val="732A651E"/>
    <w:rsid w:val="734737A0"/>
    <w:rsid w:val="75960675"/>
    <w:rsid w:val="75AB2223"/>
    <w:rsid w:val="75E47B27"/>
    <w:rsid w:val="77C5124A"/>
    <w:rsid w:val="79AB3E0A"/>
    <w:rsid w:val="7C276C16"/>
    <w:rsid w:val="7DC71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w:qFormat/>
    <w:uiPriority w:val="0"/>
    <w:pPr>
      <w:widowControl w:val="0"/>
      <w:spacing w:after="0" w:line="600" w:lineRule="exact"/>
      <w:ind w:firstLine="200" w:firstLineChars="200"/>
      <w:jc w:val="both"/>
    </w:pPr>
    <w:rPr>
      <w:rFonts w:ascii="Times New Roman" w:hAnsi="Times New Roman" w:eastAsia="仿宋_GB2312" w:cs="Times New Roman"/>
      <w:kern w:val="2"/>
      <w:sz w:val="24"/>
      <w:szCs w:val="32"/>
      <w:lang w:val="en-US" w:eastAsia="zh-CN" w:bidi="ar-SA"/>
    </w:rPr>
  </w:style>
  <w:style w:type="paragraph" w:styleId="3">
    <w:name w:val="Normal Indent"/>
    <w:basedOn w:val="1"/>
    <w:qFormat/>
    <w:uiPriority w:val="0"/>
    <w:pPr>
      <w:widowControl w:val="0"/>
      <w:ind w:firstLine="880" w:firstLineChars="200"/>
      <w:jc w:val="both"/>
    </w:pPr>
    <w:rPr>
      <w:rFonts w:ascii="Times New Roman" w:hAnsi="Times New Roman" w:eastAsia="仿宋_GB2312" w:cs="Times New Roman"/>
      <w:kern w:val="2"/>
      <w:sz w:val="32"/>
      <w:szCs w:val="24"/>
      <w:lang w:val="en-US" w:eastAsia="zh-CN" w:bidi="ar-SA"/>
    </w:rPr>
  </w:style>
  <w:style w:type="paragraph" w:styleId="4">
    <w:name w:val="Body Text"/>
    <w:basedOn w:val="1"/>
    <w:qFormat/>
    <w:uiPriority w:val="0"/>
    <w:pPr>
      <w:spacing w:after="120"/>
    </w:pPr>
    <w:rPr>
      <w:rFonts w:ascii="Times New Roman" w:hAnsi="Times New Roman"/>
    </w:rPr>
  </w:style>
  <w:style w:type="paragraph" w:styleId="5">
    <w:name w:val="Balloon Text"/>
    <w:basedOn w:val="1"/>
    <w:link w:val="16"/>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semiHidden/>
    <w:unhideWhenUsed/>
    <w:qFormat/>
    <w:uiPriority w:val="99"/>
    <w:pPr>
      <w:spacing w:beforeAutospacing="1" w:afterAutospacing="1"/>
      <w:jc w:val="left"/>
    </w:pPr>
    <w:rPr>
      <w:rFonts w:cs="Times New Roman"/>
      <w:kern w:val="0"/>
      <w:sz w:val="24"/>
    </w:r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5"/>
    <w:semiHidden/>
    <w:qFormat/>
    <w:uiPriority w:val="99"/>
    <w:rPr>
      <w:sz w:val="18"/>
      <w:szCs w:val="18"/>
    </w:rPr>
  </w:style>
  <w:style w:type="paragraph" w:customStyle="1" w:styleId="17">
    <w:name w:val="普通(网站) Char"/>
    <w:basedOn w:val="1"/>
    <w:qFormat/>
    <w:uiPriority w:val="0"/>
    <w:pPr>
      <w:widowControl/>
      <w:spacing w:before="100" w:beforeAutospacing="1" w:after="100" w:afterAutospacing="1"/>
      <w:jc w:val="left"/>
    </w:pPr>
    <w:rPr>
      <w:rFonts w:hint="eastAsia" w:ascii="宋体" w:hAnsi="宋体" w:eastAsia="宋体" w:cs="Times New Roman"/>
      <w:kern w:val="0"/>
      <w:sz w:val="24"/>
      <w:szCs w:val="24"/>
    </w:rPr>
  </w:style>
  <w:style w:type="paragraph" w:styleId="18">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无间隔"/>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
    <w:name w:val="无间隔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9194</Words>
  <Characters>9916</Characters>
  <Lines>69</Lines>
  <Paragraphs>19</Paragraphs>
  <TotalTime>2</TotalTime>
  <ScaleCrop>false</ScaleCrop>
  <LinksUpToDate>false</LinksUpToDate>
  <CharactersWithSpaces>9945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梁梦芸</cp:lastModifiedBy>
  <cp:lastPrinted>2023-09-21T04:56:00Z</cp:lastPrinted>
  <dcterms:modified xsi:type="dcterms:W3CDTF">2024-09-26T08:54:03Z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21BE63696E034BC9BAA22726C5C382FD_12</vt:lpwstr>
  </property>
</Properties>
</file>