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DDD6EF">
      <w:pPr>
        <w:spacing w:line="360" w:lineRule="auto"/>
        <w:rPr>
          <w:rFonts w:ascii="仿宋" w:hAnsi="仿宋" w:eastAsia="仿宋"/>
          <w:w w:val="100"/>
          <w:sz w:val="28"/>
          <w:szCs w:val="24"/>
        </w:rPr>
      </w:pPr>
      <w:r>
        <w:rPr>
          <w:rFonts w:hint="eastAsia" w:ascii="仿宋" w:hAnsi="仿宋" w:eastAsia="仿宋"/>
          <w:w w:val="100"/>
          <w:sz w:val="28"/>
          <w:szCs w:val="24"/>
        </w:rPr>
        <w:t>附件6</w:t>
      </w:r>
    </w:p>
    <w:p w14:paraId="77A19A57">
      <w:pPr>
        <w:spacing w:line="360" w:lineRule="auto"/>
        <w:rPr>
          <w:rFonts w:ascii="仿宋" w:hAnsi="仿宋" w:eastAsia="仿宋" w:cs="仿宋"/>
          <w:b/>
          <w:bCs/>
          <w:w w:val="100"/>
          <w:szCs w:val="44"/>
        </w:rPr>
      </w:pPr>
    </w:p>
    <w:p w14:paraId="2E019CCE">
      <w:pPr>
        <w:spacing w:line="360" w:lineRule="auto"/>
        <w:rPr>
          <w:rFonts w:ascii="仿宋" w:hAnsi="仿宋" w:eastAsia="仿宋" w:cs="仿宋"/>
          <w:b/>
          <w:bCs/>
          <w:w w:val="100"/>
          <w:szCs w:val="44"/>
        </w:rPr>
      </w:pPr>
    </w:p>
    <w:p w14:paraId="3282BE67">
      <w:pPr>
        <w:spacing w:line="360" w:lineRule="auto"/>
        <w:rPr>
          <w:rFonts w:ascii="仿宋" w:hAnsi="仿宋" w:eastAsia="仿宋" w:cs="仿宋"/>
          <w:b/>
          <w:bCs/>
          <w:w w:val="100"/>
          <w:szCs w:val="44"/>
        </w:rPr>
      </w:pPr>
    </w:p>
    <w:p w14:paraId="49B28414">
      <w:pPr>
        <w:ind w:left="0" w:leftChars="0" w:firstLine="0" w:firstLineChars="0"/>
        <w:jc w:val="center"/>
        <w:rPr>
          <w:rFonts w:hint="eastAsia" w:ascii="仿宋" w:hAnsi="仿宋" w:eastAsia="仿宋" w:cs="仿宋"/>
          <w:b/>
          <w:bCs/>
          <w:w w:val="80"/>
          <w:sz w:val="44"/>
          <w:szCs w:val="44"/>
        </w:rPr>
      </w:pPr>
      <w:r>
        <w:rPr>
          <w:rFonts w:hint="eastAsia" w:ascii="仿宋" w:hAnsi="仿宋" w:eastAsia="仿宋" w:cs="仿宋"/>
          <w:b/>
          <w:bCs/>
          <w:w w:val="80"/>
          <w:sz w:val="44"/>
          <w:szCs w:val="44"/>
        </w:rPr>
        <w:t>怀化市水利局(本级)2024年度</w:t>
      </w:r>
    </w:p>
    <w:p w14:paraId="37C2135C">
      <w:pPr>
        <w:ind w:left="0" w:leftChars="0" w:firstLine="0" w:firstLineChars="0"/>
        <w:jc w:val="center"/>
        <w:rPr>
          <w:rFonts w:hint="eastAsia" w:ascii="仿宋" w:hAnsi="仿宋" w:eastAsia="仿宋" w:cs="仿宋"/>
          <w:b/>
          <w:bCs/>
          <w:w w:val="80"/>
          <w:sz w:val="44"/>
          <w:szCs w:val="44"/>
        </w:rPr>
      </w:pPr>
      <w:r>
        <w:rPr>
          <w:rFonts w:hint="eastAsia" w:ascii="仿宋" w:hAnsi="仿宋" w:eastAsia="仿宋" w:cs="仿宋"/>
          <w:b/>
          <w:bCs/>
          <w:w w:val="80"/>
          <w:sz w:val="44"/>
          <w:szCs w:val="44"/>
        </w:rPr>
        <w:t>“中小河流及水系治理方</w:t>
      </w:r>
      <w:bookmarkStart w:id="0" w:name="_GoBack"/>
      <w:bookmarkEnd w:id="0"/>
      <w:r>
        <w:rPr>
          <w:rFonts w:hint="eastAsia" w:ascii="仿宋" w:hAnsi="仿宋" w:eastAsia="仿宋" w:cs="仿宋"/>
          <w:b/>
          <w:bCs/>
          <w:w w:val="80"/>
          <w:sz w:val="44"/>
          <w:szCs w:val="44"/>
        </w:rPr>
        <w:t>案编制及水网建设规划”</w:t>
      </w:r>
    </w:p>
    <w:p w14:paraId="521425F1">
      <w:pPr>
        <w:widowControl/>
        <w:jc w:val="center"/>
        <w:rPr>
          <w:rFonts w:ascii="仿宋" w:hAnsi="仿宋" w:eastAsia="仿宋" w:cs="仿宋"/>
          <w:b/>
          <w:bCs/>
          <w:w w:val="100"/>
          <w:sz w:val="48"/>
          <w:szCs w:val="48"/>
        </w:rPr>
      </w:pPr>
      <w:r>
        <w:rPr>
          <w:rFonts w:hint="eastAsia" w:ascii="仿宋" w:hAnsi="仿宋" w:eastAsia="仿宋" w:cs="仿宋"/>
          <w:b/>
          <w:bCs/>
          <w:w w:val="80"/>
          <w:sz w:val="44"/>
          <w:szCs w:val="44"/>
        </w:rPr>
        <w:t>项目支出绩效自评报告</w:t>
      </w:r>
    </w:p>
    <w:p w14:paraId="792E8BC1">
      <w:pPr>
        <w:spacing w:line="360" w:lineRule="auto"/>
        <w:jc w:val="center"/>
        <w:rPr>
          <w:rFonts w:ascii="仿宋" w:hAnsi="仿宋" w:eastAsia="仿宋" w:cs="仿宋"/>
          <w:b/>
          <w:w w:val="100"/>
          <w:sz w:val="32"/>
          <w:szCs w:val="32"/>
        </w:rPr>
      </w:pPr>
    </w:p>
    <w:p w14:paraId="0C7B01C4">
      <w:pPr>
        <w:spacing w:line="360" w:lineRule="auto"/>
        <w:jc w:val="center"/>
        <w:rPr>
          <w:rFonts w:ascii="仿宋" w:hAnsi="仿宋" w:eastAsia="仿宋" w:cs="仿宋"/>
          <w:w w:val="100"/>
          <w:sz w:val="32"/>
          <w:szCs w:val="32"/>
        </w:rPr>
      </w:pPr>
    </w:p>
    <w:p w14:paraId="35EB298D">
      <w:pPr>
        <w:spacing w:line="360" w:lineRule="auto"/>
        <w:jc w:val="center"/>
        <w:rPr>
          <w:rFonts w:ascii="仿宋" w:hAnsi="仿宋" w:eastAsia="仿宋" w:cs="仿宋"/>
          <w:w w:val="100"/>
          <w:sz w:val="32"/>
          <w:szCs w:val="32"/>
        </w:rPr>
      </w:pPr>
    </w:p>
    <w:p w14:paraId="54A3D1A7">
      <w:pPr>
        <w:spacing w:line="360" w:lineRule="auto"/>
        <w:jc w:val="center"/>
        <w:rPr>
          <w:rFonts w:ascii="仿宋" w:hAnsi="仿宋" w:eastAsia="仿宋" w:cs="仿宋"/>
          <w:w w:val="100"/>
          <w:sz w:val="32"/>
          <w:szCs w:val="32"/>
        </w:rPr>
      </w:pPr>
    </w:p>
    <w:p w14:paraId="0C681904">
      <w:pPr>
        <w:spacing w:line="360" w:lineRule="auto"/>
        <w:jc w:val="center"/>
        <w:rPr>
          <w:rFonts w:ascii="仿宋" w:hAnsi="仿宋" w:eastAsia="仿宋" w:cs="仿宋"/>
          <w:w w:val="100"/>
          <w:sz w:val="32"/>
          <w:szCs w:val="32"/>
        </w:rPr>
      </w:pPr>
    </w:p>
    <w:p w14:paraId="36B60924">
      <w:pPr>
        <w:spacing w:line="360" w:lineRule="auto"/>
        <w:rPr>
          <w:rFonts w:ascii="仿宋" w:hAnsi="仿宋" w:eastAsia="仿宋" w:cs="仿宋"/>
          <w:w w:val="100"/>
          <w:sz w:val="32"/>
          <w:szCs w:val="32"/>
        </w:rPr>
      </w:pPr>
    </w:p>
    <w:p w14:paraId="0C7CBACF">
      <w:pPr>
        <w:spacing w:line="360" w:lineRule="auto"/>
        <w:ind w:firstLine="2560" w:firstLineChars="800"/>
        <w:rPr>
          <w:rFonts w:ascii="仿宋" w:hAnsi="仿宋" w:eastAsia="仿宋" w:cs="仿宋"/>
          <w:w w:val="100"/>
          <w:sz w:val="32"/>
          <w:szCs w:val="32"/>
          <w:u w:val="single"/>
        </w:rPr>
      </w:pPr>
      <w:r>
        <w:rPr>
          <w:rFonts w:hint="eastAsia" w:ascii="仿宋" w:hAnsi="仿宋" w:eastAsia="仿宋" w:cs="仿宋"/>
          <w:w w:val="100"/>
          <w:sz w:val="32"/>
          <w:szCs w:val="32"/>
        </w:rPr>
        <w:t>单位名称：</w:t>
      </w:r>
      <w:r>
        <w:rPr>
          <w:rFonts w:hint="eastAsia" w:ascii="仿宋" w:hAnsi="仿宋" w:eastAsia="仿宋" w:cs="仿宋"/>
          <w:w w:val="100"/>
          <w:sz w:val="32"/>
          <w:szCs w:val="32"/>
          <w:u w:val="single"/>
        </w:rPr>
        <w:t>（盖章）</w:t>
      </w:r>
    </w:p>
    <w:p w14:paraId="32A5AFD1">
      <w:pPr>
        <w:spacing w:line="360" w:lineRule="auto"/>
        <w:ind w:firstLine="3200" w:firstLineChars="1000"/>
        <w:rPr>
          <w:rFonts w:ascii="仿宋" w:hAnsi="仿宋" w:eastAsia="仿宋" w:cs="仿宋"/>
          <w:w w:val="100"/>
          <w:sz w:val="32"/>
          <w:szCs w:val="32"/>
        </w:rPr>
      </w:pPr>
    </w:p>
    <w:p w14:paraId="3B611680">
      <w:pPr>
        <w:spacing w:line="360" w:lineRule="auto"/>
        <w:ind w:firstLine="3200" w:firstLineChars="1000"/>
        <w:rPr>
          <w:rFonts w:ascii="仿宋" w:hAnsi="仿宋" w:eastAsia="仿宋" w:cs="仿宋"/>
          <w:w w:val="100"/>
          <w:sz w:val="32"/>
          <w:szCs w:val="32"/>
        </w:rPr>
      </w:pPr>
      <w:r>
        <w:rPr>
          <w:rFonts w:hint="eastAsia" w:ascii="仿宋" w:hAnsi="仿宋" w:eastAsia="仿宋" w:cs="仿宋"/>
          <w:w w:val="100"/>
          <w:sz w:val="32"/>
          <w:szCs w:val="32"/>
        </w:rPr>
        <w:t>2024年6月20日</w:t>
      </w:r>
    </w:p>
    <w:p w14:paraId="03A54FDA">
      <w:pPr>
        <w:spacing w:line="360" w:lineRule="auto"/>
        <w:jc w:val="center"/>
        <w:rPr>
          <w:rFonts w:ascii="仿宋" w:hAnsi="仿宋" w:eastAsia="仿宋" w:cs="仿宋"/>
          <w:w w:val="100"/>
          <w:sz w:val="32"/>
          <w:szCs w:val="32"/>
        </w:rPr>
      </w:pPr>
    </w:p>
    <w:p w14:paraId="753B647B">
      <w:pPr>
        <w:widowControl/>
        <w:spacing w:line="360" w:lineRule="auto"/>
        <w:jc w:val="center"/>
        <w:rPr>
          <w:rFonts w:ascii="仿宋" w:hAnsi="仿宋" w:eastAsia="仿宋" w:cs="仿宋"/>
          <w:w w:val="100"/>
          <w:sz w:val="32"/>
          <w:szCs w:val="32"/>
        </w:rPr>
      </w:pPr>
      <w:r>
        <w:rPr>
          <w:rFonts w:hint="eastAsia" w:ascii="仿宋" w:hAnsi="仿宋" w:eastAsia="仿宋" w:cs="仿宋"/>
          <w:w w:val="100"/>
          <w:sz w:val="32"/>
          <w:szCs w:val="32"/>
        </w:rPr>
        <w:t>（此页为封面）</w:t>
      </w:r>
    </w:p>
    <w:p w14:paraId="2D4EE9D6">
      <w:pPr>
        <w:widowControl/>
        <w:spacing w:line="360" w:lineRule="auto"/>
        <w:jc w:val="left"/>
        <w:rPr>
          <w:rFonts w:ascii="仿宋" w:hAnsi="仿宋" w:eastAsia="仿宋" w:cs="仿宋"/>
          <w:w w:val="100"/>
          <w:sz w:val="32"/>
          <w:szCs w:val="32"/>
        </w:rPr>
      </w:pPr>
      <w:r>
        <w:rPr>
          <w:rFonts w:ascii="仿宋" w:hAnsi="仿宋" w:eastAsia="仿宋" w:cs="仿宋"/>
          <w:w w:val="100"/>
          <w:sz w:val="32"/>
          <w:szCs w:val="32"/>
        </w:rPr>
        <w:br w:type="page"/>
      </w:r>
    </w:p>
    <w:p w14:paraId="3C266265">
      <w:pPr>
        <w:widowControl/>
        <w:spacing w:line="360" w:lineRule="auto"/>
        <w:jc w:val="left"/>
        <w:rPr>
          <w:rFonts w:ascii="仿宋" w:hAnsi="仿宋" w:eastAsia="仿宋"/>
          <w:w w:val="100"/>
          <w:sz w:val="30"/>
          <w:szCs w:val="30"/>
        </w:rPr>
      </w:pPr>
    </w:p>
    <w:p w14:paraId="1F07CAEC">
      <w:pPr>
        <w:ind w:left="0" w:leftChars="0" w:firstLine="0" w:firstLineChars="0"/>
        <w:jc w:val="center"/>
        <w:rPr>
          <w:rFonts w:hint="eastAsia" w:ascii="仿宋" w:hAnsi="仿宋" w:eastAsia="仿宋" w:cs="仿宋"/>
          <w:b/>
          <w:bCs/>
          <w:w w:val="80"/>
          <w:sz w:val="44"/>
          <w:szCs w:val="44"/>
        </w:rPr>
      </w:pPr>
      <w:r>
        <w:rPr>
          <w:rFonts w:hint="eastAsia" w:ascii="仿宋" w:hAnsi="仿宋" w:eastAsia="仿宋" w:cs="仿宋"/>
          <w:b/>
          <w:bCs/>
          <w:w w:val="80"/>
          <w:sz w:val="44"/>
          <w:szCs w:val="44"/>
        </w:rPr>
        <w:t>怀化市水利局(本级)2024年度</w:t>
      </w:r>
    </w:p>
    <w:p w14:paraId="6F2D87AA">
      <w:pPr>
        <w:ind w:left="0" w:leftChars="0" w:firstLine="0" w:firstLineChars="0"/>
        <w:jc w:val="center"/>
        <w:rPr>
          <w:rFonts w:hint="eastAsia" w:ascii="仿宋" w:hAnsi="仿宋" w:eastAsia="仿宋" w:cs="仿宋"/>
          <w:b/>
          <w:bCs/>
          <w:w w:val="80"/>
          <w:sz w:val="44"/>
          <w:szCs w:val="44"/>
        </w:rPr>
      </w:pPr>
      <w:r>
        <w:rPr>
          <w:rFonts w:hint="eastAsia" w:ascii="仿宋" w:hAnsi="仿宋" w:eastAsia="仿宋" w:cs="仿宋"/>
          <w:b/>
          <w:bCs/>
          <w:w w:val="80"/>
          <w:sz w:val="44"/>
          <w:szCs w:val="44"/>
        </w:rPr>
        <w:t>“中小河流及水系治理方案编制及水网建设规划”</w:t>
      </w:r>
    </w:p>
    <w:p w14:paraId="74B0395D">
      <w:pPr>
        <w:ind w:left="0" w:leftChars="0" w:firstLine="0" w:firstLineChars="0"/>
        <w:jc w:val="center"/>
        <w:rPr>
          <w:rFonts w:hint="eastAsia" w:ascii="仿宋" w:hAnsi="仿宋" w:eastAsia="仿宋" w:cs="仿宋"/>
          <w:w w:val="100"/>
          <w:sz w:val="44"/>
          <w:szCs w:val="44"/>
        </w:rPr>
      </w:pPr>
      <w:r>
        <w:rPr>
          <w:rFonts w:hint="eastAsia" w:ascii="仿宋" w:hAnsi="仿宋" w:eastAsia="仿宋" w:cs="仿宋"/>
          <w:b/>
          <w:bCs/>
          <w:w w:val="80"/>
          <w:sz w:val="44"/>
          <w:szCs w:val="44"/>
        </w:rPr>
        <w:t>项目支出绩效自评报告</w:t>
      </w:r>
    </w:p>
    <w:p w14:paraId="07C3207A">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一、项目概况</w:t>
      </w:r>
    </w:p>
    <w:p w14:paraId="08CD3641">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（一）项目基本情况</w:t>
      </w:r>
    </w:p>
    <w:p w14:paraId="6FA96FE5">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1、</w:t>
      </w:r>
      <w:r>
        <w:rPr>
          <w:rFonts w:hint="eastAsia" w:ascii="仿宋" w:hAnsi="仿宋" w:eastAsia="仿宋" w:cs="仿宋"/>
          <w:w w:val="100"/>
          <w:sz w:val="30"/>
          <w:szCs w:val="30"/>
        </w:rPr>
        <w:t>怀化市水利局作为项目主管部门，在“中小河流及水系治理方案编制及水网建设规划”项目中承担统筹协调、组织实施、质量监管和资金管理等职能。具体包括：制定项目实施计划，委托专业机构开展方案编制，组织专家评审和部门审核，监督项目进度与质量，规范资金使用，确保项目成果符合区域水利发展需求。</w:t>
      </w:r>
    </w:p>
    <w:p w14:paraId="0342082D">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2、</w:t>
      </w:r>
      <w:r>
        <w:rPr>
          <w:rFonts w:hint="eastAsia" w:ascii="仿宋" w:hAnsi="仿宋" w:eastAsia="仿宋" w:cs="仿宋"/>
          <w:w w:val="100"/>
          <w:sz w:val="30"/>
          <w:szCs w:val="30"/>
        </w:rPr>
        <w:t>项目立项、资金申报依据</w:t>
      </w:r>
    </w:p>
    <w:p w14:paraId="028556B1">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项目立项依据《国家水网建设规划纲要》《湖南省“十四五”水利发展规划》及怀化市水利发展实际需求，旨在通过科学编制中小河流治理方案和水网建设规划，提升区域防洪减灾能力和水资源调配效率。资金申报依据《湖南省省级水利发展资金管理办法》（湘财农指〔2023〕49号）等文件，结合怀化市中小河流治理和水网建设实际需求，向上级申报专项资金支持。</w:t>
      </w:r>
    </w:p>
    <w:p w14:paraId="15E8B994">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3、</w:t>
      </w:r>
      <w:r>
        <w:rPr>
          <w:rFonts w:hint="eastAsia" w:ascii="仿宋" w:hAnsi="仿宋" w:eastAsia="仿宋" w:cs="仿宋"/>
          <w:w w:val="100"/>
          <w:sz w:val="30"/>
          <w:szCs w:val="30"/>
        </w:rPr>
        <w:t>资金管理办法及支持范围</w:t>
      </w:r>
    </w:p>
    <w:p w14:paraId="3DFDA5EA">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项目资金管理严格遵循《怀化市水利专项资金管理办法》，明确资金用于中小河流及水系单元治理方案编制、水网建设规划编制等委托业务，支持范围涵盖四乡河、地灵溪等7条中小河流，渠水靖州以下水系、舞水水系2个水系单元，以及全市水网体系框架构建。资金支持方式为通过政府采购委托具备资质的专业机构开展方案编制与规划研究。</w:t>
      </w:r>
    </w:p>
    <w:p w14:paraId="3CBE4A69">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4、</w:t>
      </w:r>
      <w:r>
        <w:rPr>
          <w:rFonts w:hint="eastAsia" w:ascii="仿宋" w:hAnsi="仿宋" w:eastAsia="仿宋" w:cs="仿宋"/>
          <w:w w:val="100"/>
          <w:sz w:val="30"/>
          <w:szCs w:val="30"/>
        </w:rPr>
        <w:t>资金分配原则及考虑因素</w:t>
      </w:r>
    </w:p>
    <w:p w14:paraId="5B23A732">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资金分配遵循“需求导向、突出重点、专款专用”原则，主要考虑以下因素：一是中小河流洪涝灾害风险程度，优先保障防洪压力较大的流域；二是水系单元水资源调配需求，重点支持对区域经济社会发展具有重要支撑作用的水系单元；三是水网规划的前瞻性与可行性，确保资金投入能为长期水资源优化配置奠定基础。</w:t>
      </w:r>
    </w:p>
    <w:p w14:paraId="510339C9">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（二）项目绩效目标</w:t>
      </w:r>
    </w:p>
    <w:p w14:paraId="12A3567B">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1、</w:t>
      </w:r>
      <w:r>
        <w:rPr>
          <w:rFonts w:hint="eastAsia" w:ascii="仿宋" w:hAnsi="仿宋" w:eastAsia="仿宋" w:cs="仿宋"/>
          <w:w w:val="100"/>
          <w:sz w:val="30"/>
          <w:szCs w:val="30"/>
        </w:rPr>
        <w:t>项目主要包括两部分：一是完成四乡河、地灵溪等7条中小河流及渠水靖州以下水系、舞水水系2个水系单元的治理方案编制，内容涵盖现状防洪治理分析、防洪减灾思路、防洪区划与标准（10-20年一遇）、科学治理措施及保障方案；二是推进全市水网建设规划编制，结合区域水资源分布与需求，构建布局合理、功能完善的水网体系框架，明确水网骨干工程布局与水资源调配方案。</w:t>
      </w:r>
    </w:p>
    <w:p w14:paraId="04E2AC2B">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2、</w:t>
      </w:r>
      <w:r>
        <w:rPr>
          <w:rFonts w:hint="eastAsia" w:ascii="仿宋" w:hAnsi="仿宋" w:eastAsia="仿宋" w:cs="仿宋"/>
          <w:w w:val="100"/>
          <w:sz w:val="30"/>
          <w:szCs w:val="30"/>
        </w:rPr>
        <w:t>具体绩效目标</w:t>
      </w:r>
    </w:p>
    <w:p w14:paraId="04FEF3FD">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量化目标：编制7条中小河流治理方案、2个水系单元治理方案、1篇全市水网建设规划报告；规划水网骨干工程30项；方案与规划通过专家评审及部门审核，防洪标准达标率100%，与上位规划衔接度100%。</w:t>
      </w:r>
    </w:p>
    <w:p w14:paraId="6B981B54">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进度计划：2024年6月底前完成中小河流及水系单元治理方案初稿编制，8月底前完成专家评审与修改；2024年10月底前完成水网建设规划报告初稿，12月底前完成征求意见与完善，全年完成所有成果编制并应用于实际项目。</w:t>
      </w:r>
    </w:p>
    <w:p w14:paraId="0E8C4CE7">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3、</w:t>
      </w:r>
      <w:r>
        <w:rPr>
          <w:rFonts w:hint="eastAsia" w:ascii="仿宋" w:hAnsi="仿宋" w:eastAsia="仿宋" w:cs="仿宋"/>
          <w:w w:val="100"/>
          <w:sz w:val="30"/>
          <w:szCs w:val="30"/>
        </w:rPr>
        <w:t>申报内容与目标合理性分析</w:t>
      </w:r>
    </w:p>
    <w:p w14:paraId="06AF44A0">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申报内容与怀化市水利发展实际高度相符，聚焦中小河流防洪短板和水资源调配需求，贴合《怀化市“十四五”水利规划》要求。申报目标设定科学可行，量化指标明确，进度计划符合方案编制工作规律，通过合理调配资源、委托专业机构可确保目标实现。</w:t>
      </w:r>
    </w:p>
    <w:p w14:paraId="602099D3">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（三）项目自评步骤及方法</w:t>
      </w:r>
    </w:p>
    <w:p w14:paraId="1DE23203">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1、</w:t>
      </w:r>
      <w:r>
        <w:rPr>
          <w:rFonts w:hint="eastAsia" w:ascii="仿宋" w:hAnsi="仿宋" w:eastAsia="仿宋" w:cs="仿宋"/>
          <w:w w:val="100"/>
          <w:sz w:val="30"/>
          <w:szCs w:val="30"/>
        </w:rPr>
        <w:t>成立自评工作小组，由局规划科牵头，财务科、水利工程建设科等科室参与；</w:t>
      </w:r>
    </w:p>
    <w:p w14:paraId="71D98236">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2、</w:t>
      </w:r>
      <w:r>
        <w:rPr>
          <w:rFonts w:hint="eastAsia" w:ascii="仿宋" w:hAnsi="仿宋" w:eastAsia="仿宋" w:cs="仿宋"/>
          <w:w w:val="100"/>
          <w:sz w:val="30"/>
          <w:szCs w:val="30"/>
        </w:rPr>
        <w:t>收集项目资料，包括资金下达文件、方案编制合同、专家评审意见、成果应用记录等；</w:t>
      </w:r>
    </w:p>
    <w:p w14:paraId="7679A6F5">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3、</w:t>
      </w:r>
      <w:r>
        <w:rPr>
          <w:rFonts w:hint="eastAsia" w:ascii="仿宋" w:hAnsi="仿宋" w:eastAsia="仿宋" w:cs="仿宋"/>
          <w:w w:val="100"/>
          <w:sz w:val="30"/>
          <w:szCs w:val="30"/>
        </w:rPr>
        <w:t>对照绩效目标，核查方案编制数量、质量、时效及资金使用情况；</w:t>
      </w:r>
    </w:p>
    <w:p w14:paraId="592437BB">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4、</w:t>
      </w:r>
      <w:r>
        <w:rPr>
          <w:rFonts w:hint="eastAsia" w:ascii="仿宋" w:hAnsi="仿宋" w:eastAsia="仿宋" w:cs="仿宋"/>
          <w:w w:val="100"/>
          <w:sz w:val="30"/>
          <w:szCs w:val="30"/>
        </w:rPr>
        <w:t>分析项目效益，结合成果应用案例评估经济效益、社会效益及生态效益；</w:t>
      </w:r>
    </w:p>
    <w:p w14:paraId="3C05EA9D">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5、</w:t>
      </w:r>
      <w:r>
        <w:rPr>
          <w:rFonts w:hint="eastAsia" w:ascii="仿宋" w:hAnsi="仿宋" w:eastAsia="仿宋" w:cs="仿宋"/>
          <w:w w:val="100"/>
          <w:sz w:val="30"/>
          <w:szCs w:val="30"/>
        </w:rPr>
        <w:t>形成自评报告，经小组审核后报送局领导审定。</w:t>
      </w:r>
    </w:p>
    <w:p w14:paraId="78E35B2E">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采用“资料核查+专家咨询+成果应用跟踪”相结合的方法，通过比对项目计划与实际完成情况，验证绩效目标达成度；邀请参与方案评审的专家对成果质量进行复评；跟踪四乡河治理、舞水水系生态修复等应用项目，评估规划的实用性。</w:t>
      </w:r>
    </w:p>
    <w:p w14:paraId="102936E6">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二、项目资金申报及使用情况</w:t>
      </w:r>
    </w:p>
    <w:p w14:paraId="2FCE6B00">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（一）项目资金申报及批复情况</w:t>
      </w:r>
    </w:p>
    <w:p w14:paraId="40AC5848">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项目资金申报严格遵循省级水利发展资金申报要求，依据《湖南省省级水利发展资金管理办法》（湘财农指〔2023〕49号），结合怀化市中小河流治理和水网建设需求，向省水利厅、财政厅申报专项资金。2024年11月2日，怀化市财政局下达指标（怀财农字〔2024〕0113号、0114号），核定项目资金153.12万元，其中：2023年结转中小河流及水系单元治理方案编制资金81.95万元，2023年第二批省级水利发展资金结转71.18万元，功能分类为“2130305水利工程建设”。</w:t>
      </w:r>
    </w:p>
    <w:p w14:paraId="7A25CE56">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（二）资金计划、到位及使用情况</w:t>
      </w:r>
    </w:p>
    <w:p w14:paraId="775D28B7">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1、</w:t>
      </w:r>
      <w:r>
        <w:rPr>
          <w:rFonts w:hint="eastAsia" w:ascii="仿宋" w:hAnsi="仿宋" w:eastAsia="仿宋" w:cs="仿宋"/>
          <w:w w:val="100"/>
          <w:sz w:val="30"/>
          <w:szCs w:val="30"/>
        </w:rPr>
        <w:t>项目全年资金计划153.12万元，均为省级财政结转资金，无市县级配套及自筹资金。</w:t>
      </w:r>
    </w:p>
    <w:p w14:paraId="3DDEC0E3">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2、</w:t>
      </w:r>
      <w:r>
        <w:rPr>
          <w:rFonts w:hint="eastAsia" w:ascii="仿宋" w:hAnsi="仿宋" w:eastAsia="仿宋" w:cs="仿宋"/>
          <w:w w:val="100"/>
          <w:sz w:val="30"/>
          <w:szCs w:val="30"/>
        </w:rPr>
        <w:t>截至2024年11月底，项目资金153.12万元全额到位，到位率100%，资金及时拨付至怀化市水利局本级账户，保障了方案编制工作的顺利推进。</w:t>
      </w:r>
    </w:p>
    <w:p w14:paraId="7D4AC8C3">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3、</w:t>
      </w:r>
      <w:r>
        <w:rPr>
          <w:rFonts w:hint="eastAsia" w:ascii="仿宋" w:hAnsi="仿宋" w:eastAsia="仿宋" w:cs="仿宋"/>
          <w:w w:val="100"/>
          <w:sz w:val="30"/>
          <w:szCs w:val="30"/>
        </w:rPr>
        <w:t>截至2024年12月底，项目资金实际支出153.12万元，执行率100%，全部用于“委托业务费”，具体为：支付7条中小河流及2个水系单元治理方案编制费用89.2万元，支付《怀化市水网建设规划报告》编制费用63.92万元。资金支付严格按照政府采购程序，通过公开招标委托具备甲级水利工程设计资质的单位实施，支付凭证齐全，符合预算规定，未发生截留、挪用等违规情况。</w:t>
      </w:r>
    </w:p>
    <w:p w14:paraId="1F4933FB">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（三）项目财务管理情况</w:t>
      </w:r>
    </w:p>
    <w:p w14:paraId="68A6E37F">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怀化市水利局严格执行《怀化市水利专项资金管理办法》，建立了项目资金专账核算制度，明确专人负责账务处理。资金使用实行“四审四签”审批流程（项目负责人初审、业务科室复核、财务科审核、分管领导审批），确保每笔支出合规。会计核算规范，原始凭证完整，账务处理及时，全年未出现财务违规问题，通过了市财政局专项资金检查。</w:t>
      </w:r>
    </w:p>
    <w:p w14:paraId="628DA1DD">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三、项目实施及管理情况</w:t>
      </w:r>
    </w:p>
    <w:p w14:paraId="41AD81FD">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（一）项目组织架构及实施流程</w:t>
      </w:r>
    </w:p>
    <w:p w14:paraId="774D5806">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成立项目领导小组，由局分管领导任组长，规划科、财务科、水利工程建设科负责人为成员，负责统筹协调；下设技术组，由水利工程、水资源规划等领域专家组成，负责方案技术审查。</w:t>
      </w:r>
    </w:p>
    <w:p w14:paraId="3F459315">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开展现场勘察、基础资料收集（包括水文、地质、社会经济数据等）；委托专业机构按《中小河流治理工程设计规范》《水网建设规划技术导则》编制初稿；组织专家评审会，根据意见修改完善，形成送审稿；经市水利局党组审议后，作为正式成果用于指导水利项目建设。</w:t>
      </w:r>
    </w:p>
    <w:p w14:paraId="6B4F36E1">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（二）项目管理情况</w:t>
      </w:r>
    </w:p>
    <w:p w14:paraId="224F94EC">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项目严格执行招投标、政府采购等制度。2024年3月，通过怀化市公共资源交易中心公开招标，确定3家具备资质的设计单位承担方案编制任务，中标金额与预算相符。实施过程中，签订规范的委托合同，明确双方权责、成果交付标准及验收要求。建立进度周报制度，技术组定期检查编制进度，确保按计划推进。</w:t>
      </w:r>
    </w:p>
    <w:p w14:paraId="760034E0">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（三）项目监管情况</w:t>
      </w:r>
    </w:p>
    <w:p w14:paraId="4BD5AEF8">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市水利局采取“过程监管+成果验收”双重监管模式：</w:t>
      </w:r>
    </w:p>
    <w:p w14:paraId="2A9A08DF">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1、</w:t>
      </w:r>
      <w:r>
        <w:rPr>
          <w:rFonts w:hint="eastAsia" w:ascii="仿宋" w:hAnsi="仿宋" w:eastAsia="仿宋" w:cs="仿宋"/>
          <w:w w:val="100"/>
          <w:sz w:val="30"/>
          <w:szCs w:val="30"/>
        </w:rPr>
        <w:t>每季度开展现场督查，核查资料收集完整性、勘察深度及编制质量，对发现的局部河段防洪标准论证不足等问题，下达整改通知书2份，均按期整改到位；</w:t>
      </w:r>
    </w:p>
    <w:p w14:paraId="156BF7F2">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2、</w:t>
      </w:r>
      <w:r>
        <w:rPr>
          <w:rFonts w:hint="eastAsia" w:ascii="仿宋" w:hAnsi="仿宋" w:eastAsia="仿宋" w:cs="仿宋"/>
          <w:w w:val="100"/>
          <w:sz w:val="30"/>
          <w:szCs w:val="30"/>
        </w:rPr>
        <w:t>组织省级专家开展终期验收，从技术可行性、经济合理性、生态安全性等方面进行全面评估，7条中小河流及2个水系单元治理方案、水网建设规划报告均一次性通过验收，验收合格率100%。</w:t>
      </w:r>
    </w:p>
    <w:p w14:paraId="58CDC3D7">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四、项目绩效情况</w:t>
      </w:r>
    </w:p>
    <w:p w14:paraId="544CDB24">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（一）项目完成情况</w:t>
      </w:r>
    </w:p>
    <w:p w14:paraId="3976F7E3">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1、</w:t>
      </w:r>
      <w:r>
        <w:rPr>
          <w:rFonts w:hint="eastAsia" w:ascii="仿宋" w:hAnsi="仿宋" w:eastAsia="仿宋" w:cs="仿宋"/>
          <w:w w:val="100"/>
          <w:sz w:val="30"/>
          <w:szCs w:val="30"/>
        </w:rPr>
        <w:t>数量指标：完成7条中小河流治理方案编制（四乡河、地灵溪等），涉及河道总长120公里；完成2个水系单元治理方案（渠水靖州以下水系、舞水水系），覆盖流域面积1800平方公里；编制《怀化市水网建设规划报告》初稿1篇，规划水网骨干工程35项（超额完成5项）、水资源调配线路18条；组织专家论证会5次，邀请省内外专家30人次参与。</w:t>
      </w:r>
    </w:p>
    <w:p w14:paraId="6592249A">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2、</w:t>
      </w:r>
      <w:r>
        <w:rPr>
          <w:rFonts w:hint="eastAsia" w:ascii="仿宋" w:hAnsi="仿宋" w:eastAsia="仿宋" w:cs="仿宋"/>
          <w:w w:val="100"/>
          <w:sz w:val="30"/>
          <w:szCs w:val="30"/>
        </w:rPr>
        <w:t>质量指标：所有治理方案通过省级水利部门技术审查，防洪标准均达到10-20年一遇，与流域实际匹配度100%；水网建设规划与国土空间规划、生态环境保护规划等上位规划衔接度100%，纳入省级水网规划项目库8项。</w:t>
      </w:r>
    </w:p>
    <w:p w14:paraId="73F2952C">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3、</w:t>
      </w:r>
      <w:r>
        <w:rPr>
          <w:rFonts w:hint="eastAsia" w:ascii="仿宋" w:hAnsi="仿宋" w:eastAsia="仿宋" w:cs="仿宋"/>
          <w:w w:val="100"/>
          <w:sz w:val="30"/>
          <w:szCs w:val="30"/>
        </w:rPr>
        <w:t>时效指标：2024年8月底前完成所有治理方案编制，10月底前完成水网规划初稿，均提前于计划时间，按时完成率100%。</w:t>
      </w:r>
    </w:p>
    <w:p w14:paraId="2F3A1C98">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4、</w:t>
      </w:r>
      <w:r>
        <w:rPr>
          <w:rFonts w:hint="eastAsia" w:ascii="仿宋" w:hAnsi="仿宋" w:eastAsia="仿宋" w:cs="仿宋"/>
          <w:w w:val="100"/>
          <w:sz w:val="30"/>
          <w:szCs w:val="30"/>
        </w:rPr>
        <w:t>成本指标：项目总成本153.12万元，控制在预算范围内，单位方案编制成本（按河道长度计算）为1.28万元/公里，低于省内同类项目平均水平。</w:t>
      </w:r>
    </w:p>
    <w:p w14:paraId="18569B92">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（二）项目效益情况</w:t>
      </w:r>
    </w:p>
    <w:p w14:paraId="0F30E371">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1、</w:t>
      </w:r>
      <w:r>
        <w:rPr>
          <w:rFonts w:hint="eastAsia" w:ascii="仿宋" w:hAnsi="仿宋" w:eastAsia="仿宋" w:cs="仿宋"/>
          <w:w w:val="100"/>
          <w:sz w:val="30"/>
          <w:szCs w:val="30"/>
        </w:rPr>
        <w:t>经济效益：规划成果应用于四乡河治理、舞水水系生态修复等5个项目，优化了工程设计方案，减少重复施工成本约50万元；水网规划明确的18条水资源调配线路，预计可提升工业用水保障能力1.2亿立方米/年，带动相关产业新增产值8亿元。</w:t>
      </w:r>
    </w:p>
    <w:p w14:paraId="70812FA2">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2、</w:t>
      </w:r>
      <w:r>
        <w:rPr>
          <w:rFonts w:hint="eastAsia" w:ascii="仿宋" w:hAnsi="仿宋" w:eastAsia="仿宋" w:cs="仿宋"/>
          <w:w w:val="100"/>
          <w:sz w:val="30"/>
          <w:szCs w:val="30"/>
        </w:rPr>
        <w:t>社会效益：7条中小河流治理方案实施后，可保护沿岸12个乡镇、25万人口的生命财产安全；水网建设规划聚焦农村供水保障，预计改善30万农村人口饮水条件，促进城乡均衡发展，群众对水利规划工作满意度达94.6%。</w:t>
      </w:r>
    </w:p>
    <w:p w14:paraId="4861943D">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3、</w:t>
      </w:r>
      <w:r>
        <w:rPr>
          <w:rFonts w:hint="eastAsia" w:ascii="仿宋" w:hAnsi="仿宋" w:eastAsia="仿宋" w:cs="仿宋"/>
          <w:w w:val="100"/>
          <w:sz w:val="30"/>
          <w:szCs w:val="30"/>
        </w:rPr>
        <w:t>生态效益：治理方案中生态护岸、植被恢复等措施，可增加河道生态岸线45公里，提升水体自净能力，主要河流水质达标率将从88%提升至92%；水网规划统筹生态用水，保障河湖生态流量，预计新增湿地面积2.5平方公里。</w:t>
      </w:r>
    </w:p>
    <w:p w14:paraId="4C9B3FE8">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4、</w:t>
      </w:r>
      <w:r>
        <w:rPr>
          <w:rFonts w:hint="eastAsia" w:ascii="仿宋" w:hAnsi="仿宋" w:eastAsia="仿宋" w:cs="仿宋"/>
          <w:w w:val="100"/>
          <w:sz w:val="30"/>
          <w:szCs w:val="30"/>
        </w:rPr>
        <w:t>可持续影响：形成的治理方案与水网规划纳入怀化市“十五五”水安全保障规划，建立了“规划-项目-实施”闭环机制，为长期水资源管理提供了科学依据。辰溪县、芷江县已参照该规划推进小型水库联合调度，可持续影响显著。</w:t>
      </w:r>
    </w:p>
    <w:p w14:paraId="5F441009">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五、评价结论及建议</w:t>
      </w:r>
    </w:p>
    <w:p w14:paraId="67EC6475">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（一）评价结论</w:t>
      </w:r>
    </w:p>
    <w:p w14:paraId="566EB01E">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项目支出绩效评价得分100分，总体评价为“优”。项目立项科学，资金管理规范，实施过程有序，全面完成了年度绩效目标。治理方案与水网规划成果质量高，在防洪减灾、水资源调配、生态保护等方面效益显著，为怀化市水利高质量发展提供了有力支撑。</w:t>
      </w:r>
    </w:p>
    <w:p w14:paraId="5834453B">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（二）存在的问题</w:t>
      </w:r>
    </w:p>
    <w:p w14:paraId="27408C6C">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1、</w:t>
      </w:r>
      <w:r>
        <w:rPr>
          <w:rFonts w:hint="eastAsia" w:ascii="仿宋" w:hAnsi="仿宋" w:eastAsia="仿宋" w:cs="仿宋"/>
          <w:w w:val="100"/>
          <w:sz w:val="30"/>
          <w:szCs w:val="30"/>
        </w:rPr>
        <w:t>部分山区中小河流基础资料不足，导致局部河段治理方案中水文计算精度有待提升；</w:t>
      </w:r>
    </w:p>
    <w:p w14:paraId="2681657C">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2、</w:t>
      </w:r>
      <w:r>
        <w:rPr>
          <w:rFonts w:hint="eastAsia" w:ascii="仿宋" w:hAnsi="仿宋" w:eastAsia="仿宋" w:cs="仿宋"/>
          <w:w w:val="100"/>
          <w:sz w:val="30"/>
          <w:szCs w:val="30"/>
        </w:rPr>
        <w:t>水网规划中跨区域水资源调配协调机制需进一步完善，涉及相邻市（州）的线路需加强对接。</w:t>
      </w:r>
    </w:p>
    <w:p w14:paraId="1B522FA4">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（三）相关建议</w:t>
      </w:r>
    </w:p>
    <w:p w14:paraId="05D98660">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1、</w:t>
      </w:r>
      <w:r>
        <w:rPr>
          <w:rFonts w:hint="eastAsia" w:ascii="仿宋" w:hAnsi="仿宋" w:eastAsia="仿宋" w:cs="仿宋"/>
          <w:w w:val="100"/>
          <w:sz w:val="30"/>
          <w:szCs w:val="30"/>
        </w:rPr>
        <w:t>建议申请专项资金，开展未治理中小河流水文监测站点建设，补齐资料短板；</w:t>
      </w:r>
    </w:p>
    <w:p w14:paraId="1998111A">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2、</w:t>
      </w:r>
      <w:r>
        <w:rPr>
          <w:rFonts w:hint="eastAsia" w:ascii="仿宋" w:hAnsi="仿宋" w:eastAsia="仿宋" w:cs="仿宋"/>
          <w:w w:val="100"/>
          <w:sz w:val="30"/>
          <w:szCs w:val="30"/>
        </w:rPr>
        <w:t>建立湘黔边区水网规划协调联席会议制度，推动跨区域水资源调配线路落地；</w:t>
      </w:r>
    </w:p>
    <w:p w14:paraId="64444235">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3、</w:t>
      </w:r>
      <w:r>
        <w:rPr>
          <w:rFonts w:hint="eastAsia" w:ascii="仿宋" w:hAnsi="仿宋" w:eastAsia="仿宋" w:cs="仿宋"/>
          <w:w w:val="100"/>
          <w:sz w:val="30"/>
          <w:szCs w:val="30"/>
        </w:rPr>
        <w:t>将规划成果纳入水利项目前期工作强制性要求，确保规划引领项目建设。</w:t>
      </w:r>
    </w:p>
    <w:p w14:paraId="1911832D">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通过持续优化，进一步提升中小河流治理与水网建设的科学性、前瞻性，为怀化市水安全保障提供更坚实的规划支撑。</w:t>
      </w:r>
    </w:p>
    <w:p w14:paraId="2E8B621B">
      <w:pPr>
        <w:rPr>
          <w:rFonts w:hint="eastAsia" w:ascii="仿宋" w:hAnsi="仿宋" w:eastAsia="仿宋" w:cs="仿宋"/>
          <w:w w:val="100"/>
          <w:sz w:val="30"/>
          <w:szCs w:val="30"/>
        </w:rPr>
      </w:pPr>
    </w:p>
    <w:p w14:paraId="673E7126">
      <w:pPr>
        <w:rPr>
          <w:rFonts w:hint="eastAsia" w:ascii="仿宋" w:hAnsi="仿宋" w:eastAsia="仿宋" w:cs="仿宋"/>
          <w:w w:val="100"/>
          <w:sz w:val="30"/>
          <w:szCs w:val="30"/>
        </w:rPr>
      </w:pPr>
    </w:p>
    <w:p w14:paraId="7BFE286E">
      <w:pPr>
        <w:rPr>
          <w:rFonts w:hint="eastAsia" w:ascii="仿宋" w:hAnsi="仿宋" w:eastAsia="仿宋" w:cs="仿宋"/>
          <w:w w:val="100"/>
          <w:sz w:val="30"/>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Segoe UI">
    <w:panose1 w:val="020B0502040204020203"/>
    <w:charset w:val="00"/>
    <w:family w:val="swiss"/>
    <w:pitch w:val="default"/>
    <w:sig w:usb0="E4002EFF" w:usb1="C000E47F" w:usb2="00000009" w:usb3="00000000" w:csb0="200001FF" w:csb1="00000000"/>
  </w:font>
  <w:font w:name="Montserra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ymbol">
    <w:panose1 w:val="05050102010706020507"/>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3B27B5"/>
    <w:rsid w:val="000E40DD"/>
    <w:rsid w:val="000F2B40"/>
    <w:rsid w:val="0019769F"/>
    <w:rsid w:val="001A7546"/>
    <w:rsid w:val="001F5C83"/>
    <w:rsid w:val="002040C5"/>
    <w:rsid w:val="00283C93"/>
    <w:rsid w:val="00286347"/>
    <w:rsid w:val="002E7DE7"/>
    <w:rsid w:val="003228DA"/>
    <w:rsid w:val="003B27B5"/>
    <w:rsid w:val="0043085C"/>
    <w:rsid w:val="00477D23"/>
    <w:rsid w:val="004E5BEC"/>
    <w:rsid w:val="005C66B9"/>
    <w:rsid w:val="006501EF"/>
    <w:rsid w:val="006B753F"/>
    <w:rsid w:val="007749CE"/>
    <w:rsid w:val="007D525A"/>
    <w:rsid w:val="009B6AB1"/>
    <w:rsid w:val="009C0F07"/>
    <w:rsid w:val="00A676AF"/>
    <w:rsid w:val="00B240F2"/>
    <w:rsid w:val="00B56A59"/>
    <w:rsid w:val="00B64619"/>
    <w:rsid w:val="00CA278C"/>
    <w:rsid w:val="00CB0806"/>
    <w:rsid w:val="00D25F19"/>
    <w:rsid w:val="00D97C7E"/>
    <w:rsid w:val="00E02818"/>
    <w:rsid w:val="00E1699A"/>
    <w:rsid w:val="00EA0B9A"/>
    <w:rsid w:val="00EC3770"/>
    <w:rsid w:val="00F502A8"/>
    <w:rsid w:val="00F80617"/>
    <w:rsid w:val="2B6D2D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黑体" w:hAnsi="黑体" w:eastAsia="黑体" w:cstheme="minorBidi"/>
      <w:w w:val="200"/>
      <w:kern w:val="2"/>
      <w:sz w:val="44"/>
      <w:szCs w:val="22"/>
      <w:lang w:val="en-US" w:eastAsia="zh-CN" w:bidi="ar-SA"/>
    </w:rPr>
  </w:style>
  <w:style w:type="paragraph" w:styleId="2">
    <w:name w:val="heading 1"/>
    <w:basedOn w:val="1"/>
    <w:link w:val="11"/>
    <w:qFormat/>
    <w:uiPriority w:val="9"/>
    <w:pPr>
      <w:widowControl/>
      <w:spacing w:before="100" w:beforeAutospacing="1" w:after="100" w:afterAutospacing="1"/>
      <w:jc w:val="left"/>
      <w:outlineLvl w:val="0"/>
    </w:pPr>
    <w:rPr>
      <w:rFonts w:ascii="宋体" w:hAnsi="宋体" w:eastAsia="宋体" w:cs="宋体"/>
      <w:b/>
      <w:bCs/>
      <w:w w:val="100"/>
      <w:kern w:val="36"/>
      <w:sz w:val="48"/>
      <w:szCs w:val="48"/>
    </w:rPr>
  </w:style>
  <w:style w:type="paragraph" w:styleId="3">
    <w:name w:val="heading 2"/>
    <w:basedOn w:val="1"/>
    <w:link w:val="12"/>
    <w:qFormat/>
    <w:uiPriority w:val="9"/>
    <w:pPr>
      <w:widowControl/>
      <w:spacing w:before="100" w:beforeAutospacing="1" w:after="100" w:afterAutospacing="1"/>
      <w:jc w:val="left"/>
      <w:outlineLvl w:val="1"/>
    </w:pPr>
    <w:rPr>
      <w:rFonts w:ascii="宋体" w:hAnsi="宋体" w:eastAsia="宋体" w:cs="宋体"/>
      <w:b/>
      <w:bCs/>
      <w:w w:val="100"/>
      <w:kern w:val="0"/>
      <w:sz w:val="36"/>
      <w:szCs w:val="36"/>
    </w:rPr>
  </w:style>
  <w:style w:type="paragraph" w:styleId="4">
    <w:name w:val="heading 3"/>
    <w:basedOn w:val="1"/>
    <w:link w:val="13"/>
    <w:qFormat/>
    <w:uiPriority w:val="9"/>
    <w:pPr>
      <w:widowControl/>
      <w:spacing w:before="100" w:beforeAutospacing="1" w:after="100" w:afterAutospacing="1"/>
      <w:jc w:val="left"/>
      <w:outlineLvl w:val="2"/>
    </w:pPr>
    <w:rPr>
      <w:rFonts w:ascii="宋体" w:hAnsi="宋体" w:eastAsia="宋体" w:cs="宋体"/>
      <w:b/>
      <w:bCs/>
      <w:w w:val="100"/>
      <w:kern w:val="0"/>
      <w:sz w:val="27"/>
      <w:szCs w:val="27"/>
    </w:rPr>
  </w:style>
  <w:style w:type="paragraph" w:styleId="5">
    <w:name w:val="heading 4"/>
    <w:basedOn w:val="1"/>
    <w:next w:val="1"/>
    <w:link w:val="17"/>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6">
    <w:name w:val="footer"/>
    <w:basedOn w:val="1"/>
    <w:link w:val="16"/>
    <w:semiHidden/>
    <w:unhideWhenUsed/>
    <w:qFormat/>
    <w:uiPriority w:val="99"/>
    <w:pPr>
      <w:tabs>
        <w:tab w:val="center" w:pos="4153"/>
        <w:tab w:val="right" w:pos="8306"/>
      </w:tabs>
      <w:snapToGrid w:val="0"/>
      <w:jc w:val="left"/>
    </w:pPr>
    <w:rPr>
      <w:sz w:val="18"/>
      <w:szCs w:val="18"/>
    </w:rPr>
  </w:style>
  <w:style w:type="paragraph" w:styleId="7">
    <w:name w:val="header"/>
    <w:basedOn w:val="1"/>
    <w:link w:val="15"/>
    <w:semiHidden/>
    <w:unhideWhenUsed/>
    <w:uiPriority w:val="99"/>
    <w:pPr>
      <w:pBdr>
        <w:bottom w:val="single" w:color="auto" w:sz="6" w:space="1"/>
      </w:pBdr>
      <w:tabs>
        <w:tab w:val="center" w:pos="4153"/>
        <w:tab w:val="right" w:pos="8306"/>
      </w:tabs>
      <w:snapToGrid w:val="0"/>
      <w:jc w:val="center"/>
    </w:pPr>
    <w:rPr>
      <w:sz w:val="18"/>
      <w:szCs w:val="18"/>
    </w:rPr>
  </w:style>
  <w:style w:type="character" w:styleId="10">
    <w:name w:val="Strong"/>
    <w:basedOn w:val="9"/>
    <w:qFormat/>
    <w:uiPriority w:val="22"/>
    <w:rPr>
      <w:b/>
      <w:bCs/>
    </w:rPr>
  </w:style>
  <w:style w:type="character" w:customStyle="1" w:styleId="11">
    <w:name w:val="标题 1 Char"/>
    <w:basedOn w:val="9"/>
    <w:link w:val="2"/>
    <w:qFormat/>
    <w:uiPriority w:val="9"/>
    <w:rPr>
      <w:rFonts w:ascii="宋体" w:hAnsi="宋体" w:eastAsia="宋体" w:cs="宋体"/>
      <w:b/>
      <w:bCs/>
      <w:w w:val="100"/>
      <w:kern w:val="36"/>
      <w:sz w:val="48"/>
      <w:szCs w:val="48"/>
    </w:rPr>
  </w:style>
  <w:style w:type="character" w:customStyle="1" w:styleId="12">
    <w:name w:val="标题 2 Char"/>
    <w:basedOn w:val="9"/>
    <w:link w:val="3"/>
    <w:qFormat/>
    <w:uiPriority w:val="9"/>
    <w:rPr>
      <w:rFonts w:ascii="宋体" w:hAnsi="宋体" w:eastAsia="宋体" w:cs="宋体"/>
      <w:b/>
      <w:bCs/>
      <w:w w:val="100"/>
      <w:kern w:val="0"/>
      <w:sz w:val="36"/>
      <w:szCs w:val="36"/>
    </w:rPr>
  </w:style>
  <w:style w:type="character" w:customStyle="1" w:styleId="13">
    <w:name w:val="标题 3 Char"/>
    <w:basedOn w:val="9"/>
    <w:link w:val="4"/>
    <w:qFormat/>
    <w:uiPriority w:val="9"/>
    <w:rPr>
      <w:rFonts w:ascii="宋体" w:hAnsi="宋体" w:eastAsia="宋体" w:cs="宋体"/>
      <w:b/>
      <w:bCs/>
      <w:w w:val="100"/>
      <w:kern w:val="0"/>
      <w:sz w:val="27"/>
      <w:szCs w:val="27"/>
    </w:rPr>
  </w:style>
  <w:style w:type="paragraph" w:styleId="14">
    <w:name w:val="List Paragraph"/>
    <w:basedOn w:val="1"/>
    <w:qFormat/>
    <w:uiPriority w:val="34"/>
    <w:pPr>
      <w:ind w:firstLine="420" w:firstLineChars="200"/>
    </w:pPr>
  </w:style>
  <w:style w:type="character" w:customStyle="1" w:styleId="15">
    <w:name w:val="页眉 Char"/>
    <w:basedOn w:val="9"/>
    <w:link w:val="7"/>
    <w:semiHidden/>
    <w:uiPriority w:val="99"/>
    <w:rPr>
      <w:sz w:val="18"/>
      <w:szCs w:val="18"/>
    </w:rPr>
  </w:style>
  <w:style w:type="character" w:customStyle="1" w:styleId="16">
    <w:name w:val="页脚 Char"/>
    <w:basedOn w:val="9"/>
    <w:link w:val="6"/>
    <w:semiHidden/>
    <w:qFormat/>
    <w:uiPriority w:val="99"/>
    <w:rPr>
      <w:sz w:val="18"/>
      <w:szCs w:val="18"/>
    </w:rPr>
  </w:style>
  <w:style w:type="character" w:customStyle="1" w:styleId="17">
    <w:name w:val="标题 4 Char"/>
    <w:basedOn w:val="9"/>
    <w:link w:val="5"/>
    <w:semiHidden/>
    <w:qFormat/>
    <w:uiPriority w:val="9"/>
    <w:rPr>
      <w:rFonts w:asciiTheme="majorHAnsi" w:hAnsiTheme="majorHAnsi" w:eastAsiaTheme="majorEastAsia" w:cstheme="majorBidi"/>
      <w:b/>
      <w:bCs/>
      <w:sz w:val="28"/>
      <w:szCs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3184</Words>
  <Characters>3443</Characters>
  <Lines>25</Lines>
  <Paragraphs>7</Paragraphs>
  <TotalTime>22</TotalTime>
  <ScaleCrop>false</ScaleCrop>
  <LinksUpToDate>false</LinksUpToDate>
  <CharactersWithSpaces>3443</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2025-06-08T20:01:00Z</dcterms:created>
  <dc:creator>Administrator</dc:creator>
  <cp:lastModifiedBy>是涵宝吖</cp:lastModifiedBy>
  <dcterms:modified xsi:type="dcterms:W3CDTF">2025-08-13T18:23:34Z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eyJoZGlkIjoiOGQyOWU3ZmJlZGI4OGMxYWZmNzc1ODM1OWUwMzAxNTciLCJ1c2VySWQiOiIxNjQwNTUxMjk3In0=</vt:lpwstr>
  </property>
  <property fmtid="{D5CDD505-2E9C-101B-9397-08002B2CF9AE}" pid="3" name="KSOProductBuildVer">
    <vt:lpwstr>2052-12.1.0.21915</vt:lpwstr>
  </property>
  <property fmtid="{D5CDD505-2E9C-101B-9397-08002B2CF9AE}" pid="4" name="ICV">
    <vt:lpwstr>8F8F366BADD94AC3AA6F2BCB61CB7299_12</vt:lpwstr>
  </property>
</Properties>
</file>