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98B57B">
      <w:pPr>
        <w:spacing w:line="360" w:lineRule="auto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附件5</w:t>
      </w:r>
    </w:p>
    <w:p w14:paraId="3D34497D">
      <w:pPr>
        <w:pStyle w:val="8"/>
        <w:widowControl/>
        <w:shd w:val="clear" w:color="auto" w:fill="FFFFFF"/>
        <w:spacing w:beforeAutospacing="0" w:afterAutospacing="0" w:line="480" w:lineRule="exact"/>
        <w:ind w:firstLine="607"/>
        <w:jc w:val="both"/>
        <w:rPr>
          <w:rFonts w:ascii="方正小标宋_GBK" w:hAnsi="方正小标宋_GBK" w:eastAsia="方正小标宋_GBK" w:cs="方正小标宋_GBK"/>
          <w:color w:val="000000"/>
          <w:shd w:val="clear" w:color="auto" w:fill="FFFFFF"/>
        </w:rPr>
      </w:pPr>
    </w:p>
    <w:p w14:paraId="33812136">
      <w:pPr>
        <w:pStyle w:val="8"/>
        <w:widowControl/>
        <w:shd w:val="clear" w:color="auto" w:fill="FFFFFF"/>
        <w:spacing w:beforeAutospacing="0" w:afterAutospacing="0" w:line="480" w:lineRule="exact"/>
        <w:ind w:firstLine="607"/>
        <w:jc w:val="both"/>
        <w:rPr>
          <w:rFonts w:ascii="方正小标宋_GBK" w:hAnsi="方正小标宋_GBK" w:eastAsia="方正小标宋_GBK" w:cs="方正小标宋_GBK"/>
          <w:color w:val="000000"/>
          <w:shd w:val="clear" w:color="auto" w:fill="FFFFFF"/>
        </w:rPr>
      </w:pPr>
    </w:p>
    <w:p w14:paraId="07257B52">
      <w:pPr>
        <w:pStyle w:val="8"/>
        <w:widowControl/>
        <w:shd w:val="clear" w:color="auto" w:fill="FFFFFF"/>
        <w:spacing w:beforeAutospacing="0" w:afterAutospacing="0" w:line="480" w:lineRule="exact"/>
        <w:ind w:firstLine="607"/>
        <w:jc w:val="both"/>
        <w:rPr>
          <w:rFonts w:ascii="方正小标宋_GBK" w:hAnsi="方正小标宋_GBK" w:eastAsia="方正小标宋_GBK" w:cs="方正小标宋_GBK"/>
          <w:color w:val="000000"/>
          <w:shd w:val="clear" w:color="auto" w:fill="FFFFFF"/>
        </w:rPr>
      </w:pPr>
    </w:p>
    <w:p w14:paraId="6BFE6A48">
      <w:pPr>
        <w:pStyle w:val="8"/>
        <w:widowControl/>
        <w:shd w:val="clear" w:color="auto" w:fill="FFFFFF"/>
        <w:spacing w:beforeAutospacing="0" w:afterAutospacing="0" w:line="480" w:lineRule="auto"/>
        <w:ind w:firstLine="1118"/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怀化市水利局</w:t>
      </w:r>
    </w:p>
    <w:p w14:paraId="1606AE0C">
      <w:pPr>
        <w:pStyle w:val="8"/>
        <w:widowControl/>
        <w:shd w:val="clear" w:color="auto" w:fill="FFFFFF"/>
        <w:spacing w:beforeAutospacing="0" w:afterAutospacing="0" w:line="480" w:lineRule="auto"/>
        <w:ind w:firstLine="1118"/>
        <w:jc w:val="center"/>
        <w:rPr>
          <w:rFonts w:ascii="仿宋" w:hAnsi="仿宋" w:eastAsia="仿宋" w:cs="仿宋"/>
          <w:b/>
          <w:bCs/>
          <w:kern w:val="2"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2024年度</w:t>
      </w:r>
      <w:r>
        <w:rPr>
          <w:rFonts w:hint="eastAsia" w:ascii="仿宋" w:hAnsi="仿宋" w:eastAsia="仿宋" w:cs="仿宋"/>
          <w:b/>
          <w:bCs/>
          <w:kern w:val="2"/>
          <w:sz w:val="44"/>
          <w:szCs w:val="44"/>
        </w:rPr>
        <w:t>整体支出绩效自评报告</w:t>
      </w:r>
    </w:p>
    <w:p w14:paraId="7EF37756">
      <w:pPr>
        <w:pStyle w:val="8"/>
        <w:widowControl/>
        <w:shd w:val="clear" w:color="auto" w:fill="FFFFFF"/>
        <w:spacing w:beforeAutospacing="0" w:afterAutospacing="0" w:line="480" w:lineRule="auto"/>
        <w:ind w:firstLine="1200" w:firstLineChars="300"/>
        <w:jc w:val="both"/>
        <w:rPr>
          <w:rFonts w:ascii="方正小标宋_GBK" w:hAnsi="方正小标宋_GBK" w:eastAsia="方正小标宋_GBK" w:cs="方正小标宋_GBK"/>
          <w:color w:val="000000"/>
          <w:sz w:val="40"/>
          <w:szCs w:val="40"/>
          <w:shd w:val="clear" w:color="auto" w:fill="FFFFFF"/>
        </w:rPr>
      </w:pPr>
    </w:p>
    <w:p w14:paraId="6C9743C5">
      <w:pPr>
        <w:pStyle w:val="8"/>
        <w:widowControl/>
        <w:shd w:val="clear" w:color="auto" w:fill="FFFFFF"/>
        <w:spacing w:beforeAutospacing="0" w:afterAutospacing="0" w:line="480" w:lineRule="exact"/>
        <w:ind w:firstLine="1200" w:firstLineChars="300"/>
        <w:jc w:val="both"/>
        <w:rPr>
          <w:rFonts w:ascii="方正小标宋_GBK" w:hAnsi="方正小标宋_GBK" w:eastAsia="方正小标宋_GBK" w:cs="方正小标宋_GBK"/>
          <w:color w:val="000000"/>
          <w:sz w:val="40"/>
          <w:szCs w:val="40"/>
          <w:shd w:val="clear" w:color="auto" w:fill="FFFFFF"/>
        </w:rPr>
      </w:pPr>
    </w:p>
    <w:p w14:paraId="75AEE942">
      <w:pPr>
        <w:pStyle w:val="8"/>
        <w:widowControl/>
        <w:shd w:val="clear" w:color="auto" w:fill="FFFFFF"/>
        <w:spacing w:beforeAutospacing="0" w:afterAutospacing="0" w:line="480" w:lineRule="exact"/>
        <w:ind w:firstLine="1200" w:firstLineChars="300"/>
        <w:jc w:val="both"/>
        <w:rPr>
          <w:rFonts w:ascii="方正小标宋_GBK" w:hAnsi="方正小标宋_GBK" w:eastAsia="方正小标宋_GBK" w:cs="方正小标宋_GBK"/>
          <w:color w:val="000000"/>
          <w:sz w:val="40"/>
          <w:szCs w:val="40"/>
          <w:shd w:val="clear" w:color="auto" w:fill="FFFFFF"/>
        </w:rPr>
      </w:pPr>
    </w:p>
    <w:p w14:paraId="74FCC331">
      <w:pPr>
        <w:pStyle w:val="8"/>
        <w:widowControl/>
        <w:shd w:val="clear" w:color="auto" w:fill="FFFFFF"/>
        <w:spacing w:beforeAutospacing="0" w:afterAutospacing="0" w:line="480" w:lineRule="exact"/>
        <w:ind w:firstLine="1200" w:firstLineChars="300"/>
        <w:jc w:val="both"/>
        <w:rPr>
          <w:rFonts w:ascii="方正小标宋_GBK" w:hAnsi="方正小标宋_GBK" w:eastAsia="方正小标宋_GBK" w:cs="方正小标宋_GBK"/>
          <w:color w:val="000000"/>
          <w:sz w:val="40"/>
          <w:szCs w:val="40"/>
          <w:shd w:val="clear" w:color="auto" w:fill="FFFFFF"/>
        </w:rPr>
      </w:pPr>
    </w:p>
    <w:p w14:paraId="5823BF56">
      <w:pPr>
        <w:pStyle w:val="8"/>
        <w:widowControl/>
        <w:shd w:val="clear" w:color="auto" w:fill="FFFFFF"/>
        <w:spacing w:beforeAutospacing="0" w:afterAutospacing="0" w:line="480" w:lineRule="exact"/>
        <w:ind w:firstLine="1200" w:firstLineChars="300"/>
        <w:jc w:val="both"/>
        <w:rPr>
          <w:rFonts w:ascii="方正小标宋_GBK" w:hAnsi="方正小标宋_GBK" w:eastAsia="方正小标宋_GBK" w:cs="方正小标宋_GBK"/>
          <w:color w:val="000000"/>
          <w:sz w:val="40"/>
          <w:szCs w:val="40"/>
          <w:shd w:val="clear" w:color="auto" w:fill="FFFFFF"/>
        </w:rPr>
      </w:pPr>
    </w:p>
    <w:p w14:paraId="2A6DCBED">
      <w:pPr>
        <w:pStyle w:val="8"/>
        <w:widowControl/>
        <w:shd w:val="clear" w:color="auto" w:fill="FFFFFF"/>
        <w:spacing w:beforeAutospacing="0" w:afterAutospacing="0" w:line="480" w:lineRule="exact"/>
        <w:ind w:firstLine="1200" w:firstLineChars="300"/>
        <w:jc w:val="both"/>
        <w:rPr>
          <w:rFonts w:ascii="方正小标宋_GBK" w:hAnsi="方正小标宋_GBK" w:eastAsia="方正小标宋_GBK" w:cs="方正小标宋_GBK"/>
          <w:color w:val="000000"/>
          <w:sz w:val="40"/>
          <w:szCs w:val="40"/>
          <w:shd w:val="clear" w:color="auto" w:fill="FFFFFF"/>
        </w:rPr>
      </w:pPr>
    </w:p>
    <w:p w14:paraId="049FD6E3">
      <w:pPr>
        <w:pStyle w:val="8"/>
        <w:widowControl/>
        <w:shd w:val="clear" w:color="auto" w:fill="FFFFFF"/>
        <w:spacing w:beforeAutospacing="0" w:afterAutospacing="0" w:line="480" w:lineRule="exact"/>
        <w:ind w:firstLine="1200" w:firstLineChars="300"/>
        <w:jc w:val="both"/>
        <w:rPr>
          <w:rFonts w:ascii="方正小标宋_GBK" w:hAnsi="方正小标宋_GBK" w:eastAsia="方正小标宋_GBK" w:cs="方正小标宋_GBK"/>
          <w:color w:val="000000"/>
          <w:sz w:val="40"/>
          <w:szCs w:val="40"/>
          <w:shd w:val="clear" w:color="auto" w:fill="FFFFFF"/>
        </w:rPr>
      </w:pPr>
    </w:p>
    <w:p w14:paraId="299391E3">
      <w:pPr>
        <w:pStyle w:val="8"/>
        <w:widowControl/>
        <w:shd w:val="clear" w:color="auto" w:fill="FFFFFF"/>
        <w:spacing w:beforeAutospacing="0" w:afterAutospacing="0" w:line="480" w:lineRule="exact"/>
        <w:ind w:firstLine="1200" w:firstLineChars="300"/>
        <w:jc w:val="both"/>
        <w:rPr>
          <w:rFonts w:ascii="方正小标宋_GBK" w:hAnsi="方正小标宋_GBK" w:eastAsia="方正小标宋_GBK" w:cs="方正小标宋_GBK"/>
          <w:color w:val="000000"/>
          <w:sz w:val="40"/>
          <w:szCs w:val="40"/>
          <w:shd w:val="clear" w:color="auto" w:fill="FFFFFF"/>
        </w:rPr>
      </w:pPr>
    </w:p>
    <w:p w14:paraId="2FAC8AE3">
      <w:pPr>
        <w:spacing w:line="360" w:lineRule="auto"/>
        <w:ind w:firstLine="2560" w:firstLineChars="800"/>
        <w:rPr>
          <w:rFonts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单位名称：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>（盖章）</w:t>
      </w:r>
    </w:p>
    <w:p w14:paraId="484923A1">
      <w:pPr>
        <w:spacing w:line="360" w:lineRule="auto"/>
        <w:ind w:firstLine="3200" w:firstLineChars="1000"/>
        <w:rPr>
          <w:rFonts w:ascii="仿宋" w:hAnsi="仿宋" w:eastAsia="仿宋" w:cs="仿宋"/>
          <w:sz w:val="32"/>
          <w:szCs w:val="32"/>
        </w:rPr>
      </w:pPr>
    </w:p>
    <w:p w14:paraId="5168CF68">
      <w:pPr>
        <w:spacing w:line="360" w:lineRule="auto"/>
        <w:ind w:firstLine="3200" w:firstLineChars="10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2024年6月20日</w:t>
      </w:r>
    </w:p>
    <w:p w14:paraId="6ED72C83">
      <w:pPr>
        <w:spacing w:line="360" w:lineRule="auto"/>
        <w:ind w:firstLine="810"/>
        <w:jc w:val="center"/>
        <w:rPr>
          <w:rFonts w:ascii="仿宋" w:hAnsi="仿宋" w:eastAsia="仿宋" w:cs="仿宋"/>
          <w:sz w:val="32"/>
          <w:szCs w:val="32"/>
        </w:rPr>
      </w:pPr>
    </w:p>
    <w:p w14:paraId="33496D99">
      <w:pPr>
        <w:pStyle w:val="8"/>
        <w:widowControl/>
        <w:shd w:val="clear" w:color="auto" w:fill="FFFFFF"/>
        <w:spacing w:beforeAutospacing="0" w:afterAutospacing="0" w:line="480" w:lineRule="exact"/>
        <w:ind w:firstLine="960" w:firstLineChars="300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（此页为封面）</w:t>
      </w:r>
    </w:p>
    <w:p w14:paraId="25D3D996">
      <w:pPr>
        <w:widowControl/>
        <w:ind w:firstLine="81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br w:type="page"/>
      </w:r>
    </w:p>
    <w:p w14:paraId="3A8001C2">
      <w:pPr>
        <w:spacing w:line="480" w:lineRule="auto"/>
        <w:ind w:firstLine="1118"/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怀化市水利局</w:t>
      </w:r>
    </w:p>
    <w:p w14:paraId="607289FD">
      <w:pPr>
        <w:spacing w:line="480" w:lineRule="auto"/>
        <w:ind w:firstLine="1118"/>
        <w:jc w:val="center"/>
        <w:rPr>
          <w:rFonts w:ascii="仿宋" w:hAnsi="仿宋" w:eastAsia="仿宋" w:cs="仿宋"/>
          <w:b/>
          <w:bCs/>
          <w:sz w:val="44"/>
          <w:szCs w:val="44"/>
        </w:rPr>
      </w:pPr>
      <w:r>
        <w:rPr>
          <w:rFonts w:ascii="仿宋" w:hAnsi="仿宋" w:eastAsia="仿宋" w:cs="仿宋"/>
          <w:b/>
          <w:bCs/>
          <w:sz w:val="44"/>
          <w:szCs w:val="44"/>
        </w:rPr>
        <w:t>2024年度整体支出绩效自评报告</w:t>
      </w:r>
    </w:p>
    <w:p w14:paraId="0847FD2E">
      <w:pPr>
        <w:rPr>
          <w:rFonts w:hint="eastAsia"/>
        </w:rPr>
      </w:pPr>
    </w:p>
    <w:p w14:paraId="6533F67E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一、部门概况</w:t>
      </w:r>
    </w:p>
    <w:p w14:paraId="75FBEAFC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（一）部门（单位）基本情况</w:t>
      </w:r>
    </w:p>
    <w:p w14:paraId="096DE2CE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怀化市水利局是市政府工作部门，承担全市水资源管理、水利工程建设、防汛抗旱、河湖生态保护等职责。根据“三定”方案，内设办公室、水利规划科技与建设科、人事财务科等9个内设机构，负责拟订水利政策规划、实施水资源统一监管、推进水利工程建设与管理、组织防汛抗旱、落实河长制等工作。2024年，部门财政供养人员编制数112人，实际在职人数109人，控制率97.32%，人员配置符合编制管理要求。</w:t>
      </w:r>
    </w:p>
    <w:p w14:paraId="3DAAA3DC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（二）部门（单位）整体支出规模、使用方向和主要内容、涉及范围等</w:t>
      </w:r>
    </w:p>
    <w:p w14:paraId="174DF263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2024年，怀化市水利局整体支出预算数2350.53万元，全年预算数2883.79万元，实际执行数2883.79万元，执行率100%。其中，一般公共预算支出2675.32万元，其他资金208.47万元。</w:t>
      </w:r>
    </w:p>
    <w:p w14:paraId="41E7FB8B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支出使用方向涵盖基本支出和项目支出两大类别。基本支出主要用于保障部门正常运转，包括人员工资、津贴补贴、办公费、水电费、差旅费等；项目支出聚焦水利业务开展，涉及水资源保护、水土保持监管、河道采砂规划编制、水利工程质量监督、灌溉试验站维修养护、河湖健康评价、防汛抗灾等领域。</w:t>
      </w:r>
    </w:p>
    <w:p w14:paraId="7BCF939F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</w:p>
    <w:p w14:paraId="55A5F54A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涉及范围覆盖全市13个县（市、区），具体包括：水利建设投资落实与项目实施，惠及农业灌溉、城乡供水；防汛抗灾工作保障沿岸群众生命财产安全；河湖生态管理覆盖主要流域及586条山区河湖；农村水利项目服务36.6万农村人口饮水安全等，全面支撑全市水安全、粮食安全和生态安全。</w:t>
      </w:r>
    </w:p>
    <w:p w14:paraId="76999F90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二、一般公共预算支出情况</w:t>
      </w:r>
    </w:p>
    <w:p w14:paraId="285D8597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（一）基本支出</w:t>
      </w:r>
    </w:p>
    <w:p w14:paraId="21D45927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2024年，一般公共预算基本支出主要用于保障部门日常运转和人员经费，包括人员工资福利、对个人和家庭的补助及公用经费。其中，公用经费决算数484.23万元，较预算数466.94万元略有增加，主要因水费、电费、差旅费实际支出109.02万元（预算22.50万元），办公费57.47万元，会议费、培训费10.51万元，均严格按公务需求开支。</w:t>
      </w:r>
    </w:p>
    <w:p w14:paraId="07329DBF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“三公”经费管理严格执行相关规定，全年决算数40.20万元，其中公务用车购置和维护经费39.12万元（含公车购置24.98万元、运行维护14.14万元），公务接待费1.08万元，无出国经费。公务用车购置用于更新执法车辆，保障水政监察和防汛应急；公务接待严格控制批次和标准，主要用于上级检查和兄弟单位交流，共接待52批次480人次，符合“厉行节约、非必要不支出”原则。</w:t>
      </w:r>
    </w:p>
    <w:p w14:paraId="7CA3825F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基本支出管理遵循《怀化市水利局经费支出管理办法》，规范报账审批、合同管理和费用结算流程，所有支出通过国库集中支付，坚持“先预算、后支出”，确保资金使用合规。</w:t>
      </w:r>
    </w:p>
    <w:p w14:paraId="239AC720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（二）项目支出</w:t>
      </w:r>
    </w:p>
    <w:p w14:paraId="2D14FC49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仿宋"/>
          <w:sz w:val="30"/>
          <w:szCs w:val="30"/>
        </w:rPr>
        <w:t>项目资金安排落实、总投入等情况分析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sz w:val="30"/>
          <w:szCs w:val="30"/>
        </w:rPr>
        <w:t>2024年，项目支出预算总规模根据水利业务需求设定，实际执行数460.92万元，涵盖多个专项。其中，灌溉试验站维修养护工作经费10万元、城区堤防维修养护资金（未列决算数）、水利科技项目省级补助资金7万元、2024年水资源管理省级补助资金24.98万元、河湖健康评价编制经费35.35万元、真抓实干奖励金40万元、水资源公报编制及重点河湖断面流量保障预案编制30万元、中小河流及水系治理方案编制及水网建设规划153.12万元、2023年真抓实干奖励金60万元、7条中小河流及2个水系单元治理方案73.69万元、防汛抗灾工作经费20万元、2024年水利科技项目省级补助6.78万元等。资金来源以财政拨款为主，部分为省级专项补助，总投入与年度水利工作重点匹配，保障了水资源管理、河湖治理、防汛抗灾等关键任务推进。</w:t>
      </w:r>
    </w:p>
    <w:p w14:paraId="7F30541B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2、</w:t>
      </w:r>
      <w:r>
        <w:rPr>
          <w:rFonts w:hint="eastAsia" w:ascii="仿宋" w:hAnsi="仿宋" w:eastAsia="仿宋" w:cs="仿宋"/>
          <w:sz w:val="30"/>
          <w:szCs w:val="30"/>
        </w:rPr>
        <w:t>项目资金实际使用情况分析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</w:rPr>
        <w:t>项目资金实际支出460.92万元，各专项严格按用途使用。例如，防汛抗灾工作经费20万元用于应急物资采购、预警信息发布和抢险演练，保障10轮暴雨洪灾应对；河湖健康评价编制经费35.35万元完成4条河流健康评价，为生态修复提供依据；中小河流及水系治理方案编制经费153.12万元支撑7条中小河流和2个水系单元治理方案编制，推动水利工程前期工作。资金使用与项目进度同步，未出现截留、挪用情况，其中水利科技项目省级补助7万元、灌溉试验站维修养护10万元等均全额执行，确保技术研究和设施维护落地。</w:t>
      </w:r>
    </w:p>
    <w:p w14:paraId="1D0FBE22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3、</w:t>
      </w:r>
      <w:r>
        <w:rPr>
          <w:rFonts w:hint="eastAsia" w:ascii="仿宋" w:hAnsi="仿宋" w:eastAsia="仿宋" w:cs="仿宋"/>
          <w:sz w:val="30"/>
          <w:szCs w:val="30"/>
        </w:rPr>
        <w:t>项目资金管理情况分析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sz w:val="30"/>
          <w:szCs w:val="30"/>
        </w:rPr>
        <w:t>部门制定《怀化市水利专项资金管理办法》，明确项目资金“四审四签”审批流程（项目负责人审核、业务科室复核、财务科审核、分管领导审批），要求专款专用、台账清晰。实施过程中，严格执行政府采购和公开竞价规定，如河道采砂规划编制、水利工程质量检测等服务通过公开招标确定供应商；加强合同管理，规范费用结算，所有支出均附合法凭证和审批手续。2024年，通过专项检查和日常监督，确保资金使用合规，未发现重大违规问题，制度执行率100%。</w:t>
      </w:r>
    </w:p>
    <w:p w14:paraId="6E01F460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三、项目组织实施情况</w:t>
      </w:r>
    </w:p>
    <w:p w14:paraId="1AFC982E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（一）项目组织情况分析</w:t>
      </w:r>
    </w:p>
    <w:p w14:paraId="701D2B13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仿宋"/>
          <w:sz w:val="30"/>
          <w:szCs w:val="30"/>
        </w:rPr>
        <w:t>招投标情况：水利工程相关服务项目严格执行招投标制度，河道采砂规划编制、水利工程质量飞检等达到公开招标标准的项目，均通过公共资源交易中心公开招标，选取具备资质的单位承接，招标过程全程接受监督，确保公平公正。例如，沅水六条一级支流河道采砂规划编制专项69.08万元（2023年决算）通过公开招标确定编制单位，保障规划科学性。</w:t>
      </w:r>
    </w:p>
    <w:p w14:paraId="2862394D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2、</w:t>
      </w:r>
      <w:r>
        <w:rPr>
          <w:rFonts w:hint="eastAsia" w:ascii="仿宋" w:hAnsi="仿宋" w:eastAsia="仿宋" w:cs="仿宋"/>
          <w:sz w:val="30"/>
          <w:szCs w:val="30"/>
        </w:rPr>
        <w:t>项目调整情况：因实际需求变化，部分项目进行必要调整。如灌溉试验站维修养护项目，根据设施老化程度调整维修范围，增加设备更换内容，调整方案经集体审议后实施，确保资金使用效益。全年项目调整均履行内部审批程序，未出现擅自变更情况。</w:t>
      </w:r>
    </w:p>
    <w:p w14:paraId="5E5D2F8E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3、</w:t>
      </w:r>
      <w:r>
        <w:rPr>
          <w:rFonts w:hint="eastAsia" w:ascii="仿宋" w:hAnsi="仿宋" w:eastAsia="仿宋" w:cs="仿宋"/>
          <w:sz w:val="30"/>
          <w:szCs w:val="30"/>
        </w:rPr>
        <w:t>竣工验收情况：水资源公报编制、河湖健康评价等完成项目，由业务科室组织验收，邀请专家、相关单位代表参与，对照绩效目标核查成果质量。例如，2024年水资源公报编制及重点河湖断面流量保障预案编制30万元项目，通过专家评审确认数据准确性和预案可行性后，方可交付使用，验收合格率100%。</w:t>
      </w:r>
    </w:p>
    <w:p w14:paraId="4C2D6ECF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（二）项目管理情况分析</w:t>
      </w:r>
    </w:p>
    <w:p w14:paraId="3B5DDC8D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仿宋"/>
          <w:sz w:val="30"/>
          <w:szCs w:val="30"/>
        </w:rPr>
        <w:t>管理制度建设：建立《怀化市水利工程项目管理办法》，覆盖项目立项、实施、验收全流程，明确各环节责任主体和时间节点。针对防汛抗灾、水资源管理等专项，制定《防汛物资储备管理细则》《水资源监测数据审核办法》等，确保项目推进有章可循。</w:t>
      </w:r>
    </w:p>
    <w:p w14:paraId="7D7B084C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2、</w:t>
      </w:r>
      <w:r>
        <w:rPr>
          <w:rFonts w:hint="eastAsia" w:ascii="仿宋" w:hAnsi="仿宋" w:eastAsia="仿宋" w:cs="仿宋"/>
          <w:sz w:val="30"/>
          <w:szCs w:val="30"/>
        </w:rPr>
        <w:t>日常检查监督管理：实行“月调度、季检查”机制，业务科室每月跟踪项目进度，每季度实地核查，重点检查资金使用、成果质量和时间节点。例如，对中小河流治理方案编制项目，定期检查野外勘察进度和报告编制质量，发现问题及时督促整改；防汛抗灾工作经费项目则重点检查物资储备数量和应急响应时效，确保汛期保障到位。全年开展专项检查4次，整改问题8个，保障项目按计划推进。</w:t>
      </w:r>
    </w:p>
    <w:p w14:paraId="0B043266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四、资产管理情况</w:t>
      </w:r>
    </w:p>
    <w:p w14:paraId="61D0F6F6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（一）制度建设</w:t>
      </w:r>
    </w:p>
    <w:p w14:paraId="37F2C059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部门制定《怀化市水利局固定资产管理办法》，规范资产配置、使用、处置全流程管理，明确“一物一卡一码”台账登记要求，规定资产清查、产权登记、处置审批等程序，确保资产账实相符、安全完整。</w:t>
      </w:r>
    </w:p>
    <w:p w14:paraId="4D461695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（二）管理措施</w:t>
      </w:r>
    </w:p>
    <w:p w14:paraId="5C37BA6B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资产配置：根据业务需求和配置标准编制年度计划，办公设备、执法车辆等通过政府采购购置，2024年政府采购金额966.70万元，包括新增执法设备、监测仪器等，均符合预算和采购规定，无超标准配置情况。</w:t>
      </w:r>
    </w:p>
    <w:p w14:paraId="1C133CE5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资产使用：建立固定资产台账，记录资产名称、规格、使用部门等信息，每年开展两次全面清查，确保账实一致。公务用车实行统一调度，严格执行派车制度；专业设备如水质监测仪器由专人保管，定期维护，保障正常使用。</w:t>
      </w:r>
    </w:p>
    <w:p w14:paraId="31967FFE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资产处置：报废资产按程序报批，经财政部门审核后，通过公共资源交易中心公开处置。2024年，处置旧公务用车、淘汰办公设备等，收入全额上缴国库，处置程序合规，未出现违规流失情况。</w:t>
      </w:r>
    </w:p>
    <w:p w14:paraId="2AD21AB9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五、政府性基金预算支出情况</w:t>
      </w:r>
    </w:p>
    <w:p w14:paraId="445ACC67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2024年，怀化市水利局无政府性基金预算支出，与部门预算公开说明一致。</w:t>
      </w:r>
    </w:p>
    <w:p w14:paraId="6209E753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六、国有资本经营预算支出情况</w:t>
      </w:r>
    </w:p>
    <w:p w14:paraId="414C73D7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2024年，怀化市水利局无国有资本经营预算支出。</w:t>
      </w:r>
    </w:p>
    <w:p w14:paraId="4D040218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七、社会保险基金预算支出情况</w:t>
      </w:r>
    </w:p>
    <w:p w14:paraId="19A8FD7B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2024年，怀化市水利局无社会保险基金预算支出。</w:t>
      </w:r>
    </w:p>
    <w:p w14:paraId="1AF87C25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八、部门整体支出绩效情况</w:t>
      </w:r>
    </w:p>
    <w:p w14:paraId="4A64F323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（一）“四本预算”支出绩效目标完成情况</w:t>
      </w:r>
    </w:p>
    <w:p w14:paraId="3FC8620D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2024年，部门整体支出绩效目标全面完成。一般公共预算支出2675.32万元全额执行，保障水利建设、防汛抗灾等核心工作；其他资金208.47万元用于补充业务经费，助力农村水利、河湖管理等任务落地。年度总体目标中，全市落实全口径水利建设投资46.58亿元（超目标10.58亿元），实施项目217个（超174个），治理水土流失33.94平方公里（超28平方公里），所有纳入水利部考核的中央投资项目100%完成，超额完成预期目标。</w:t>
      </w:r>
    </w:p>
    <w:p w14:paraId="0FF3E58E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（二）产出和效益情况</w:t>
      </w:r>
    </w:p>
    <w:p w14:paraId="439A282C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仿宋"/>
          <w:sz w:val="30"/>
          <w:szCs w:val="30"/>
        </w:rPr>
        <w:t>运行成本：基本支出人均公用经费4.44万元（484.23万元÷109人），较2023年385.20万元（人均3.58万元）略有增长，主要因防汛应急差旅费增加，符合实际需求；项目支出单位成本控制合理，如河湖健康评价编制经费35.35万元完成4条河流评价，每条成本8.84万元，低于行业平均水平。</w:t>
      </w:r>
    </w:p>
    <w:p w14:paraId="3A8F59B2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2、</w:t>
      </w:r>
      <w:r>
        <w:rPr>
          <w:rFonts w:hint="eastAsia" w:ascii="仿宋" w:hAnsi="仿宋" w:eastAsia="仿宋" w:cs="仿宋"/>
          <w:sz w:val="30"/>
          <w:szCs w:val="30"/>
        </w:rPr>
        <w:t>管理效率：预算执行率100%，较2023年提升；“三公”经费中公务接待费1.08万元，较2023年5.20万元下降79.2%，节约成效显著；项目平均完成周期3个月，较计划缩短10%，如水资源管理省级补助资金24.98万元项目，按时完成监测设备采购，效率提升明显。</w:t>
      </w:r>
    </w:p>
    <w:p w14:paraId="60389AE0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3、</w:t>
      </w:r>
      <w:r>
        <w:rPr>
          <w:rFonts w:hint="eastAsia" w:ascii="仿宋" w:hAnsi="仿宋" w:eastAsia="仿宋" w:cs="仿宋"/>
          <w:sz w:val="30"/>
          <w:szCs w:val="30"/>
        </w:rPr>
        <w:t>履职效能：</w:t>
      </w:r>
    </w:p>
    <w:p w14:paraId="6035E809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超额完成投资目标，舞水大型灌区入选国家标志性工程，市县两级水网规划编制完成；</w:t>
      </w:r>
    </w:p>
    <w:p w14:paraId="11DCDB97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成功应对10轮暴雨，转移群众71619人次，水库调洪削峰率20.5%，辰溪县城段“5厘米守住一座城”成为典型案例；</w:t>
      </w:r>
    </w:p>
    <w:p w14:paraId="4B8AABCB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完成116个入河排污口整治，清理垃圾833吨，586条山区河湖划界完成；</w:t>
      </w:r>
    </w:p>
    <w:p w14:paraId="44F61BB6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解决36.6万人饮水问题，清淤山塘2154口，畅通渠道92公里。</w:t>
      </w:r>
    </w:p>
    <w:p w14:paraId="07B39BFB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4、</w:t>
      </w:r>
      <w:r>
        <w:rPr>
          <w:rFonts w:hint="eastAsia" w:ascii="仿宋" w:hAnsi="仿宋" w:eastAsia="仿宋" w:cs="仿宋"/>
          <w:sz w:val="30"/>
          <w:szCs w:val="30"/>
        </w:rPr>
        <w:t>社会效应：农村集中供水率提升至88%，保障12万亩农田灌溉，水利建设带动就业1.8万人次；防汛安全保障增强群众安全感，水资源管理公众知晓率达90%，社会反响良好。</w:t>
      </w:r>
    </w:p>
    <w:p w14:paraId="113EABAE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5、</w:t>
      </w:r>
      <w:r>
        <w:rPr>
          <w:rFonts w:hint="eastAsia" w:ascii="仿宋" w:hAnsi="仿宋" w:eastAsia="仿宋" w:cs="仿宋"/>
          <w:sz w:val="30"/>
          <w:szCs w:val="30"/>
        </w:rPr>
        <w:t>可持续发展能力：325处水利工程标准化管理创建完成，辰溪县成为省级示范县；“十五五”水安全规划启动编制，智慧水利平台逐步完善，为长期发展奠定基础；水土流失治理和生态清洁小流域建设，推动水生态持续改善。</w:t>
      </w:r>
    </w:p>
    <w:p w14:paraId="2FB6416E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6、</w:t>
      </w:r>
      <w:r>
        <w:rPr>
          <w:rFonts w:hint="eastAsia" w:ascii="仿宋" w:hAnsi="仿宋" w:eastAsia="仿宋" w:cs="仿宋"/>
          <w:sz w:val="30"/>
          <w:szCs w:val="30"/>
        </w:rPr>
        <w:t>服务对象满意度：服务对象满意度达95.50%，其中群众对农村供水、防汛服务满意度分别为93%、95%，企业对水资源审批服务满意度90%，充分认可部门履职成效。</w:t>
      </w:r>
    </w:p>
    <w:p w14:paraId="4EB11B95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九、存在的问题及原因分析</w:t>
      </w:r>
    </w:p>
    <w:p w14:paraId="0FEE0EF3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基层管理队伍力量薄弱：市县水资源管理、水利工程管理人员身兼多职，导致部分工作进度和质量受影响。原因是基层水利部门编制紧张，人员配备不足，难以满足日益增长的业务需求。</w:t>
      </w:r>
    </w:p>
    <w:p w14:paraId="07380D46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联合执法机制不完善：市、县水政监察执法人员不足、装备不齐，执法效能不高，且因机构改革职责未明确，联合执法合力不足。原因是执法队伍建设滞后，跨部门协调机制不健全，影响河道采砂、违法排污等行为查处力度。</w:t>
      </w:r>
    </w:p>
    <w:p w14:paraId="49C1D744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部分项目预算执行差异：2024年水资源管理省级补助资金24.98万元，仅为预算的24.98%，因上级技术标准调整，监测设备采购需重新论证招标，导致资金支付延迟。</w:t>
      </w:r>
    </w:p>
    <w:p w14:paraId="3E01423C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资产使用效率有待提升：部分专业设备如旧水质监测仪器使用率低，因技术更新快，设备适用性下降，未及时调剂或处置，造成资源闲置。</w:t>
      </w:r>
    </w:p>
    <w:p w14:paraId="73772004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十、下一步改进措施</w:t>
      </w:r>
    </w:p>
    <w:p w14:paraId="34C982D4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加强基层队伍建设：向编制部门申请增加基层水利人员编制，针对性开展业务培训，提升专业能力；建立激励机制，鼓励人员扎根基层，充实一线力量。</w:t>
      </w:r>
    </w:p>
    <w:p w14:paraId="36E274AC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完善联合执法机制：明确水行政执法机构职责，加强与公安、环保等部门协作，建立常态化联合执法机制；争取资金改善执法装备，开展执法人员培训，提升执法效能。</w:t>
      </w:r>
    </w:p>
    <w:p w14:paraId="031005EA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优化预算管理：加强项目前期调研，精准编制预算；密切关注政策变化，提前做好设备采购论证，避免因标准调整影响执行进度；建立预算执行动态监控机制，及时解决支付难题。</w:t>
      </w:r>
    </w:p>
    <w:p w14:paraId="23192799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提高资产使用效率：定期清查资产，对闲置设备及时调剂或按程序处置；建立设备共享机制，提高专业设备利用率，避免重复购置。</w:t>
      </w:r>
    </w:p>
    <w:p w14:paraId="451A661F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十一、绩效自评结果拟应用和公开情况</w:t>
      </w:r>
    </w:p>
    <w:p w14:paraId="688DBB86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（一）结果应用</w:t>
      </w:r>
    </w:p>
    <w:p w14:paraId="062F959C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将绩效自评结果作为2025年预算编制依据，对完成良好的项目如防汛抗灾工作经费、真抓实干奖励金等优先保障；对执行滞后的项目，分析原因并调整资金安排。同时，将自评结果与科室考核挂钩，推动改进管理薄弱环节。</w:t>
      </w:r>
    </w:p>
    <w:p w14:paraId="3F74B2F9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（二）公开情况</w:t>
      </w:r>
    </w:p>
    <w:p w14:paraId="56B2E3F1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绩效自评报告将按规定在怀化市人民政府门户网站公开，接受社会监督，公开内容包括整体支出规模、绩效目标完成情况、存在问题及整改措施等，确保公开透明。</w:t>
      </w:r>
    </w:p>
    <w:p w14:paraId="2D93E7C9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十二、其他需要说明的情况</w:t>
      </w:r>
    </w:p>
    <w:p w14:paraId="22D407DB">
      <w:pPr>
        <w:ind w:left="0" w:leftChars="0" w:firstLine="639" w:firstLineChars="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部门严格执行厉行节约措施，规范财务报账、合同审批和采购流程，工程项目按财政要求开展评审和竞价，坚持“非必要不采购”。2024年，通过优化流程、减少不必要开支，节约公用经费15万元，全部用于补充防汛应急物资储备，提升资金使用效益。</w:t>
      </w:r>
    </w:p>
    <w:p w14:paraId="2E05D1C1">
      <w:pPr>
        <w:ind w:left="0" w:leftChars="0" w:firstLine="639" w:firstLineChars="213"/>
      </w:pPr>
      <w:r>
        <w:rPr>
          <w:rFonts w:hint="eastAsia" w:ascii="仿宋" w:hAnsi="仿宋" w:eastAsia="仿宋" w:cs="仿宋"/>
          <w:sz w:val="30"/>
          <w:szCs w:val="30"/>
        </w:rPr>
        <w:t>全年无楼堂馆所建设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</w:rPr>
        <w:t>项目，无违规发放津贴补贴情况，未发生重大审计问题，部门运行合规有序。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195563"/>
    <w:rsid w:val="000411A6"/>
    <w:rsid w:val="00094820"/>
    <w:rsid w:val="000C1285"/>
    <w:rsid w:val="000E0A43"/>
    <w:rsid w:val="001052BE"/>
    <w:rsid w:val="00195563"/>
    <w:rsid w:val="001B1ED5"/>
    <w:rsid w:val="001C2109"/>
    <w:rsid w:val="001C47A2"/>
    <w:rsid w:val="00200BE9"/>
    <w:rsid w:val="00260725"/>
    <w:rsid w:val="002919A3"/>
    <w:rsid w:val="003904B4"/>
    <w:rsid w:val="0039105D"/>
    <w:rsid w:val="00397A66"/>
    <w:rsid w:val="003C463B"/>
    <w:rsid w:val="003E4D42"/>
    <w:rsid w:val="004357D7"/>
    <w:rsid w:val="004D7777"/>
    <w:rsid w:val="00521BA4"/>
    <w:rsid w:val="0056541F"/>
    <w:rsid w:val="005B1C82"/>
    <w:rsid w:val="005B6948"/>
    <w:rsid w:val="005E5C44"/>
    <w:rsid w:val="006678A2"/>
    <w:rsid w:val="006A316B"/>
    <w:rsid w:val="006B063A"/>
    <w:rsid w:val="007B39B8"/>
    <w:rsid w:val="00822FAF"/>
    <w:rsid w:val="008C7D55"/>
    <w:rsid w:val="008D78B0"/>
    <w:rsid w:val="009B71B2"/>
    <w:rsid w:val="00A21C90"/>
    <w:rsid w:val="00A7767A"/>
    <w:rsid w:val="00A9410E"/>
    <w:rsid w:val="00AC0DB8"/>
    <w:rsid w:val="00AF1992"/>
    <w:rsid w:val="00B73938"/>
    <w:rsid w:val="00BA7106"/>
    <w:rsid w:val="00BD1501"/>
    <w:rsid w:val="00C02598"/>
    <w:rsid w:val="00C078F7"/>
    <w:rsid w:val="00C448EC"/>
    <w:rsid w:val="00C64F3E"/>
    <w:rsid w:val="00CA5C18"/>
    <w:rsid w:val="00CB3E6C"/>
    <w:rsid w:val="00D26A9E"/>
    <w:rsid w:val="00DA6924"/>
    <w:rsid w:val="00EC3770"/>
    <w:rsid w:val="00F23DD2"/>
    <w:rsid w:val="00F96273"/>
    <w:rsid w:val="00F96D18"/>
    <w:rsid w:val="01F6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w w:val="100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link w:val="1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5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6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7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4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标题 1 Char"/>
    <w:basedOn w:val="10"/>
    <w:link w:val="2"/>
    <w:uiPriority w:val="9"/>
    <w:rPr>
      <w:rFonts w:ascii="宋体" w:hAnsi="宋体" w:eastAsia="宋体" w:cs="宋体"/>
      <w:b/>
      <w:bCs/>
      <w:w w:val="100"/>
      <w:kern w:val="36"/>
      <w:sz w:val="48"/>
      <w:szCs w:val="48"/>
    </w:rPr>
  </w:style>
  <w:style w:type="character" w:customStyle="1" w:styleId="13">
    <w:name w:val="页眉 Char"/>
    <w:basedOn w:val="10"/>
    <w:link w:val="7"/>
    <w:semiHidden/>
    <w:uiPriority w:val="99"/>
    <w:rPr>
      <w:rFonts w:asciiTheme="minorHAnsi" w:hAnsiTheme="minorHAnsi" w:eastAsiaTheme="minorEastAsia"/>
      <w:w w:val="100"/>
      <w:sz w:val="18"/>
      <w:szCs w:val="18"/>
    </w:rPr>
  </w:style>
  <w:style w:type="character" w:customStyle="1" w:styleId="14">
    <w:name w:val="页脚 Char"/>
    <w:basedOn w:val="10"/>
    <w:link w:val="6"/>
    <w:semiHidden/>
    <w:uiPriority w:val="99"/>
    <w:rPr>
      <w:rFonts w:asciiTheme="minorHAnsi" w:hAnsiTheme="minorHAnsi" w:eastAsiaTheme="minorEastAsia"/>
      <w:w w:val="100"/>
      <w:sz w:val="18"/>
      <w:szCs w:val="18"/>
    </w:rPr>
  </w:style>
  <w:style w:type="character" w:customStyle="1" w:styleId="15">
    <w:name w:val="标题 2 Char"/>
    <w:basedOn w:val="10"/>
    <w:link w:val="3"/>
    <w:semiHidden/>
    <w:qFormat/>
    <w:uiPriority w:val="9"/>
    <w:rPr>
      <w:rFonts w:asciiTheme="majorHAnsi" w:hAnsiTheme="majorHAnsi" w:eastAsiaTheme="majorEastAsia" w:cstheme="majorBidi"/>
      <w:b/>
      <w:bCs/>
      <w:w w:val="100"/>
      <w:sz w:val="32"/>
      <w:szCs w:val="32"/>
    </w:rPr>
  </w:style>
  <w:style w:type="character" w:customStyle="1" w:styleId="16">
    <w:name w:val="标题 3 Char"/>
    <w:basedOn w:val="10"/>
    <w:link w:val="4"/>
    <w:semiHidden/>
    <w:uiPriority w:val="9"/>
    <w:rPr>
      <w:rFonts w:asciiTheme="minorHAnsi" w:hAnsiTheme="minorHAnsi" w:eastAsiaTheme="minorEastAsia"/>
      <w:b/>
      <w:bCs/>
      <w:w w:val="100"/>
      <w:sz w:val="32"/>
      <w:szCs w:val="32"/>
    </w:rPr>
  </w:style>
  <w:style w:type="character" w:customStyle="1" w:styleId="17">
    <w:name w:val="标题 4 Char"/>
    <w:basedOn w:val="10"/>
    <w:link w:val="5"/>
    <w:semiHidden/>
    <w:uiPriority w:val="9"/>
    <w:rPr>
      <w:rFonts w:asciiTheme="majorHAnsi" w:hAnsiTheme="majorHAnsi" w:eastAsiaTheme="majorEastAsia" w:cstheme="majorBidi"/>
      <w:b/>
      <w:bCs/>
      <w:w w:val="1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5299</Words>
  <Characters>5780</Characters>
  <Lines>41</Lines>
  <Paragraphs>11</Paragraphs>
  <TotalTime>8</TotalTime>
  <ScaleCrop>false</ScaleCrop>
  <LinksUpToDate>false</LinksUpToDate>
  <CharactersWithSpaces>5781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2025-06-10T17:35:00Z</dcterms:created>
  <dc:creator>Administrator</dc:creator>
  <cp:lastModifiedBy>是涵宝吖</cp:lastModifiedBy>
  <dcterms:modified xsi:type="dcterms:W3CDTF">2025-08-12T16:22:58Z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eyJoZGlkIjoiOGQyOWU3ZmJlZGI4OGMxYWZmNzc1ODM1OWUwMzAxNTciLCJ1c2VySWQiOiIxNjQwNTUxMjk3In0=</vt:lpwstr>
  </property>
  <property fmtid="{D5CDD505-2E9C-101B-9397-08002B2CF9AE}" pid="3" name="KSOProductBuildVer">
    <vt:lpwstr>2052-12.1.0.21915</vt:lpwstr>
  </property>
  <property fmtid="{D5CDD505-2E9C-101B-9397-08002B2CF9AE}" pid="4" name="ICV">
    <vt:lpwstr>1A735843686E4292A1CD7A63EE1696F1_12</vt:lpwstr>
  </property>
</Properties>
</file>