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怀化市农业科学研究院</w:t>
      </w:r>
      <w:r>
        <w:rPr>
          <w:rFonts w:hint="eastAsia" w:ascii="方正小标宋_GBK" w:hAnsi="方正小标宋_GBK" w:eastAsia="方正小标宋_GBK" w:cs="方正小标宋_GBK"/>
          <w:sz w:val="84"/>
          <w:szCs w:val="84"/>
        </w:rPr>
        <w:t>部门决算</w:t>
      </w:r>
    </w:p>
    <w:p>
      <w:pPr>
        <w:pStyle w:val="10"/>
        <w:jc w:val="center"/>
        <w:rPr>
          <w:rFonts w:hint="eastAsia" w:ascii="方正小标宋_GBK" w:hAnsi="方正小标宋_GBK" w:eastAsia="方正小标宋_GBK" w:cs="方正小标宋_GBK"/>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40" w:lineRule="exact"/>
        <w:jc w:val="center"/>
        <w:rPr>
          <w:sz w:val="56"/>
          <w:szCs w:val="56"/>
        </w:rPr>
      </w:pPr>
    </w:p>
    <w:p>
      <w:pPr>
        <w:pStyle w:val="10"/>
        <w:spacing w:line="500" w:lineRule="exact"/>
        <w:jc w:val="both"/>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XX</w:t>
      </w:r>
      <w:r>
        <w:rPr>
          <w:rFonts w:hint="eastAsia" w:ascii="黑体" w:hAnsi="黑体" w:eastAsia="黑体" w:cs="黑体"/>
          <w:b w:val="0"/>
          <w:bCs/>
          <w:sz w:val="28"/>
          <w:szCs w:val="28"/>
          <w:lang w:eastAsia="zh-CN"/>
        </w:rPr>
        <w:t>部门（</w:t>
      </w:r>
      <w:r>
        <w:rPr>
          <w:rFonts w:hint="eastAsia" w:ascii="黑体" w:hAnsi="黑体" w:eastAsia="黑体" w:cs="黑体"/>
          <w:b w:val="0"/>
          <w:bCs/>
          <w:sz w:val="28"/>
          <w:szCs w:val="28"/>
        </w:rPr>
        <w:t>单位</w:t>
      </w:r>
      <w:r>
        <w:rPr>
          <w:rFonts w:hint="eastAsia" w:ascii="黑体" w:hAnsi="黑体" w:eastAsia="黑体" w:cs="黑体"/>
          <w:b w:val="0"/>
          <w:bCs/>
          <w:sz w:val="28"/>
          <w:szCs w:val="28"/>
          <w:lang w:eastAsia="zh-CN"/>
        </w:rPr>
        <w:t>）</w:t>
      </w:r>
      <w:r>
        <w:rPr>
          <w:rFonts w:hint="eastAsia" w:ascii="黑体" w:hAnsi="黑体" w:eastAsia="黑体" w:cs="黑体"/>
          <w:b w:val="0"/>
          <w:bCs/>
          <w:sz w:val="28"/>
          <w:szCs w:val="28"/>
        </w:rPr>
        <w:t>概况</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kern w:val="0"/>
          <w:sz w:val="28"/>
          <w:szCs w:val="28"/>
          <w:lang w:eastAsia="zh-CN"/>
        </w:rPr>
        <w:t>九、</w:t>
      </w:r>
      <w:r>
        <w:rPr>
          <w:rFonts w:hint="eastAsia" w:ascii="仿宋_GB2312" w:hAnsi="仿宋_GB2312" w:eastAsia="仿宋_GB2312" w:cs="仿宋_GB2312"/>
          <w:sz w:val="28"/>
          <w:szCs w:val="28"/>
        </w:rPr>
        <w:t>国有资本经营预算财政拨款支出决算</w:t>
      </w:r>
      <w:r>
        <w:rPr>
          <w:rFonts w:hint="eastAsia" w:ascii="仿宋_GB2312" w:hAnsi="仿宋_GB2312" w:eastAsia="仿宋_GB2312" w:cs="仿宋_GB2312"/>
          <w:sz w:val="28"/>
          <w:szCs w:val="28"/>
          <w:lang w:eastAsia="zh-CN"/>
        </w:rPr>
        <w:t>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十</w:t>
      </w:r>
      <w:r>
        <w:rPr>
          <w:rFonts w:hint="eastAsia" w:ascii="仿宋_GB2312" w:hAnsi="仿宋_GB2312" w:eastAsia="仿宋_GB2312" w:cs="仿宋_GB2312"/>
          <w:color w:val="000000"/>
          <w:kern w:val="0"/>
          <w:sz w:val="28"/>
          <w:szCs w:val="28"/>
        </w:rPr>
        <w:t>、关于机关运行经费支出说明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一</w:t>
      </w:r>
      <w:r>
        <w:rPr>
          <w:rFonts w:hint="eastAsia" w:ascii="仿宋_GB2312" w:hAnsi="仿宋_GB2312" w:eastAsia="仿宋_GB2312" w:cs="仿宋_GB2312"/>
          <w:color w:val="000000"/>
          <w:kern w:val="0"/>
          <w:sz w:val="28"/>
          <w:szCs w:val="28"/>
        </w:rPr>
        <w:t>、一般性支出情况说明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eastAsia="zh-CN"/>
        </w:rPr>
        <w:t>二</w:t>
      </w:r>
      <w:r>
        <w:rPr>
          <w:rFonts w:hint="eastAsia" w:ascii="仿宋_GB2312" w:hAnsi="仿宋_GB2312" w:eastAsia="仿宋_GB2312" w:cs="仿宋_GB2312"/>
          <w:color w:val="000000"/>
          <w:kern w:val="0"/>
          <w:sz w:val="28"/>
          <w:szCs w:val="28"/>
        </w:rPr>
        <w:t>、关于政府采购支出说明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三</w:t>
      </w:r>
      <w:r>
        <w:rPr>
          <w:rFonts w:hint="eastAsia" w:ascii="仿宋_GB2312" w:hAnsi="仿宋_GB2312" w:eastAsia="仿宋_GB2312" w:cs="仿宋_GB2312"/>
          <w:sz w:val="28"/>
          <w:szCs w:val="28"/>
        </w:rPr>
        <w:t>、关于国有资产占用情况说明</w:t>
      </w:r>
    </w:p>
    <w:p>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eastAsia="zh-CN"/>
        </w:rPr>
        <w:t>四</w:t>
      </w:r>
      <w:r>
        <w:rPr>
          <w:rFonts w:hint="eastAsia" w:ascii="仿宋_GB2312" w:hAnsi="仿宋_GB2312" w:eastAsia="仿宋_GB2312" w:cs="仿宋_GB2312"/>
          <w:sz w:val="28"/>
          <w:szCs w:val="28"/>
        </w:rPr>
        <w:t>、关于预算绩效情况的说明</w:t>
      </w:r>
    </w:p>
    <w:p>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jc w:val="center"/>
        <w:rPr>
          <w:sz w:val="72"/>
          <w:szCs w:val="72"/>
        </w:rPr>
      </w:pPr>
    </w:p>
    <w:p>
      <w:pPr>
        <w:jc w:val="center"/>
        <w:rPr>
          <w:sz w:val="72"/>
          <w:szCs w:val="72"/>
        </w:rPr>
      </w:pPr>
    </w:p>
    <w:p>
      <w:pPr>
        <w:jc w:val="center"/>
        <w:rPr>
          <w:sz w:val="72"/>
          <w:szCs w:val="72"/>
        </w:rPr>
      </w:pPr>
    </w:p>
    <w:p>
      <w:pPr>
        <w:jc w:val="center"/>
        <w:rPr>
          <w:sz w:val="72"/>
          <w:szCs w:val="72"/>
        </w:rPr>
      </w:pPr>
    </w:p>
    <w:p>
      <w:pP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怀化市农业科学研究院</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jc w:val="center"/>
        <w:rPr>
          <w:sz w:val="72"/>
          <w:szCs w:val="72"/>
        </w:rPr>
      </w:pPr>
    </w:p>
    <w:p>
      <w:pPr>
        <w:jc w:val="center"/>
        <w:rPr>
          <w:sz w:val="72"/>
          <w:szCs w:val="72"/>
        </w:rPr>
      </w:pPr>
    </w:p>
    <w:p>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（一）承担农业农村经济研究，农业应用基础、应用研究和高新技术研究等任务，为党委政府制定农业农村政策提供参谋咨询。</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（二）承担国家、省作物品种区域试验任务，为农作物新品种审定提供技术依据。</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（三）为全市农业优势特色产业规划和发展提供技术支撑；为全市种业安全、粮食安全、农产品质量安全、农业防灾减灾等重要工作提供技术支撑。</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（四）承担上级下达的农作物种质资源调查、收集、保护工作任务。</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（五）承担全市农业产业技术体系相关学科的基础性、应用性、公益性研究；承担国家、省农业产业技术体系建设任务，国家、省、市农业科研攻关课题及指令性科研任务。</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（六）承担全市农作物种质资源创新利用工作；开展应用型农业生物技术研究、农业生化检验分析、本市特异种质资源筛选评价和重要基因发掘工作。</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（七）承担水稻、果树、旱粮、中药材、茶叶、蔬菜、油料等农作物的育种技术研究；开展本地特色农作物品种培育技术研究，推进分子技术、基因编辑、合成生物学、人工智能等新技术在作物育种上的应用。</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（八）承担农作物栽培、植物保护、土壤肥料等生产技术的研究与应用。</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（九）承担禽畜水产绿色高效养殖技术研究与应用；承担地方特色禽畜水产品种的改良、繁育、疾病防控等技术的研究与应用。</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（十)承担农业机械化、设施农业、智慧农业技术研究与推广应用，开展农牧渔及其副产品精深加工技术研究与应用。</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（十一）承担农业技术推广职能，制订实施农业技术推广计划；开展新品种、新装备、新农艺的引进、试验、示范和推广工作；承担农业技术培训、指导及技术资料编发。</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（十二）承担现代农业管理模式、农业产业发展规划等研究，开展农业经济，农业科技信息收集分析工作。</w:t>
      </w:r>
    </w:p>
    <w:p>
      <w:pPr>
        <w:keepNext w:val="0"/>
        <w:keepLines w:val="0"/>
        <w:pageBreakBefore w:val="0"/>
        <w:widowControl/>
        <w:kinsoku/>
        <w:wordWrap/>
        <w:overflowPunct/>
        <w:topLinePunct w:val="0"/>
        <w:autoSpaceDE/>
        <w:autoSpaceDN/>
        <w:bidi w:val="0"/>
        <w:adjustRightInd/>
        <w:snapToGrid/>
        <w:spacing w:line="600" w:lineRule="exact"/>
        <w:ind w:firstLine="627" w:firstLineChars="196"/>
        <w:jc w:val="left"/>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（十三）组织开展农业学术交流、技术合作和科研人才培养工作。</w:t>
      </w:r>
    </w:p>
    <w:p>
      <w:pPr>
        <w:ind w:firstLine="800" w:firstLineChars="250"/>
        <w:jc w:val="left"/>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sz w:val="32"/>
          <w:szCs w:val="32"/>
          <w:lang w:val="en-US" w:eastAsia="zh-CN"/>
        </w:rPr>
        <w:t>（十四）完成市农业农村局交办的其他任务。</w:t>
      </w:r>
    </w:p>
    <w:p>
      <w:pPr>
        <w:ind w:firstLine="800" w:firstLineChars="250"/>
        <w:jc w:val="lef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keepNext w:val="0"/>
        <w:keepLines w:val="0"/>
        <w:pageBreakBefore w:val="0"/>
        <w:widowControl/>
        <w:numPr>
          <w:ilvl w:val="0"/>
          <w:numId w:val="0"/>
        </w:numPr>
        <w:kinsoku/>
        <w:wordWrap/>
        <w:overflowPunct/>
        <w:topLinePunct w:val="0"/>
        <w:autoSpaceDE/>
        <w:autoSpaceDN/>
        <w:bidi w:val="0"/>
        <w:adjustRightInd/>
        <w:snapToGrid/>
        <w:spacing w:line="500" w:lineRule="auto"/>
        <w:ind w:leftChars="196" w:right="0" w:rightChars="0" w:firstLine="640" w:firstLineChars="200"/>
        <w:jc w:val="left"/>
        <w:textAlignment w:val="auto"/>
        <w:outlineLvl w:val="9"/>
        <w:rPr>
          <w:rFonts w:hint="eastAsia" w:ascii="黑体" w:hAnsi="黑体" w:eastAsia="黑体" w:cs="黑体"/>
          <w:bCs/>
          <w:color w:val="auto"/>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color w:val="auto"/>
          <w:sz w:val="32"/>
          <w:szCs w:val="32"/>
          <w:lang w:eastAsia="zh-CN"/>
        </w:rPr>
        <w:t>怀化市农业科学研究院</w:t>
      </w:r>
      <w:r>
        <w:rPr>
          <w:rFonts w:hint="eastAsia" w:ascii="Times New Roman" w:hAnsi="Times New Roman" w:eastAsia="仿宋_GB2312" w:cs="仿宋_GB2312"/>
          <w:bCs/>
          <w:kern w:val="0"/>
          <w:sz w:val="32"/>
          <w:szCs w:val="32"/>
        </w:rPr>
        <w:t>内设机构包括：</w:t>
      </w:r>
      <w:r>
        <w:rPr>
          <w:rFonts w:hint="eastAsia" w:ascii="仿宋" w:hAnsi="仿宋" w:eastAsia="仿宋" w:cs="仿宋"/>
          <w:color w:val="auto"/>
          <w:sz w:val="32"/>
          <w:szCs w:val="32"/>
          <w:lang w:eastAsia="zh-CN"/>
        </w:rPr>
        <w:t>办公室、党群人事部、计划财务部、科研管理与技术推广部、水稻研究所、中药材研究所、果树研究所、茶叶研究所、蔬菜花卉研究所、畜牧水产研究所、旱作研究所、生物技术研究所、农业装备与食品加工研究所、农业农村经济研究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lang w:val="en-US" w:eastAsia="zh-CN"/>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color w:val="auto"/>
          <w:sz w:val="32"/>
          <w:szCs w:val="32"/>
          <w:lang w:eastAsia="zh-CN"/>
        </w:rPr>
        <w:t>怀化市农业科学研究院</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2</w:t>
      </w:r>
      <w:r>
        <w:rPr>
          <w:rFonts w:hint="eastAsia" w:ascii="Times New Roman" w:hAnsi="Times New Roman" w:eastAsia="仿宋_GB2312" w:cs="仿宋_GB2312"/>
          <w:bCs/>
          <w:kern w:val="0"/>
          <w:sz w:val="32"/>
          <w:szCs w:val="32"/>
        </w:rPr>
        <w:t>年部门决算汇总公开单位构成包括：</w:t>
      </w:r>
      <w:r>
        <w:rPr>
          <w:rFonts w:hint="eastAsia" w:ascii="仿宋" w:hAnsi="仿宋" w:eastAsia="仿宋" w:cs="仿宋"/>
          <w:color w:val="auto"/>
          <w:sz w:val="32"/>
          <w:szCs w:val="32"/>
          <w:lang w:val="en-US" w:eastAsia="zh-CN"/>
        </w:rPr>
        <w:t>怀化市农业科学研究院本级。</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0"/>
        <w:jc w:val="center"/>
        <w:rPr>
          <w:rFonts w:hint="eastAsia" w:ascii="方正小标宋_GBK" w:hAnsi="方正小标宋_GBK" w:eastAsia="方正小标宋_GBK" w:cs="方正小标宋_GBK"/>
          <w:sz w:val="84"/>
          <w:szCs w:val="84"/>
        </w:rPr>
      </w:pPr>
    </w:p>
    <w:p>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jc w:val="center"/>
        <w:rPr>
          <w:sz w:val="72"/>
          <w:szCs w:val="72"/>
        </w:rPr>
      </w:pPr>
    </w:p>
    <w:p>
      <w:pPr>
        <w:jc w:val="left"/>
        <w:rPr>
          <w:rFonts w:hint="eastAsia" w:asciiTheme="minorEastAsia" w:hAnsiTheme="minorEastAsia" w:eastAsiaTheme="minorEastAsia"/>
          <w:sz w:val="32"/>
          <w:szCs w:val="32"/>
          <w:lang w:eastAsia="zh-CN"/>
        </w:rPr>
        <w:sectPr>
          <w:pgSz w:w="11906" w:h="16838"/>
          <w:pgMar w:top="720" w:right="720" w:bottom="720" w:left="720" w:header="851" w:footer="992" w:gutter="0"/>
          <w:cols w:space="425" w:num="1"/>
          <w:docGrid w:type="lines" w:linePitch="312" w:charSpace="0"/>
        </w:sectPr>
      </w:pPr>
    </w:p>
    <w:tbl>
      <w:tblPr>
        <w:tblStyle w:val="6"/>
        <w:tblW w:w="13534" w:type="dxa"/>
        <w:tblInd w:w="0" w:type="dxa"/>
        <w:tblLayout w:type="fixed"/>
        <w:tblCellMar>
          <w:top w:w="0" w:type="dxa"/>
          <w:left w:w="0" w:type="dxa"/>
          <w:bottom w:w="0" w:type="dxa"/>
          <w:right w:w="0" w:type="dxa"/>
        </w:tblCellMar>
      </w:tblPr>
      <w:tblGrid>
        <w:gridCol w:w="306"/>
        <w:gridCol w:w="592"/>
        <w:gridCol w:w="2833"/>
        <w:gridCol w:w="1376"/>
        <w:gridCol w:w="1448"/>
        <w:gridCol w:w="970"/>
        <w:gridCol w:w="1274"/>
        <w:gridCol w:w="1403"/>
        <w:gridCol w:w="1828"/>
        <w:gridCol w:w="1504"/>
      </w:tblGrid>
      <w:tr>
        <w:tblPrEx>
          <w:tblCellMar>
            <w:top w:w="0" w:type="dxa"/>
            <w:left w:w="0" w:type="dxa"/>
            <w:bottom w:w="0" w:type="dxa"/>
            <w:right w:w="0" w:type="dxa"/>
          </w:tblCellMar>
        </w:tblPrEx>
        <w:trPr>
          <w:trHeight w:val="435" w:hRule="atLeast"/>
        </w:trPr>
        <w:tc>
          <w:tcPr>
            <w:tcW w:w="13534"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23"/>
              <w:gridCol w:w="616"/>
              <w:gridCol w:w="1394"/>
              <w:gridCol w:w="5012"/>
              <w:gridCol w:w="922"/>
              <w:gridCol w:w="716"/>
              <w:gridCol w:w="479"/>
              <w:gridCol w:w="183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7"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95"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5017"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640"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2317"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3"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61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1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38"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31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42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16"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94"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501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638"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315"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6433"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129"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62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9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1295.32</w:t>
                  </w: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54.6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六、科学技术支出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521"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8.52</w:t>
                  </w: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八、社会保障和就业支出</w:t>
                  </w:r>
                  <w:r>
                    <w:rPr>
                      <w:rFonts w:hint="default" w:ascii="宋体" w:hAnsi="宋体" w:eastAsia="宋体" w:cs="宋体"/>
                      <w:i w:val="0"/>
                      <w:color w:val="000000"/>
                      <w:sz w:val="22"/>
                      <w:szCs w:val="22"/>
                      <w:u w:val="none"/>
                      <w:lang w:val="en-US" w:eastAsia="zh-CN"/>
                    </w:rPr>
                    <w:br w:type="textWrapping"/>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160.51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九、卫生健康支出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40.48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kern w:val="0"/>
                      <w:sz w:val="24"/>
                      <w:szCs w:val="24"/>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155.56</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十二、农林水支出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1047.35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二十三、其他支出</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155.56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1459.4</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62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50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838" w:type="dxa"/>
                <w:trHeight w:val="448" w:hRule="atLeast"/>
              </w:trPr>
              <w:tc>
                <w:tcPr>
                  <w:tcW w:w="44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1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1459.4</w:t>
                  </w:r>
                </w:p>
              </w:tc>
              <w:tc>
                <w:tcPr>
                  <w:tcW w:w="50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92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1459.4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CellMar>
            <w:top w:w="0" w:type="dxa"/>
            <w:left w:w="0" w:type="dxa"/>
            <w:bottom w:w="0" w:type="dxa"/>
            <w:right w:w="0" w:type="dxa"/>
          </w:tblCellMar>
        </w:tblPrEx>
        <w:trPr>
          <w:trHeight w:val="285" w:hRule="atLeast"/>
        </w:trPr>
        <w:tc>
          <w:tcPr>
            <w:tcW w:w="30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9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28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7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4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70"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CellMar>
            <w:top w:w="0" w:type="dxa"/>
            <w:left w:w="0" w:type="dxa"/>
            <w:bottom w:w="0" w:type="dxa"/>
            <w:right w:w="0" w:type="dxa"/>
          </w:tblCellMar>
        </w:tblPrEx>
        <w:trPr>
          <w:trHeight w:val="285" w:hRule="atLeast"/>
        </w:trPr>
        <w:tc>
          <w:tcPr>
            <w:tcW w:w="898"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283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76"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4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970" w:type="dxa"/>
            <w:tcBorders>
              <w:top w:val="nil"/>
              <w:left w:val="nil"/>
              <w:bottom w:val="nil"/>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27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CellMar>
            <w:top w:w="0" w:type="dxa"/>
            <w:left w:w="0" w:type="dxa"/>
            <w:bottom w:w="0" w:type="dxa"/>
            <w:right w:w="0" w:type="dxa"/>
          </w:tblCellMar>
        </w:tblPrEx>
        <w:trPr>
          <w:trHeight w:val="450" w:hRule="atLeast"/>
        </w:trPr>
        <w:tc>
          <w:tcPr>
            <w:tcW w:w="3731"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37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44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97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27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40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82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5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CellMar>
            <w:top w:w="0" w:type="dxa"/>
            <w:left w:w="0" w:type="dxa"/>
            <w:bottom w:w="0" w:type="dxa"/>
            <w:right w:w="0" w:type="dxa"/>
          </w:tblCellMar>
        </w:tblPrEx>
        <w:trPr>
          <w:trHeight w:val="450" w:hRule="atLeast"/>
        </w:trPr>
        <w:tc>
          <w:tcPr>
            <w:tcW w:w="89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283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37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9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2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0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450" w:hRule="atLeast"/>
        </w:trPr>
        <w:tc>
          <w:tcPr>
            <w:tcW w:w="898" w:type="dxa"/>
            <w:gridSpan w:val="2"/>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2833" w:type="dxa"/>
            <w:vMerge w:val="continue"/>
            <w:tcBorders>
              <w:top w:val="nil"/>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76"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4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970"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27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3"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82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0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CellMar>
            <w:top w:w="0" w:type="dxa"/>
            <w:left w:w="0" w:type="dxa"/>
            <w:bottom w:w="0" w:type="dxa"/>
            <w:right w:w="0" w:type="dxa"/>
          </w:tblCellMar>
        </w:tblPrEx>
        <w:trPr>
          <w:trHeight w:val="507" w:hRule="atLeast"/>
        </w:trPr>
        <w:tc>
          <w:tcPr>
            <w:tcW w:w="373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37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4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97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27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40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82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5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CellMar>
            <w:top w:w="0" w:type="dxa"/>
            <w:left w:w="0" w:type="dxa"/>
            <w:bottom w:w="0" w:type="dxa"/>
            <w:right w:w="0" w:type="dxa"/>
          </w:tblCellMar>
        </w:tblPrEx>
        <w:trPr>
          <w:trHeight w:val="507" w:hRule="atLeast"/>
        </w:trPr>
        <w:tc>
          <w:tcPr>
            <w:tcW w:w="3731"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1459.4</w:t>
            </w:r>
            <w:r>
              <w:rPr>
                <w:rFonts w:hint="eastAsia"/>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1295.32</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8.52</w:t>
            </w: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155.56</w:t>
            </w:r>
            <w:r>
              <w:rPr>
                <w:rFonts w:hint="eastAsia"/>
              </w:rPr>
              <w:t>　</w:t>
            </w: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201</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一般公共服务支出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54.6</w:t>
            </w:r>
            <w:r>
              <w:rPr>
                <w:rFonts w:hint="eastAsia"/>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54.6</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584"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2013299</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其他组织事务</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华文中宋" w:hAnsi="华文中宋" w:eastAsia="华文中宋" w:cs="宋体"/>
                <w:sz w:val="24"/>
                <w:szCs w:val="24"/>
              </w:rPr>
            </w:pPr>
            <w:r>
              <w:rPr>
                <w:rFonts w:hint="eastAsia" w:ascii="华文中宋" w:hAnsi="华文中宋" w:eastAsia="华文中宋"/>
                <w:lang w:val="en-US" w:eastAsia="zh-CN"/>
              </w:rPr>
              <w:t>54.6</w:t>
            </w:r>
            <w:r>
              <w:rPr>
                <w:rFonts w:hint="eastAsia" w:ascii="华文中宋" w:hAnsi="华文中宋" w:eastAsia="华文中宋"/>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54.6</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206</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科学技术支出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0.9</w:t>
            </w:r>
            <w:r>
              <w:rPr>
                <w:rFonts w:hint="eastAsia"/>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0.9</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2060302</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社会公益研究</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0.9</w:t>
            </w:r>
            <w:r>
              <w:rPr>
                <w:rFonts w:hint="eastAsia"/>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0.9</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208</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ascii="宋体" w:hAnsi="宋体" w:cs="宋体"/>
                <w:sz w:val="24"/>
                <w:szCs w:val="24"/>
                <w:lang w:val="en-US" w:eastAsia="zh-CN"/>
              </w:rPr>
              <w:t>社会保障和就业支出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160.51</w:t>
            </w:r>
            <w:r>
              <w:rPr>
                <w:rFonts w:hint="eastAsia"/>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160.51</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2080502</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事业单位离退休</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0.84</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0.84</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2080505</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机关事业单位基本养老保险缴费支出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67.17</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67.17</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2080599</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其他行政事业单位养老支出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92.5</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92.5</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卫生健康支出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40.48</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40.48</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2100410</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突发公共卫生事件应急处理</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5.7</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5.7</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lang w:val="en-US" w:eastAsia="zh-CN"/>
              </w:rPr>
            </w:pPr>
            <w:r>
              <w:rPr>
                <w:rFonts w:hint="eastAsia"/>
                <w:lang w:val="en-US" w:eastAsia="zh-CN"/>
              </w:rPr>
              <w:t>21011</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lang w:val="en-US" w:eastAsia="zh-CN"/>
              </w:rPr>
            </w:pPr>
            <w:r>
              <w:rPr>
                <w:rFonts w:hint="eastAsia"/>
                <w:lang w:val="en-US" w:eastAsia="zh-CN"/>
              </w:rPr>
              <w:t>行政事业单位医疗</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34.78</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34.78</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2101101</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行政单位医疗</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33.58</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33.58</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45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2101199</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其他行政事业单位医疗支出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1.2</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1.2</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15"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农林水支出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1047.35</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Theme="minorHAnsi" w:hAnsiTheme="minorHAnsi" w:eastAsiaTheme="minorEastAsia" w:cstheme="minorBidi"/>
                <w:kern w:val="2"/>
                <w:sz w:val="21"/>
                <w:szCs w:val="22"/>
                <w:lang w:val="en-US" w:eastAsia="zh-CN" w:bidi="ar-SA"/>
              </w:rPr>
            </w:pPr>
            <w:r>
              <w:rPr>
                <w:rFonts w:hint="eastAsia"/>
                <w:lang w:val="en-US" w:eastAsia="zh-CN"/>
              </w:rPr>
              <w:t>1038.83</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8.52</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735"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lang w:val="en-US" w:eastAsia="zh-CN"/>
              </w:rPr>
            </w:pPr>
            <w:r>
              <w:rPr>
                <w:rFonts w:hint="eastAsia"/>
                <w:lang w:val="en-US" w:eastAsia="zh-CN"/>
              </w:rPr>
              <w:t>21301</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lang w:val="en-US" w:eastAsia="zh-CN"/>
              </w:rPr>
            </w:pPr>
            <w:r>
              <w:rPr>
                <w:rFonts w:hint="eastAsia"/>
                <w:lang w:val="en-US" w:eastAsia="zh-CN"/>
              </w:rPr>
              <w:t>农业农村</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911.42</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lang w:val="en-US" w:eastAsia="zh-CN"/>
              </w:rPr>
            </w:pPr>
            <w:r>
              <w:rPr>
                <w:rFonts w:hint="eastAsia"/>
                <w:lang w:val="en-US" w:eastAsia="zh-CN"/>
              </w:rPr>
              <w:t>902.9</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8.52</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735"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2130101</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eastAsia" w:eastAsiaTheme="minorEastAsia"/>
                <w:lang w:val="en-US" w:eastAsia="zh-CN"/>
              </w:rPr>
            </w:pPr>
            <w:r>
              <w:rPr>
                <w:rFonts w:hint="eastAsia"/>
                <w:lang w:val="en-US" w:eastAsia="zh-CN"/>
              </w:rPr>
              <w:t>行政运行</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3.3</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3.3</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9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2130104</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事业运行</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712.8</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Theme="minorHAnsi" w:hAnsiTheme="minorHAnsi" w:eastAsiaTheme="minorEastAsia" w:cstheme="minorBidi"/>
                <w:kern w:val="2"/>
                <w:sz w:val="21"/>
                <w:szCs w:val="22"/>
                <w:lang w:val="en-US" w:eastAsia="zh-CN" w:bidi="ar-SA"/>
              </w:rPr>
            </w:pPr>
            <w:r>
              <w:rPr>
                <w:rFonts w:hint="eastAsia"/>
                <w:lang w:val="en-US" w:eastAsia="zh-CN"/>
              </w:rPr>
              <w:t>704.28</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8.52</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75"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2130106</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科技转化与推广服务</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42</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42</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45"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2130122</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农业生产发展</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26.61</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26.61</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675"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2130135</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农业资源保护修复与利用</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15</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15</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72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2130199</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其他农业农村支出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111.72</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111.72</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72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2130206</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技术推广与转化</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77</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77</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501"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2130301</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ascii="宋体" w:hAnsi="宋体" w:cs="宋体" w:eastAsiaTheme="minorEastAsia"/>
                <w:sz w:val="24"/>
                <w:szCs w:val="24"/>
                <w:lang w:val="en-US" w:eastAsia="zh-CN"/>
              </w:rPr>
            </w:pPr>
            <w:r>
              <w:rPr>
                <w:rFonts w:hint="eastAsia"/>
              </w:rPr>
              <w:t>　</w:t>
            </w:r>
            <w:r>
              <w:rPr>
                <w:rFonts w:hint="eastAsia"/>
                <w:lang w:val="en-US" w:eastAsia="zh-CN"/>
              </w:rPr>
              <w:t>行政运行</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lang w:val="en-US" w:eastAsia="zh-CN"/>
              </w:rPr>
              <w:t>58.93</w:t>
            </w:r>
            <w:r>
              <w:rPr>
                <w:rFonts w:hint="eastAsia"/>
              </w:rPr>
              <w:t>　</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kern w:val="2"/>
                <w:sz w:val="24"/>
                <w:szCs w:val="24"/>
                <w:lang w:val="en-US" w:eastAsia="zh-CN" w:bidi="ar-SA"/>
              </w:rPr>
            </w:pPr>
            <w:r>
              <w:rPr>
                <w:rFonts w:hint="eastAsia"/>
                <w:lang w:val="en-US" w:eastAsia="zh-CN"/>
              </w:rPr>
              <w:t>58.93</w:t>
            </w:r>
            <w:r>
              <w:rPr>
                <w:rFonts w:hint="eastAsia"/>
              </w:rPr>
              <w:t>　</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CellMar>
            <w:top w:w="0" w:type="dxa"/>
            <w:left w:w="0" w:type="dxa"/>
            <w:bottom w:w="0" w:type="dxa"/>
            <w:right w:w="0" w:type="dxa"/>
          </w:tblCellMar>
        </w:tblPrEx>
        <w:trPr>
          <w:trHeight w:val="69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229</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其他支出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155.56</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asciiTheme="minorHAnsi" w:hAnsiTheme="minorHAnsi" w:eastAsiaTheme="minorEastAsia" w:cstheme="minorBidi"/>
                <w:kern w:val="2"/>
                <w:sz w:val="21"/>
                <w:szCs w:val="22"/>
                <w:lang w:val="en-US" w:eastAsia="zh-CN" w:bidi="ar-SA"/>
              </w:rPr>
            </w:pPr>
            <w:r>
              <w:rPr>
                <w:rFonts w:hint="eastAsia"/>
                <w:lang w:val="en-US" w:eastAsia="zh-CN"/>
              </w:rPr>
              <w:t>155.56</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CellMar>
            <w:top w:w="0" w:type="dxa"/>
            <w:left w:w="0" w:type="dxa"/>
            <w:bottom w:w="0" w:type="dxa"/>
            <w:right w:w="0" w:type="dxa"/>
          </w:tblCellMar>
        </w:tblPrEx>
        <w:trPr>
          <w:trHeight w:val="810" w:hRule="atLeast"/>
        </w:trPr>
        <w:tc>
          <w:tcPr>
            <w:tcW w:w="898"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2299999</w:t>
            </w:r>
          </w:p>
        </w:tc>
        <w:tc>
          <w:tcPr>
            <w:tcW w:w="28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rPr>
                <w:rFonts w:hint="default" w:eastAsiaTheme="minorEastAsia"/>
                <w:lang w:val="en-US" w:eastAsia="zh-CN"/>
              </w:rPr>
            </w:pPr>
            <w:r>
              <w:rPr>
                <w:rFonts w:hint="eastAsia"/>
                <w:lang w:val="en-US" w:eastAsia="zh-CN"/>
              </w:rPr>
              <w:t>其他支出</w:t>
            </w:r>
          </w:p>
        </w:tc>
        <w:tc>
          <w:tcPr>
            <w:tcW w:w="137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155.56</w:t>
            </w:r>
          </w:p>
        </w:tc>
        <w:tc>
          <w:tcPr>
            <w:tcW w:w="14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asciiTheme="minorHAnsi" w:hAnsiTheme="minorHAnsi" w:eastAsiaTheme="minorEastAsia" w:cstheme="minorBidi"/>
                <w:kern w:val="2"/>
                <w:sz w:val="21"/>
                <w:szCs w:val="22"/>
                <w:lang w:val="en-US" w:eastAsia="zh-CN" w:bidi="ar-SA"/>
              </w:rPr>
            </w:pPr>
            <w:r>
              <w:rPr>
                <w:rFonts w:hint="eastAsia" w:cstheme="minorBidi"/>
                <w:kern w:val="2"/>
                <w:sz w:val="21"/>
                <w:szCs w:val="22"/>
                <w:lang w:val="en-US" w:eastAsia="zh-CN" w:bidi="ar-SA"/>
              </w:rPr>
              <w:t>0</w:t>
            </w:r>
          </w:p>
        </w:tc>
        <w:tc>
          <w:tcPr>
            <w:tcW w:w="97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27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0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82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5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default" w:eastAsiaTheme="minorEastAsia"/>
                <w:lang w:val="en-US" w:eastAsia="zh-CN"/>
              </w:rPr>
            </w:pPr>
            <w:r>
              <w:rPr>
                <w:rFonts w:hint="eastAsia"/>
                <w:lang w:val="en-US" w:eastAsia="zh-CN"/>
              </w:rPr>
              <w:t>155.56</w:t>
            </w:r>
          </w:p>
        </w:tc>
      </w:tr>
      <w:tr>
        <w:tblPrEx>
          <w:tblCellMar>
            <w:top w:w="0" w:type="dxa"/>
            <w:left w:w="0" w:type="dxa"/>
            <w:bottom w:w="0" w:type="dxa"/>
            <w:right w:w="0" w:type="dxa"/>
          </w:tblCellMar>
        </w:tblPrEx>
        <w:trPr>
          <w:trHeight w:val="615" w:hRule="atLeast"/>
        </w:trPr>
        <w:tc>
          <w:tcPr>
            <w:tcW w:w="13534"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fixed"/>
        <w:tblCellMar>
          <w:top w:w="0" w:type="dxa"/>
          <w:left w:w="108" w:type="dxa"/>
          <w:bottom w:w="0" w:type="dxa"/>
          <w:right w:w="108" w:type="dxa"/>
        </w:tblCellMar>
      </w:tblPr>
      <w:tblGrid>
        <w:gridCol w:w="895"/>
        <w:gridCol w:w="240"/>
        <w:gridCol w:w="4406"/>
        <w:gridCol w:w="1504"/>
        <w:gridCol w:w="1680"/>
        <w:gridCol w:w="1459"/>
        <w:gridCol w:w="1514"/>
        <w:gridCol w:w="1495"/>
        <w:gridCol w:w="2447"/>
      </w:tblGrid>
      <w:tr>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CellMar>
            <w:top w:w="0" w:type="dxa"/>
            <w:left w:w="108" w:type="dxa"/>
            <w:bottom w:w="0" w:type="dxa"/>
            <w:right w:w="108" w:type="dxa"/>
          </w:tblCellMar>
        </w:tblPrEx>
        <w:trPr>
          <w:trHeight w:val="403" w:hRule="atLeast"/>
        </w:trPr>
        <w:tc>
          <w:tcPr>
            <w:tcW w:w="8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40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CellMar>
            <w:top w:w="0" w:type="dxa"/>
            <w:left w:w="108" w:type="dxa"/>
            <w:bottom w:w="0" w:type="dxa"/>
            <w:right w:w="108" w:type="dxa"/>
          </w:tblCellMar>
        </w:tblPrEx>
        <w:trPr>
          <w:trHeight w:val="403" w:hRule="atLeast"/>
        </w:trPr>
        <w:tc>
          <w:tcPr>
            <w:tcW w:w="8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40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nil"/>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51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595" w:hRule="atLeast"/>
        </w:trPr>
        <w:tc>
          <w:tcPr>
            <w:tcW w:w="554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50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8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5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51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47"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CellMar>
            <w:top w:w="0" w:type="dxa"/>
            <w:left w:w="108" w:type="dxa"/>
            <w:bottom w:w="0" w:type="dxa"/>
            <w:right w:w="108" w:type="dxa"/>
          </w:tblCellMar>
        </w:tblPrEx>
        <w:trPr>
          <w:trHeight w:val="595" w:hRule="atLeast"/>
        </w:trPr>
        <w:tc>
          <w:tcPr>
            <w:tcW w:w="1135"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406" w:type="dxa"/>
            <w:vMerge w:val="restar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50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4406"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0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5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9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4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554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50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80"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59"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51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95"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47"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CellMar>
            <w:top w:w="0" w:type="dxa"/>
            <w:left w:w="108" w:type="dxa"/>
            <w:bottom w:w="0" w:type="dxa"/>
            <w:right w:w="108" w:type="dxa"/>
          </w:tblCellMar>
        </w:tblPrEx>
        <w:trPr>
          <w:trHeight w:val="595" w:hRule="atLeast"/>
        </w:trPr>
        <w:tc>
          <w:tcPr>
            <w:tcW w:w="554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1459.4</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1113.57</w:t>
            </w: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345.84</w:t>
            </w: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3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一般公共服务支出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54.6</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54.6</w:t>
            </w: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386"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2013299</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其他组织事务</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54.6</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54.6</w:t>
            </w: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01"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206</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科学技术支出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447"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2060302</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社会公益研究</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0.9</w:t>
            </w: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rPr>
              <w:t>　</w:t>
            </w:r>
            <w:r>
              <w:rPr>
                <w:rFonts w:hint="eastAsia"/>
                <w:lang w:val="en-US" w:eastAsia="zh-CN"/>
              </w:rPr>
              <w:t>208</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宋体" w:hAnsi="宋体" w:cs="宋体" w:eastAsiaTheme="minorEastAsia"/>
                <w:kern w:val="2"/>
                <w:sz w:val="24"/>
                <w:szCs w:val="24"/>
                <w:lang w:val="en-US" w:eastAsia="zh-CN" w:bidi="ar-SA"/>
              </w:rPr>
            </w:pPr>
            <w:r>
              <w:rPr>
                <w:rFonts w:hint="eastAsia" w:ascii="宋体" w:hAnsi="宋体" w:cs="宋体"/>
                <w:sz w:val="24"/>
                <w:szCs w:val="24"/>
                <w:lang w:val="en-US" w:eastAsia="zh-CN"/>
              </w:rPr>
              <w:t>社会保障和就业支出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160.51</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160.51</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2080502</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事业单位离退休</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0.84</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0.84</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2080505</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机关事业单位基本养老保险缴费支出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67.17</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67.17</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2080599</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其他行政事业单位养老支出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92.5</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rPr>
              <w:t>92.5</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210</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卫生健康支出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40.48</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37.51</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2.98</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2100410</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突发公共卫生事件应急处理</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5.7</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2.72</w:t>
            </w: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2.98</w:t>
            </w: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lang w:val="en-US" w:eastAsia="zh-CN"/>
              </w:rPr>
            </w:pPr>
            <w:r>
              <w:rPr>
                <w:rFonts w:hint="eastAsia"/>
                <w:lang w:val="en-US" w:eastAsia="zh-CN"/>
              </w:rPr>
              <w:t>21011</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lang w:val="en-US" w:eastAsia="zh-CN"/>
              </w:rPr>
            </w:pPr>
            <w:r>
              <w:rPr>
                <w:rFonts w:hint="eastAsia"/>
                <w:lang w:val="en-US" w:eastAsia="zh-CN"/>
              </w:rPr>
              <w:t>行政事业单位医疗</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34.78</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34.78</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2101101</w:t>
            </w:r>
          </w:p>
        </w:tc>
        <w:tc>
          <w:tcPr>
            <w:tcW w:w="4406" w:type="dxa"/>
            <w:tcBorders>
              <w:top w:val="nil"/>
              <w:left w:val="nil"/>
              <w:bottom w:val="single" w:color="auto" w:sz="4" w:space="0"/>
              <w:right w:val="single" w:color="auto" w:sz="4" w:space="0"/>
            </w:tcBorders>
            <w:shd w:val="clear" w:color="000000" w:fill="FFFFFF"/>
            <w:noWrap/>
            <w:vAlign w:val="center"/>
          </w:tcPr>
          <w:p>
            <w:pPr>
              <w:rPr>
                <w:rFonts w:hint="default" w:asciiTheme="minorHAnsi" w:hAnsiTheme="minorHAnsi" w:eastAsiaTheme="minorEastAsia" w:cstheme="minorBidi"/>
                <w:kern w:val="2"/>
                <w:sz w:val="21"/>
                <w:szCs w:val="22"/>
                <w:lang w:val="en-US" w:eastAsia="zh-CN" w:bidi="ar-SA"/>
              </w:rPr>
            </w:pPr>
            <w:r>
              <w:rPr>
                <w:rFonts w:hint="eastAsia"/>
                <w:lang w:val="en-US" w:eastAsia="zh-CN"/>
              </w:rPr>
              <w:t>行政单位医疗</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33.58</w:t>
            </w:r>
            <w:r>
              <w:rPr>
                <w:rFonts w:hint="eastAsia" w:ascii="宋体" w:hAnsi="宋体" w:eastAsia="宋体" w:cs="宋体"/>
                <w:kern w:val="0"/>
                <w:sz w:val="24"/>
                <w:szCs w:val="24"/>
              </w:rPr>
              <w:t>　</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lang w:val="en-US" w:eastAsia="zh-CN"/>
              </w:rPr>
              <w:t>33.58</w:t>
            </w:r>
            <w:r>
              <w:rPr>
                <w:rFonts w:hint="eastAsia" w:ascii="宋体" w:hAnsi="宋体" w:eastAsia="宋体" w:cs="宋体"/>
                <w:kern w:val="0"/>
                <w:sz w:val="24"/>
                <w:szCs w:val="24"/>
              </w:rPr>
              <w:t>　</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2101199</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其他行政事业单位医疗支出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1.2</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90"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农林水支出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1038.83</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815.87</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222.96</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lang w:val="en-US" w:eastAsia="zh-CN"/>
              </w:rPr>
            </w:pPr>
            <w:r>
              <w:rPr>
                <w:rFonts w:hint="eastAsia"/>
                <w:lang w:val="en-US" w:eastAsia="zh-CN"/>
              </w:rPr>
              <w:t>21301</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lang w:val="en-US" w:eastAsia="zh-CN"/>
              </w:rPr>
            </w:pPr>
            <w:r>
              <w:rPr>
                <w:rFonts w:hint="eastAsia"/>
                <w:lang w:val="en-US" w:eastAsia="zh-CN"/>
              </w:rPr>
              <w:t>农业农村</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902.9</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739.79</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163.12</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2130101</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行政运行</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3.3</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2130104</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事业运行</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704.28</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631.74</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72.54</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2130106</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科技转化与推广服务</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42</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11.51</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30.49</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2130122</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农业生产发展</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26.61</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26.61</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2130135</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农业资源保护修复与利用</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15</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1.79</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13.21</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2130199</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其他农业农村支出</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111.72</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94.75</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16.97</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lang w:val="en-US" w:eastAsia="zh-CN"/>
              </w:rPr>
            </w:pPr>
            <w:r>
              <w:rPr>
                <w:rFonts w:hint="eastAsia"/>
                <w:lang w:val="en-US" w:eastAsia="zh-CN"/>
              </w:rPr>
              <w:t>21302</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lang w:val="en-US" w:eastAsia="zh-CN"/>
              </w:rPr>
            </w:pPr>
            <w:r>
              <w:rPr>
                <w:rFonts w:hint="eastAsia"/>
                <w:lang w:val="en-US" w:eastAsia="zh-CN"/>
              </w:rPr>
              <w:t>林业和草原</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77</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17.16</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59.84</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2130206</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Theme="minorHAnsi" w:hAnsiTheme="minorHAnsi" w:eastAsiaTheme="minorEastAsia" w:cstheme="minorBidi"/>
                <w:kern w:val="2"/>
                <w:sz w:val="21"/>
                <w:szCs w:val="22"/>
                <w:lang w:val="en-US" w:eastAsia="zh-CN" w:bidi="ar-SA"/>
              </w:rPr>
            </w:pPr>
            <w:r>
              <w:rPr>
                <w:rFonts w:hint="eastAsia"/>
                <w:lang w:val="en-US" w:eastAsia="zh-CN"/>
              </w:rPr>
              <w:t>技术推广与转化</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77</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17.16</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59.84</w:t>
            </w: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default" w:eastAsiaTheme="minorEastAsia"/>
                <w:lang w:val="en-US" w:eastAsia="zh-CN"/>
              </w:rPr>
            </w:pPr>
            <w:r>
              <w:rPr>
                <w:rFonts w:hint="eastAsia"/>
                <w:lang w:val="en-US" w:eastAsia="zh-CN"/>
              </w:rPr>
              <w:t>21303</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eastAsiaTheme="minorEastAsia"/>
                <w:lang w:eastAsia="zh-CN"/>
              </w:rPr>
            </w:pPr>
            <w:r>
              <w:rPr>
                <w:rFonts w:hint="eastAsia"/>
                <w:lang w:eastAsia="zh-CN"/>
              </w:rPr>
              <w:t>水利</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58.93</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58.93</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CellMar>
            <w:top w:w="0" w:type="dxa"/>
            <w:left w:w="108" w:type="dxa"/>
            <w:bottom w:w="0" w:type="dxa"/>
            <w:right w:w="108" w:type="dxa"/>
          </w:tblCellMar>
        </w:tblPrEx>
        <w:trPr>
          <w:trHeight w:val="595" w:hRule="atLeast"/>
        </w:trPr>
        <w:tc>
          <w:tcPr>
            <w:tcW w:w="1135"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2130301</w:t>
            </w:r>
          </w:p>
        </w:tc>
        <w:tc>
          <w:tcPr>
            <w:tcW w:w="4406" w:type="dxa"/>
            <w:tcBorders>
              <w:top w:val="nil"/>
              <w:left w:val="nil"/>
              <w:bottom w:val="single" w:color="auto" w:sz="4" w:space="0"/>
              <w:right w:val="single" w:color="auto" w:sz="4" w:space="0"/>
            </w:tcBorders>
            <w:shd w:val="clear" w:color="000000" w:fill="FFFFFF"/>
            <w:noWrap/>
            <w:vAlign w:val="center"/>
          </w:tcPr>
          <w:p>
            <w:pPr>
              <w:rPr>
                <w:rFonts w:hint="eastAsia" w:ascii="宋体" w:hAnsi="宋体" w:cs="宋体" w:eastAsiaTheme="minorEastAsia"/>
                <w:kern w:val="2"/>
                <w:sz w:val="24"/>
                <w:szCs w:val="24"/>
                <w:lang w:val="en-US" w:eastAsia="zh-CN" w:bidi="ar-SA"/>
              </w:rPr>
            </w:pPr>
            <w:r>
              <w:rPr>
                <w:rFonts w:hint="eastAsia"/>
              </w:rPr>
              <w:t>　</w:t>
            </w:r>
            <w:r>
              <w:rPr>
                <w:rFonts w:hint="eastAsia"/>
                <w:lang w:val="en-US" w:eastAsia="zh-CN"/>
              </w:rPr>
              <w:t>行政运行</w:t>
            </w:r>
          </w:p>
        </w:tc>
        <w:tc>
          <w:tcPr>
            <w:tcW w:w="1504"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58.93</w:t>
            </w:r>
          </w:p>
        </w:tc>
        <w:tc>
          <w:tcPr>
            <w:tcW w:w="1680" w:type="dxa"/>
            <w:tcBorders>
              <w:top w:val="nil"/>
              <w:left w:val="nil"/>
              <w:bottom w:val="single" w:color="auto" w:sz="4" w:space="0"/>
              <w:right w:val="single" w:color="auto" w:sz="4" w:space="0"/>
            </w:tcBorders>
            <w:shd w:val="clear" w:color="auto" w:fill="auto"/>
            <w:noWrap/>
            <w:vAlign w:val="center"/>
          </w:tcPr>
          <w:p>
            <w:pPr>
              <w:widowControl/>
              <w:jc w:val="righ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58.93</w:t>
            </w:r>
          </w:p>
        </w:tc>
        <w:tc>
          <w:tcPr>
            <w:tcW w:w="1459"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514"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9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47"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bl>
    <w:p>
      <w:pPr>
        <w:widowControl/>
        <w:jc w:val="both"/>
        <w:rPr>
          <w:rFonts w:ascii="Times New Roman" w:hAnsi="Times New Roman" w:eastAsia="方正小标宋_GBK" w:cs="Times New Roman"/>
          <w:color w:val="000000"/>
          <w:kern w:val="0"/>
          <w:sz w:val="36"/>
          <w:szCs w:val="21"/>
        </w:rPr>
      </w:pPr>
    </w:p>
    <w:p>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autofit"/>
        <w:tblCellMar>
          <w:top w:w="0" w:type="dxa"/>
          <w:left w:w="108" w:type="dxa"/>
          <w:bottom w:w="0" w:type="dxa"/>
          <w:right w:w="108" w:type="dxa"/>
        </w:tblCellMar>
      </w:tblPr>
      <w:tblGrid>
        <w:gridCol w:w="3595"/>
        <w:gridCol w:w="436"/>
        <w:gridCol w:w="1078"/>
        <w:gridCol w:w="3411"/>
        <w:gridCol w:w="632"/>
        <w:gridCol w:w="435"/>
        <w:gridCol w:w="1573"/>
        <w:gridCol w:w="1394"/>
        <w:gridCol w:w="1394"/>
        <w:gridCol w:w="1573"/>
      </w:tblGrid>
      <w:tr>
        <w:tblPrEx>
          <w:tblCellMar>
            <w:top w:w="0" w:type="dxa"/>
            <w:left w:w="108" w:type="dxa"/>
            <w:bottom w:w="0" w:type="dxa"/>
            <w:right w:w="108" w:type="dxa"/>
          </w:tblCellMar>
        </w:tblPrEx>
        <w:trPr>
          <w:trHeight w:val="360" w:hRule="atLeast"/>
        </w:trPr>
        <w:tc>
          <w:tcPr>
            <w:tcW w:w="15521" w:type="dxa"/>
            <w:gridSpan w:val="10"/>
            <w:tcBorders>
              <w:top w:val="nil"/>
              <w:left w:val="nil"/>
              <w:bottom w:val="nil"/>
              <w:right w:val="nil"/>
            </w:tcBorders>
            <w:shd w:val="clear" w:color="auto" w:fill="auto"/>
            <w:noWrap/>
            <w:vAlign w:val="center"/>
          </w:tcPr>
          <w:p>
            <w:pPr>
              <w:widowControl/>
              <w:jc w:val="center"/>
              <w:rPr>
                <w:rFonts w:hint="eastAsia" w:ascii="华文中宋" w:hAnsi="华文中宋" w:eastAsia="华文中宋" w:cs="宋体"/>
                <w:color w:val="000000"/>
                <w:kern w:val="0"/>
                <w:sz w:val="32"/>
                <w:szCs w:val="32"/>
              </w:rPr>
            </w:pPr>
            <w:bookmarkStart w:id="0" w:name="RANGE!A1:I22"/>
            <w:bookmarkEnd w:id="0"/>
            <w:bookmarkStart w:id="1" w:name="RANGE!A1:F16"/>
          </w:p>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43" w:type="dxa"/>
            <w:gridSpan w:val="2"/>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412" w:type="dxa"/>
            <w:gridSpan w:val="7"/>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1295.32</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54.6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54.6</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六、科学技术支出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0.9</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0.9</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0</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szCs w:val="22"/>
                <w:lang w:val="en-US" w:eastAsia="zh-CN" w:bidi="ar-SA"/>
              </w:rPr>
            </w:pPr>
            <w:r>
              <w:rPr>
                <w:rFonts w:hint="eastAsia" w:ascii="宋体" w:hAnsi="宋体" w:eastAsia="宋体" w:cs="宋体"/>
                <w:kern w:val="0"/>
                <w:sz w:val="22"/>
                <w:lang w:eastAsia="zh-CN"/>
              </w:rPr>
              <w:t>八、社会保障和就业支出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160.51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160.51</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40.48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40.48</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lang w:eastAsia="zh-CN"/>
              </w:rPr>
              <w:t>十二、农林水支出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1038.83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lang w:val="en-US"/>
              </w:rPr>
            </w:pPr>
            <w:r>
              <w:rPr>
                <w:rFonts w:hint="eastAsia" w:ascii="宋体" w:hAnsi="宋体" w:eastAsia="宋体" w:cs="宋体"/>
                <w:kern w:val="0"/>
                <w:sz w:val="22"/>
                <w:lang w:val="en-US" w:eastAsia="zh-CN"/>
              </w:rPr>
              <w:t>1038.83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4"/>
                <w:szCs w:val="24"/>
              </w:rPr>
            </w:pP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1295.32</w:t>
            </w: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kern w:val="0"/>
                <w:sz w:val="22"/>
                <w:szCs w:val="22"/>
                <w:lang w:val="en-US" w:eastAsia="zh-CN" w:bidi="ar-SA"/>
              </w:rPr>
            </w:pPr>
            <w:r>
              <w:rPr>
                <w:rFonts w:hint="eastAsia" w:ascii="宋体" w:hAnsi="宋体" w:eastAsia="宋体" w:cs="宋体"/>
                <w:kern w:val="0"/>
                <w:sz w:val="22"/>
              </w:rPr>
              <w:t>　</w:t>
            </w:r>
            <w:r>
              <w:rPr>
                <w:rFonts w:hint="eastAsia" w:ascii="宋体" w:hAnsi="宋体" w:eastAsia="宋体" w:cs="宋体"/>
                <w:kern w:val="0"/>
                <w:sz w:val="22"/>
                <w:lang w:val="en-US" w:eastAsia="zh-CN"/>
              </w:rPr>
              <w:t>1295.32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1295.32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411"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szCs w:val="22"/>
                <w:lang w:val="en-US" w:eastAsia="zh-CN" w:bidi="ar-SA"/>
              </w:rPr>
            </w:pPr>
            <w:r>
              <w:rPr>
                <w:rFonts w:hint="eastAsia" w:ascii="宋体" w:hAnsi="宋体" w:eastAsia="宋体" w:cs="宋体"/>
                <w:kern w:val="0"/>
                <w:sz w:val="22"/>
                <w:lang w:val="en-US" w:eastAsia="zh-CN"/>
              </w:rPr>
              <w:t>1295.32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1295.32</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CellMar>
            <w:top w:w="0" w:type="dxa"/>
            <w:left w:w="108" w:type="dxa"/>
            <w:bottom w:w="0" w:type="dxa"/>
            <w:right w:w="108" w:type="dxa"/>
          </w:tblCellMar>
        </w:tblPrEx>
        <w:trPr>
          <w:trHeight w:val="585" w:hRule="atLeast"/>
        </w:trPr>
        <w:tc>
          <w:tcPr>
            <w:tcW w:w="15521" w:type="dxa"/>
            <w:gridSpan w:val="10"/>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733"/>
        <w:gridCol w:w="2794"/>
        <w:gridCol w:w="3492"/>
        <w:gridCol w:w="3000"/>
      </w:tblGrid>
      <w:tr>
        <w:tblPrEx>
          <w:tblCellMar>
            <w:top w:w="0" w:type="dxa"/>
            <w:left w:w="108" w:type="dxa"/>
            <w:bottom w:w="0" w:type="dxa"/>
            <w:right w:w="108" w:type="dxa"/>
          </w:tblCellMar>
        </w:tblPrEx>
        <w:trPr>
          <w:trHeight w:val="405" w:hRule="atLeast"/>
          <w:jc w:val="center"/>
        </w:trPr>
        <w:tc>
          <w:tcPr>
            <w:tcW w:w="4933"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86"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33"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79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73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94"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733"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2794"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493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7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CellMar>
            <w:top w:w="0" w:type="dxa"/>
            <w:left w:w="108" w:type="dxa"/>
            <w:bottom w:w="0" w:type="dxa"/>
            <w:right w:w="108" w:type="dxa"/>
          </w:tblCellMar>
        </w:tblPrEx>
        <w:trPr>
          <w:trHeight w:val="450" w:hRule="atLeast"/>
          <w:jc w:val="center"/>
        </w:trPr>
        <w:tc>
          <w:tcPr>
            <w:tcW w:w="4933"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79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1295.32</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1013.88</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281.44　</w:t>
            </w:r>
          </w:p>
        </w:tc>
      </w:tr>
      <w:tr>
        <w:tblPrEx>
          <w:tblCellMar>
            <w:top w:w="0" w:type="dxa"/>
            <w:left w:w="108" w:type="dxa"/>
            <w:bottom w:w="0" w:type="dxa"/>
            <w:right w:w="108" w:type="dxa"/>
          </w:tblCellMar>
        </w:tblPrEx>
        <w:trPr>
          <w:trHeight w:val="55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201</w:t>
            </w:r>
            <w:r>
              <w:rPr>
                <w:rFonts w:ascii="Times New Roman" w:hAnsi="Times New Roman" w:eastAsia="仿宋_GB2312" w:cs="Times New Roman"/>
                <w:kern w:val="0"/>
                <w:szCs w:val="21"/>
              </w:rPr>
              <w:t>　</w:t>
            </w:r>
          </w:p>
        </w:tc>
        <w:tc>
          <w:tcPr>
            <w:tcW w:w="3733"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一般公共服务支出</w:t>
            </w:r>
          </w:p>
        </w:tc>
        <w:tc>
          <w:tcPr>
            <w:tcW w:w="279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54.6</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54.6</w:t>
            </w:r>
          </w:p>
        </w:tc>
      </w:tr>
      <w:tr>
        <w:tblPrEx>
          <w:tblCellMar>
            <w:top w:w="0" w:type="dxa"/>
            <w:left w:w="108" w:type="dxa"/>
            <w:bottom w:w="0" w:type="dxa"/>
            <w:right w:w="108" w:type="dxa"/>
          </w:tblCellMar>
        </w:tblPrEx>
        <w:trPr>
          <w:trHeight w:val="525"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2013299</w:t>
            </w:r>
          </w:p>
        </w:tc>
        <w:tc>
          <w:tcPr>
            <w:tcW w:w="3733"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其他组织事务支出</w:t>
            </w:r>
          </w:p>
        </w:tc>
        <w:tc>
          <w:tcPr>
            <w:tcW w:w="279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54.6</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54.6</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206</w:t>
            </w:r>
            <w:r>
              <w:rPr>
                <w:rFonts w:ascii="Times New Roman" w:hAnsi="Times New Roman" w:eastAsia="仿宋_GB2312" w:cs="Times New Roman"/>
                <w:kern w:val="0"/>
                <w:szCs w:val="21"/>
              </w:rPr>
              <w:t>　</w:t>
            </w:r>
          </w:p>
        </w:tc>
        <w:tc>
          <w:tcPr>
            <w:tcW w:w="3733"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科学技术支出</w:t>
            </w:r>
          </w:p>
        </w:tc>
        <w:tc>
          <w:tcPr>
            <w:tcW w:w="279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0.9</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0.9</w:t>
            </w:r>
          </w:p>
        </w:tc>
      </w:tr>
      <w:tr>
        <w:tblPrEx>
          <w:tblCellMar>
            <w:top w:w="0" w:type="dxa"/>
            <w:left w:w="108" w:type="dxa"/>
            <w:bottom w:w="0" w:type="dxa"/>
            <w:right w:w="108" w:type="dxa"/>
          </w:tblCellMar>
        </w:tblPrEx>
        <w:trPr>
          <w:trHeight w:val="54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2060302</w:t>
            </w:r>
            <w:r>
              <w:rPr>
                <w:rFonts w:ascii="Times New Roman" w:hAnsi="Times New Roman" w:eastAsia="仿宋_GB2312" w:cs="Times New Roman"/>
                <w:kern w:val="0"/>
                <w:szCs w:val="21"/>
              </w:rPr>
              <w:t>　</w:t>
            </w:r>
          </w:p>
        </w:tc>
        <w:tc>
          <w:tcPr>
            <w:tcW w:w="3733" w:type="dxa"/>
            <w:tcBorders>
              <w:top w:val="nil"/>
              <w:left w:val="nil"/>
              <w:bottom w:val="single" w:color="auto" w:sz="4"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社会公益研究</w:t>
            </w:r>
          </w:p>
        </w:tc>
        <w:tc>
          <w:tcPr>
            <w:tcW w:w="2794" w:type="dxa"/>
            <w:tcBorders>
              <w:top w:val="nil"/>
              <w:left w:val="nil"/>
              <w:bottom w:val="single" w:color="auto" w:sz="4"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0.9</w:t>
            </w:r>
          </w:p>
        </w:tc>
        <w:tc>
          <w:tcPr>
            <w:tcW w:w="3492" w:type="dxa"/>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0.9</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社会保障和就业支出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160.51</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160.51</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51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2080502</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事业单位离退休</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0.84</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0.84</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9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2080505</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机关事业单位基本养老保险缴费支出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67.17</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67.17</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58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2080599</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其他行政事业单位养老支出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92.5</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92.5</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57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卫生健康支出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40.48</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37.50</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2.98</w:t>
            </w:r>
          </w:p>
        </w:tc>
      </w:tr>
      <w:tr>
        <w:tblPrEx>
          <w:tblCellMar>
            <w:top w:w="0" w:type="dxa"/>
            <w:left w:w="108" w:type="dxa"/>
            <w:bottom w:w="0" w:type="dxa"/>
            <w:right w:w="108" w:type="dxa"/>
          </w:tblCellMar>
        </w:tblPrEx>
        <w:trPr>
          <w:trHeight w:val="642"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2100410</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突发公共卫生事件应急处理</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5.7</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2.72</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2.98</w:t>
            </w:r>
          </w:p>
        </w:tc>
      </w:tr>
      <w:tr>
        <w:tblPrEx>
          <w:tblCellMar>
            <w:top w:w="0" w:type="dxa"/>
            <w:left w:w="108" w:type="dxa"/>
            <w:bottom w:w="0" w:type="dxa"/>
            <w:right w:w="108" w:type="dxa"/>
          </w:tblCellMar>
        </w:tblPrEx>
        <w:trPr>
          <w:trHeight w:val="66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2101101</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行政单位医疗</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33.58</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34.78</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57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2101199</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 w:val="21"/>
                <w:szCs w:val="21"/>
                <w:lang w:val="en-US" w:eastAsia="zh-CN" w:bidi="ar-SA"/>
              </w:rPr>
            </w:pPr>
            <w:r>
              <w:rPr>
                <w:rFonts w:hint="eastAsia" w:ascii="Times New Roman" w:hAnsi="Times New Roman" w:eastAsia="仿宋_GB2312" w:cs="Times New Roman"/>
                <w:kern w:val="0"/>
                <w:szCs w:val="21"/>
                <w:lang w:eastAsia="zh-CN"/>
              </w:rPr>
              <w:t>其他行政事业单位医疗支出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1.2</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农林水支出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1038.83</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815.87</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222.96</w:t>
            </w:r>
          </w:p>
        </w:tc>
      </w:tr>
      <w:tr>
        <w:tblPrEx>
          <w:tblCellMar>
            <w:top w:w="0" w:type="dxa"/>
            <w:left w:w="108" w:type="dxa"/>
            <w:bottom w:w="0" w:type="dxa"/>
            <w:right w:w="108" w:type="dxa"/>
          </w:tblCellMar>
        </w:tblPrEx>
        <w:trPr>
          <w:trHeight w:val="61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2130101</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3.3</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2130104</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事业运行</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704.28</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631.74</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72.54</w:t>
            </w:r>
          </w:p>
        </w:tc>
      </w:tr>
      <w:tr>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2130106</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科技转化与推广服务</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42</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11.51</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30.49</w:t>
            </w:r>
          </w:p>
        </w:tc>
      </w:tr>
      <w:tr>
        <w:tblPrEx>
          <w:tblCellMar>
            <w:top w:w="0" w:type="dxa"/>
            <w:left w:w="108" w:type="dxa"/>
            <w:bottom w:w="0" w:type="dxa"/>
            <w:right w:w="108" w:type="dxa"/>
          </w:tblCellMar>
        </w:tblPrEx>
        <w:trPr>
          <w:trHeight w:val="57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2130122</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农业生产发展</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26.61</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26.61</w:t>
            </w:r>
          </w:p>
        </w:tc>
      </w:tr>
      <w:tr>
        <w:tblPrEx>
          <w:tblCellMar>
            <w:top w:w="0" w:type="dxa"/>
            <w:left w:w="108" w:type="dxa"/>
            <w:bottom w:w="0" w:type="dxa"/>
            <w:right w:w="108" w:type="dxa"/>
          </w:tblCellMar>
        </w:tblPrEx>
        <w:trPr>
          <w:trHeight w:val="61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2130135</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农业资源保护修复与利用</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15</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1.79</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13.21</w:t>
            </w:r>
          </w:p>
        </w:tc>
      </w:tr>
      <w:tr>
        <w:tblPrEx>
          <w:tblCellMar>
            <w:top w:w="0" w:type="dxa"/>
            <w:left w:w="108" w:type="dxa"/>
            <w:bottom w:w="0" w:type="dxa"/>
            <w:right w:w="108" w:type="dxa"/>
          </w:tblCellMar>
        </w:tblPrEx>
        <w:trPr>
          <w:trHeight w:val="57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2130199</w:t>
            </w:r>
            <w:r>
              <w:rPr>
                <w:rFonts w:ascii="Times New Roman" w:hAnsi="Times New Roman" w:eastAsia="仿宋_GB2312" w:cs="Times New Roman"/>
                <w:kern w:val="0"/>
                <w:szCs w:val="21"/>
              </w:rPr>
              <w:t>　</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eastAsia="zh-CN"/>
              </w:rPr>
              <w:t>其他农业农村支出</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111.72</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94.75</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16.97</w:t>
            </w:r>
          </w:p>
        </w:tc>
      </w:tr>
      <w:tr>
        <w:tblPrEx>
          <w:tblCellMar>
            <w:top w:w="0" w:type="dxa"/>
            <w:left w:w="108" w:type="dxa"/>
            <w:bottom w:w="0" w:type="dxa"/>
            <w:right w:w="108" w:type="dxa"/>
          </w:tblCellMar>
        </w:tblPrEx>
        <w:trPr>
          <w:trHeight w:val="58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2130206</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技术推广与转化</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77</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17.16</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59.84</w:t>
            </w:r>
          </w:p>
        </w:tc>
      </w:tr>
      <w:tr>
        <w:tblPrEx>
          <w:tblCellMar>
            <w:top w:w="0" w:type="dxa"/>
            <w:left w:w="108" w:type="dxa"/>
            <w:bottom w:w="0" w:type="dxa"/>
            <w:right w:w="108" w:type="dxa"/>
          </w:tblCellMar>
        </w:tblPrEx>
        <w:trPr>
          <w:trHeight w:val="615"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2130301</w:t>
            </w: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hint="eastAsia" w:ascii="Times New Roman" w:hAnsi="Times New Roman" w:eastAsia="仿宋_GB2312" w:cs="Times New Roman"/>
                <w:kern w:val="0"/>
                <w:szCs w:val="21"/>
                <w:lang w:eastAsia="zh-CN"/>
              </w:rPr>
            </w:pPr>
            <w:r>
              <w:rPr>
                <w:rFonts w:hint="eastAsia" w:ascii="Times New Roman" w:hAnsi="Times New Roman" w:eastAsia="仿宋_GB2312" w:cs="Times New Roman"/>
                <w:kern w:val="0"/>
                <w:szCs w:val="21"/>
                <w:lang w:eastAsia="zh-CN"/>
              </w:rPr>
              <w:t>行政运行</w:t>
            </w: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58.92</w:t>
            </w: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58.92</w:t>
            </w: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6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p>
        </w:tc>
        <w:tc>
          <w:tcPr>
            <w:tcW w:w="3733"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2794"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492" w:type="dxa"/>
            <w:tcBorders>
              <w:top w:val="nil"/>
              <w:left w:val="nil"/>
              <w:bottom w:val="single" w:color="auto" w:sz="8" w:space="0"/>
              <w:right w:val="single" w:color="auto" w:sz="4" w:space="0"/>
            </w:tcBorders>
            <w:shd w:val="clear" w:color="auto" w:fill="auto"/>
            <w:vAlign w:val="center"/>
          </w:tcPr>
          <w:p>
            <w:pPr>
              <w:widowControl/>
              <w:jc w:val="left"/>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pPr>
              <w:widowControl/>
              <w:jc w:val="left"/>
              <w:rPr>
                <w:rFonts w:ascii="Times New Roman" w:hAnsi="Times New Roman" w:eastAsia="仿宋_GB2312" w:cs="Times New Roman"/>
                <w:kern w:val="0"/>
                <w:szCs w:val="21"/>
              </w:rPr>
            </w:pPr>
          </w:p>
        </w:tc>
      </w:tr>
      <w:tr>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p>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0" w:type="auto"/>
        <w:tblInd w:w="0" w:type="dxa"/>
        <w:tblLayout w:type="autofit"/>
        <w:tblCellMar>
          <w:top w:w="0" w:type="dxa"/>
          <w:left w:w="108" w:type="dxa"/>
          <w:bottom w:w="0" w:type="dxa"/>
          <w:right w:w="108" w:type="dxa"/>
        </w:tblCellMar>
      </w:tblPr>
      <w:tblGrid>
        <w:gridCol w:w="963"/>
        <w:gridCol w:w="239"/>
        <w:gridCol w:w="91"/>
        <w:gridCol w:w="1251"/>
        <w:gridCol w:w="1965"/>
        <w:gridCol w:w="85"/>
        <w:gridCol w:w="829"/>
        <w:gridCol w:w="1171"/>
        <w:gridCol w:w="296"/>
        <w:gridCol w:w="1914"/>
        <w:gridCol w:w="142"/>
        <w:gridCol w:w="672"/>
        <w:gridCol w:w="1172"/>
        <w:gridCol w:w="343"/>
        <w:gridCol w:w="2023"/>
        <w:gridCol w:w="1642"/>
        <w:gridCol w:w="495"/>
        <w:gridCol w:w="321"/>
      </w:tblGrid>
      <w:tr>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CellMar>
            <w:top w:w="0" w:type="dxa"/>
            <w:left w:w="108" w:type="dxa"/>
            <w:bottom w:w="0" w:type="dxa"/>
            <w:right w:w="108" w:type="dxa"/>
          </w:tblCellMar>
        </w:tblPrEx>
        <w:trPr>
          <w:trHeight w:val="113" w:hRule="atLeast"/>
        </w:trPr>
        <w:tc>
          <w:tcPr>
            <w:tcW w:w="133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6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3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2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20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64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rPr>
            </w:pPr>
            <w:r>
              <w:rPr>
                <w:rFonts w:hint="eastAsia" w:ascii="宋体" w:hAnsi="宋体" w:eastAsia="宋体" w:cs="宋体"/>
                <w:color w:val="000000"/>
                <w:kern w:val="0"/>
                <w:szCs w:val="20"/>
                <w:lang w:val="en-US" w:eastAsia="zh-CN"/>
              </w:rPr>
              <w:t>850.05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48.195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243.26</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37"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248.87</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163.01</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1.56</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69.79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　</w:t>
            </w:r>
            <w:r>
              <w:rPr>
                <w:rFonts w:hint="eastAsia" w:ascii="宋体" w:hAnsi="宋体" w:eastAsia="宋体" w:cs="宋体"/>
                <w:color w:val="000000"/>
                <w:kern w:val="0"/>
                <w:szCs w:val="20"/>
                <w:lang w:val="en-US" w:eastAsia="zh-CN"/>
              </w:rPr>
              <w:t>6.33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51.69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3.65</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63.44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115.64</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0.08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0.21</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15.43</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96.32</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3.49</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6.48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17.35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3.48</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1.04</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0.19</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3.89</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0.45</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1338" w:type="dxa"/>
            <w:gridSpan w:val="3"/>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6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22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31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2.63</w:t>
            </w:r>
          </w:p>
        </w:tc>
        <w:tc>
          <w:tcPr>
            <w:tcW w:w="122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206"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CellMar>
            <w:top w:w="0" w:type="dxa"/>
            <w:left w:w="108" w:type="dxa"/>
            <w:bottom w:w="0" w:type="dxa"/>
            <w:right w:w="108" w:type="dxa"/>
          </w:tblCellMar>
        </w:tblPrEx>
        <w:trPr>
          <w:trHeight w:val="284" w:hRule="exact"/>
        </w:trPr>
        <w:tc>
          <w:tcPr>
            <w:tcW w:w="47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647"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965.698</w:t>
            </w:r>
          </w:p>
        </w:tc>
        <w:tc>
          <w:tcPr>
            <w:tcW w:w="9615"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648"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48.195</w:t>
            </w:r>
          </w:p>
        </w:tc>
      </w:tr>
      <w:tr>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2.55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1.15</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0"/>
        <w:rPr>
          <w:sz w:val="72"/>
          <w:szCs w:val="72"/>
        </w:rPr>
      </w:pPr>
    </w:p>
    <w:p>
      <w:pPr>
        <w:pStyle w:val="10"/>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0"/>
        <w:jc w:val="center"/>
        <w:rPr>
          <w:rFonts w:hint="eastAsia" w:ascii="方正小标宋_GBK" w:hAnsi="方正小标宋_GBK" w:eastAsia="方正小标宋_GBK" w:cs="方正小标宋_GBK"/>
          <w:sz w:val="70"/>
          <w:szCs w:val="70"/>
        </w:rPr>
      </w:pPr>
    </w:p>
    <w:p>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ind w:left="0" w:leftChars="0" w:firstLine="640" w:firstLineChars="200"/>
        <w:rPr>
          <w:rFonts w:hint="eastAsia" w:ascii="仿宋" w:hAnsi="仿宋" w:eastAsia="仿宋" w:cs="仿宋"/>
          <w:b w:val="0"/>
          <w:bCs w:val="0"/>
          <w:color w:val="auto"/>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1459.4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34.7</w:t>
      </w:r>
      <w:r>
        <w:rPr>
          <w:rFonts w:hint="eastAsia" w:ascii="Times New Roman" w:hAnsi="Times New Roman" w:eastAsia="仿宋_GB2312"/>
          <w:sz w:val="32"/>
          <w:szCs w:val="32"/>
        </w:rPr>
        <w:t>万元，增长减少</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%，主要是因为</w:t>
      </w:r>
      <w:r>
        <w:rPr>
          <w:rFonts w:hint="eastAsia" w:ascii="仿宋" w:hAnsi="仿宋" w:eastAsia="仿宋" w:cs="仿宋"/>
          <w:b w:val="0"/>
          <w:bCs w:val="0"/>
          <w:color w:val="auto"/>
          <w:kern w:val="0"/>
          <w:sz w:val="32"/>
          <w:szCs w:val="32"/>
          <w:lang w:val="en-US" w:eastAsia="zh-CN" w:bidi="ar-SA"/>
        </w:rPr>
        <w:t>科研项目及课题资金</w:t>
      </w:r>
      <w:r>
        <w:rPr>
          <w:rFonts w:hint="default" w:ascii="仿宋" w:hAnsi="仿宋" w:eastAsia="仿宋" w:cs="仿宋"/>
          <w:b w:val="0"/>
          <w:bCs w:val="0"/>
          <w:color w:val="auto"/>
          <w:kern w:val="0"/>
          <w:sz w:val="32"/>
          <w:szCs w:val="32"/>
          <w:lang w:val="en-US" w:eastAsia="zh-CN" w:bidi="ar-SA"/>
        </w:rPr>
        <w:t>减少</w:t>
      </w:r>
      <w:r>
        <w:rPr>
          <w:rFonts w:hint="eastAsia" w:ascii="仿宋" w:hAnsi="仿宋" w:eastAsia="仿宋" w:cs="仿宋"/>
          <w:b w:val="0"/>
          <w:bCs w:val="0"/>
          <w:color w:val="auto"/>
          <w:kern w:val="0"/>
          <w:sz w:val="32"/>
          <w:szCs w:val="32"/>
          <w:lang w:val="en-US" w:eastAsia="zh-CN" w:bidi="ar-SA"/>
        </w:rPr>
        <w:t>等。</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1459.4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1295.32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88.76</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8.52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0.58</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155.56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10.66</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1459.4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1113.57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76.3</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345.83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23.7</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ind w:left="0" w:leftChars="0" w:firstLine="640" w:firstLineChars="0"/>
        <w:rPr>
          <w:rFonts w:hint="eastAsia" w:ascii="仿宋" w:hAnsi="仿宋" w:eastAsia="仿宋" w:cs="仿宋"/>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highlight w:val="none"/>
          <w:lang w:val="en-US" w:eastAsia="zh-CN"/>
        </w:rPr>
        <w:t>1295.32</w:t>
      </w:r>
      <w:r>
        <w:rPr>
          <w:rFonts w:hint="eastAsia" w:ascii="Times New Roman" w:hAnsi="Times New Roman" w:eastAsia="仿宋_GB2312"/>
          <w:sz w:val="32"/>
          <w:szCs w:val="32"/>
          <w:highlight w:val="none"/>
        </w:rPr>
        <w:t>万</w:t>
      </w:r>
      <w:r>
        <w:rPr>
          <w:rFonts w:hint="eastAsia" w:ascii="Times New Roman" w:hAnsi="Times New Roman" w:eastAsia="仿宋_GB2312"/>
          <w:sz w:val="32"/>
          <w:szCs w:val="32"/>
        </w:rPr>
        <w:t>元，与上年相比，增加（减少）</w:t>
      </w:r>
      <w:r>
        <w:rPr>
          <w:rFonts w:hint="eastAsia" w:ascii="Times New Roman" w:hAnsi="Times New Roman" w:eastAsia="仿宋_GB2312"/>
          <w:sz w:val="32"/>
          <w:szCs w:val="32"/>
          <w:lang w:val="en-US" w:eastAsia="zh-CN"/>
        </w:rPr>
        <w:t>297.54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%，主要是因为</w:t>
      </w:r>
      <w:r>
        <w:rPr>
          <w:rFonts w:hint="eastAsia" w:ascii="仿宋" w:hAnsi="仿宋" w:eastAsia="仿宋" w:cs="仿宋"/>
          <w:color w:val="auto"/>
          <w:kern w:val="0"/>
          <w:sz w:val="32"/>
          <w:szCs w:val="32"/>
          <w:lang w:val="en-US" w:eastAsia="zh-CN" w:bidi="ar-SA"/>
        </w:rPr>
        <w:t>科研项目及课题预算资金</w:t>
      </w:r>
      <w:r>
        <w:rPr>
          <w:rFonts w:hint="default" w:ascii="仿宋" w:hAnsi="仿宋" w:eastAsia="仿宋" w:cs="仿宋"/>
          <w:color w:val="auto"/>
          <w:kern w:val="0"/>
          <w:sz w:val="32"/>
          <w:szCs w:val="32"/>
          <w:lang w:val="en-US" w:eastAsia="zh-CN" w:bidi="ar-SA"/>
        </w:rPr>
        <w:t>增加</w:t>
      </w:r>
      <w:r>
        <w:rPr>
          <w:rFonts w:hint="eastAsia" w:ascii="仿宋" w:hAnsi="仿宋" w:eastAsia="仿宋" w:cs="仿宋"/>
          <w:color w:val="auto"/>
          <w:kern w:val="0"/>
          <w:sz w:val="32"/>
          <w:szCs w:val="32"/>
          <w:lang w:val="en-US" w:eastAsia="zh-CN" w:bidi="ar-SA"/>
        </w:rPr>
        <w:t>等。</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（一）财政拨款支出决算总体情况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1295.32</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88.7</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181.8</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%，主要是因为</w:t>
      </w:r>
      <w:r>
        <w:rPr>
          <w:rFonts w:hint="eastAsia" w:ascii="仿宋" w:hAnsi="仿宋" w:eastAsia="仿宋" w:cs="仿宋"/>
          <w:color w:val="auto"/>
          <w:kern w:val="0"/>
          <w:sz w:val="32"/>
          <w:szCs w:val="32"/>
          <w:lang w:val="en-US" w:eastAsia="zh-CN" w:bidi="ar-SA"/>
        </w:rPr>
        <w:t>科研项目及课题</w:t>
      </w:r>
      <w:r>
        <w:rPr>
          <w:rFonts w:hint="default" w:ascii="仿宋" w:hAnsi="仿宋" w:eastAsia="仿宋" w:cs="仿宋"/>
          <w:color w:val="auto"/>
          <w:kern w:val="0"/>
          <w:sz w:val="32"/>
          <w:szCs w:val="32"/>
          <w:lang w:val="en-US" w:eastAsia="zh-CN" w:bidi="ar-SA"/>
        </w:rPr>
        <w:t>增加</w:t>
      </w:r>
      <w:r>
        <w:rPr>
          <w:rFonts w:hint="eastAsia" w:ascii="仿宋" w:hAnsi="仿宋" w:eastAsia="仿宋" w:cs="仿宋"/>
          <w:color w:val="auto"/>
          <w:kern w:val="0"/>
          <w:sz w:val="32"/>
          <w:szCs w:val="32"/>
          <w:lang w:val="en-US" w:eastAsia="zh-CN" w:bidi="ar-SA"/>
        </w:rPr>
        <w:t>。</w:t>
      </w:r>
    </w:p>
    <w:p>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（二）财政拨款支出决算结构情况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1295.32</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54.6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4.23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科学技术</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160.51万元，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12.4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40.48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；农林水</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1038.83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916.19</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1295.32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141</w:t>
      </w:r>
      <w:r>
        <w:rPr>
          <w:rFonts w:hint="eastAsia" w:ascii="Times New Roman" w:hAnsi="Times New Roman" w:eastAsia="仿宋_GB2312"/>
          <w:sz w:val="32"/>
          <w:szCs w:val="32"/>
        </w:rPr>
        <w:t>%，其中：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其他组织事务支出</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54.6万元，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54.6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w:t>
      </w:r>
      <w:r>
        <w:rPr>
          <w:rFonts w:hint="eastAsia" w:ascii="Times New Roman" w:hAnsi="Times New Roman" w:eastAsia="仿宋_GB2312"/>
          <w:sz w:val="32"/>
          <w:szCs w:val="32"/>
          <w:lang w:eastAsia="zh-CN"/>
        </w:rPr>
        <w:t>科学技术支出</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社会公益研究</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0.9万元，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0.9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3、社会保障和就业支出（事业单位离退休）。</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0.84万元，支出决算为0.84万元，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4、社会保障和就业支出（机关事业单位基本养老保险缴费支出）。</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67.17万元，支出决算为67.17万元，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5、社会保障和就业支出（其他行政事业单位养老支出）。</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92.5万元，支出决算为92.5万元，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6、卫生健康支出（突发公共卫生事件应急处理）</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5.7万元，支出决算为5.7万元，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卫生健康支出（行政单位医疗）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33.58万元，支出决算为33.58万元，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numPr>
          <w:ilvl w:val="0"/>
          <w:numId w:val="2"/>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卫生健康支出（其他行政事业单位医疗支出）</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1.2万元，支出决算为1.2万元，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9、农林水支出（行政运行）</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3.3万元，支出决算为3.3万元，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10、农林水支出（事业运行）</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704.28万元，支出决算为704.28万元，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11、农林水支出（科技转化与推广服务）</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42万元，支出决算为42万元，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12、农林水支出（农业生产发展）</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26.61万元，支出决算为26.61万元，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13、农林水支出（农业资源保护修复与利用）</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0万元，</w:t>
      </w:r>
      <w:r>
        <w:rPr>
          <w:rFonts w:hint="eastAsia" w:ascii="Times New Roman" w:hAnsi="Times New Roman" w:eastAsia="仿宋_GB2312"/>
          <w:sz w:val="32"/>
          <w:szCs w:val="32"/>
          <w:lang w:eastAsia="zh-CN"/>
        </w:rPr>
        <w:t>调整预算数为</w:t>
      </w:r>
      <w:r>
        <w:rPr>
          <w:rFonts w:hint="eastAsia" w:ascii="Times New Roman" w:hAnsi="Times New Roman" w:eastAsia="仿宋_GB2312"/>
          <w:sz w:val="32"/>
          <w:szCs w:val="32"/>
          <w:lang w:val="en-US" w:eastAsia="zh-CN"/>
        </w:rPr>
        <w:t>15万元，支出决算为15万元，</w:t>
      </w:r>
      <w:r>
        <w:rPr>
          <w:rFonts w:hint="eastAsia" w:ascii="Times New Roman" w:hAnsi="Times New Roman" w:eastAsia="仿宋_GB2312"/>
          <w:sz w:val="32"/>
          <w:szCs w:val="32"/>
        </w:rPr>
        <w:t>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14、农林水支出（其他农业农村支出）</w:t>
      </w:r>
    </w:p>
    <w:p>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111.72万元，支出决算为111.72万元，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15、农林水支出（技术推广与转化）</w:t>
      </w:r>
    </w:p>
    <w:p>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77万元，支出决算为77万元，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16、农林水支出（行政运行）</w:t>
      </w:r>
    </w:p>
    <w:p>
      <w:pPr>
        <w:pStyle w:val="10"/>
        <w:keepNext w:val="0"/>
        <w:keepLines w:val="0"/>
        <w:pageBreakBefore w:val="0"/>
        <w:widowControl w:val="0"/>
        <w:kinsoku/>
        <w:wordWrap/>
        <w:overflowPunct/>
        <w:topLinePunct w:val="0"/>
        <w:bidi w:val="0"/>
        <w:snapToGrid/>
        <w:spacing w:line="600" w:lineRule="exact"/>
        <w:ind w:firstLine="960" w:firstLineChars="3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年初预算为</w:t>
      </w:r>
      <w:r>
        <w:rPr>
          <w:rFonts w:hint="eastAsia" w:ascii="Times New Roman" w:hAnsi="Times New Roman" w:eastAsia="仿宋_GB2312"/>
          <w:sz w:val="32"/>
          <w:szCs w:val="32"/>
          <w:lang w:val="en-US" w:eastAsia="zh-CN"/>
        </w:rPr>
        <w:t>23.19万元，支出决算为58.92万元，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254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年中调整预算。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1013.88</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965.69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95.2</w:t>
      </w:r>
      <w:r>
        <w:rPr>
          <w:rFonts w:hint="eastAsia" w:ascii="Times New Roman" w:hAnsi="Times New Roman" w:eastAsia="仿宋_GB2312"/>
          <w:sz w:val="32"/>
          <w:szCs w:val="32"/>
        </w:rPr>
        <w:t>%,主要包括基本工资、津贴补贴、奖金、</w:t>
      </w:r>
      <w:r>
        <w:rPr>
          <w:rFonts w:hint="eastAsia" w:ascii="仿宋" w:hAnsi="仿宋" w:eastAsia="仿宋" w:cs="仿宋"/>
          <w:color w:val="auto"/>
          <w:kern w:val="0"/>
          <w:sz w:val="32"/>
          <w:szCs w:val="32"/>
          <w:lang w:val="en-US" w:eastAsia="zh-CN" w:bidi="ar-SA"/>
        </w:rPr>
        <w:t>津贴补贴、奖金、</w:t>
      </w:r>
      <w:r>
        <w:rPr>
          <w:rFonts w:hint="default" w:ascii="仿宋" w:hAnsi="仿宋" w:eastAsia="仿宋" w:cs="仿宋"/>
          <w:color w:val="auto"/>
          <w:kern w:val="0"/>
          <w:sz w:val="32"/>
          <w:szCs w:val="32"/>
          <w:lang w:val="en-US" w:eastAsia="zh-CN" w:bidi="ar-SA"/>
        </w:rPr>
        <w:t>绩效工资、</w:t>
      </w:r>
      <w:r>
        <w:rPr>
          <w:rFonts w:hint="eastAsia" w:ascii="仿宋" w:hAnsi="仿宋" w:eastAsia="仿宋" w:cs="仿宋"/>
          <w:color w:val="auto"/>
          <w:kern w:val="0"/>
          <w:sz w:val="32"/>
          <w:szCs w:val="32"/>
          <w:lang w:val="en-US" w:eastAsia="zh-CN" w:bidi="ar-SA"/>
        </w:rPr>
        <w:t>机关事业单位基本养老保险缴费、职业年金缴费、职工基本医疗保险缴费、其他社会保障缴费、住房公积金、退休费、生活补助、奖励金等</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 w:hAnsi="仿宋" w:eastAsia="仿宋" w:cs="仿宋"/>
          <w:color w:val="auto"/>
          <w:kern w:val="0"/>
          <w:sz w:val="32"/>
          <w:szCs w:val="32"/>
          <w:lang w:val="en-US" w:eastAsia="zh-CN" w:bidi="ar-SA"/>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48.19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%，主要包括办公费、</w:t>
      </w:r>
      <w:r>
        <w:rPr>
          <w:rFonts w:hint="eastAsia" w:ascii="仿宋" w:hAnsi="仿宋" w:eastAsia="仿宋" w:cs="仿宋"/>
          <w:color w:val="auto"/>
          <w:kern w:val="0"/>
          <w:sz w:val="32"/>
          <w:szCs w:val="32"/>
          <w:lang w:val="en-US" w:eastAsia="zh-CN" w:bidi="ar-SA"/>
        </w:rPr>
        <w:t>差旅费、公务接待费、劳务费、委托业务费、福利费、税金及附加费用等。</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r>
        <w:rPr>
          <w:rFonts w:hint="eastAsia" w:ascii="楷体" w:hAnsi="楷体" w:eastAsia="楷体" w:cs="楷体"/>
          <w:b/>
          <w:bCs/>
          <w:i/>
          <w:color w:val="auto"/>
          <w:sz w:val="32"/>
          <w:szCs w:val="32"/>
          <w:lang w:eastAsia="zh-CN"/>
        </w:rPr>
        <w:t>（注意：三公经费情况说明，往年为一般公共预算财政拨款口径，今年为财政拨款口径）</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2.55</w:t>
      </w:r>
      <w:r>
        <w:rPr>
          <w:rFonts w:hint="eastAsia" w:ascii="Times New Roman" w:hAnsi="Times New Roman" w:eastAsia="仿宋_GB2312"/>
          <w:sz w:val="32"/>
          <w:szCs w:val="32"/>
        </w:rPr>
        <w:t>万元，其中：</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万元，决算数大于预算数的主要原因是</w:t>
      </w:r>
      <w:r>
        <w:rPr>
          <w:rFonts w:hint="eastAsia" w:ascii="Times New Roman" w:hAnsi="Times New Roman" w:eastAsia="仿宋_GB2312"/>
          <w:sz w:val="32"/>
          <w:szCs w:val="32"/>
          <w:lang w:val="en-US" w:eastAsia="zh-CN"/>
        </w:rPr>
        <w:t>财政没有安排经费预算</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0.6</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val="en-US" w:eastAsia="zh-CN"/>
        </w:rPr>
        <w:t>项目课题增加，接待上级人次增加</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万元，决算数大于预算数的主要原因是</w:t>
      </w:r>
      <w:r>
        <w:rPr>
          <w:rFonts w:hint="eastAsia" w:ascii="Times New Roman" w:hAnsi="Times New Roman" w:eastAsia="仿宋_GB2312"/>
          <w:sz w:val="32"/>
          <w:szCs w:val="32"/>
          <w:lang w:val="en-US" w:eastAsia="zh-CN"/>
        </w:rPr>
        <w:t>财政没有安排经费预算</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0.95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82</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例行节约</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54.9</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45.1</w:t>
      </w:r>
      <w:r>
        <w:rPr>
          <w:rFonts w:hint="eastAsia" w:ascii="Times New Roman" w:hAnsi="Times New Roman" w:eastAsia="仿宋_GB2312"/>
          <w:sz w:val="32"/>
          <w:szCs w:val="32"/>
        </w:rPr>
        <w:t>%。其中：</w:t>
      </w:r>
    </w:p>
    <w:p>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次。</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150</w:t>
      </w:r>
      <w:r>
        <w:rPr>
          <w:rFonts w:hint="eastAsia" w:ascii="Times New Roman" w:hAnsi="Times New Roman" w:eastAsia="仿宋_GB2312"/>
          <w:sz w:val="32"/>
          <w:szCs w:val="32"/>
        </w:rPr>
        <w:t>人次（精确到个位数），主要是</w:t>
      </w:r>
      <w:r>
        <w:rPr>
          <w:rFonts w:hint="eastAsia" w:ascii="Times New Roman" w:hAnsi="Times New Roman" w:eastAsia="仿宋_GB2312"/>
          <w:sz w:val="32"/>
          <w:szCs w:val="32"/>
          <w:lang w:eastAsia="zh-CN"/>
        </w:rPr>
        <w:t>接待上级部门和</w:t>
      </w:r>
      <w:r>
        <w:rPr>
          <w:rFonts w:hint="eastAsia" w:ascii="Times New Roman" w:hAnsi="Times New Roman" w:eastAsia="仿宋_GB2312"/>
          <w:sz w:val="32"/>
          <w:szCs w:val="32"/>
          <w:lang w:val="en-US" w:eastAsia="zh-CN"/>
        </w:rPr>
        <w:t>科研项目课题专家考察、交流。</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万元，单位本级更新公务用车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车辆保险、燃油等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0"/>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本单位无政府性基金收支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b/>
          <w:sz w:val="32"/>
          <w:szCs w:val="32"/>
          <w:lang w:val="en-US" w:eastAsia="zh-CN"/>
        </w:rPr>
        <w:t>九、</w:t>
      </w:r>
      <w:r>
        <w:rPr>
          <w:rFonts w:hint="eastAsia" w:ascii="Times New Roman" w:hAnsi="Times New Roman" w:eastAsia="仿宋_GB2312"/>
          <w:b/>
          <w:sz w:val="32"/>
          <w:szCs w:val="32"/>
        </w:rPr>
        <w:t>国有资本经营预算财政拨款支出决算</w:t>
      </w:r>
      <w:r>
        <w:rPr>
          <w:rFonts w:hint="eastAsia" w:ascii="Times New Roman" w:hAnsi="Times New Roman" w:eastAsia="仿宋_GB2312"/>
          <w:b/>
          <w:sz w:val="32"/>
          <w:szCs w:val="32"/>
          <w:lang w:eastAsia="zh-CN"/>
        </w:rPr>
        <w:t>情况</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2022年度本单位无国有资本经营收支</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lang w:eastAsia="zh-CN"/>
        </w:rPr>
        <w:t>十</w:t>
      </w:r>
      <w:r>
        <w:rPr>
          <w:rFonts w:hint="eastAsia" w:ascii="Times New Roman" w:hAnsi="Times New Roman" w:eastAsia="仿宋_GB2312"/>
          <w:b/>
          <w:sz w:val="32"/>
          <w:szCs w:val="32"/>
        </w:rPr>
        <w:t>、关于机关运行经费支出说明</w:t>
      </w:r>
      <w:bookmarkStart w:id="3" w:name="_GoBack"/>
      <w:bookmarkEnd w:id="3"/>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104.55</w:t>
      </w:r>
      <w:r>
        <w:rPr>
          <w:rFonts w:hint="eastAsia" w:ascii="Times New Roman" w:hAnsi="Times New Roman" w:eastAsia="仿宋_GB2312"/>
          <w:sz w:val="32"/>
          <w:szCs w:val="32"/>
        </w:rPr>
        <w:t>万元，比年初预算数增加（</w:t>
      </w:r>
      <w:r>
        <w:rPr>
          <w:rFonts w:hint="eastAsia" w:ascii="Times New Roman" w:hAnsi="Times New Roman" w:eastAsia="仿宋_GB2312"/>
          <w:sz w:val="32"/>
          <w:szCs w:val="32"/>
          <w:lang w:val="en-US" w:eastAsia="zh-CN"/>
        </w:rPr>
        <w:t>32.55</w:t>
      </w:r>
      <w:r>
        <w:rPr>
          <w:rFonts w:hint="eastAsia" w:ascii="Times New Roman" w:hAnsi="Times New Roman" w:eastAsia="仿宋_GB2312"/>
          <w:sz w:val="32"/>
          <w:szCs w:val="32"/>
        </w:rPr>
        <w:t xml:space="preserve"> 万元，增长</w:t>
      </w: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增加了专用材料费和委托业务费的支出。</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一</w:t>
      </w:r>
      <w:r>
        <w:rPr>
          <w:rFonts w:hint="eastAsia" w:ascii="黑体" w:hAnsi="黑体" w:eastAsia="黑体" w:cs="黑体"/>
          <w:b w:val="0"/>
          <w:bCs/>
          <w:sz w:val="32"/>
          <w:szCs w:val="32"/>
        </w:rPr>
        <w:t>、一般性支出情况说明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0.08</w:t>
      </w:r>
      <w:r>
        <w:rPr>
          <w:rFonts w:hint="eastAsia" w:ascii="Times New Roman" w:hAnsi="Times New Roman" w:eastAsia="仿宋_GB2312"/>
          <w:sz w:val="32"/>
          <w:szCs w:val="32"/>
        </w:rPr>
        <w:t>万元，用于召开</w:t>
      </w:r>
      <w:r>
        <w:rPr>
          <w:rFonts w:hint="eastAsia" w:ascii="Times New Roman" w:hAnsi="Times New Roman" w:eastAsia="仿宋_GB2312"/>
          <w:sz w:val="32"/>
          <w:szCs w:val="32"/>
          <w:lang w:val="en-US" w:eastAsia="zh-CN"/>
        </w:rPr>
        <w:t>项目验收</w:t>
      </w:r>
      <w:r>
        <w:rPr>
          <w:rFonts w:hint="eastAsia" w:ascii="Times New Roman" w:hAnsi="Times New Roman" w:eastAsia="仿宋_GB2312"/>
          <w:sz w:val="32"/>
          <w:szCs w:val="32"/>
        </w:rPr>
        <w:t>会议，人数</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项目验收</w:t>
      </w: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0.11</w:t>
      </w:r>
      <w:r>
        <w:rPr>
          <w:rFonts w:hint="eastAsia" w:ascii="Times New Roman" w:hAnsi="Times New Roman" w:eastAsia="仿宋_GB2312"/>
          <w:sz w:val="32"/>
          <w:szCs w:val="32"/>
        </w:rPr>
        <w:t>万元，用于</w:t>
      </w:r>
      <w:r>
        <w:rPr>
          <w:rFonts w:hint="eastAsia" w:ascii="Times New Roman" w:hAnsi="Times New Roman" w:eastAsia="仿宋_GB2312"/>
          <w:sz w:val="32"/>
          <w:szCs w:val="32"/>
          <w:lang w:eastAsia="zh-CN"/>
        </w:rPr>
        <w:t>在职人员继续教育和参加上级组织的</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项目人员培训</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二</w:t>
      </w:r>
      <w:r>
        <w:rPr>
          <w:rFonts w:hint="eastAsia" w:ascii="黑体" w:hAnsi="黑体" w:eastAsia="黑体" w:cs="黑体"/>
          <w:b w:val="0"/>
          <w:bCs/>
          <w:sz w:val="32"/>
          <w:szCs w:val="32"/>
        </w:rPr>
        <w:t>、关于政府采购支出说明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三</w:t>
      </w:r>
      <w:r>
        <w:rPr>
          <w:rFonts w:hint="eastAsia" w:ascii="黑体" w:hAnsi="黑体" w:eastAsia="黑体" w:cs="黑体"/>
          <w:b w:val="0"/>
          <w:bCs/>
          <w:sz w:val="32"/>
          <w:szCs w:val="32"/>
        </w:rPr>
        <w:t>、关于国有资产占用情况说明</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项目物质运输</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eastAsia="zh-CN"/>
        </w:rPr>
        <w:t>四</w:t>
      </w:r>
      <w:r>
        <w:rPr>
          <w:rFonts w:hint="eastAsia" w:ascii="黑体" w:hAnsi="黑体" w:eastAsia="黑体" w:cs="黑体"/>
          <w:b w:val="0"/>
          <w:bCs/>
          <w:sz w:val="32"/>
          <w:szCs w:val="32"/>
        </w:rPr>
        <w:t>、关于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（一）</w:t>
      </w:r>
      <w:r>
        <w:rPr>
          <w:rFonts w:hint="eastAsia" w:ascii="楷体" w:hAnsi="楷体" w:eastAsia="楷体" w:cs="楷体"/>
          <w:b/>
          <w:bCs/>
          <w:sz w:val="32"/>
          <w:szCs w:val="32"/>
        </w:rPr>
        <w:t>部门整体支出绩效情况</w:t>
      </w:r>
    </w:p>
    <w:p>
      <w:pPr>
        <w:pStyle w:val="5"/>
        <w:spacing w:before="0" w:beforeAutospacing="0" w:after="0" w:afterAutospacing="0" w:line="560" w:lineRule="exact"/>
        <w:ind w:firstLine="640" w:firstLineChars="200"/>
        <w:jc w:val="both"/>
        <w:rPr>
          <w:rFonts w:ascii="仿宋_GB2312" w:hAnsi="仿宋" w:eastAsia="仿宋_GB2312" w:cs="仿宋"/>
          <w:sz w:val="32"/>
          <w:szCs w:val="32"/>
        </w:rPr>
      </w:pPr>
      <w:r>
        <w:rPr>
          <w:rFonts w:hint="eastAsia" w:ascii="仿宋_GB2312" w:hAnsi="仿宋" w:eastAsia="仿宋_GB2312" w:cs="仿宋"/>
          <w:kern w:val="2"/>
          <w:sz w:val="32"/>
          <w:szCs w:val="32"/>
        </w:rPr>
        <w:t>今年，我</w:t>
      </w:r>
      <w:r>
        <w:rPr>
          <w:rFonts w:hint="eastAsia" w:ascii="仿宋_GB2312" w:hAnsi="仿宋" w:eastAsia="仿宋_GB2312" w:cs="仿宋"/>
          <w:kern w:val="2"/>
          <w:sz w:val="32"/>
          <w:szCs w:val="32"/>
          <w:lang w:eastAsia="zh-CN"/>
        </w:rPr>
        <w:t>院</w:t>
      </w:r>
      <w:r>
        <w:rPr>
          <w:rFonts w:hint="eastAsia" w:ascii="仿宋_GB2312" w:hAnsi="仿宋" w:eastAsia="仿宋_GB2312" w:cs="仿宋"/>
          <w:kern w:val="2"/>
          <w:sz w:val="32"/>
          <w:szCs w:val="32"/>
        </w:rPr>
        <w:t>科研坚持需求导向和问题导向，紧紧围绕我市农业特色优势产业发展布局学科建设、设置科研课题，涉及水稻、旱粮、蔬菜、畜牧等6个方面，不断拓宽科研领域广度、延展科研项目深度、增加科研成果厚度，成效显著。</w:t>
      </w:r>
    </w:p>
    <w:p>
      <w:pPr>
        <w:numPr>
          <w:ilvl w:val="0"/>
          <w:numId w:val="3"/>
        </w:numPr>
        <w:spacing w:line="560" w:lineRule="exact"/>
        <w:ind w:firstLine="640" w:firstLineChars="200"/>
        <w:rPr>
          <w:rFonts w:hint="eastAsia" w:ascii="仿宋_GB2312" w:hAnsi="仿宋" w:eastAsia="仿宋_GB2312" w:cs="仿宋"/>
          <w:b/>
          <w:bCs/>
          <w:sz w:val="32"/>
          <w:szCs w:val="32"/>
        </w:rPr>
      </w:pPr>
      <w:r>
        <w:rPr>
          <w:rFonts w:hint="eastAsia" w:ascii="仿宋_GB2312" w:hAnsi="仿宋" w:eastAsia="仿宋_GB2312" w:cs="仿宋"/>
          <w:b/>
          <w:bCs/>
          <w:sz w:val="32"/>
          <w:szCs w:val="32"/>
        </w:rPr>
        <w:t>加强科技创新研究，科研成效得到突显。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000000"/>
          <w:kern w:val="2"/>
          <w:sz w:val="32"/>
          <w:szCs w:val="32"/>
          <w:vertAlign w:val="baseline"/>
          <w:lang w:val="en-US" w:eastAsia="zh-CN" w:bidi="ar-SA"/>
        </w:rPr>
      </w:pPr>
      <w:r>
        <w:rPr>
          <w:rFonts w:hint="eastAsia" w:ascii="仿宋_GB2312" w:hAnsi="仿宋_GB2312" w:eastAsia="仿宋_GB2312" w:cs="仿宋_GB2312"/>
          <w:i w:val="0"/>
          <w:caps w:val="0"/>
          <w:color w:val="auto"/>
          <w:spacing w:val="0"/>
          <w:sz w:val="32"/>
          <w:szCs w:val="32"/>
          <w:lang w:val="en-US" w:eastAsia="zh-CN"/>
        </w:rPr>
        <w:t>今年全院</w:t>
      </w:r>
      <w:r>
        <w:rPr>
          <w:rFonts w:hint="eastAsia" w:ascii="仿宋_GB2312" w:hAnsi="仿宋_GB2312" w:eastAsia="仿宋_GB2312" w:cs="仿宋_GB2312"/>
          <w:i w:val="0"/>
          <w:caps w:val="0"/>
          <w:color w:val="auto"/>
          <w:spacing w:val="0"/>
          <w:sz w:val="32"/>
          <w:szCs w:val="32"/>
          <w:lang w:eastAsia="zh-CN"/>
        </w:rPr>
        <w:t>实施科研项目</w:t>
      </w:r>
      <w:r>
        <w:rPr>
          <w:rFonts w:hint="eastAsia" w:ascii="仿宋_GB2312" w:hAnsi="仿宋_GB2312" w:eastAsia="仿宋_GB2312" w:cs="仿宋_GB2312"/>
          <w:i w:val="0"/>
          <w:caps w:val="0"/>
          <w:color w:val="auto"/>
          <w:spacing w:val="0"/>
          <w:sz w:val="32"/>
          <w:szCs w:val="32"/>
          <w:lang w:val="en-US" w:eastAsia="zh-CN"/>
        </w:rPr>
        <w:t>46个，较2021年增加15个。</w:t>
      </w:r>
      <w:r>
        <w:rPr>
          <w:rFonts w:hint="eastAsia" w:ascii="仿宋_GB2312" w:hAnsi="仿宋_GB2312" w:eastAsia="仿宋_GB2312" w:cs="仿宋_GB2312"/>
          <w:i w:val="0"/>
          <w:caps w:val="0"/>
          <w:color w:val="auto"/>
          <w:spacing w:val="0"/>
          <w:sz w:val="32"/>
          <w:szCs w:val="32"/>
          <w:lang w:eastAsia="zh-CN"/>
        </w:rPr>
        <w:t>狠抓项目实施的管理、调度和考核，</w:t>
      </w:r>
      <w:r>
        <w:rPr>
          <w:rFonts w:hint="eastAsia" w:ascii="仿宋_GB2312" w:hAnsi="仿宋_GB2312" w:eastAsia="仿宋_GB2312" w:cs="仿宋_GB2312"/>
          <w:color w:val="000000"/>
          <w:kern w:val="2"/>
          <w:sz w:val="32"/>
          <w:szCs w:val="32"/>
          <w:vertAlign w:val="baseline"/>
          <w:lang w:val="en-US" w:eastAsia="zh-CN" w:bidi="ar-SA"/>
        </w:rPr>
        <w:t>所有项目均顺利完成，实施质量与效果均有较大提升。有</w:t>
      </w:r>
      <w:r>
        <w:rPr>
          <w:rFonts w:hint="eastAsia" w:ascii="仿宋_GB2312" w:hAnsi="仿宋_GB2312" w:eastAsia="仿宋_GB2312" w:cs="仿宋_GB2312"/>
          <w:color w:val="000000"/>
          <w:sz w:val="32"/>
          <w:szCs w:val="32"/>
          <w:vertAlign w:val="baseline"/>
          <w:lang w:val="en" w:eastAsia="zh-CN"/>
        </w:rPr>
        <w:t>4个葡萄品种通过审核，</w:t>
      </w:r>
      <w:r>
        <w:rPr>
          <w:rFonts w:hint="eastAsia" w:ascii="仿宋_GB2312" w:hAnsi="仿宋_GB2312" w:eastAsia="仿宋_GB2312" w:cs="仿宋_GB2312"/>
          <w:color w:val="000000"/>
          <w:sz w:val="32"/>
          <w:szCs w:val="32"/>
          <w:vertAlign w:val="baseline"/>
          <w:lang w:val="en-US" w:eastAsia="zh-CN"/>
        </w:rPr>
        <w:t>7个农作物品种正在开展品种认定，6个水稻新品种参加省中稻联合品比试验，</w:t>
      </w:r>
      <w:r>
        <w:rPr>
          <w:rFonts w:hint="eastAsia" w:ascii="仿宋_GB2312" w:hAnsi="仿宋_GB2312" w:eastAsia="仿宋_GB2312" w:cs="仿宋_GB2312"/>
          <w:color w:val="000000"/>
          <w:sz w:val="32"/>
          <w:szCs w:val="32"/>
          <w:lang w:val="en-US" w:eastAsia="zh-CN"/>
        </w:rPr>
        <w:t>88份</w:t>
      </w:r>
      <w:r>
        <w:rPr>
          <w:rFonts w:hint="eastAsia" w:ascii="仿宋_GB2312" w:hAnsi="仿宋_GB2312" w:eastAsia="仿宋_GB2312" w:cs="仿宋_GB2312"/>
          <w:color w:val="000000"/>
          <w:sz w:val="32"/>
          <w:szCs w:val="32"/>
          <w:vertAlign w:val="baseline"/>
          <w:lang w:val="en-US" w:eastAsia="zh-CN"/>
        </w:rPr>
        <w:t>种质资源</w:t>
      </w:r>
      <w:r>
        <w:rPr>
          <w:rFonts w:hint="eastAsia" w:ascii="仿宋_GB2312" w:hAnsi="仿宋_GB2312" w:eastAsia="仿宋_GB2312" w:cs="仿宋_GB2312"/>
          <w:color w:val="000000"/>
          <w:sz w:val="32"/>
          <w:szCs w:val="32"/>
          <w:lang w:val="en-US" w:eastAsia="zh-CN"/>
        </w:rPr>
        <w:t>材料已提交给国家、省农作物种质资源库</w:t>
      </w:r>
      <w:r>
        <w:rPr>
          <w:rFonts w:hint="eastAsia" w:ascii="仿宋_GB2312" w:hAnsi="仿宋_GB2312" w:eastAsia="仿宋_GB2312" w:cs="仿宋_GB2312"/>
          <w:color w:val="000000"/>
          <w:kern w:val="2"/>
          <w:sz w:val="32"/>
          <w:szCs w:val="32"/>
          <w:vertAlign w:val="baseline"/>
          <w:lang w:val="en-US" w:eastAsia="zh-CN" w:bidi="ar-SA"/>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eastAsia="仿宋_GB2312"/>
          <w:b w:val="0"/>
          <w:bCs w:val="0"/>
          <w:sz w:val="32"/>
          <w:szCs w:val="32"/>
          <w:lang w:val="en-US" w:eastAsia="zh-CN"/>
        </w:rPr>
      </w:pPr>
      <w:r>
        <w:rPr>
          <w:rFonts w:hint="eastAsia" w:ascii="仿宋_GB2312" w:hAnsi="仿宋_GB2312" w:eastAsia="仿宋_GB2312" w:cs="仿宋_GB2312"/>
          <w:b/>
          <w:bCs/>
          <w:color w:val="000000"/>
          <w:kern w:val="2"/>
          <w:sz w:val="32"/>
          <w:szCs w:val="32"/>
          <w:vertAlign w:val="baseline"/>
          <w:lang w:val="en-US" w:eastAsia="zh-CN" w:bidi="ar-SA"/>
        </w:rPr>
        <w:t>水稻研究持续出彩</w:t>
      </w:r>
      <w:r>
        <w:rPr>
          <w:rFonts w:hint="eastAsia" w:ascii="仿宋_GB2312" w:hAnsi="仿宋_GB2312" w:eastAsia="仿宋_GB2312" w:cs="仿宋_GB2312"/>
          <w:color w:val="000000"/>
          <w:kern w:val="2"/>
          <w:sz w:val="32"/>
          <w:szCs w:val="32"/>
          <w:vertAlign w:val="baseline"/>
          <w:lang w:val="en-US" w:eastAsia="zh-CN" w:bidi="ar-SA"/>
        </w:rPr>
        <w:t>。</w:t>
      </w:r>
      <w:r>
        <w:rPr>
          <w:rFonts w:hint="eastAsia" w:ascii="仿宋_GB2312" w:hAnsi="仿宋_GB2312" w:eastAsia="仿宋_GB2312" w:cs="仿宋_GB2312"/>
          <w:color w:val="000000"/>
          <w:sz w:val="32"/>
          <w:szCs w:val="32"/>
          <w:vertAlign w:val="baseline"/>
          <w:lang w:val="en-US" w:eastAsia="zh-CN"/>
        </w:rPr>
        <w:t>6个水稻新品种参加2022年湖南省中稻联合品比试验，“</w:t>
      </w:r>
      <w:r>
        <w:rPr>
          <w:rFonts w:hint="eastAsia" w:ascii="仿宋_GB2312" w:hAnsi="仿宋_GB2312" w:eastAsia="仿宋_GB2312" w:cs="仿宋_GB2312"/>
          <w:color w:val="000000"/>
          <w:kern w:val="2"/>
          <w:sz w:val="32"/>
          <w:szCs w:val="32"/>
          <w:vertAlign w:val="baseline"/>
          <w:lang w:val="en-US" w:eastAsia="zh-CN" w:bidi="ar-SA"/>
        </w:rPr>
        <w:t>裕两优华湘明珠</w:t>
      </w:r>
      <w:r>
        <w:rPr>
          <w:rFonts w:hint="eastAsia" w:ascii="仿宋_GB2312" w:hAnsi="仿宋_GB2312" w:eastAsia="仿宋_GB2312" w:cs="仿宋_GB2312"/>
          <w:color w:val="000000"/>
          <w:sz w:val="32"/>
          <w:szCs w:val="32"/>
          <w:vertAlign w:val="baseline"/>
          <w:lang w:val="en-US" w:eastAsia="zh-CN"/>
        </w:rPr>
        <w:t>”</w:t>
      </w:r>
      <w:r>
        <w:rPr>
          <w:rFonts w:hint="eastAsia" w:ascii="仿宋_GB2312" w:hAnsi="仿宋_GB2312" w:eastAsia="仿宋_GB2312" w:cs="仿宋_GB2312"/>
          <w:color w:val="000000"/>
          <w:kern w:val="2"/>
          <w:sz w:val="32"/>
          <w:szCs w:val="32"/>
          <w:vertAlign w:val="baseline"/>
          <w:lang w:val="en-US" w:eastAsia="zh-CN" w:bidi="ar-SA"/>
        </w:rPr>
        <w:t>综合性状优良，进入2023年国家长江中下游中籼迟熟组区试。</w:t>
      </w:r>
      <w:r>
        <w:rPr>
          <w:rFonts w:hint="eastAsia" w:ascii="仿宋_GB2312" w:hAnsi="仿宋_GB2312" w:eastAsia="仿宋_GB2312" w:cs="仿宋_GB2312"/>
          <w:color w:val="000000"/>
          <w:sz w:val="32"/>
          <w:szCs w:val="32"/>
          <w:vertAlign w:val="baseline"/>
          <w:lang w:val="en-US" w:eastAsia="zh-CN"/>
        </w:rPr>
        <w:t>水稻品种“侗藏红丝苗”即将开展品种认定。在海南南繁、中方顺福和黄岩基地培育</w:t>
      </w:r>
      <w:r>
        <w:rPr>
          <w:rFonts w:hint="eastAsia" w:ascii="仿宋_GB2312" w:hAnsi="仿宋_GB2312" w:eastAsia="仿宋_GB2312" w:cs="仿宋_GB2312"/>
          <w:b w:val="0"/>
          <w:bCs w:val="0"/>
          <w:color w:val="000000"/>
          <w:sz w:val="32"/>
          <w:szCs w:val="32"/>
          <w:lang w:val="en-US" w:eastAsia="zh-CN"/>
        </w:rPr>
        <w:t>“</w:t>
      </w:r>
      <w:r>
        <w:rPr>
          <w:rFonts w:hint="eastAsia" w:ascii="仿宋_GB2312" w:hAnsi="仿宋_GB2312" w:eastAsia="仿宋_GB2312" w:cs="仿宋_GB2312"/>
          <w:color w:val="000000"/>
          <w:sz w:val="32"/>
          <w:szCs w:val="32"/>
          <w:lang w:val="en-US" w:eastAsia="zh-CN"/>
        </w:rPr>
        <w:t>粘两优</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“裕怀S”等新型不育系</w:t>
      </w:r>
      <w:r>
        <w:rPr>
          <w:rFonts w:hint="eastAsia" w:ascii="仿宋_GB2312" w:hAnsi="仿宋_GB2312" w:eastAsia="仿宋_GB2312" w:cs="仿宋_GB2312"/>
          <w:b w:val="0"/>
          <w:bCs w:val="0"/>
          <w:color w:val="000000"/>
          <w:kern w:val="2"/>
          <w:sz w:val="32"/>
          <w:szCs w:val="32"/>
          <w:lang w:val="en-US" w:eastAsia="zh-CN"/>
        </w:rPr>
        <w:t>材料3万余份，</w:t>
      </w:r>
      <w:r>
        <w:rPr>
          <w:rFonts w:hint="eastAsia" w:ascii="仿宋_GB2312" w:hAnsi="仿宋_GB2312" w:eastAsia="仿宋_GB2312" w:cs="仿宋_GB2312"/>
          <w:color w:val="000000"/>
          <w:sz w:val="32"/>
          <w:szCs w:val="32"/>
          <w:vertAlign w:val="baseline"/>
          <w:lang w:val="en-US" w:eastAsia="zh-CN"/>
        </w:rPr>
        <w:t>1100余个新组合</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vertAlign w:val="baseline"/>
          <w:lang w:val="en-US" w:eastAsia="zh-CN"/>
        </w:rPr>
        <w:t>加快培育筛选新型杂交稻组合</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bCs/>
          <w:color w:val="000000"/>
          <w:kern w:val="2"/>
          <w:sz w:val="32"/>
          <w:szCs w:val="32"/>
          <w:vertAlign w:val="baseline"/>
          <w:lang w:val="en-US" w:eastAsia="zh-CN" w:bidi="ar-SA"/>
        </w:rPr>
        <w:t>果树研究</w:t>
      </w:r>
      <w:r>
        <w:rPr>
          <w:rFonts w:hint="eastAsia" w:ascii="仿宋_GB2312" w:hAnsi="仿宋_GB2312" w:eastAsia="仿宋_GB2312" w:cs="仿宋_GB2312"/>
          <w:b/>
          <w:bCs/>
          <w:color w:val="000000"/>
          <w:sz w:val="32"/>
          <w:szCs w:val="32"/>
          <w:lang w:eastAsia="zh-CN"/>
        </w:rPr>
        <w:t>成果突出</w:t>
      </w:r>
      <w:r>
        <w:rPr>
          <w:rFonts w:hint="eastAsia" w:ascii="仿宋_GB2312" w:hAnsi="仿宋_GB2312" w:eastAsia="仿宋_GB2312" w:cs="仿宋_GB2312"/>
          <w:b/>
          <w:bCs/>
          <w:color w:val="000000"/>
          <w:kern w:val="2"/>
          <w:sz w:val="32"/>
          <w:szCs w:val="32"/>
          <w:vertAlign w:val="baseline"/>
          <w:lang w:val="en-US" w:eastAsia="zh-CN" w:bidi="ar-SA"/>
        </w:rPr>
        <w:t>。</w:t>
      </w:r>
      <w:r>
        <w:rPr>
          <w:rFonts w:hint="default" w:ascii="仿宋_GB2312" w:hAnsi="仿宋_GB2312" w:eastAsia="仿宋_GB2312" w:cs="仿宋_GB2312"/>
          <w:color w:val="000000"/>
          <w:sz w:val="32"/>
          <w:szCs w:val="32"/>
          <w:vertAlign w:val="baseline"/>
          <w:lang w:val="en" w:eastAsia="zh-CN"/>
        </w:rPr>
        <w:t>4个葡萄品种已经通过</w:t>
      </w:r>
      <w:r>
        <w:rPr>
          <w:rFonts w:hint="eastAsia" w:ascii="仿宋_GB2312" w:hAnsi="仿宋_GB2312" w:eastAsia="仿宋_GB2312" w:cs="仿宋_GB2312"/>
          <w:color w:val="000000"/>
          <w:sz w:val="32"/>
          <w:szCs w:val="32"/>
          <w:vertAlign w:val="baseline"/>
          <w:lang w:val="en" w:eastAsia="zh-CN"/>
        </w:rPr>
        <w:t>云南省种子管理站审核，</w:t>
      </w:r>
      <w:r>
        <w:rPr>
          <w:rFonts w:hint="eastAsia" w:ascii="仿宋_GB2312" w:hAnsi="仿宋_GB2312" w:eastAsia="仿宋_GB2312" w:cs="仿宋_GB2312"/>
          <w:color w:val="000000"/>
          <w:sz w:val="32"/>
          <w:szCs w:val="32"/>
          <w:vertAlign w:val="baseline"/>
          <w:lang w:val="en-US" w:eastAsia="zh-CN"/>
        </w:rPr>
        <w:t>2个柑橘新品种目前处于DUS测试及中试阶段。湖南省中早熟柑橘优势特色产业集群项目建设如火如荼，</w:t>
      </w:r>
      <w:r>
        <w:rPr>
          <w:rFonts w:hint="eastAsia" w:ascii="仿宋_GB2312" w:hAnsi="仿宋_GB2312" w:eastAsia="仿宋_GB2312" w:cs="仿宋_GB2312"/>
          <w:color w:val="000000"/>
          <w:sz w:val="32"/>
          <w:szCs w:val="32"/>
          <w:lang w:val="en-US" w:eastAsia="zh-CN"/>
        </w:rPr>
        <w:t>收集到冰糖橙、锦秀等柑橘优质品种23个，在辰溪黄溪口和中方下坪培育容器无病毒优质苗木3300多株。开展固体有机肥和液体有机肥发酵试验、有益功能菌扩繁和利用技术的研究并取得成功。</w:t>
      </w:r>
      <w:r>
        <w:rPr>
          <w:rFonts w:hint="eastAsia" w:ascii="仿宋_GB2312" w:hAnsi="仿宋_GB2312" w:eastAsia="仿宋_GB2312" w:cs="仿宋_GB2312"/>
          <w:b/>
          <w:bCs/>
          <w:color w:val="000000"/>
          <w:sz w:val="32"/>
          <w:szCs w:val="32"/>
          <w:lang w:eastAsia="zh-CN"/>
        </w:rPr>
        <w:t>畜牧研究</w:t>
      </w:r>
      <w:r>
        <w:rPr>
          <w:rFonts w:hint="eastAsia" w:ascii="仿宋_GB2312" w:hAnsi="仿宋_GB2312" w:eastAsia="仿宋_GB2312" w:cs="仿宋_GB2312"/>
          <w:b/>
          <w:bCs/>
          <w:sz w:val="32"/>
          <w:szCs w:val="32"/>
          <w:vertAlign w:val="baseline"/>
          <w:lang w:val="en-US" w:eastAsia="zh-CN"/>
        </w:rPr>
        <w:t>卓有成效</w:t>
      </w:r>
      <w:r>
        <w:rPr>
          <w:rFonts w:hint="eastAsia" w:ascii="仿宋_GB2312" w:hAnsi="仿宋_GB2312" w:eastAsia="仿宋_GB2312" w:cs="仿宋_GB2312"/>
          <w:b/>
          <w:bCs/>
          <w:color w:val="000000"/>
          <w:sz w:val="32"/>
          <w:szCs w:val="32"/>
          <w:lang w:eastAsia="zh-CN"/>
        </w:rPr>
        <w:t>。</w:t>
      </w:r>
      <w:r>
        <w:rPr>
          <w:rFonts w:hint="eastAsia" w:ascii="仿宋_GB2312" w:eastAsia="仿宋_GB2312" w:cs="仿宋_GB2312"/>
          <w:sz w:val="32"/>
          <w:szCs w:val="32"/>
          <w:lang w:eastAsia="zh-CN"/>
        </w:rPr>
        <w:t>开展溆浦鹅</w:t>
      </w:r>
      <w:r>
        <w:rPr>
          <w:rFonts w:hint="default" w:ascii="仿宋_GB2312" w:eastAsia="仿宋_GB2312" w:cs="仿宋_GB2312"/>
          <w:sz w:val="32"/>
          <w:szCs w:val="32"/>
          <w:lang w:eastAsia="zh-CN"/>
        </w:rPr>
        <w:t>集中填饲</w:t>
      </w:r>
      <w:r>
        <w:rPr>
          <w:rFonts w:hint="eastAsia" w:ascii="仿宋_GB2312" w:eastAsia="仿宋_GB2312" w:cs="仿宋_GB2312"/>
          <w:sz w:val="32"/>
          <w:szCs w:val="32"/>
          <w:lang w:eastAsia="zh-CN"/>
        </w:rPr>
        <w:t>研究</w:t>
      </w:r>
      <w:r>
        <w:rPr>
          <w:rFonts w:hint="default" w:ascii="仿宋_GB2312" w:eastAsia="仿宋_GB2312" w:cs="仿宋_GB2312"/>
          <w:sz w:val="32"/>
          <w:szCs w:val="32"/>
          <w:lang w:eastAsia="zh-CN"/>
        </w:rPr>
        <w:t>，取得突破性进展，鹅肥肝平均重量比此前记录提高14%</w:t>
      </w:r>
      <w:r>
        <w:rPr>
          <w:rFonts w:hint="eastAsia" w:ascii="仿宋_GB2312" w:eastAsia="仿宋_GB2312" w:cs="仿宋_GB2312"/>
          <w:sz w:val="32"/>
          <w:szCs w:val="32"/>
          <w:lang w:eastAsia="zh-CN"/>
        </w:rPr>
        <w:t>；</w:t>
      </w:r>
      <w:r>
        <w:rPr>
          <w:rFonts w:hint="eastAsia" w:ascii="仿宋_GB2312" w:eastAsia="仿宋_GB2312" w:cs="仿宋_GB2312"/>
          <w:sz w:val="32"/>
          <w:szCs w:val="32"/>
          <w:lang w:val="en-US" w:eastAsia="zh-CN"/>
        </w:rPr>
        <w:t>溆浦鹅绿色高效养殖技术研究与推广的研究进展良好，在</w:t>
      </w:r>
      <w:r>
        <w:rPr>
          <w:rFonts w:hint="eastAsia" w:ascii="Times New Roman" w:hAnsi="Times New Roman" w:eastAsia="仿宋_GB2312" w:cs="Times New Roman"/>
          <w:b w:val="0"/>
          <w:bCs w:val="0"/>
          <w:color w:val="000000"/>
          <w:kern w:val="2"/>
          <w:sz w:val="32"/>
          <w:szCs w:val="32"/>
          <w:lang w:val="en-US" w:eastAsia="zh-CN" w:bidi="ar-SA"/>
        </w:rPr>
        <w:t>《饲料工业》</w:t>
      </w:r>
      <w:r>
        <w:rPr>
          <w:rFonts w:hint="eastAsia" w:ascii="仿宋_GB2312" w:eastAsia="仿宋_GB2312" w:cs="仿宋_GB2312"/>
          <w:sz w:val="32"/>
          <w:szCs w:val="32"/>
          <w:lang w:val="en-US" w:eastAsia="zh-CN"/>
        </w:rPr>
        <w:t>发表论文1篇；</w:t>
      </w:r>
      <w:r>
        <w:rPr>
          <w:rFonts w:hint="eastAsia" w:ascii="仿宋_GB2312" w:hAnsi="仿宋_GB2312" w:eastAsia="仿宋_GB2312" w:cs="仿宋_GB2312"/>
          <w:color w:val="000000"/>
          <w:kern w:val="2"/>
          <w:sz w:val="32"/>
          <w:szCs w:val="32"/>
          <w:vertAlign w:val="baseline"/>
          <w:lang w:val="en-US" w:eastAsia="zh-CN" w:bidi="ar-SA"/>
        </w:rPr>
        <w:t>针对国家地理标志产品溆浦鹅繁殖率低的缺陷，持续开展</w:t>
      </w:r>
      <w:r>
        <w:rPr>
          <w:rFonts w:hint="eastAsia" w:ascii="仿宋_GB2312" w:hAnsi="仿宋_GB2312" w:eastAsia="仿宋_GB2312" w:cs="仿宋_GB2312"/>
          <w:color w:val="000000"/>
          <w:kern w:val="2"/>
          <w:sz w:val="32"/>
          <w:szCs w:val="32"/>
          <w:u w:val="none"/>
          <w:vertAlign w:val="baseline"/>
          <w:lang w:val="en-US" w:eastAsia="zh-CN" w:bidi="ar-SA"/>
        </w:rPr>
        <w:t>杂交改良；</w:t>
      </w:r>
      <w:r>
        <w:rPr>
          <w:rFonts w:hint="eastAsia" w:ascii="仿宋_GB2312" w:eastAsia="仿宋_GB2312" w:cs="仿宋_GB2312"/>
          <w:b w:val="0"/>
          <w:bCs w:val="0"/>
          <w:color w:val="000000"/>
          <w:kern w:val="2"/>
          <w:sz w:val="32"/>
          <w:szCs w:val="32"/>
          <w:lang w:val="en-US" w:eastAsia="zh-CN" w:bidi="ar-SA"/>
        </w:rPr>
        <w:t>开展家禽病原学和血清学实验室研究，采集各类血清样品</w:t>
      </w:r>
      <w:r>
        <w:rPr>
          <w:rFonts w:hint="default" w:ascii="仿宋_GB2312" w:eastAsia="仿宋_GB2312" w:cs="仿宋_GB2312"/>
          <w:b w:val="0"/>
          <w:bCs w:val="0"/>
          <w:color w:val="000000"/>
          <w:kern w:val="2"/>
          <w:sz w:val="32"/>
          <w:szCs w:val="32"/>
          <w:lang w:eastAsia="zh-CN" w:bidi="ar-SA"/>
        </w:rPr>
        <w:t>3</w:t>
      </w:r>
      <w:r>
        <w:rPr>
          <w:rFonts w:hint="eastAsia" w:ascii="仿宋_GB2312" w:eastAsia="仿宋_GB2312" w:cs="仿宋_GB2312"/>
          <w:b w:val="0"/>
          <w:bCs w:val="0"/>
          <w:color w:val="000000"/>
          <w:kern w:val="2"/>
          <w:sz w:val="32"/>
          <w:szCs w:val="32"/>
          <w:lang w:val="en-US" w:eastAsia="zh-CN" w:bidi="ar-SA"/>
        </w:rPr>
        <w:t>00余份</w:t>
      </w:r>
      <w:r>
        <w:rPr>
          <w:rFonts w:hint="default" w:ascii="仿宋_GB2312" w:eastAsia="仿宋_GB2312" w:cs="仿宋_GB2312"/>
          <w:sz w:val="32"/>
          <w:szCs w:val="32"/>
          <w:lang w:eastAsia="zh-CN"/>
        </w:rPr>
        <w:t>。</w:t>
      </w:r>
      <w:r>
        <w:rPr>
          <w:rFonts w:hint="eastAsia" w:ascii="仿宋_GB2312" w:hAnsi="仿宋_GB2312" w:eastAsia="仿宋_GB2312" w:cs="仿宋_GB2312"/>
          <w:b/>
          <w:bCs/>
          <w:color w:val="000000"/>
          <w:sz w:val="32"/>
          <w:szCs w:val="32"/>
          <w:lang w:eastAsia="zh-CN"/>
        </w:rPr>
        <w:t>蔬菜研究</w:t>
      </w:r>
      <w:r>
        <w:rPr>
          <w:rFonts w:hint="eastAsia" w:ascii="仿宋_GB2312" w:hAnsi="仿宋_GB2312" w:eastAsia="仿宋_GB2312" w:cs="仿宋_GB2312"/>
          <w:b/>
          <w:bCs/>
          <w:color w:val="000000"/>
          <w:kern w:val="2"/>
          <w:sz w:val="32"/>
          <w:szCs w:val="32"/>
          <w:vertAlign w:val="baseline"/>
          <w:lang w:val="en-US" w:eastAsia="zh-CN" w:bidi="ar-SA"/>
        </w:rPr>
        <w:t>做出特色</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color w:val="000000"/>
          <w:sz w:val="32"/>
          <w:szCs w:val="32"/>
        </w:rPr>
        <w:t>加工用山苦瓜新品种选育工作</w:t>
      </w:r>
      <w:r>
        <w:rPr>
          <w:rFonts w:hint="eastAsia" w:ascii="仿宋_GB2312" w:hAnsi="仿宋_GB2312" w:eastAsia="仿宋_GB2312" w:cs="仿宋_GB2312"/>
          <w:color w:val="000000"/>
          <w:sz w:val="32"/>
          <w:szCs w:val="32"/>
          <w:lang w:eastAsia="zh-CN"/>
        </w:rPr>
        <w:t>进展顺利。积极开展辣</w:t>
      </w:r>
      <w:r>
        <w:rPr>
          <w:rFonts w:hint="eastAsia" w:ascii="仿宋_GB2312" w:hAnsi="仿宋_GB2312" w:eastAsia="仿宋_GB2312" w:cs="仿宋_GB2312"/>
          <w:b w:val="0"/>
          <w:bCs w:val="0"/>
          <w:color w:val="000000"/>
          <w:sz w:val="32"/>
          <w:szCs w:val="32"/>
          <w:vertAlign w:val="baseline"/>
          <w:lang w:eastAsia="zh-CN"/>
        </w:rPr>
        <w:t>椒地方品种提纯复壮研究，</w:t>
      </w:r>
      <w:r>
        <w:rPr>
          <w:rFonts w:hint="eastAsia" w:ascii="仿宋_GB2312" w:hAnsi="仿宋_GB2312" w:eastAsia="仿宋_GB2312" w:cs="仿宋_GB2312"/>
          <w:color w:val="000000"/>
          <w:sz w:val="32"/>
          <w:szCs w:val="32"/>
          <w:lang w:eastAsia="zh-CN"/>
        </w:rPr>
        <w:t>新晃贡溪辣椒、会同沙溪辣椒、溆浦油洋辣椒三个地方品种正在南繁基地进行单株选种工作。</w:t>
      </w:r>
      <w:r>
        <w:rPr>
          <w:rFonts w:hint="eastAsia" w:ascii="仿宋_GB2312" w:hAnsi="仿宋_GB2312" w:eastAsia="仿宋_GB2312" w:cs="仿宋_GB2312"/>
          <w:b/>
          <w:bCs/>
          <w:i w:val="0"/>
          <w:iCs w:val="0"/>
          <w:caps w:val="0"/>
          <w:color w:val="000000"/>
          <w:spacing w:val="0"/>
          <w:sz w:val="32"/>
          <w:szCs w:val="32"/>
          <w:shd w:val="clear" w:color="auto" w:fill="FFFFFF"/>
          <w:lang w:eastAsia="zh-CN"/>
        </w:rPr>
        <w:t>茶叶研究</w:t>
      </w:r>
      <w:r>
        <w:rPr>
          <w:rFonts w:hint="eastAsia" w:ascii="仿宋_GB2312" w:hAnsi="仿宋_GB2312" w:eastAsia="仿宋_GB2312" w:cs="仿宋_GB2312"/>
          <w:b/>
          <w:bCs/>
          <w:color w:val="000000"/>
          <w:sz w:val="32"/>
          <w:szCs w:val="32"/>
          <w:lang w:val="en-US" w:eastAsia="zh-CN"/>
        </w:rPr>
        <w:t>稳中有进。</w:t>
      </w:r>
      <w:r>
        <w:rPr>
          <w:rFonts w:hint="eastAsia" w:ascii="仿宋_GB2312" w:hAnsi="仿宋_GB2312" w:eastAsia="仿宋_GB2312" w:cs="仿宋_GB2312"/>
          <w:color w:val="000000"/>
          <w:sz w:val="32"/>
          <w:szCs w:val="32"/>
          <w:lang w:eastAsia="zh-CN"/>
        </w:rPr>
        <w:t>对怀化市</w:t>
      </w:r>
      <w:r>
        <w:rPr>
          <w:rFonts w:hint="eastAsia" w:ascii="仿宋_GB2312" w:hAnsi="仿宋_GB2312" w:eastAsia="仿宋_GB2312" w:cs="仿宋_GB2312"/>
          <w:color w:val="000000"/>
          <w:sz w:val="32"/>
          <w:szCs w:val="32"/>
        </w:rPr>
        <w:t>茶树种质资源圃</w:t>
      </w:r>
      <w:r>
        <w:rPr>
          <w:rFonts w:hint="eastAsia" w:ascii="仿宋_GB2312" w:hAnsi="仿宋_GB2312" w:eastAsia="仿宋_GB2312" w:cs="仿宋_GB2312"/>
          <w:color w:val="000000"/>
          <w:sz w:val="32"/>
          <w:szCs w:val="32"/>
          <w:lang w:eastAsia="zh-CN"/>
        </w:rPr>
        <w:t>的资源开展</w:t>
      </w:r>
      <w:r>
        <w:rPr>
          <w:rFonts w:hint="eastAsia" w:ascii="仿宋_GB2312" w:hAnsi="仿宋_GB2312" w:eastAsia="仿宋_GB2312" w:cs="仿宋_GB2312"/>
          <w:color w:val="000000"/>
          <w:sz w:val="32"/>
          <w:szCs w:val="32"/>
        </w:rPr>
        <w:t>适应性观测</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lang w:eastAsia="zh-CN"/>
        </w:rPr>
        <w:t>初步筛选出适合我市生产候选优势品种</w:t>
      </w:r>
      <w:r>
        <w:rPr>
          <w:rFonts w:hint="eastAsia" w:ascii="仿宋_GB2312" w:hAnsi="仿宋_GB2312" w:eastAsia="仿宋_GB2312" w:cs="仿宋_GB2312"/>
          <w:color w:val="000000"/>
          <w:sz w:val="32"/>
          <w:szCs w:val="32"/>
          <w:lang w:val="en-US" w:eastAsia="zh-CN"/>
        </w:rPr>
        <w:t>2个</w:t>
      </w:r>
      <w:r>
        <w:rPr>
          <w:rFonts w:hint="eastAsia" w:ascii="仿宋_GB2312" w:hAnsi="仿宋_GB2312" w:eastAsia="仿宋_GB2312" w:cs="仿宋_GB2312"/>
          <w:color w:val="000000"/>
          <w:sz w:val="32"/>
          <w:szCs w:val="32"/>
          <w:lang w:eastAsia="zh-CN"/>
        </w:rPr>
        <w:t>，完成“</w:t>
      </w:r>
      <w:r>
        <w:rPr>
          <w:rFonts w:hint="eastAsia" w:ascii="仿宋_GB2312" w:hAnsi="仿宋_GB2312" w:eastAsia="仿宋_GB2312" w:cs="仿宋_GB2312"/>
          <w:color w:val="000000"/>
          <w:sz w:val="32"/>
          <w:szCs w:val="32"/>
        </w:rPr>
        <w:t>施氮对茶叶控氟效果影响的研究</w:t>
      </w:r>
      <w:r>
        <w:rPr>
          <w:rFonts w:hint="eastAsia" w:ascii="仿宋_GB2312" w:hAnsi="仿宋_GB2312" w:eastAsia="仿宋_GB2312" w:cs="仿宋_GB2312"/>
          <w:color w:val="000000"/>
          <w:sz w:val="32"/>
          <w:szCs w:val="32"/>
          <w:lang w:eastAsia="zh-CN"/>
        </w:rPr>
        <w:t>”。聚焦产业提质升级，</w:t>
      </w:r>
      <w:r>
        <w:rPr>
          <w:rFonts w:hint="eastAsia" w:ascii="仿宋_GB2312" w:hAnsi="仿宋_GB2312" w:eastAsia="仿宋_GB2312" w:cs="仿宋_GB2312"/>
          <w:sz w:val="32"/>
          <w:szCs w:val="32"/>
        </w:rPr>
        <w:t>起草了《</w:t>
      </w:r>
      <w:r>
        <w:rPr>
          <w:rFonts w:hint="eastAsia" w:ascii="仿宋_GB2312" w:hAnsi="仿宋_GB2312" w:eastAsia="仿宋_GB2312" w:cs="仿宋_GB2312"/>
          <w:sz w:val="32"/>
          <w:szCs w:val="32"/>
          <w:lang w:eastAsia="zh-CN"/>
        </w:rPr>
        <w:t>碣滩茶品质提升关键技术研究工作方案</w:t>
      </w:r>
      <w:r>
        <w:rPr>
          <w:rFonts w:hint="eastAsia" w:ascii="仿宋_GB2312" w:hAnsi="仿宋_GB2312" w:eastAsia="仿宋_GB2312" w:cs="仿宋_GB2312"/>
          <w:sz w:val="32"/>
          <w:szCs w:val="32"/>
        </w:rPr>
        <w:t>》</w:t>
      </w:r>
      <w:r>
        <w:rPr>
          <w:rFonts w:hint="eastAsia" w:ascii="仿宋_GB2312" w:hAnsi="仿宋_GB2312" w:eastAsia="仿宋_GB2312" w:cs="仿宋_GB2312"/>
          <w:b w:val="0"/>
          <w:bCs w:val="0"/>
          <w:color w:val="000000"/>
          <w:sz w:val="32"/>
          <w:szCs w:val="32"/>
          <w:vertAlign w:val="baseline"/>
          <w:lang w:eastAsia="zh-CN"/>
        </w:rPr>
        <w:t>，</w:t>
      </w:r>
      <w:r>
        <w:rPr>
          <w:rFonts w:hint="eastAsia" w:ascii="仿宋_GB2312" w:hAnsi="仿宋_GB2312" w:eastAsia="仿宋_GB2312" w:cs="仿宋_GB2312"/>
          <w:color w:val="000000"/>
          <w:sz w:val="32"/>
          <w:szCs w:val="32"/>
          <w:lang w:eastAsia="zh-CN"/>
        </w:rPr>
        <w:t>协助市农业农村局茶叶办编制《</w:t>
      </w:r>
      <w:r>
        <w:rPr>
          <w:rFonts w:hint="eastAsia" w:ascii="仿宋_GB2312" w:hAnsi="仿宋_GB2312" w:eastAsia="仿宋_GB2312" w:cs="仿宋_GB2312"/>
          <w:color w:val="000000"/>
          <w:sz w:val="32"/>
          <w:szCs w:val="32"/>
        </w:rPr>
        <w:t>2022-2025年怀化市茶产业发展规划</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sz w:val="32"/>
          <w:szCs w:val="32"/>
          <w:vertAlign w:val="baseline"/>
          <w:lang w:val="en-US" w:eastAsia="zh-CN"/>
        </w:rPr>
        <w:t>种质资源调查收集进展顺利。</w:t>
      </w:r>
      <w:r>
        <w:rPr>
          <w:rFonts w:hint="eastAsia" w:ascii="仿宋_GB2312" w:hAnsi="仿宋_GB2312" w:eastAsia="仿宋_GB2312" w:cs="仿宋_GB2312"/>
          <w:kern w:val="2"/>
          <w:sz w:val="32"/>
          <w:szCs w:val="32"/>
          <w:vertAlign w:val="baseline"/>
          <w:lang w:val="en-US" w:eastAsia="zh-CN" w:bidi="ar-SA"/>
        </w:rPr>
        <w:t>全年</w:t>
      </w:r>
      <w:r>
        <w:rPr>
          <w:rFonts w:hint="eastAsia" w:ascii="仿宋_GB2312" w:hAnsi="仿宋_GB2312" w:eastAsia="仿宋_GB2312" w:cs="仿宋_GB2312"/>
          <w:color w:val="000000"/>
          <w:sz w:val="32"/>
          <w:szCs w:val="32"/>
          <w:lang w:val="en-US" w:eastAsia="zh-CN"/>
        </w:rPr>
        <w:t>调查资源信息321份，</w:t>
      </w:r>
      <w:r>
        <w:rPr>
          <w:rFonts w:hint="eastAsia" w:ascii="仿宋_GB2312" w:hAnsi="仿宋_GB2312" w:eastAsia="仿宋_GB2312" w:cs="仿宋_GB2312"/>
          <w:kern w:val="2"/>
          <w:sz w:val="32"/>
          <w:szCs w:val="32"/>
          <w:vertAlign w:val="baseline"/>
          <w:lang w:val="en-US" w:eastAsia="zh-CN" w:bidi="ar-SA"/>
        </w:rPr>
        <w:t>收集怀化本地特色果树、水稻、蔬菜种质资源179余份，</w:t>
      </w:r>
      <w:r>
        <w:rPr>
          <w:rFonts w:hint="eastAsia" w:ascii="仿宋_GB2312" w:hAnsi="仿宋_GB2312" w:eastAsia="仿宋_GB2312" w:cs="仿宋_GB2312"/>
          <w:color w:val="000000"/>
          <w:sz w:val="32"/>
          <w:szCs w:val="32"/>
          <w:lang w:val="en-US" w:eastAsia="zh-CN"/>
        </w:rPr>
        <w:t>有88份材料已提交给国家、省农作物种质资源库</w:t>
      </w:r>
      <w:r>
        <w:rPr>
          <w:rFonts w:hint="eastAsia" w:ascii="仿宋_GB2312" w:hAnsi="仿宋_GB2312" w:eastAsia="仿宋_GB2312" w:cs="仿宋_GB2312"/>
          <w:kern w:val="2"/>
          <w:sz w:val="32"/>
          <w:szCs w:val="32"/>
          <w:vertAlign w:val="baseline"/>
          <w:lang w:val="en-US" w:eastAsia="zh-CN" w:bidi="ar-SA"/>
        </w:rPr>
        <w:t>。</w:t>
      </w:r>
    </w:p>
    <w:p>
      <w:pPr>
        <w:numPr>
          <w:ilvl w:val="0"/>
          <w:numId w:val="0"/>
        </w:numPr>
        <w:spacing w:line="560" w:lineRule="exact"/>
        <w:rPr>
          <w:rFonts w:hint="eastAsia" w:ascii="仿宋_GB2312" w:hAnsi="仿宋" w:eastAsia="仿宋_GB2312" w:cs="仿宋"/>
          <w:b/>
          <w:bCs/>
          <w:sz w:val="32"/>
          <w:szCs w:val="32"/>
        </w:rPr>
      </w:pPr>
    </w:p>
    <w:p>
      <w:pPr>
        <w:keepNext w:val="0"/>
        <w:keepLines w:val="0"/>
        <w:pageBreakBefore w:val="0"/>
        <w:widowControl w:val="0"/>
        <w:numPr>
          <w:ilvl w:val="0"/>
          <w:numId w:val="4"/>
        </w:numPr>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楷体" w:hAnsi="楷体" w:eastAsia="楷体" w:cs="楷体"/>
          <w:b/>
          <w:bCs/>
          <w:color w:val="000000"/>
          <w:sz w:val="32"/>
          <w:szCs w:val="32"/>
          <w:vertAlign w:val="baseline"/>
          <w:lang w:val="en-US" w:eastAsia="zh-CN"/>
        </w:rPr>
      </w:pPr>
      <w:r>
        <w:rPr>
          <w:rFonts w:hint="eastAsia" w:ascii="楷体" w:hAnsi="楷体" w:eastAsia="楷体" w:cs="楷体"/>
          <w:b/>
          <w:bCs/>
          <w:color w:val="000000"/>
          <w:sz w:val="32"/>
          <w:szCs w:val="32"/>
          <w:vertAlign w:val="baseline"/>
          <w:lang w:val="en-US" w:eastAsia="zh-CN"/>
        </w:rPr>
        <w:t>示范推广力求实效。</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b w:val="0"/>
          <w:bCs w:val="0"/>
          <w:color w:val="000000"/>
          <w:sz w:val="32"/>
          <w:szCs w:val="32"/>
          <w:u w:val="none"/>
          <w:lang w:val="en-US" w:eastAsia="zh-CN"/>
        </w:rPr>
        <w:t>在洪江市、沅陵县建设</w:t>
      </w:r>
      <w:r>
        <w:rPr>
          <w:rFonts w:hint="eastAsia" w:ascii="仿宋_GB2312" w:hAnsi="仿宋_GB2312" w:eastAsia="仿宋_GB2312" w:cs="仿宋_GB2312"/>
          <w:b w:val="0"/>
          <w:bCs w:val="0"/>
          <w:color w:val="000000"/>
          <w:sz w:val="32"/>
          <w:szCs w:val="32"/>
          <w:lang w:val="en-US" w:eastAsia="zh-CN"/>
        </w:rPr>
        <w:t>水稻、高粱、荞麦三个千亩绿色高效栽培技术示范片，</w:t>
      </w:r>
      <w:r>
        <w:rPr>
          <w:rFonts w:hint="eastAsia" w:ascii="仿宋_GB2312" w:hAnsi="仿宋_GB2312" w:eastAsia="仿宋_GB2312" w:cs="仿宋_GB2312"/>
          <w:color w:val="000000"/>
          <w:sz w:val="32"/>
          <w:szCs w:val="32"/>
          <w:lang w:val="en-US" w:eastAsia="zh-CN"/>
        </w:rPr>
        <w:t>开展新品种新技术试点示范；对</w:t>
      </w:r>
      <w:r>
        <w:rPr>
          <w:rFonts w:hint="eastAsia" w:ascii="仿宋_GB2312" w:hAnsi="仿宋_GB2312" w:eastAsia="仿宋_GB2312" w:cs="仿宋_GB2312"/>
          <w:b w:val="0"/>
          <w:bCs w:val="0"/>
          <w:color w:val="000000"/>
          <w:sz w:val="32"/>
          <w:szCs w:val="32"/>
          <w:u w:val="none"/>
          <w:lang w:eastAsia="zh-CN"/>
        </w:rPr>
        <w:t>沅陵建设</w:t>
      </w:r>
      <w:r>
        <w:rPr>
          <w:rFonts w:hint="eastAsia" w:ascii="仿宋_GB2312" w:hAnsi="仿宋_GB2312" w:eastAsia="仿宋_GB2312" w:cs="仿宋_GB2312"/>
          <w:b w:val="0"/>
          <w:bCs w:val="0"/>
          <w:color w:val="000000"/>
          <w:sz w:val="32"/>
          <w:szCs w:val="32"/>
          <w:u w:val="none"/>
          <w:lang w:val="en-US" w:eastAsia="zh-CN"/>
        </w:rPr>
        <w:t>1万亩高粱生产基地开展指导</w:t>
      </w:r>
      <w:r>
        <w:rPr>
          <w:rFonts w:hint="eastAsia" w:ascii="仿宋_GB2312" w:hAnsi="仿宋_GB2312" w:eastAsia="仿宋_GB2312" w:cs="仿宋_GB2312"/>
          <w:color w:val="000000"/>
          <w:sz w:val="32"/>
          <w:szCs w:val="32"/>
          <w:lang w:val="en-US" w:eastAsia="zh-CN"/>
        </w:rPr>
        <w:t>和培训</w:t>
      </w:r>
      <w:r>
        <w:rPr>
          <w:rFonts w:hint="eastAsia" w:ascii="仿宋_GB2312" w:hAnsi="仿宋_GB2312" w:eastAsia="仿宋_GB2312" w:cs="仿宋_GB2312"/>
          <w:b w:val="0"/>
          <w:bCs w:val="0"/>
          <w:color w:val="000000"/>
          <w:sz w:val="32"/>
          <w:szCs w:val="32"/>
          <w:u w:val="none"/>
          <w:lang w:val="en-US" w:eastAsia="zh-CN"/>
        </w:rPr>
        <w:t>；</w:t>
      </w:r>
      <w:r>
        <w:rPr>
          <w:rFonts w:hint="eastAsia" w:ascii="仿宋_GB2312" w:hAnsi="仿宋_GB2312" w:eastAsia="仿宋_GB2312" w:cs="仿宋_GB2312"/>
          <w:color w:val="000000"/>
          <w:sz w:val="32"/>
          <w:szCs w:val="32"/>
          <w:lang w:val="en-US" w:eastAsia="zh-CN"/>
        </w:rPr>
        <w:t>提供提纯复壮的新品种种子，</w:t>
      </w:r>
      <w:r>
        <w:rPr>
          <w:rFonts w:hint="eastAsia" w:ascii="仿宋_GB2312" w:hAnsi="仿宋_GB2312" w:eastAsia="仿宋_GB2312" w:cs="仿宋_GB2312"/>
          <w:color w:val="000000"/>
          <w:sz w:val="32"/>
          <w:szCs w:val="32"/>
          <w:u w:val="none"/>
          <w:lang w:val="en-US" w:eastAsia="zh-CN"/>
        </w:rPr>
        <w:t>指导</w:t>
      </w:r>
      <w:r>
        <w:rPr>
          <w:rFonts w:hint="eastAsia" w:ascii="仿宋_GB2312" w:hAnsi="仿宋_GB2312" w:eastAsia="仿宋_GB2312" w:cs="仿宋_GB2312"/>
          <w:b w:val="0"/>
          <w:bCs w:val="0"/>
          <w:color w:val="000000"/>
          <w:sz w:val="32"/>
          <w:szCs w:val="32"/>
          <w:u w:val="none"/>
          <w:lang w:val="en-US" w:eastAsia="zh-CN"/>
        </w:rPr>
        <w:t>沅陵荞韵食品有限公司建设1千亩苦荞生产基地；</w:t>
      </w:r>
      <w:r>
        <w:rPr>
          <w:rFonts w:hint="eastAsia" w:ascii="仿宋_GB2312" w:hAnsi="仿宋_GB2312" w:eastAsia="仿宋_GB2312" w:cs="仿宋_GB2312"/>
          <w:color w:val="000000"/>
          <w:sz w:val="32"/>
          <w:szCs w:val="32"/>
          <w:lang w:val="en-US" w:eastAsia="zh-CN"/>
        </w:rPr>
        <w:t>与怀化市市委驻村办合作在溆浦大江口洑水湾建设柑橘科技示范园；与</w:t>
      </w:r>
      <w:r>
        <w:rPr>
          <w:rFonts w:hint="default" w:ascii="仿宋_GB2312" w:eastAsia="仿宋_GB2312" w:cs="仿宋_GB2312"/>
          <w:sz w:val="32"/>
          <w:szCs w:val="32"/>
          <w:lang w:eastAsia="zh-CN"/>
        </w:rPr>
        <w:t>湖南鸿羽</w:t>
      </w:r>
      <w:r>
        <w:rPr>
          <w:rFonts w:hint="eastAsia" w:ascii="仿宋_GB2312" w:eastAsia="仿宋_GB2312" w:cs="仿宋_GB2312"/>
          <w:sz w:val="32"/>
          <w:szCs w:val="32"/>
          <w:lang w:eastAsia="zh-CN"/>
        </w:rPr>
        <w:t>、</w:t>
      </w:r>
      <w:r>
        <w:rPr>
          <w:rFonts w:hint="eastAsia" w:ascii="仿宋_GB2312" w:eastAsia="仿宋_GB2312" w:cs="仿宋_GB2312"/>
          <w:sz w:val="32"/>
          <w:szCs w:val="32"/>
        </w:rPr>
        <w:t>芷江民丰</w:t>
      </w:r>
      <w:r>
        <w:rPr>
          <w:rFonts w:hint="eastAsia" w:ascii="仿宋_GB2312" w:eastAsia="仿宋_GB2312" w:cs="仿宋_GB2312"/>
          <w:sz w:val="32"/>
          <w:szCs w:val="32"/>
          <w:lang w:eastAsia="zh-CN"/>
        </w:rPr>
        <w:t>等企业密切合作，开展示范推广，推进大规模养殖。建立的</w:t>
      </w:r>
      <w:r>
        <w:rPr>
          <w:rFonts w:hint="eastAsia" w:ascii="仿宋_GB2312" w:hAnsi="仿宋_GB2312" w:eastAsia="仿宋_GB2312" w:cs="仿宋_GB2312"/>
          <w:b w:val="0"/>
          <w:bCs w:val="0"/>
          <w:color w:val="000000"/>
          <w:sz w:val="32"/>
          <w:szCs w:val="32"/>
          <w:u w:val="none"/>
          <w:lang w:val="en-US" w:eastAsia="zh-CN"/>
        </w:rPr>
        <w:t>各类种、养示范推广基地均展示了先进农业技术，示</w:t>
      </w:r>
      <w:r>
        <w:rPr>
          <w:rFonts w:hint="eastAsia" w:ascii="仿宋_GB2312" w:hAnsi="仿宋_GB2312" w:eastAsia="仿宋_GB2312" w:cs="仿宋_GB2312"/>
          <w:b w:val="0"/>
          <w:bCs w:val="0"/>
          <w:color w:val="000000"/>
          <w:spacing w:val="-11"/>
          <w:sz w:val="32"/>
          <w:szCs w:val="32"/>
          <w:u w:val="none"/>
          <w:lang w:val="en-US" w:eastAsia="zh-CN"/>
        </w:rPr>
        <w:t>范推广效果比较理想</w:t>
      </w:r>
      <w:r>
        <w:rPr>
          <w:rFonts w:hint="eastAsia" w:ascii="仿宋_GB2312" w:hAnsi="仿宋_GB2312" w:eastAsia="仿宋_GB2312" w:cs="仿宋_GB2312"/>
          <w:b w:val="0"/>
          <w:bCs w:val="0"/>
          <w:color w:val="000000"/>
          <w:sz w:val="32"/>
          <w:szCs w:val="32"/>
          <w:u w:val="none"/>
          <w:lang w:val="en-US" w:eastAsia="zh-CN"/>
        </w:rPr>
        <w:t>。</w:t>
      </w:r>
    </w:p>
    <w:p>
      <w:pPr>
        <w:spacing w:line="560" w:lineRule="exact"/>
        <w:ind w:firstLine="640" w:firstLineChars="200"/>
        <w:rPr>
          <w:rFonts w:hint="eastAsia" w:ascii="仿宋_GB2312" w:hAnsi="仿宋" w:eastAsia="仿宋_GB2312" w:cs="仿宋"/>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b w:val="0"/>
          <w:bCs w:val="0"/>
          <w:sz w:val="32"/>
          <w:szCs w:val="32"/>
          <w:lang w:eastAsia="zh-CN"/>
        </w:rPr>
      </w:pPr>
      <w:r>
        <w:rPr>
          <w:rFonts w:hint="eastAsia" w:ascii="仿宋_GB2312" w:hAnsi="仿宋" w:eastAsia="仿宋_GB2312" w:cs="仿宋"/>
          <w:b/>
          <w:bCs/>
          <w:sz w:val="32"/>
          <w:szCs w:val="32"/>
          <w:lang w:val="en-US" w:eastAsia="zh-CN"/>
        </w:rPr>
        <w:t>3、</w:t>
      </w:r>
      <w:r>
        <w:rPr>
          <w:rFonts w:hint="eastAsia" w:ascii="楷体" w:hAnsi="楷体" w:eastAsia="楷体" w:cs="楷体"/>
          <w:b/>
          <w:bCs/>
          <w:sz w:val="32"/>
          <w:szCs w:val="32"/>
          <w:vertAlign w:val="baseline"/>
          <w:lang w:val="en-US" w:eastAsia="zh-CN"/>
        </w:rPr>
        <w:t>普及农业科技，在服务乡村振兴中展现新作为</w:t>
      </w:r>
      <w:r>
        <w:rPr>
          <w:rFonts w:hint="eastAsia" w:ascii="黑体" w:hAnsi="黑体" w:eastAsia="黑体" w:cs="黑体"/>
          <w:b w:val="0"/>
          <w:bCs w:val="0"/>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楷体" w:hAnsi="楷体" w:eastAsia="楷体" w:cs="楷体"/>
          <w:b/>
          <w:bCs/>
          <w:sz w:val="32"/>
          <w:szCs w:val="32"/>
          <w:vertAlign w:val="baseline"/>
          <w:lang w:val="en-US" w:eastAsia="zh-CN"/>
        </w:rPr>
        <w:t>开展技术服务更有效。</w:t>
      </w:r>
      <w:r>
        <w:rPr>
          <w:rFonts w:hint="eastAsia" w:ascii="仿宋_GB2312" w:hAnsi="仿宋_GB2312" w:eastAsia="仿宋_GB2312" w:cs="仿宋_GB2312"/>
          <w:b w:val="0"/>
          <w:bCs w:val="0"/>
          <w:sz w:val="32"/>
          <w:szCs w:val="32"/>
          <w:vertAlign w:val="baseline"/>
          <w:lang w:val="en-US" w:eastAsia="zh-CN"/>
        </w:rPr>
        <w:t>全年</w:t>
      </w:r>
      <w:r>
        <w:rPr>
          <w:rFonts w:hint="eastAsia" w:ascii="仿宋_GB2312" w:hAnsi="仿宋_GB2312" w:eastAsia="仿宋_GB2312" w:cs="仿宋_GB2312"/>
          <w:b w:val="0"/>
          <w:bCs w:val="0"/>
          <w:sz w:val="32"/>
          <w:szCs w:val="32"/>
          <w:lang w:eastAsia="zh-CN"/>
        </w:rPr>
        <w:t>先后</w:t>
      </w:r>
      <w:r>
        <w:rPr>
          <w:rFonts w:hint="eastAsia" w:ascii="仿宋_GB2312" w:hAnsi="仿宋_GB2312" w:eastAsia="仿宋_GB2312" w:cs="仿宋_GB2312"/>
          <w:b w:val="0"/>
          <w:bCs w:val="0"/>
          <w:sz w:val="32"/>
          <w:szCs w:val="32"/>
          <w:lang w:val="en-US" w:eastAsia="zh-CN"/>
        </w:rPr>
        <w:t>组织</w:t>
      </w:r>
      <w:r>
        <w:rPr>
          <w:rFonts w:hint="eastAsia" w:ascii="仿宋_GB2312" w:hAnsi="仿宋_GB2312" w:eastAsia="仿宋_GB2312" w:cs="仿宋_GB2312"/>
          <w:b w:val="0"/>
          <w:bCs w:val="0"/>
          <w:sz w:val="32"/>
          <w:szCs w:val="32"/>
          <w:u w:val="none"/>
          <w:lang w:val="en-US" w:eastAsia="zh-CN"/>
        </w:rPr>
        <w:t>20余</w:t>
      </w:r>
      <w:r>
        <w:rPr>
          <w:rFonts w:hint="eastAsia" w:ascii="仿宋_GB2312" w:hAnsi="仿宋_GB2312" w:eastAsia="仿宋_GB2312" w:cs="仿宋_GB2312"/>
          <w:b w:val="0"/>
          <w:bCs w:val="0"/>
          <w:sz w:val="32"/>
          <w:szCs w:val="32"/>
          <w:u w:val="none"/>
          <w:lang w:eastAsia="zh-CN"/>
        </w:rPr>
        <w:t>个</w:t>
      </w:r>
      <w:r>
        <w:rPr>
          <w:rFonts w:hint="eastAsia" w:ascii="仿宋_GB2312" w:hAnsi="仿宋_GB2312" w:eastAsia="仿宋_GB2312" w:cs="仿宋_GB2312"/>
          <w:b w:val="0"/>
          <w:bCs w:val="0"/>
          <w:sz w:val="32"/>
          <w:szCs w:val="32"/>
          <w:lang w:val="en-US" w:eastAsia="zh-CN"/>
        </w:rPr>
        <w:t>专家团队在全市开展技术服务60余次，</w:t>
      </w:r>
      <w:r>
        <w:rPr>
          <w:rFonts w:hint="eastAsia" w:ascii="仿宋_GB2312" w:hAnsi="仿宋_GB2312" w:eastAsia="仿宋_GB2312" w:cs="仿宋_GB2312"/>
          <w:sz w:val="32"/>
          <w:szCs w:val="32"/>
          <w:lang w:val="en-US" w:eastAsia="zh-CN"/>
        </w:rPr>
        <w:t>推广新品种18个，新技术14项，培训人员超1.4万人次</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color w:val="000000"/>
          <w:sz w:val="32"/>
          <w:szCs w:val="32"/>
          <w:lang w:eastAsia="zh-CN"/>
        </w:rPr>
        <w:t>派出</w:t>
      </w:r>
      <w:r>
        <w:rPr>
          <w:rFonts w:hint="eastAsia" w:ascii="仿宋_GB2312" w:hAnsi="仿宋_GB2312" w:eastAsia="仿宋_GB2312" w:cs="仿宋_GB2312"/>
          <w:b w:val="0"/>
          <w:bCs w:val="0"/>
          <w:color w:val="000000"/>
          <w:sz w:val="32"/>
          <w:szCs w:val="32"/>
          <w:lang w:val="en-US" w:eastAsia="zh-CN"/>
        </w:rPr>
        <w:t>10</w:t>
      </w:r>
      <w:r>
        <w:rPr>
          <w:rFonts w:hint="eastAsia" w:ascii="仿宋_GB2312" w:hAnsi="仿宋_GB2312" w:eastAsia="仿宋_GB2312" w:cs="仿宋_GB2312"/>
          <w:b w:val="0"/>
          <w:bCs w:val="0"/>
          <w:color w:val="000000"/>
          <w:sz w:val="32"/>
          <w:szCs w:val="32"/>
          <w:lang w:eastAsia="zh-CN"/>
        </w:rPr>
        <w:t>名科技特派员对全市</w:t>
      </w:r>
      <w:r>
        <w:rPr>
          <w:rFonts w:hint="eastAsia" w:ascii="仿宋_GB2312" w:hAnsi="仿宋_GB2312" w:eastAsia="仿宋_GB2312" w:cs="仿宋_GB2312"/>
          <w:b w:val="0"/>
          <w:bCs w:val="0"/>
          <w:color w:val="000000"/>
          <w:sz w:val="32"/>
          <w:szCs w:val="32"/>
          <w:lang w:val="en-US" w:eastAsia="zh-CN"/>
        </w:rPr>
        <w:t>19个乡村振兴点开展科技</w:t>
      </w:r>
      <w:r>
        <w:rPr>
          <w:rFonts w:hint="eastAsia" w:ascii="仿宋_GB2312" w:hAnsi="仿宋_GB2312" w:eastAsia="仿宋_GB2312" w:cs="仿宋_GB2312"/>
          <w:b w:val="0"/>
          <w:bCs w:val="0"/>
          <w:color w:val="000000"/>
          <w:sz w:val="32"/>
          <w:szCs w:val="32"/>
          <w:lang w:eastAsia="zh-CN"/>
        </w:rPr>
        <w:t>服务</w:t>
      </w:r>
      <w:r>
        <w:rPr>
          <w:rFonts w:hint="eastAsia" w:ascii="仿宋_GB2312" w:hAnsi="仿宋_GB2312" w:eastAsia="仿宋_GB2312" w:cs="仿宋_GB2312"/>
          <w:b w:val="0"/>
          <w:bCs w:val="0"/>
          <w:color w:val="000000"/>
          <w:sz w:val="32"/>
          <w:szCs w:val="32"/>
          <w:lang w:val="en-US" w:eastAsia="zh-CN"/>
        </w:rPr>
        <w:t>359余次</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val="en-US" w:eastAsia="zh-CN"/>
        </w:rPr>
        <w:t>为</w:t>
      </w:r>
      <w:r>
        <w:rPr>
          <w:rFonts w:hint="eastAsia" w:ascii="仿宋_GB2312" w:hAnsi="仿宋_GB2312" w:eastAsia="仿宋_GB2312" w:cs="仿宋_GB2312"/>
          <w:b w:val="0"/>
          <w:bCs w:val="0"/>
          <w:color w:val="000000"/>
          <w:sz w:val="32"/>
          <w:szCs w:val="32"/>
          <w:lang w:eastAsia="zh-CN"/>
        </w:rPr>
        <w:t>怀化富华科技、</w:t>
      </w:r>
      <w:r>
        <w:rPr>
          <w:rFonts w:hint="eastAsia" w:ascii="仿宋_GB2312" w:hAnsi="仿宋_GB2312" w:eastAsia="仿宋_GB2312" w:cs="仿宋_GB2312"/>
          <w:sz w:val="32"/>
          <w:szCs w:val="32"/>
          <w:lang w:val="en-US" w:eastAsia="zh-CN"/>
        </w:rPr>
        <w:t>沅陵华隆等公司种苗培育、生产加工、原料基地</w:t>
      </w:r>
      <w:r>
        <w:rPr>
          <w:rFonts w:hint="eastAsia" w:ascii="仿宋_GB2312" w:hAnsi="仿宋_GB2312" w:eastAsia="仿宋_GB2312" w:cs="仿宋_GB2312"/>
          <w:b w:val="0"/>
          <w:bCs w:val="0"/>
          <w:color w:val="000000"/>
          <w:sz w:val="32"/>
          <w:szCs w:val="32"/>
          <w:lang w:eastAsia="zh-CN"/>
        </w:rPr>
        <w:t>开展点对点技术指导和服务。发布《农业生产技术指南》</w:t>
      </w:r>
      <w:r>
        <w:rPr>
          <w:rFonts w:hint="eastAsia" w:ascii="仿宋_GB2312" w:hAnsi="仿宋_GB2312" w:eastAsia="仿宋_GB2312" w:cs="仿宋_GB2312"/>
          <w:b w:val="0"/>
          <w:bCs w:val="0"/>
          <w:color w:val="000000"/>
          <w:sz w:val="32"/>
          <w:szCs w:val="32"/>
          <w:lang w:val="en-US" w:eastAsia="zh-CN"/>
        </w:rPr>
        <w:t>3期。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000000"/>
          <w:kern w:val="2"/>
          <w:sz w:val="32"/>
          <w:szCs w:val="32"/>
          <w:lang w:val="en-US" w:eastAsia="zh-CN"/>
        </w:rPr>
      </w:pPr>
      <w:r>
        <w:rPr>
          <w:rFonts w:hint="eastAsia" w:ascii="楷体" w:hAnsi="楷体" w:eastAsia="楷体" w:cs="楷体"/>
          <w:b/>
          <w:bCs/>
          <w:sz w:val="32"/>
          <w:szCs w:val="32"/>
          <w:lang w:val="en-US" w:eastAsia="zh-CN"/>
        </w:rPr>
        <w:t>4、</w:t>
      </w:r>
      <w:r>
        <w:rPr>
          <w:rFonts w:hint="eastAsia" w:ascii="楷体" w:hAnsi="楷体" w:eastAsia="楷体" w:cs="楷体"/>
          <w:b/>
          <w:bCs/>
          <w:sz w:val="32"/>
          <w:szCs w:val="32"/>
          <w:vertAlign w:val="baseline"/>
          <w:lang w:val="en-US" w:eastAsia="zh-CN"/>
        </w:rPr>
        <w:t>服务产业发展更精准。</w:t>
      </w:r>
      <w:r>
        <w:rPr>
          <w:rFonts w:hint="eastAsia" w:ascii="仿宋_GB2312" w:hAnsi="仿宋_GB2312" w:eastAsia="仿宋_GB2312" w:cs="仿宋_GB2312"/>
          <w:b w:val="0"/>
          <w:bCs w:val="0"/>
          <w:sz w:val="32"/>
          <w:szCs w:val="32"/>
          <w:vertAlign w:val="baseline"/>
          <w:lang w:val="en-US" w:eastAsia="zh-CN"/>
        </w:rPr>
        <w:t>今年我院</w:t>
      </w:r>
      <w:r>
        <w:rPr>
          <w:rFonts w:hint="eastAsia" w:ascii="仿宋_GB2312" w:hAnsi="仿宋_GB2312" w:eastAsia="仿宋_GB2312" w:cs="仿宋_GB2312"/>
          <w:sz w:val="32"/>
          <w:szCs w:val="32"/>
          <w:lang w:val="en-US" w:eastAsia="zh-CN"/>
        </w:rPr>
        <w:t>荣获2022年湖南省千亿茶产业先进单位。持续</w:t>
      </w:r>
      <w:r>
        <w:rPr>
          <w:rFonts w:hint="eastAsia" w:ascii="仿宋_GB2312" w:hAnsi="仿宋_GB2312" w:eastAsia="仿宋_GB2312" w:cs="仿宋_GB2312"/>
          <w:b w:val="0"/>
          <w:bCs w:val="0"/>
          <w:color w:val="000000"/>
          <w:kern w:val="2"/>
          <w:sz w:val="32"/>
          <w:szCs w:val="32"/>
          <w:lang w:val="en-US" w:eastAsia="zh-CN"/>
        </w:rPr>
        <w:t>推动“碣滩茶”产业提质升级，指导沅陵县皇妃农林开发有限公司研发花香味红茶，对碣滩红茶及白茶的加工工艺进行了改进；</w:t>
      </w:r>
      <w:r>
        <w:rPr>
          <w:rFonts w:hint="eastAsia" w:ascii="仿宋_GB2312" w:hAnsi="仿宋_GB2312" w:eastAsia="仿宋_GB2312" w:cs="仿宋_GB2312"/>
          <w:b w:val="0"/>
          <w:bCs w:val="0"/>
          <w:sz w:val="32"/>
          <w:szCs w:val="32"/>
          <w:u w:val="none"/>
          <w:lang w:val="en-US" w:eastAsia="zh-CN"/>
        </w:rPr>
        <w:t>组织省市旱粮领域专家团队多次赴沅陵、</w:t>
      </w:r>
      <w:r>
        <w:rPr>
          <w:rFonts w:hint="eastAsia" w:ascii="仿宋_GB2312" w:hAnsi="仿宋_GB2312" w:eastAsia="仿宋_GB2312" w:cs="仿宋_GB2312"/>
          <w:b w:val="0"/>
          <w:bCs w:val="0"/>
          <w:sz w:val="32"/>
          <w:szCs w:val="32"/>
          <w:u w:val="none"/>
          <w:vertAlign w:val="baseline"/>
          <w:lang w:eastAsia="zh-CN"/>
        </w:rPr>
        <w:t>溆浦</w:t>
      </w:r>
      <w:r>
        <w:rPr>
          <w:rFonts w:hint="eastAsia" w:ascii="仿宋_GB2312" w:hAnsi="仿宋_GB2312" w:eastAsia="仿宋_GB2312" w:cs="仿宋_GB2312"/>
          <w:b w:val="0"/>
          <w:bCs w:val="0"/>
          <w:sz w:val="32"/>
          <w:szCs w:val="32"/>
          <w:u w:val="none"/>
          <w:lang w:val="en-US" w:eastAsia="zh-CN"/>
        </w:rPr>
        <w:t>开展调研和科技服务，提供优质种苗；</w:t>
      </w:r>
      <w:r>
        <w:rPr>
          <w:rFonts w:hint="eastAsia" w:ascii="仿宋_GB2312" w:hAnsi="仿宋_GB2312" w:eastAsia="仿宋_GB2312" w:cs="仿宋_GB2312"/>
          <w:b w:val="0"/>
          <w:bCs w:val="0"/>
          <w:color w:val="000000"/>
          <w:kern w:val="2"/>
          <w:sz w:val="32"/>
          <w:szCs w:val="32"/>
          <w:lang w:val="en-US" w:eastAsia="zh-CN"/>
        </w:rPr>
        <w:t>在</w:t>
      </w:r>
      <w:r>
        <w:rPr>
          <w:rFonts w:hint="eastAsia" w:ascii="仿宋_GB2312" w:hAnsi="仿宋_GB2312" w:eastAsia="仿宋_GB2312" w:cs="仿宋_GB2312"/>
          <w:color w:val="000000"/>
          <w:sz w:val="32"/>
          <w:szCs w:val="32"/>
          <w:lang w:val="en-US" w:eastAsia="zh-CN"/>
        </w:rPr>
        <w:t>溆浦、芷江和安江建立“三品一</w:t>
      </w:r>
      <w:r>
        <w:rPr>
          <w:rFonts w:hint="eastAsia" w:ascii="仿宋_GB2312" w:hAnsi="仿宋_GB2312" w:eastAsia="仿宋_GB2312" w:cs="仿宋_GB2312"/>
          <w:b w:val="0"/>
          <w:bCs w:val="0"/>
          <w:color w:val="000000"/>
          <w:kern w:val="2"/>
          <w:sz w:val="32"/>
          <w:szCs w:val="32"/>
          <w:lang w:val="en-US" w:eastAsia="zh-CN"/>
        </w:rPr>
        <w:t>标”柑桔品改示范推广基地；举办了怀化市家禽产业技术线上培训班，大湘西地区家禽养殖企业、生产大户共计1.13万人次参加培训。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楷体" w:hAnsi="楷体" w:eastAsia="楷体" w:cs="楷体"/>
          <w:b/>
          <w:bCs/>
          <w:color w:val="000000"/>
          <w:sz w:val="32"/>
          <w:szCs w:val="32"/>
          <w:lang w:val="en-US" w:eastAsia="zh-CN"/>
        </w:rPr>
        <w:t>5、开展</w:t>
      </w:r>
      <w:r>
        <w:rPr>
          <w:rFonts w:hint="eastAsia" w:ascii="楷体" w:hAnsi="楷体" w:eastAsia="楷体" w:cs="楷体"/>
          <w:b/>
          <w:bCs/>
          <w:sz w:val="32"/>
          <w:szCs w:val="32"/>
          <w:vertAlign w:val="baseline"/>
          <w:lang w:val="en-US" w:eastAsia="zh-CN"/>
        </w:rPr>
        <w:t>科普宣传更有力。</w:t>
      </w:r>
      <w:r>
        <w:rPr>
          <w:rFonts w:hint="eastAsia" w:ascii="仿宋_GB2312" w:hAnsi="仿宋_GB2312" w:eastAsia="仿宋_GB2312" w:cs="仿宋_GB2312"/>
          <w:sz w:val="32"/>
          <w:szCs w:val="32"/>
          <w:lang w:val="en-US" w:eastAsia="zh-CN"/>
        </w:rPr>
        <w:t>填补我市综合性农业科普基地空白，</w:t>
      </w:r>
      <w:r>
        <w:rPr>
          <w:rFonts w:hint="eastAsia" w:ascii="仿宋_GB2312" w:hAnsi="仿宋_GB2312" w:eastAsia="仿宋_GB2312" w:cs="仿宋_GB2312"/>
          <w:b w:val="0"/>
          <w:bCs w:val="0"/>
          <w:sz w:val="32"/>
          <w:szCs w:val="32"/>
          <w:lang w:val="en-US" w:eastAsia="zh-CN"/>
        </w:rPr>
        <w:t>建成面积300余平方米的怀化市农业科普馆，</w:t>
      </w:r>
      <w:r>
        <w:rPr>
          <w:rFonts w:hint="eastAsia" w:ascii="仿宋_GB2312" w:hAnsi="仿宋_GB2312" w:eastAsia="仿宋_GB2312" w:cs="仿宋_GB2312"/>
          <w:b w:val="0"/>
          <w:bCs w:val="0"/>
          <w:color w:val="000000"/>
          <w:sz w:val="32"/>
          <w:szCs w:val="32"/>
          <w:lang w:val="en-US" w:eastAsia="zh-CN"/>
        </w:rPr>
        <w:t>5月12日起面向中小学生和社会大众开展日常科普宣传，</w:t>
      </w:r>
      <w:r>
        <w:rPr>
          <w:rFonts w:hint="eastAsia" w:ascii="仿宋_GB2312" w:hAnsi="仿宋_GB2312" w:eastAsia="仿宋_GB2312" w:cs="仿宋_GB2312"/>
          <w:sz w:val="32"/>
          <w:szCs w:val="32"/>
          <w:lang w:val="en-US" w:eastAsia="zh-CN"/>
        </w:rPr>
        <w:t>开展农业科普活动10余次，接待1500余人。科普作品</w:t>
      </w:r>
      <w:r>
        <w:rPr>
          <w:rFonts w:hint="eastAsia" w:ascii="仿宋_GB2312" w:hAnsi="仿宋_GB2312" w:eastAsia="仿宋_GB2312" w:cs="仿宋_GB2312"/>
          <w:b w:val="0"/>
          <w:bCs w:val="0"/>
          <w:sz w:val="32"/>
          <w:szCs w:val="32"/>
          <w:lang w:val="en-US" w:eastAsia="zh-CN"/>
        </w:rPr>
        <w:t>《</w:t>
      </w:r>
      <w:r>
        <w:rPr>
          <w:rFonts w:hint="eastAsia" w:ascii="仿宋_GB2312" w:eastAsia="仿宋_GB2312" w:cs="仿宋_GB2312"/>
          <w:sz w:val="32"/>
          <w:szCs w:val="32"/>
          <w:lang w:eastAsia="zh-CN"/>
        </w:rPr>
        <w:t>鹅鹅鹅，知多少？</w:t>
      </w:r>
      <w:r>
        <w:rPr>
          <w:rFonts w:hint="eastAsia" w:ascii="仿宋_GB2312" w:hAnsi="仿宋_GB2312" w:eastAsia="仿宋_GB2312" w:cs="仿宋_GB2312"/>
          <w:b w:val="0"/>
          <w:bCs w:val="0"/>
          <w:sz w:val="32"/>
          <w:szCs w:val="32"/>
          <w:lang w:val="en-US" w:eastAsia="zh-CN"/>
        </w:rPr>
        <w:t>》获“第十一届湖南省优秀科普作品”表彰。</w:t>
      </w: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p>
    <w:p>
      <w:pPr>
        <w:pStyle w:val="10"/>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存在的问题及原因分析</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sz w:val="32"/>
          <w:szCs w:val="32"/>
        </w:rPr>
        <w:t>（一）科研成果转化有待加强。</w:t>
      </w:r>
      <w:r>
        <w:rPr>
          <w:rFonts w:hint="eastAsia" w:ascii="仿宋_GB2312" w:hAnsi="仿宋_GB2312" w:eastAsia="仿宋_GB2312" w:cs="仿宋_GB2312"/>
          <w:sz w:val="32"/>
          <w:szCs w:val="32"/>
          <w:lang w:eastAsia="zh-CN"/>
        </w:rPr>
        <w:t>一是科研项目、科研课题仍有部分项目没有以解决制约产业发展难题为导向，与产业发展不相适应；二是与企业、合作社和种养大户等农业发展主体联系不够紧密，造成产研脱节，科研成果转化率不高。</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sz w:val="32"/>
          <w:szCs w:val="32"/>
        </w:rPr>
        <w:t>（二）科研保障力度有待加强。</w:t>
      </w:r>
      <w:r>
        <w:rPr>
          <w:rFonts w:hint="eastAsia" w:ascii="仿宋_GB2312" w:hAnsi="仿宋_GB2312" w:eastAsia="仿宋_GB2312" w:cs="仿宋_GB2312"/>
          <w:sz w:val="32"/>
          <w:szCs w:val="32"/>
        </w:rPr>
        <w:t>我所的基地基础建设、</w:t>
      </w:r>
      <w:r>
        <w:rPr>
          <w:rFonts w:hint="eastAsia" w:ascii="仿宋_GB2312" w:hAnsi="仿宋_GB2312" w:eastAsia="仿宋_GB2312" w:cs="仿宋_GB2312"/>
          <w:sz w:val="32"/>
          <w:szCs w:val="32"/>
          <w:lang w:eastAsia="zh-CN"/>
        </w:rPr>
        <w:t>设施</w:t>
      </w:r>
      <w:r>
        <w:rPr>
          <w:rFonts w:hint="eastAsia" w:ascii="仿宋_GB2312" w:hAnsi="仿宋_GB2312" w:eastAsia="仿宋_GB2312" w:cs="仿宋_GB2312"/>
          <w:sz w:val="32"/>
          <w:szCs w:val="32"/>
        </w:rPr>
        <w:t>设备配置、科研</w:t>
      </w:r>
      <w:r>
        <w:rPr>
          <w:rFonts w:hint="eastAsia" w:ascii="仿宋_GB2312" w:hAnsi="仿宋_GB2312" w:eastAsia="仿宋_GB2312" w:cs="仿宋_GB2312"/>
          <w:sz w:val="32"/>
          <w:szCs w:val="32"/>
          <w:lang w:eastAsia="zh-CN"/>
        </w:rPr>
        <w:t>平台建设、</w:t>
      </w:r>
      <w:r>
        <w:rPr>
          <w:rFonts w:hint="eastAsia" w:ascii="仿宋_GB2312" w:hAnsi="仿宋_GB2312" w:eastAsia="仿宋_GB2312" w:cs="仿宋_GB2312"/>
          <w:sz w:val="32"/>
          <w:szCs w:val="32"/>
        </w:rPr>
        <w:t>人才</w:t>
      </w:r>
      <w:r>
        <w:rPr>
          <w:rFonts w:hint="eastAsia" w:ascii="仿宋_GB2312" w:hAnsi="仿宋_GB2312" w:eastAsia="仿宋_GB2312" w:cs="仿宋_GB2312"/>
          <w:sz w:val="32"/>
          <w:szCs w:val="32"/>
          <w:lang w:eastAsia="zh-CN"/>
        </w:rPr>
        <w:t>队伍建设等与国省对种业创新的规划部署、与本市农业产业发展需要还有一定差距。</w:t>
      </w:r>
    </w:p>
    <w:p>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sz w:val="32"/>
          <w:szCs w:val="32"/>
        </w:rPr>
        <w:t>（三）</w:t>
      </w:r>
      <w:r>
        <w:rPr>
          <w:rFonts w:hint="eastAsia" w:ascii="楷体" w:hAnsi="楷体" w:eastAsia="楷体" w:cs="楷体"/>
          <w:b/>
          <w:sz w:val="32"/>
          <w:szCs w:val="32"/>
          <w:lang w:eastAsia="zh-CN"/>
        </w:rPr>
        <w:t>科研</w:t>
      </w:r>
      <w:r>
        <w:rPr>
          <w:rFonts w:hint="eastAsia" w:ascii="楷体" w:hAnsi="楷体" w:eastAsia="楷体" w:cs="楷体"/>
          <w:b/>
          <w:sz w:val="32"/>
          <w:szCs w:val="32"/>
        </w:rPr>
        <w:t>制</w:t>
      </w:r>
      <w:r>
        <w:rPr>
          <w:rFonts w:hint="eastAsia" w:ascii="楷体" w:hAnsi="楷体" w:eastAsia="楷体" w:cs="楷体"/>
          <w:b/>
          <w:sz w:val="32"/>
          <w:szCs w:val="32"/>
          <w:lang w:eastAsia="zh-CN"/>
        </w:rPr>
        <w:t>度建设</w:t>
      </w:r>
      <w:r>
        <w:rPr>
          <w:rFonts w:hint="eastAsia" w:ascii="楷体" w:hAnsi="楷体" w:eastAsia="楷体" w:cs="楷体"/>
          <w:b/>
          <w:sz w:val="32"/>
          <w:szCs w:val="32"/>
        </w:rPr>
        <w:t>有待加强。</w:t>
      </w:r>
      <w:r>
        <w:rPr>
          <w:rFonts w:hint="eastAsia" w:ascii="仿宋_GB2312" w:hAnsi="仿宋_GB2312" w:eastAsia="仿宋_GB2312" w:cs="仿宋_GB2312"/>
          <w:sz w:val="32"/>
          <w:szCs w:val="32"/>
          <w:lang w:eastAsia="zh-CN"/>
        </w:rPr>
        <w:t>虽制定下发了《科研管理办法》，但未制定《科研经费管理办法》《科研项目管理办法》《科研成果奖励办法》《科研基地管理办法》等一系列配套的科学管理制度，在一定程度上影响了科研人员的工作积极性和创造性，影响科研成果的产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both"/>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p>
    <w:p>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一、</w:t>
      </w:r>
      <w:r>
        <w:rPr>
          <w:rFonts w:hint="eastAsia" w:ascii="仿宋" w:hAnsi="仿宋" w:eastAsia="仿宋" w:cs="仿宋"/>
          <w:b/>
          <w:bCs/>
          <w:i w:val="0"/>
          <w:iCs w:val="0"/>
          <w:caps w:val="0"/>
          <w:color w:val="auto"/>
          <w:spacing w:val="0"/>
          <w:sz w:val="32"/>
          <w:szCs w:val="32"/>
          <w:shd w:val="clear" w:color="auto" w:fill="FFFFFF"/>
          <w:lang w:bidi="ar"/>
        </w:rPr>
        <w:t>财政拨款收入</w:t>
      </w:r>
      <w:r>
        <w:rPr>
          <w:rFonts w:hint="eastAsia" w:ascii="仿宋" w:hAnsi="仿宋" w:eastAsia="仿宋" w:cs="仿宋"/>
          <w:i w:val="0"/>
          <w:iCs w:val="0"/>
          <w:caps w:val="0"/>
          <w:color w:val="auto"/>
          <w:spacing w:val="0"/>
          <w:sz w:val="32"/>
          <w:szCs w:val="32"/>
          <w:shd w:val="clear" w:color="auto" w:fill="FFFFFF"/>
          <w:lang w:bidi="ar"/>
        </w:rPr>
        <w:t>：指财政当年拨付的资金。包括一般公共预算财政拨款和政府性基金财政拨款。</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二、上级补助收入</w:t>
      </w:r>
      <w:r>
        <w:rPr>
          <w:rFonts w:hint="eastAsia" w:ascii="仿宋" w:hAnsi="仿宋" w:eastAsia="仿宋" w:cs="仿宋"/>
          <w:i w:val="0"/>
          <w:iCs w:val="0"/>
          <w:caps w:val="0"/>
          <w:color w:val="auto"/>
          <w:spacing w:val="0"/>
          <w:sz w:val="32"/>
          <w:szCs w:val="32"/>
          <w:shd w:val="clear" w:color="auto" w:fill="FFFFFF"/>
          <w:lang w:bidi="ar"/>
        </w:rPr>
        <w:t>：指事业单位从主管部门和上级单位取得的非财政补助收入。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三、事业收入</w:t>
      </w:r>
      <w:r>
        <w:rPr>
          <w:rFonts w:hint="eastAsia" w:ascii="仿宋" w:hAnsi="仿宋" w:eastAsia="仿宋" w:cs="仿宋"/>
          <w:i w:val="0"/>
          <w:iCs w:val="0"/>
          <w:caps w:val="0"/>
          <w:color w:val="auto"/>
          <w:spacing w:val="0"/>
          <w:sz w:val="32"/>
          <w:szCs w:val="32"/>
          <w:shd w:val="clear" w:color="auto" w:fill="FFFFFF"/>
          <w:lang w:bidi="ar"/>
        </w:rPr>
        <w:t>：指事业单位开展专业业务活动及辅助活动所取得的收入。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四、经营收入</w:t>
      </w:r>
      <w:r>
        <w:rPr>
          <w:rFonts w:hint="eastAsia" w:ascii="仿宋" w:hAnsi="仿宋" w:eastAsia="仿宋" w:cs="仿宋"/>
          <w:i w:val="0"/>
          <w:iCs w:val="0"/>
          <w:caps w:val="0"/>
          <w:color w:val="auto"/>
          <w:spacing w:val="0"/>
          <w:sz w:val="32"/>
          <w:szCs w:val="32"/>
          <w:shd w:val="clear" w:color="auto" w:fill="FFFFFF"/>
          <w:lang w:bidi="ar"/>
        </w:rPr>
        <w:t>：指事业单位在专业业务活动及其辅助活动之外开展非独立核算经营活动取得的收入。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五、附属单位上缴收入</w:t>
      </w:r>
      <w:r>
        <w:rPr>
          <w:rFonts w:hint="eastAsia" w:ascii="仿宋" w:hAnsi="仿宋" w:eastAsia="仿宋" w:cs="仿宋"/>
          <w:i w:val="0"/>
          <w:iCs w:val="0"/>
          <w:caps w:val="0"/>
          <w:color w:val="auto"/>
          <w:spacing w:val="0"/>
          <w:sz w:val="32"/>
          <w:szCs w:val="32"/>
          <w:shd w:val="clear" w:color="auto" w:fill="FFFFFF"/>
          <w:lang w:bidi="ar"/>
        </w:rPr>
        <w:t>：指事业单位附属独立核算单位按照有关规定上缴的收入。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六、其他收入</w:t>
      </w:r>
      <w:r>
        <w:rPr>
          <w:rFonts w:hint="eastAsia" w:ascii="仿宋" w:hAnsi="仿宋" w:eastAsia="仿宋" w:cs="仿宋"/>
          <w:i w:val="0"/>
          <w:iCs w:val="0"/>
          <w:caps w:val="0"/>
          <w:color w:val="auto"/>
          <w:spacing w:val="0"/>
          <w:sz w:val="32"/>
          <w:szCs w:val="32"/>
          <w:shd w:val="clear" w:color="auto" w:fill="FFFFFF"/>
          <w:lang w:bidi="ar"/>
        </w:rPr>
        <w:t>：指除上述“财政拨款收入”、“事业收入”、“经营收入”等以外的收入。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七、用事业基金弥补收支差额</w:t>
      </w:r>
      <w:r>
        <w:rPr>
          <w:rFonts w:hint="eastAsia" w:ascii="仿宋" w:hAnsi="仿宋" w:eastAsia="仿宋" w:cs="仿宋"/>
          <w:i w:val="0"/>
          <w:iCs w:val="0"/>
          <w:caps w:val="0"/>
          <w:color w:val="auto"/>
          <w:spacing w:val="0"/>
          <w:sz w:val="32"/>
          <w:szCs w:val="32"/>
          <w:shd w:val="clear" w:color="auto" w:fill="FFFFFF"/>
          <w:lang w:bidi="ar"/>
        </w:rPr>
        <w:t>：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八、年初结转和结余</w:t>
      </w:r>
      <w:r>
        <w:rPr>
          <w:rFonts w:hint="eastAsia" w:ascii="仿宋" w:hAnsi="仿宋" w:eastAsia="仿宋" w:cs="仿宋"/>
          <w:i w:val="0"/>
          <w:iCs w:val="0"/>
          <w:caps w:val="0"/>
          <w:color w:val="auto"/>
          <w:spacing w:val="0"/>
          <w:sz w:val="32"/>
          <w:szCs w:val="32"/>
          <w:shd w:val="clear" w:color="auto" w:fill="FFFFFF"/>
          <w:lang w:bidi="ar"/>
        </w:rPr>
        <w:t>：指以前年度尚未完成、结转到本年按有关规定继续使用的资金。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九、结余分配</w:t>
      </w:r>
      <w:r>
        <w:rPr>
          <w:rFonts w:hint="eastAsia" w:ascii="仿宋" w:hAnsi="仿宋" w:eastAsia="仿宋" w:cs="仿宋"/>
          <w:i w:val="0"/>
          <w:iCs w:val="0"/>
          <w:caps w:val="0"/>
          <w:color w:val="auto"/>
          <w:spacing w:val="0"/>
          <w:sz w:val="32"/>
          <w:szCs w:val="32"/>
          <w:shd w:val="clear" w:color="auto" w:fill="FFFFFF"/>
          <w:lang w:bidi="ar"/>
        </w:rPr>
        <w:t>：指事业单位按规定从非财政补助结余中分配的事业基金和职工福利基金等。</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十、年末结转和结余</w:t>
      </w:r>
      <w:r>
        <w:rPr>
          <w:rFonts w:hint="eastAsia" w:ascii="仿宋" w:hAnsi="仿宋" w:eastAsia="仿宋" w:cs="仿宋"/>
          <w:i w:val="0"/>
          <w:iCs w:val="0"/>
          <w:caps w:val="0"/>
          <w:color w:val="auto"/>
          <w:spacing w:val="0"/>
          <w:sz w:val="32"/>
          <w:szCs w:val="32"/>
          <w:shd w:val="clear" w:color="auto" w:fill="FFFFFF"/>
          <w:lang w:bidi="ar"/>
        </w:rPr>
        <w:t>：指本年度或以前年度预算安排、因客观条件发生变化无法按原计划实施，需要延迟到以后年度按有关规定继续使用的资金。</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十一、基本支出</w:t>
      </w:r>
      <w:r>
        <w:rPr>
          <w:rFonts w:hint="eastAsia" w:ascii="仿宋" w:hAnsi="仿宋" w:eastAsia="仿宋" w:cs="仿宋"/>
          <w:i w:val="0"/>
          <w:iCs w:val="0"/>
          <w:caps w:val="0"/>
          <w:color w:val="auto"/>
          <w:spacing w:val="0"/>
          <w:sz w:val="32"/>
          <w:szCs w:val="32"/>
          <w:shd w:val="clear" w:color="auto" w:fill="FFFFFF"/>
          <w:lang w:bidi="ar"/>
        </w:rPr>
        <w:t>：指为保障机构正常运转、完成日常工作任务而发生的人员支出和公用支出。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十二、项目支出</w:t>
      </w:r>
      <w:r>
        <w:rPr>
          <w:rFonts w:hint="eastAsia" w:ascii="仿宋" w:hAnsi="仿宋" w:eastAsia="仿宋" w:cs="仿宋"/>
          <w:i w:val="0"/>
          <w:iCs w:val="0"/>
          <w:caps w:val="0"/>
          <w:color w:val="auto"/>
          <w:spacing w:val="0"/>
          <w:sz w:val="32"/>
          <w:szCs w:val="32"/>
          <w:shd w:val="clear" w:color="auto" w:fill="FFFFFF"/>
          <w:lang w:bidi="ar"/>
        </w:rPr>
        <w:t>：指在基本支出之外为完成特定行政任务和事业发展目标所发生的支出。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十三、经营支出</w:t>
      </w:r>
      <w:r>
        <w:rPr>
          <w:rFonts w:hint="eastAsia" w:ascii="仿宋" w:hAnsi="仿宋" w:eastAsia="仿宋" w:cs="仿宋"/>
          <w:i w:val="0"/>
          <w:iCs w:val="0"/>
          <w:caps w:val="0"/>
          <w:color w:val="auto"/>
          <w:spacing w:val="0"/>
          <w:sz w:val="32"/>
          <w:szCs w:val="32"/>
          <w:shd w:val="clear" w:color="auto" w:fill="FFFFFF"/>
          <w:lang w:bidi="ar"/>
        </w:rPr>
        <w:t>：指事业单位在专业业务活动及其辅助活动之外开展非独立核算经营活动所发生的支出。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lang w:bidi="ar"/>
        </w:rPr>
      </w:pPr>
      <w:r>
        <w:rPr>
          <w:rFonts w:hint="eastAsia" w:ascii="仿宋" w:hAnsi="仿宋" w:eastAsia="仿宋" w:cs="仿宋"/>
          <w:b/>
          <w:bCs/>
          <w:i w:val="0"/>
          <w:iCs w:val="0"/>
          <w:caps w:val="0"/>
          <w:color w:val="auto"/>
          <w:spacing w:val="0"/>
          <w:sz w:val="32"/>
          <w:szCs w:val="32"/>
          <w:shd w:val="clear" w:color="auto" w:fill="FFFFFF"/>
          <w:lang w:eastAsia="zh-CN" w:bidi="ar"/>
        </w:rPr>
        <w:t>十四、“三公”经费</w:t>
      </w:r>
      <w:r>
        <w:rPr>
          <w:rFonts w:hint="eastAsia" w:ascii="仿宋" w:hAnsi="仿宋" w:eastAsia="仿宋" w:cs="仿宋"/>
          <w:i w:val="0"/>
          <w:iCs w:val="0"/>
          <w:caps w:val="0"/>
          <w:color w:val="auto"/>
          <w:spacing w:val="0"/>
          <w:sz w:val="32"/>
          <w:szCs w:val="32"/>
          <w:shd w:val="clear" w:color="auto" w:fill="FFFFFF"/>
          <w:lang w:bidi="ar"/>
        </w:rPr>
        <w:t>：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left="0" w:right="0" w:firstLine="640" w:firstLineChars="200"/>
        <w:jc w:val="left"/>
        <w:textAlignment w:val="auto"/>
        <w:rPr>
          <w:rFonts w:hint="eastAsia"/>
          <w:color w:val="auto"/>
        </w:rPr>
      </w:pPr>
      <w:r>
        <w:rPr>
          <w:rFonts w:hint="eastAsia" w:ascii="仿宋" w:hAnsi="仿宋" w:eastAsia="仿宋" w:cs="仿宋"/>
          <w:b/>
          <w:bCs/>
          <w:i w:val="0"/>
          <w:iCs w:val="0"/>
          <w:caps w:val="0"/>
          <w:color w:val="auto"/>
          <w:spacing w:val="0"/>
          <w:sz w:val="32"/>
          <w:szCs w:val="32"/>
          <w:shd w:val="clear" w:color="auto" w:fill="FFFFFF"/>
          <w:lang w:eastAsia="zh-CN" w:bidi="ar"/>
        </w:rPr>
        <w:t>十五、机关运行经费</w:t>
      </w:r>
      <w:r>
        <w:rPr>
          <w:rFonts w:hint="eastAsia" w:ascii="仿宋" w:hAnsi="仿宋" w:eastAsia="仿宋" w:cs="仿宋"/>
          <w:i w:val="0"/>
          <w:iCs w:val="0"/>
          <w:caps w:val="0"/>
          <w:color w:val="auto"/>
          <w:spacing w:val="0"/>
          <w:sz w:val="32"/>
          <w:szCs w:val="32"/>
          <w:shd w:val="clear" w:color="auto" w:fill="FFFFFF"/>
          <w:lang w:bidi="ar"/>
        </w:rPr>
        <w:t>：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EA1679"/>
    <w:multiLevelType w:val="singleLevel"/>
    <w:tmpl w:val="FEEA1679"/>
    <w:lvl w:ilvl="0" w:tentative="0">
      <w:start w:val="2"/>
      <w:numFmt w:val="decimal"/>
      <w:suff w:val="nothing"/>
      <w:lvlText w:val="%1、"/>
      <w:lvlJc w:val="left"/>
    </w:lvl>
  </w:abstractNum>
  <w:abstractNum w:abstractNumId="1">
    <w:nsid w:val="22D41AF6"/>
    <w:multiLevelType w:val="singleLevel"/>
    <w:tmpl w:val="22D41AF6"/>
    <w:lvl w:ilvl="0" w:tentative="0">
      <w:start w:val="1"/>
      <w:numFmt w:val="decimal"/>
      <w:lvlText w:val="%1."/>
      <w:lvlJc w:val="left"/>
      <w:pPr>
        <w:tabs>
          <w:tab w:val="left" w:pos="312"/>
        </w:tabs>
      </w:pPr>
    </w:lvl>
  </w:abstractNum>
  <w:abstractNum w:abstractNumId="2">
    <w:nsid w:val="2630B316"/>
    <w:multiLevelType w:val="singleLevel"/>
    <w:tmpl w:val="2630B316"/>
    <w:lvl w:ilvl="0" w:tentative="0">
      <w:start w:val="7"/>
      <w:numFmt w:val="decimal"/>
      <w:suff w:val="nothing"/>
      <w:lvlText w:val="%1、"/>
      <w:lvlJc w:val="left"/>
    </w:lvl>
  </w:abstractNum>
  <w:abstractNum w:abstractNumId="3">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OTY5MzQ2YmUyYWZkZjAwM2Q0ZmZlY2QwMDI3Y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60F300B"/>
    <w:rsid w:val="0B472137"/>
    <w:rsid w:val="0C4E4E9D"/>
    <w:rsid w:val="14665BD8"/>
    <w:rsid w:val="1B2F1B30"/>
    <w:rsid w:val="2ACD16DA"/>
    <w:rsid w:val="2BFB2D9E"/>
    <w:rsid w:val="321D5475"/>
    <w:rsid w:val="3A80730F"/>
    <w:rsid w:val="3D840E45"/>
    <w:rsid w:val="405A5E8D"/>
    <w:rsid w:val="41326E0A"/>
    <w:rsid w:val="416F7716"/>
    <w:rsid w:val="41962409"/>
    <w:rsid w:val="43E51EC7"/>
    <w:rsid w:val="45726B02"/>
    <w:rsid w:val="48E24C72"/>
    <w:rsid w:val="560721BC"/>
    <w:rsid w:val="5777D4F5"/>
    <w:rsid w:val="5C53578D"/>
    <w:rsid w:val="5C8F3250"/>
    <w:rsid w:val="5E3554D2"/>
    <w:rsid w:val="5FC6BB1E"/>
    <w:rsid w:val="5FF720F1"/>
    <w:rsid w:val="615E1D26"/>
    <w:rsid w:val="65953340"/>
    <w:rsid w:val="66354C50"/>
    <w:rsid w:val="6FBB27E2"/>
    <w:rsid w:val="72C25CBE"/>
    <w:rsid w:val="737D59BA"/>
    <w:rsid w:val="74F726AB"/>
    <w:rsid w:val="77C37683"/>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31</Pages>
  <Words>10525</Words>
  <Characters>12648</Characters>
  <Lines>63</Lines>
  <Paragraphs>18</Paragraphs>
  <TotalTime>33</TotalTime>
  <ScaleCrop>false</ScaleCrop>
  <LinksUpToDate>false</LinksUpToDate>
  <CharactersWithSpaces>13632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星星的世界</cp:lastModifiedBy>
  <cp:lastPrinted>2023-09-15T06:57:00Z</cp:lastPrinted>
  <dcterms:modified xsi:type="dcterms:W3CDTF">2014-01-01T02:36:59Z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AEA15B7E50F64DF79A6ED449A4246F75_13</vt:lpwstr>
  </property>
</Properties>
</file>