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true"/>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6"/>
        <w:jc w:val="center"/>
        <w:rPr>
          <w:sz w:val="56"/>
          <w:szCs w:val="56"/>
        </w:rPr>
      </w:pPr>
    </w:p>
    <w:p>
      <w:pPr>
        <w:pStyle w:val="16"/>
        <w:jc w:val="center"/>
        <w:rPr>
          <w:sz w:val="84"/>
          <w:szCs w:val="84"/>
        </w:rPr>
      </w:pPr>
    </w:p>
    <w:p>
      <w:pPr>
        <w:pStyle w:val="16"/>
        <w:jc w:val="center"/>
        <w:rPr>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6"/>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怀化市农业科学研究院</w:t>
      </w: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6"/>
        <w:jc w:val="center"/>
        <w:rPr>
          <w:rFonts w:hint="eastAsia" w:ascii="方正小标宋_GBK" w:hAnsi="方正小标宋_GBK" w:eastAsia="方正小标宋_GBK" w:cs="方正小标宋_GBK"/>
          <w:sz w:val="56"/>
          <w:szCs w:val="56"/>
        </w:rPr>
      </w:pPr>
    </w:p>
    <w:p>
      <w:pPr>
        <w:pStyle w:val="16"/>
        <w:jc w:val="center"/>
        <w:rPr>
          <w:sz w:val="56"/>
          <w:szCs w:val="56"/>
        </w:rPr>
      </w:pPr>
    </w:p>
    <w:p>
      <w:pPr>
        <w:pStyle w:val="16"/>
        <w:jc w:val="both"/>
        <w:rPr>
          <w:sz w:val="56"/>
          <w:szCs w:val="56"/>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spacing w:line="500" w:lineRule="exact"/>
        <w:jc w:val="both"/>
        <w:rPr>
          <w:b/>
          <w:sz w:val="36"/>
          <w:szCs w:val="28"/>
        </w:rPr>
      </w:pPr>
    </w:p>
    <w:p>
      <w:pPr>
        <w:pStyle w:val="16"/>
        <w:spacing w:line="500" w:lineRule="exact"/>
        <w:jc w:val="center"/>
        <w:rPr>
          <w:rFonts w:hint="eastAsia"/>
          <w:b/>
          <w:sz w:val="36"/>
          <w:szCs w:val="28"/>
        </w:rPr>
      </w:pPr>
    </w:p>
    <w:p>
      <w:pPr>
        <w:pStyle w:val="16"/>
        <w:spacing w:line="500" w:lineRule="exact"/>
        <w:jc w:val="center"/>
        <w:rPr>
          <w:rFonts w:hint="eastAsia"/>
          <w:b/>
          <w:sz w:val="36"/>
          <w:szCs w:val="28"/>
        </w:rPr>
      </w:pPr>
      <w:r>
        <w:rPr>
          <w:rFonts w:hint="eastAsia"/>
          <w:b/>
          <w:sz w:val="36"/>
          <w:szCs w:val="28"/>
        </w:rPr>
        <w:t>目录</w:t>
      </w:r>
    </w:p>
    <w:p>
      <w:pPr>
        <w:pStyle w:val="16"/>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怀化市农业科学研究院</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国有资本经营预算财政拨款支出决算</w:t>
      </w:r>
      <w:r>
        <w:rPr>
          <w:rFonts w:hint="eastAsia" w:ascii="仿宋_GB2312" w:hAnsi="仿宋_GB2312" w:eastAsia="仿宋_GB2312" w:cs="仿宋_GB2312"/>
          <w:color w:val="000000"/>
          <w:kern w:val="0"/>
          <w:sz w:val="28"/>
          <w:szCs w:val="28"/>
          <w:lang w:eastAsia="zh-CN"/>
        </w:rPr>
        <w:t>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6"/>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6"/>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6"/>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bookmarkStart w:id="3" w:name="_GoBack"/>
      <w:bookmarkEnd w:id="3"/>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6"/>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怀化市农业科学研究院</w:t>
      </w: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both"/>
        <w:rPr>
          <w:sz w:val="72"/>
          <w:szCs w:val="72"/>
        </w:rPr>
      </w:pPr>
    </w:p>
    <w:p>
      <w:pPr>
        <w:pStyle w:val="10"/>
        <w:rPr>
          <w:sz w:val="72"/>
          <w:szCs w:val="72"/>
        </w:rPr>
      </w:pPr>
    </w:p>
    <w:p>
      <w:pPr>
        <w:pStyle w:val="6"/>
        <w:rPr>
          <w:sz w:val="72"/>
          <w:szCs w:val="72"/>
        </w:rPr>
      </w:pPr>
    </w:p>
    <w:p/>
    <w:p>
      <w:pPr>
        <w:pStyle w:val="10"/>
      </w:pPr>
    </w:p>
    <w:p>
      <w:pPr>
        <w:pStyle w:val="17"/>
        <w:keepNext w:val="0"/>
        <w:keepLines w:val="0"/>
        <w:pageBreakBefore w:val="0"/>
        <w:numPr>
          <w:ilvl w:val="0"/>
          <w:numId w:val="1"/>
        </w:numPr>
        <w:kinsoku/>
        <w:wordWrap/>
        <w:overflowPunct/>
        <w:topLinePunct w:val="0"/>
        <w:autoSpaceDE/>
        <w:autoSpaceDN/>
        <w:bidi w:val="0"/>
        <w:adjustRightInd/>
        <w:snapToGrid/>
        <w:spacing w:line="580" w:lineRule="exact"/>
        <w:ind w:firstLineChars="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ascii="Times New Roman" w:hAnsi="Times New Roman" w:eastAsia="仿宋_GB2312" w:cs="Times New Roman"/>
          <w:color w:val="auto"/>
          <w:kern w:val="2"/>
          <w:sz w:val="32"/>
          <w:szCs w:val="32"/>
          <w:lang w:val="en-US" w:eastAsia="zh-CN" w:bidi="ar-SA"/>
        </w:rPr>
        <w:t>（一）承担农业农村经济研究，农业应用基础、应用研究和高新技术研究等任务，为党委政府制定农业农村政策提供参谋咨询。</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（二）承担国家、省作物品种区域试验任务，为农作物新品种审定提供技术依据。</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（三）为全市农业优势特色产业规划和发展提供技术支撑；为全市种业安全、粮食安全、农产品质量安全、农业防灾减灾等重要工作提供技术支撑。</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（四）承担上级下达的农作物种质资源调查、收集、保护工作任务。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（五）承担全市农业产业技术体系相关学科的基础性、应用性、公益性研究；承担国家、省农业产业技术体系建设任务，国家、省、市农业科研攻关课题及指令性科研任务。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（六）承担全市农作物种质资源创新利用工作；开展应用型农业生物技术研究、农业生化检验分析、本市特异种质资源筛选评价和重要基因发掘工作。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（七）承担水稻、果树、旱粮、中药材、茶叶、蔬菜、油料等农作物的育种技术研究；开展本地特色农作物品种培育技术研究，推进分子技术、基因编辑、合成生物学、人工智能等新技术在作物育种上的应用。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（八）承担农作物栽培、植物保护、土壤肥料等生产技术的研究与应用。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（九）承担禽畜水产绿色高效养殖技术研究与应用；承担地方特色禽畜水产品种的改良、繁育、疾病防控等技术的研究与应用。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（十)承担农业机械化、设施农业、智慧农业技术研究与推广应用，开展农牧渔及其副产品精深加工技术研究与应用。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（十一）承担农业技术推广职能，制订实施农业技术推广计划；开展新品种、新装备、新农艺的引进、试验、示范和推广工作；承担农业技术培训、指导及技术资料编发。</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（十二）承担现代农业管理模式、农业产业发展规划等研究，开展农业经济，农业科技信息收集分析工作。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（十三）组织开展农业学术交流、技术合作和科研人才培养工作。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（十四）完成市农业农村局交办的其他任务。</w:t>
      </w:r>
    </w:p>
    <w:p>
      <w:pPr>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一）怀化市农业科学研究院作为一级部门预算单位，内设科室包括：办公室、党群人事部、计划财务部、科研管理与技术推广部、水稻研究所、中药材研究所、果树研究所、茶叶研究所、蔬菜花卉研究所、畜牧水产研究所、旱作研究所、生物技术研究所、农业装备与食品加工研究所、农业农村经济研究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（二）怀化市农业科学研究院2023年部门决算汇总单位构成包括：怀化市农业科学研究院本级。</w:t>
      </w:r>
    </w:p>
    <w:p>
      <w:pPr>
        <w:keepNext w:val="0"/>
        <w:keepLines w:val="0"/>
        <w:pageBreakBefore w:val="0"/>
        <w:kinsoku/>
        <w:wordWrap/>
        <w:overflowPunct/>
        <w:topLinePunct w:val="0"/>
        <w:autoSpaceDE/>
        <w:autoSpaceDN/>
        <w:bidi w:val="0"/>
        <w:adjustRightInd/>
        <w:snapToGrid/>
        <w:spacing w:line="580" w:lineRule="exact"/>
        <w:jc w:val="left"/>
        <w:textAlignment w:val="auto"/>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pStyle w:val="16"/>
        <w:jc w:val="both"/>
        <w:rPr>
          <w:rFonts w:hint="eastAsia" w:ascii="方正小标宋_GBK" w:hAnsi="方正小标宋_GBK" w:eastAsia="方正小标宋_GBK" w:cs="方正小标宋_GBK"/>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6"/>
        <w:jc w:val="center"/>
        <w:rPr>
          <w:rFonts w:hint="eastAsia" w:ascii="方正小标宋_GBK" w:hAnsi="方正小标宋_GBK" w:eastAsia="方正小标宋_GBK" w:cs="方正小标宋_GBK"/>
          <w:sz w:val="84"/>
          <w:szCs w:val="84"/>
        </w:rPr>
      </w:pPr>
    </w:p>
    <w:p>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2"/>
        <w:tblW w:w="15428" w:type="dxa"/>
        <w:tblInd w:w="0" w:type="dxa"/>
        <w:tblLayout w:type="fixed"/>
        <w:tblCellMar>
          <w:top w:w="0" w:type="dxa"/>
          <w:left w:w="0" w:type="dxa"/>
          <w:bottom w:w="0" w:type="dxa"/>
          <w:right w:w="0" w:type="dxa"/>
        </w:tblCellMar>
      </w:tblPr>
      <w:tblGrid>
        <w:gridCol w:w="306"/>
        <w:gridCol w:w="585"/>
        <w:gridCol w:w="1545"/>
        <w:gridCol w:w="1447"/>
        <w:gridCol w:w="1732"/>
        <w:gridCol w:w="1864"/>
        <w:gridCol w:w="1798"/>
        <w:gridCol w:w="1799"/>
        <w:gridCol w:w="1799"/>
        <w:gridCol w:w="2553"/>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2"/>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6"/>
              <w:gridCol w:w="616"/>
              <w:gridCol w:w="1398"/>
              <w:gridCol w:w="5029"/>
              <w:gridCol w:w="1063"/>
              <w:gridCol w:w="557"/>
              <w:gridCol w:w="457"/>
              <w:gridCol w:w="1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1"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301"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61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99"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部门：怀化市农业科学研究院</w:t>
                  </w:r>
                </w:p>
              </w:tc>
              <w:tc>
                <w:tcPr>
                  <w:tcW w:w="61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99"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645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0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62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1586.41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297.18</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七、文化旅游体育与传媒支出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4"/>
                      <w:szCs w:val="24"/>
                      <w:u w:val="none"/>
                      <w:lang w:eastAsia="zh-CN"/>
                    </w:rPr>
                    <w:t>八、社会保障和就业支出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九、卫生健康支出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90"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十、节能环保支出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十一、城乡社区支出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6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十二、农林水支出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十三、交通运输支出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十四、资源勘探工业信息等支出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十五、商业服务业等支出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十六、金融支出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十七、援助其他地区支出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十八、自然资源海洋气象等支出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十九、住房保障支出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二十、粮油物资储备支出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二十一、国有资本经营预算支出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二十二、灾害防治及应急管理支出</w:t>
                  </w:r>
                </w:p>
                <w:p>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989"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二十四、债务还本支出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二十五、债务付息支出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0"/>
                      <w:szCs w:val="20"/>
                      <w:u w:val="none"/>
                    </w:rPr>
                  </w:pPr>
                </w:p>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二十六、抗疫特别国债安排的支出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47"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1883.59</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1883.59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5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95"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1883.59</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1883.59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8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91"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怀化市农业科学研究院</w:t>
            </w:r>
            <w:r>
              <w:rPr>
                <w:rFonts w:hint="eastAsia"/>
              </w:rPr>
              <w:t>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64"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4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3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8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5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9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5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44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91"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5"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4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4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8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5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1,883.59</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1,586.41</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b/>
                <w:i w:val="0"/>
                <w:color w:val="000000"/>
                <w:kern w:val="2"/>
                <w:sz w:val="22"/>
                <w:szCs w:val="22"/>
                <w:u w:val="none"/>
                <w:lang w:val="en-US" w:eastAsia="zh-CN" w:bidi="ar-S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b/>
                <w:i w:val="0"/>
                <w:color w:val="000000"/>
                <w:kern w:val="2"/>
                <w:sz w:val="22"/>
                <w:szCs w:val="22"/>
                <w:u w:val="none"/>
                <w:lang w:val="en-US" w:eastAsia="zh-CN" w:bidi="ar-S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b/>
                <w:i w:val="0"/>
                <w:color w:val="000000"/>
                <w:kern w:val="2"/>
                <w:sz w:val="22"/>
                <w:szCs w:val="22"/>
                <w:u w:val="none"/>
                <w:lang w:val="en-US" w:eastAsia="zh-CN" w:bidi="ar-S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b/>
                <w:i w:val="0"/>
                <w:color w:val="000000"/>
                <w:kern w:val="2"/>
                <w:sz w:val="22"/>
                <w:szCs w:val="22"/>
                <w:u w:val="none"/>
                <w:lang w:val="en-US" w:eastAsia="zh-CN" w:bidi="ar-S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297.18</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其他组织事务支出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公共安全支出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公安</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2040220</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执法办案</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科学技术支出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应用研究</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2060302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社会公益研究</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事业单位</w:t>
            </w:r>
          </w:p>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离退休</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2080505</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机关事业单位基本养老保险缴费支出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其他行政事业单位养老支出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卫生健康支出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行政单位医疗</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事业单位医疗</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1,260.08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1,250.08</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1,170.76</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1,170.76</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事业运行</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832.32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832.32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科技转化与推广服务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2130122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农业生产发展</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2130135</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农业资源保护修复与利用</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其他农业农村支出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168.84</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168.84</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水利</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行政运行</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其他农林水</w:t>
            </w:r>
          </w:p>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2139999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其他农林水</w:t>
            </w:r>
          </w:p>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r>
      <w:tr>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2299999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宋体" w:hAnsi="宋体" w:eastAsia="宋体" w:cs="宋体"/>
                <w:i w:val="0"/>
                <w:color w:val="000000"/>
                <w:kern w:val="2"/>
                <w:sz w:val="22"/>
                <w:szCs w:val="22"/>
                <w:u w:val="none"/>
                <w:lang w:val="en-US" w:eastAsia="zh-CN" w:bidi="ar-SA"/>
              </w:rPr>
            </w:pP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12"/>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怀化市农业科学研究院</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1,883.59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1,224.20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659.40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公共安全</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公安</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2040220</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执法办案</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科学技术</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应用研究</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社会公益研究</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269.22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269.22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事业单位离退休</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其他行政事业单位</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行政单位</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1,260.08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765.35</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494.73</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1,170.76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678.95</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491.81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832.32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630.08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202.23</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科技转化与推广服务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2130122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农业生产发展</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2130135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农业资源保护修复与利用</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其他农业农村支出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168.84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48.87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119.97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水利</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1991"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其他农林水支出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7.08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2.92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2139999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7.08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2.92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154.46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132.72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154.46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132.72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287.18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154.46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132.72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12"/>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怀化市农业科学研究院</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1,586.41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33</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34</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36</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37</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38</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1,250.08</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1,250.08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46</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47</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48</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50</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51</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52</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53</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54</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55</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56</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57</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58</w:t>
            </w:r>
          </w:p>
        </w:tc>
        <w:tc>
          <w:tcPr>
            <w:tcW w:w="1573"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1,586.41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59</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1,586.41</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1,586.41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64</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怀化市农业科学研究院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4219" w:type="dxa"/>
        <w:jc w:val="center"/>
        <w:tblLayout w:type="autofit"/>
        <w:tblCellMar>
          <w:top w:w="0" w:type="dxa"/>
          <w:left w:w="108" w:type="dxa"/>
          <w:bottom w:w="0" w:type="dxa"/>
          <w:right w:w="108" w:type="dxa"/>
        </w:tblCellMar>
      </w:tblPr>
      <w:tblGrid>
        <w:gridCol w:w="1059"/>
        <w:gridCol w:w="2821"/>
        <w:gridCol w:w="3847"/>
        <w:gridCol w:w="3492"/>
        <w:gridCol w:w="3000"/>
      </w:tblGrid>
      <w:tr>
        <w:tblPrEx>
          <w:tblCellMar>
            <w:top w:w="0" w:type="dxa"/>
            <w:left w:w="108" w:type="dxa"/>
            <w:bottom w:w="0" w:type="dxa"/>
            <w:right w:w="108" w:type="dxa"/>
          </w:tblCellMar>
        </w:tblPrEx>
        <w:trPr>
          <w:trHeight w:val="405" w:hRule="atLeast"/>
          <w:jc w:val="center"/>
        </w:trPr>
        <w:tc>
          <w:tcPr>
            <w:tcW w:w="388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0339"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059"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8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84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05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847"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05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2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847"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388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84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388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1,586.41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1,062.66</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523.76</w:t>
            </w:r>
          </w:p>
        </w:tc>
      </w:tr>
      <w:tr>
        <w:tblPrEx>
          <w:tblCellMar>
            <w:top w:w="0" w:type="dxa"/>
            <w:left w:w="108" w:type="dxa"/>
            <w:bottom w:w="0" w:type="dxa"/>
            <w:right w:w="108" w:type="dxa"/>
          </w:tblCellMar>
        </w:tblPrEx>
        <w:trPr>
          <w:trHeight w:val="635"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公共安全支出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公安</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2040220</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执法办案</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科学技术支出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应用研究</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2060302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社会公益研究</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7.67</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269.22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270.90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269.22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事业单位离退休</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2080505</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机关事业单位基本养老</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保险缴费支出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94.47</w:t>
            </w:r>
          </w:p>
        </w:tc>
        <w:tc>
          <w:tcPr>
            <w:tcW w:w="3000" w:type="dxa"/>
            <w:tcBorders>
              <w:top w:val="nil"/>
              <w:left w:val="nil"/>
              <w:bottom w:val="single" w:color="auto" w:sz="4" w:space="0"/>
              <w:right w:val="single" w:color="auto" w:sz="8"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2080599</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其他行政事业单位</w:t>
            </w:r>
          </w:p>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养老支出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174.75</w:t>
            </w:r>
          </w:p>
        </w:tc>
        <w:tc>
          <w:tcPr>
            <w:tcW w:w="3000" w:type="dxa"/>
            <w:tcBorders>
              <w:top w:val="nil"/>
              <w:left w:val="nil"/>
              <w:bottom w:val="single" w:color="auto" w:sz="4" w:space="0"/>
              <w:right w:val="single" w:color="auto" w:sz="8"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卫生健康支出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2101101</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行政单位医疗</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35.17</w:t>
            </w:r>
          </w:p>
        </w:tc>
        <w:tc>
          <w:tcPr>
            <w:tcW w:w="3000" w:type="dxa"/>
            <w:tcBorders>
              <w:top w:val="nil"/>
              <w:left w:val="nil"/>
              <w:bottom w:val="single" w:color="auto" w:sz="4" w:space="0"/>
              <w:right w:val="single" w:color="auto" w:sz="8"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2101102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事业单位医疗</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0.80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1,250.08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758.27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491.81</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1,170.76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678.95</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491.81</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事业运行</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832.32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630.08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202.23</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科技转化与推广服务</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41.00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2130122</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农业生产发展</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118.60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2130135</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农业资源保护修复与利用</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10.00</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2130199</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其他农业农村支出</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168.84</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48.87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119.97</w:t>
            </w: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水利</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3000" w:type="dxa"/>
            <w:tcBorders>
              <w:top w:val="nil"/>
              <w:left w:val="nil"/>
              <w:bottom w:val="single" w:color="auto" w:sz="4" w:space="0"/>
              <w:right w:val="single" w:color="auto" w:sz="8"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2130301</w:t>
            </w:r>
          </w:p>
        </w:tc>
        <w:tc>
          <w:tcPr>
            <w:tcW w:w="28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行政运行</w:t>
            </w:r>
          </w:p>
        </w:tc>
        <w:tc>
          <w:tcPr>
            <w:tcW w:w="38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79.32</w:t>
            </w:r>
          </w:p>
        </w:tc>
        <w:tc>
          <w:tcPr>
            <w:tcW w:w="3000" w:type="dxa"/>
            <w:tcBorders>
              <w:top w:val="nil"/>
              <w:left w:val="nil"/>
              <w:bottom w:val="single" w:color="auto" w:sz="4" w:space="0"/>
              <w:right w:val="single" w:color="auto" w:sz="8"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2"/>
        <w:tblW w:w="26129" w:type="dxa"/>
        <w:tblInd w:w="0" w:type="dxa"/>
        <w:tblLayout w:type="fixed"/>
        <w:tblCellMar>
          <w:top w:w="0" w:type="dxa"/>
          <w:left w:w="108" w:type="dxa"/>
          <w:bottom w:w="0" w:type="dxa"/>
          <w:right w:w="108" w:type="dxa"/>
        </w:tblCellMar>
      </w:tblPr>
      <w:tblGrid>
        <w:gridCol w:w="997"/>
        <w:gridCol w:w="166"/>
        <w:gridCol w:w="74"/>
        <w:gridCol w:w="1393"/>
        <w:gridCol w:w="1287"/>
        <w:gridCol w:w="828"/>
        <w:gridCol w:w="168"/>
        <w:gridCol w:w="1254"/>
        <w:gridCol w:w="770"/>
        <w:gridCol w:w="1267"/>
        <w:gridCol w:w="838"/>
        <w:gridCol w:w="532"/>
        <w:gridCol w:w="1216"/>
        <w:gridCol w:w="358"/>
        <w:gridCol w:w="2106"/>
        <w:gridCol w:w="1207"/>
        <w:gridCol w:w="899"/>
        <w:gridCol w:w="254"/>
        <w:gridCol w:w="2103"/>
        <w:gridCol w:w="2103"/>
        <w:gridCol w:w="2103"/>
        <w:gridCol w:w="2103"/>
        <w:gridCol w:w="2103"/>
      </w:tblGrid>
      <w:tr>
        <w:tblPrEx>
          <w:tblCellMar>
            <w:top w:w="0" w:type="dxa"/>
            <w:left w:w="108" w:type="dxa"/>
            <w:bottom w:w="0" w:type="dxa"/>
            <w:right w:w="108" w:type="dxa"/>
          </w:tblCellMar>
        </w:tblPrEx>
        <w:trPr>
          <w:gridAfter w:val="5"/>
          <w:wAfter w:w="10515" w:type="dxa"/>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gridAfter w:val="5"/>
          <w:wAfter w:w="10515" w:type="dxa"/>
          <w:trHeight w:val="113" w:hRule="atLeast"/>
        </w:trPr>
        <w:tc>
          <w:tcPr>
            <w:tcW w:w="1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75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3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7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7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995.58</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55.63</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292.28</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0.64</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53"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308.09</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0.78</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53"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5"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224.50</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5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0.33</w:t>
            </w: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0.05</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0.14</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53"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0.33</w:t>
            </w:r>
          </w:p>
        </w:tc>
      </w:tr>
      <w:tr>
        <w:tblPrEx>
          <w:tblCellMar>
            <w:top w:w="0" w:type="dxa"/>
            <w:left w:w="108" w:type="dxa"/>
            <w:bottom w:w="0" w:type="dxa"/>
            <w:right w:w="108" w:type="dxa"/>
          </w:tblCellMar>
        </w:tblPrEx>
        <w:trPr>
          <w:gridAfter w:val="5"/>
          <w:wAfter w:w="10515" w:type="dxa"/>
          <w:trHeight w:val="622"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w:t>
            </w:r>
          </w:p>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保险缴费</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113.10</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1.78</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15.40</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0.29</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31.43</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4.94</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1.07</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5.84</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0.53</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11.12</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0.60</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4.31</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0.42</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370" w:type="dxa"/>
            <w:gridSpan w:val="2"/>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i w:val="0"/>
                <w:color w:val="000000"/>
                <w:kern w:val="2"/>
                <w:sz w:val="20"/>
                <w:szCs w:val="20"/>
                <w:u w:val="none"/>
                <w:lang w:val="en-US" w:eastAsia="zh-CN" w:bidi="ar-SA"/>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1.81</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2.15</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21.89</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5.99</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17.85</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0.77</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0.96</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9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0.39</w:t>
            </w: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0.92</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754"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3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370"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3.41</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3" w:type="dxa"/>
            <w:gridSpan w:val="2"/>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r>
      <w:tr>
        <w:tblPrEx>
          <w:tblCellMar>
            <w:top w:w="0" w:type="dxa"/>
            <w:left w:w="108" w:type="dxa"/>
            <w:bottom w:w="0" w:type="dxa"/>
            <w:right w:w="108" w:type="dxa"/>
          </w:tblCellMar>
        </w:tblPrEx>
        <w:trPr>
          <w:trHeight w:val="284" w:hRule="exact"/>
        </w:trPr>
        <w:tc>
          <w:tcPr>
            <w:tcW w:w="391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r>
              <w:rPr>
                <w:rFonts w:hint="eastAsia" w:ascii="宋体" w:hAnsi="宋体" w:eastAsia="宋体" w:cs="宋体"/>
                <w:i w:val="0"/>
                <w:color w:val="000000"/>
                <w:kern w:val="0"/>
                <w:sz w:val="20"/>
                <w:szCs w:val="20"/>
                <w:u w:val="none"/>
                <w:lang w:val="en-US" w:eastAsia="zh-CN" w:bidi="ar"/>
              </w:rPr>
              <w:t>1,006.70</w:t>
            </w:r>
          </w:p>
        </w:tc>
        <w:tc>
          <w:tcPr>
            <w:tcW w:w="9548" w:type="dxa"/>
            <w:gridSpan w:val="9"/>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1,006.70</w:t>
            </w:r>
          </w:p>
        </w:tc>
        <w:tc>
          <w:tcPr>
            <w:tcW w:w="115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10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55.96</w:t>
            </w:r>
          </w:p>
        </w:tc>
      </w:tr>
      <w:tr>
        <w:tblPrEx>
          <w:tblCellMar>
            <w:top w:w="0" w:type="dxa"/>
            <w:left w:w="108" w:type="dxa"/>
            <w:bottom w:w="0" w:type="dxa"/>
            <w:right w:w="108" w:type="dxa"/>
          </w:tblCellMar>
        </w:tblPrEx>
        <w:trPr>
          <w:gridAfter w:val="5"/>
          <w:wAfter w:w="10515" w:type="dxa"/>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345" w:hRule="atLeast"/>
        </w:trPr>
        <w:tc>
          <w:tcPr>
            <w:tcW w:w="997"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9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9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90" w:hRule="atLeast"/>
        </w:trPr>
        <w:tc>
          <w:tcPr>
            <w:tcW w:w="997"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部门：怀化市农业科学研究院</w:t>
            </w: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9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9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6"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45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9"/>
                <w:lang w:val="en-US" w:eastAsia="zh-CN" w:bidi="ar"/>
              </w:rPr>
              <w:t xml:space="preserve">   </w:t>
            </w:r>
            <w:r>
              <w:rPr>
                <w:rStyle w:val="20"/>
                <w:lang w:val="en-US" w:eastAsia="zh-CN" w:bidi="ar"/>
              </w:rPr>
              <w:t>目</w:t>
            </w:r>
          </w:p>
        </w:tc>
        <w:tc>
          <w:tcPr>
            <w:tcW w:w="21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09" w:hRule="atLeast"/>
        </w:trPr>
        <w:tc>
          <w:tcPr>
            <w:tcW w:w="12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409" w:hRule="atLeast"/>
        </w:trPr>
        <w:tc>
          <w:tcPr>
            <w:tcW w:w="12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07"/>
        <w:gridCol w:w="1315"/>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0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0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0.81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0.77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6"/>
        <w:rPr>
          <w:sz w:val="72"/>
          <w:szCs w:val="72"/>
        </w:rPr>
      </w:pPr>
    </w:p>
    <w:p>
      <w:pPr>
        <w:pStyle w:val="16"/>
        <w:rPr>
          <w:sz w:val="72"/>
          <w:szCs w:val="72"/>
        </w:rPr>
      </w:pPr>
    </w:p>
    <w:p>
      <w:pPr>
        <w:pStyle w:val="16"/>
        <w:rPr>
          <w:sz w:val="72"/>
          <w:szCs w:val="72"/>
        </w:rPr>
      </w:pPr>
    </w:p>
    <w:p>
      <w:pPr>
        <w:pStyle w:val="16"/>
        <w:rPr>
          <w:sz w:val="72"/>
          <w:szCs w:val="72"/>
        </w:rPr>
      </w:pPr>
    </w:p>
    <w:p>
      <w:pPr>
        <w:pStyle w:val="16"/>
        <w:jc w:val="center"/>
        <w:rPr>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6"/>
        <w:jc w:val="center"/>
        <w:rPr>
          <w:rFonts w:hint="eastAsia" w:ascii="方正小标宋_GBK" w:hAnsi="方正小标宋_GBK" w:eastAsia="方正小标宋_GBK" w:cs="方正小标宋_GBK"/>
          <w:sz w:val="70"/>
          <w:szCs w:val="70"/>
        </w:rPr>
      </w:pPr>
    </w:p>
    <w:p>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1883.59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424.19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29.07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单位新进人员，人员经费增加及</w:t>
      </w:r>
      <w:r>
        <w:rPr>
          <w:rFonts w:hint="eastAsia" w:ascii="Times New Roman" w:hAnsi="Times New Roman" w:eastAsia="仿宋_GB2312"/>
          <w:sz w:val="32"/>
          <w:szCs w:val="32"/>
          <w:lang w:val="en-US" w:eastAsia="zh-CN"/>
        </w:rPr>
        <w:t>科研项目资金增加等。</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1883.59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1586.41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84.22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297.18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15.78</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1883.59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1224.2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659.4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6"/>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1586.41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291.09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22.47</w:t>
      </w:r>
      <w:r>
        <w:rPr>
          <w:rFonts w:hint="eastAsia" w:ascii="Times New Roman" w:hAnsi="Times New Roman" w:eastAsia="仿宋_GB2312"/>
          <w:sz w:val="32"/>
          <w:szCs w:val="32"/>
        </w:rPr>
        <w:t>%，主要是</w:t>
      </w:r>
      <w:r>
        <w:rPr>
          <w:rFonts w:hint="eastAsia" w:ascii="Times New Roman" w:hAnsi="Times New Roman" w:eastAsia="仿宋_GB2312"/>
          <w:color w:val="auto"/>
          <w:sz w:val="32"/>
          <w:szCs w:val="32"/>
        </w:rPr>
        <w:t>因为</w:t>
      </w:r>
      <w:r>
        <w:rPr>
          <w:rFonts w:hint="eastAsia" w:ascii="Times New Roman" w:hAnsi="Times New Roman" w:eastAsia="仿宋_GB2312"/>
          <w:color w:val="auto"/>
          <w:sz w:val="32"/>
          <w:szCs w:val="32"/>
          <w:lang w:eastAsia="zh-CN"/>
        </w:rPr>
        <w:t>单位新进人员，人员经费的</w:t>
      </w:r>
      <w:r>
        <w:rPr>
          <w:rFonts w:hint="eastAsia" w:ascii="Times New Roman" w:hAnsi="Times New Roman" w:eastAsia="仿宋_GB2312"/>
          <w:sz w:val="32"/>
          <w:szCs w:val="32"/>
          <w:lang w:eastAsia="zh-CN"/>
        </w:rPr>
        <w:t>增加。</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1586.41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84.22</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291.09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22.47</w:t>
      </w:r>
      <w:r>
        <w:rPr>
          <w:rFonts w:hint="eastAsia" w:ascii="Times New Roman" w:hAnsi="Times New Roman" w:eastAsia="仿宋_GB2312"/>
          <w:sz w:val="32"/>
          <w:szCs w:val="32"/>
        </w:rPr>
        <w:t>%，主要是因为</w:t>
      </w:r>
      <w:r>
        <w:rPr>
          <w:rFonts w:hint="eastAsia" w:ascii="Times New Roman" w:hAnsi="Times New Roman" w:eastAsia="仿宋_GB2312"/>
          <w:color w:val="auto"/>
          <w:sz w:val="32"/>
          <w:szCs w:val="32"/>
          <w:lang w:eastAsia="zh-CN"/>
        </w:rPr>
        <w:t>单位新进人员，人员经费的</w:t>
      </w:r>
      <w:r>
        <w:rPr>
          <w:rFonts w:hint="eastAsia" w:ascii="Times New Roman" w:hAnsi="Times New Roman" w:eastAsia="仿宋_GB2312"/>
          <w:sz w:val="32"/>
          <w:szCs w:val="32"/>
          <w:lang w:eastAsia="zh-CN"/>
        </w:rPr>
        <w:t>增加。</w:t>
      </w:r>
    </w:p>
    <w:p>
      <w:pPr>
        <w:pStyle w:val="16"/>
        <w:keepNext w:val="0"/>
        <w:keepLines w:val="0"/>
        <w:pageBreakBefore w:val="0"/>
        <w:widowControl w:val="0"/>
        <w:kinsoku/>
        <w:wordWrap/>
        <w:overflowPunct/>
        <w:topLinePunct w:val="0"/>
        <w:bidi w:val="0"/>
        <w:snapToGrid/>
        <w:spacing w:line="58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1586.41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7.67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270.9万元，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17.08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35.97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22.67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1260.08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79.43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lang w:val="en-US" w:eastAsia="zh-CN"/>
        </w:rPr>
        <w:t>1684.88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1586.41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94.16</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其他组织事务支出</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15.8万元,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公共安全支出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安全</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执法办案</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6万元,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科学技术支出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应用研究</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社会公益研究</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7.67万元,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7.67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事业单位离退休</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94.47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94.47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174.75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174.75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35.17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事业单位医疗</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832.32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832.32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科技转化与推广服务</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农业生产发展</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农业资源保护修复与利用</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农业农村</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其他农业农村支出</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168.84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行政支出</w:t>
      </w:r>
      <w:r>
        <w:rPr>
          <w:rFonts w:hint="eastAsia" w:ascii="Times New Roman" w:hAnsi="Times New Roman" w:eastAsia="仿宋_GB2312"/>
          <w:sz w:val="32"/>
          <w:szCs w:val="32"/>
        </w:rPr>
        <w:t>（项）。</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79.32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1062.66</w:t>
      </w:r>
      <w:r>
        <w:rPr>
          <w:rFonts w:hint="eastAsia" w:ascii="Times New Roman" w:hAnsi="Times New Roman" w:eastAsia="仿宋_GB2312"/>
          <w:sz w:val="32"/>
          <w:szCs w:val="32"/>
        </w:rPr>
        <w:t>万元，其中：</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1006.7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94.73</w:t>
      </w:r>
      <w:r>
        <w:rPr>
          <w:rFonts w:hint="eastAsia" w:ascii="Times New Roman" w:hAnsi="Times New Roman" w:eastAsia="仿宋_GB2312"/>
          <w:sz w:val="32"/>
          <w:szCs w:val="32"/>
        </w:rPr>
        <w:t>%,主要包括基本工资、津贴补贴、奖金、</w:t>
      </w:r>
      <w:r>
        <w:rPr>
          <w:rFonts w:hint="eastAsia" w:ascii="仿宋" w:hAnsi="仿宋" w:eastAsia="仿宋" w:cs="仿宋"/>
          <w:color w:val="auto"/>
          <w:kern w:val="0"/>
          <w:sz w:val="32"/>
          <w:szCs w:val="32"/>
          <w:lang w:val="en-US" w:eastAsia="zh-CN" w:bidi="ar-SA"/>
        </w:rPr>
        <w:t>津贴补贴、奖金、</w:t>
      </w:r>
      <w:r>
        <w:rPr>
          <w:rFonts w:hint="default" w:ascii="仿宋" w:hAnsi="仿宋" w:eastAsia="仿宋" w:cs="仿宋"/>
          <w:color w:val="auto"/>
          <w:kern w:val="0"/>
          <w:sz w:val="32"/>
          <w:szCs w:val="32"/>
          <w:lang w:val="en-US" w:eastAsia="zh-CN" w:bidi="ar-SA"/>
        </w:rPr>
        <w:t>绩效工资、</w:t>
      </w:r>
      <w:r>
        <w:rPr>
          <w:rFonts w:hint="eastAsia" w:ascii="仿宋" w:hAnsi="仿宋" w:eastAsia="仿宋" w:cs="仿宋"/>
          <w:color w:val="auto"/>
          <w:kern w:val="0"/>
          <w:sz w:val="32"/>
          <w:szCs w:val="32"/>
          <w:lang w:val="en-US" w:eastAsia="zh-CN" w:bidi="ar-SA"/>
        </w:rPr>
        <w:t>机关事业单位基本养老保险缴费、职业年金缴费、职工基本医疗保险缴费、其他社会保障缴费、住房公积金、退休费、生活补助、奖励金等</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55.96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4.57</w:t>
      </w:r>
      <w:r>
        <w:rPr>
          <w:rFonts w:hint="eastAsia" w:ascii="Times New Roman" w:hAnsi="Times New Roman" w:eastAsia="仿宋_GB2312"/>
          <w:sz w:val="32"/>
          <w:szCs w:val="32"/>
        </w:rPr>
        <w:t>%，主要包括主要包括办公费、</w:t>
      </w:r>
      <w:r>
        <w:rPr>
          <w:rFonts w:hint="eastAsia" w:ascii="仿宋" w:hAnsi="仿宋" w:eastAsia="仿宋" w:cs="仿宋"/>
          <w:color w:val="auto"/>
          <w:kern w:val="0"/>
          <w:sz w:val="32"/>
          <w:szCs w:val="32"/>
          <w:lang w:val="en-US" w:eastAsia="zh-CN" w:bidi="ar-SA"/>
        </w:rPr>
        <w:t>差旅费、公务接待费、劳务费、委托业务费、福利费、税金及附加费用等。</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2.92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46.92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例行节约，减少支出，</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2.55</w:t>
      </w:r>
      <w:r>
        <w:rPr>
          <w:rFonts w:hint="eastAsia" w:ascii="Times New Roman" w:hAnsi="Times New Roman" w:eastAsia="仿宋_GB2312"/>
          <w:sz w:val="32"/>
          <w:szCs w:val="32"/>
        </w:rPr>
        <w:t>相比减少</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46.07</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eastAsia="zh-CN"/>
        </w:rPr>
        <w:t>例行节约，减少支出</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keepNext w:val="0"/>
        <w:keepLines w:val="0"/>
        <w:pageBreakBefore w:val="0"/>
        <w:widowControl/>
        <w:suppressLineNumbers w:val="0"/>
        <w:kinsoku/>
        <w:wordWrap/>
        <w:overflowPunct/>
        <w:topLinePunct w:val="0"/>
        <w:bidi w:val="0"/>
        <w:spacing w:line="58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74.07</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%,减少的主要原因是</w:t>
      </w:r>
      <w:r>
        <w:rPr>
          <w:rFonts w:ascii="仿宋_GB2312" w:hAnsi="宋体" w:eastAsia="仿宋_GB2312" w:cs="仿宋_GB2312"/>
          <w:i w:val="0"/>
          <w:caps w:val="0"/>
          <w:color w:val="000000"/>
          <w:spacing w:val="0"/>
          <w:kern w:val="0"/>
          <w:sz w:val="32"/>
          <w:szCs w:val="32"/>
          <w:shd w:val="clear" w:fill="FFFFFF"/>
          <w:lang w:val="en-US" w:eastAsia="zh-CN" w:bidi="ar"/>
        </w:rPr>
        <w:t>认真贯彻落实中央八项规定精神和厉行节约的要求，从严控制“三公”经费开支，全年实际支出比预算有所节约。</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36.49</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严格用车管理，例行节约。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25.96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严格用车管理，严格控制用车支出</w:t>
      </w:r>
      <w:r>
        <w:rPr>
          <w:rFonts w:hint="eastAsia" w:ascii="Times New Roman" w:hAnsi="Times New Roman" w:eastAsia="仿宋_GB2312"/>
          <w:sz w:val="32"/>
          <w:szCs w:val="32"/>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56.2</w:t>
      </w:r>
      <w:r>
        <w:rPr>
          <w:rFonts w:hint="eastAsia" w:ascii="Times New Roman" w:hAnsi="Times New Roman" w:eastAsia="仿宋_GB2312"/>
          <w:sz w:val="32"/>
          <w:szCs w:val="32"/>
        </w:rPr>
        <w:t>%。其中：</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、公务接待费支出决算为</w:t>
      </w:r>
      <w:r>
        <w:rPr>
          <w:rFonts w:hint="eastAsia" w:ascii="Times New Roman" w:hAnsi="Times New Roman" w:eastAsia="仿宋_GB2312"/>
          <w:color w:val="auto"/>
          <w:sz w:val="32"/>
          <w:szCs w:val="32"/>
          <w:lang w:val="en-US" w:eastAsia="zh-CN"/>
        </w:rPr>
        <w:t>0.6</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66</w:t>
      </w:r>
      <w:r>
        <w:rPr>
          <w:rFonts w:hint="eastAsia" w:ascii="Times New Roman" w:hAnsi="Times New Roman" w:eastAsia="仿宋_GB2312"/>
          <w:color w:val="auto"/>
          <w:sz w:val="32"/>
          <w:szCs w:val="32"/>
        </w:rPr>
        <w:t>人次，主要是主要是</w:t>
      </w:r>
      <w:r>
        <w:rPr>
          <w:rFonts w:hint="eastAsia" w:ascii="Times New Roman" w:hAnsi="Times New Roman" w:eastAsia="仿宋_GB2312"/>
          <w:color w:val="auto"/>
          <w:sz w:val="32"/>
          <w:szCs w:val="32"/>
          <w:lang w:eastAsia="zh-CN"/>
        </w:rPr>
        <w:t>接待上级部门和</w:t>
      </w:r>
      <w:r>
        <w:rPr>
          <w:rFonts w:hint="eastAsia" w:ascii="Times New Roman" w:hAnsi="Times New Roman" w:eastAsia="仿宋_GB2312"/>
          <w:color w:val="auto"/>
          <w:sz w:val="32"/>
          <w:szCs w:val="32"/>
          <w:lang w:val="en-US" w:eastAsia="zh-CN"/>
        </w:rPr>
        <w:t>科研项目课题专家考察、交流</w:t>
      </w:r>
      <w:r>
        <w:rPr>
          <w:rFonts w:hint="eastAsia" w:ascii="Times New Roman" w:hAnsi="Times New Roman" w:eastAsia="仿宋_GB2312"/>
          <w:color w:val="auto"/>
          <w:sz w:val="32"/>
          <w:szCs w:val="32"/>
        </w:rPr>
        <w:t>发生的接待支出。</w:t>
      </w:r>
    </w:p>
    <w:p>
      <w:pPr>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公务用车购置费及运行维护费支出决算为</w:t>
      </w:r>
      <w:r>
        <w:rPr>
          <w:rFonts w:hint="eastAsia" w:ascii="Times New Roman" w:hAnsi="Times New Roman" w:eastAsia="仿宋_GB2312"/>
          <w:color w:val="auto"/>
          <w:sz w:val="32"/>
          <w:szCs w:val="32"/>
          <w:lang w:val="en-US" w:eastAsia="zh-CN"/>
        </w:rPr>
        <w:t>0.77</w:t>
      </w:r>
      <w:r>
        <w:rPr>
          <w:rFonts w:hint="eastAsia" w:ascii="Times New Roman" w:hAnsi="Times New Roman" w:eastAsia="仿宋_GB2312"/>
          <w:color w:val="auto"/>
          <w:sz w:val="32"/>
          <w:szCs w:val="32"/>
        </w:rPr>
        <w:t>万元，其中：公务用车购置费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本单位未</w:t>
      </w:r>
      <w:r>
        <w:rPr>
          <w:rFonts w:hint="eastAsia" w:ascii="Times New Roman" w:hAnsi="Times New Roman" w:eastAsia="仿宋_GB2312"/>
          <w:color w:val="auto"/>
          <w:sz w:val="32"/>
          <w:szCs w:val="32"/>
        </w:rPr>
        <w:t>更新公务用车。公务用车运行维护费</w:t>
      </w:r>
      <w:r>
        <w:rPr>
          <w:rFonts w:hint="eastAsia" w:ascii="Times New Roman" w:hAnsi="Times New Roman" w:eastAsia="仿宋_GB2312"/>
          <w:color w:val="auto"/>
          <w:sz w:val="32"/>
          <w:szCs w:val="32"/>
          <w:lang w:val="en-US" w:eastAsia="zh-CN"/>
        </w:rPr>
        <w:t>0.77</w:t>
      </w:r>
      <w:r>
        <w:rPr>
          <w:rFonts w:hint="eastAsia" w:ascii="Times New Roman" w:hAnsi="Times New Roman" w:eastAsia="仿宋_GB2312"/>
          <w:color w:val="auto"/>
          <w:sz w:val="32"/>
          <w:szCs w:val="32"/>
        </w:rPr>
        <w:t>万元，主要是</w:t>
      </w:r>
      <w:r>
        <w:rPr>
          <w:rFonts w:hint="eastAsia" w:ascii="Times New Roman" w:hAnsi="Times New Roman" w:eastAsia="仿宋_GB2312"/>
          <w:color w:val="auto"/>
          <w:sz w:val="32"/>
          <w:szCs w:val="32"/>
          <w:lang w:val="en-US" w:eastAsia="zh-CN"/>
        </w:rPr>
        <w:t>车辆保险、燃油等</w:t>
      </w:r>
      <w:r>
        <w:rPr>
          <w:rFonts w:hint="eastAsia" w:ascii="Times New Roman" w:hAnsi="Times New Roman" w:eastAsia="仿宋_GB2312"/>
          <w:color w:val="auto"/>
          <w:sz w:val="32"/>
          <w:szCs w:val="32"/>
        </w:rPr>
        <w:t>支出，截止202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年12月31日，我单位开支财政拨款的公务用车保有量为</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6"/>
        <w:keepNext w:val="0"/>
        <w:keepLines w:val="0"/>
        <w:pageBreakBefore w:val="0"/>
        <w:widowControl w:val="0"/>
        <w:kinsoku/>
        <w:wordWrap/>
        <w:overflowPunct/>
        <w:topLinePunct w:val="0"/>
        <w:bidi w:val="0"/>
        <w:snapToGrid/>
        <w:spacing w:line="58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b/>
          <w:sz w:val="32"/>
          <w:szCs w:val="32"/>
          <w:lang w:val="en-US" w:eastAsia="zh-CN"/>
        </w:rPr>
        <w:t>九、</w:t>
      </w:r>
      <w:r>
        <w:rPr>
          <w:rFonts w:hint="eastAsia" w:ascii="Times New Roman" w:hAnsi="Times New Roman" w:eastAsia="仿宋_GB2312"/>
          <w:b/>
          <w:sz w:val="32"/>
          <w:szCs w:val="32"/>
        </w:rPr>
        <w:t>国有资本经营预算财政拨款支出决算</w:t>
      </w:r>
      <w:r>
        <w:rPr>
          <w:rFonts w:hint="eastAsia" w:ascii="Times New Roman" w:hAnsi="Times New Roman" w:eastAsia="仿宋_GB2312"/>
          <w:b/>
          <w:sz w:val="32"/>
          <w:szCs w:val="32"/>
          <w:lang w:eastAsia="zh-CN"/>
        </w:rPr>
        <w:t>情况</w:t>
      </w:r>
    </w:p>
    <w:p>
      <w:pPr>
        <w:pStyle w:val="16"/>
        <w:keepNext w:val="0"/>
        <w:keepLines w:val="0"/>
        <w:pageBreakBefore w:val="0"/>
        <w:widowControl w:val="0"/>
        <w:kinsoku/>
        <w:wordWrap/>
        <w:overflowPunct/>
        <w:topLinePunct w:val="0"/>
        <w:bidi w:val="0"/>
        <w:snapToGrid/>
        <w:spacing w:line="600" w:lineRule="exact"/>
        <w:ind w:firstLine="1280" w:firstLineChars="4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2023年度本单位无国有资本经营收支</w:t>
      </w:r>
    </w:p>
    <w:p>
      <w:pPr>
        <w:pStyle w:val="16"/>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sz w:val="32"/>
          <w:szCs w:val="32"/>
          <w:lang w:val="en-US" w:eastAsia="zh-CN"/>
        </w:rPr>
      </w:pP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55.96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比年初预算数79.2万元，降低29.42%。主要原因是：</w:t>
      </w:r>
      <w:r>
        <w:rPr>
          <w:rFonts w:hint="eastAsia" w:ascii="仿宋_GB2312" w:hAnsi="仿宋_GB2312" w:eastAsia="仿宋_GB2312" w:cs="仿宋_GB2312"/>
          <w:sz w:val="32"/>
          <w:szCs w:val="32"/>
          <w:lang w:val="en-US" w:eastAsia="zh-CN"/>
        </w:rPr>
        <w:t>市里统筹调度，未下达第四季度指标。</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十一</w:t>
      </w:r>
      <w:r>
        <w:rPr>
          <w:rFonts w:hint="eastAsia" w:ascii="黑体" w:hAnsi="黑体" w:eastAsia="黑体" w:cs="黑体"/>
          <w:b w:val="0"/>
          <w:bCs/>
          <w:sz w:val="32"/>
          <w:szCs w:val="32"/>
        </w:rPr>
        <w:t>、一般性支出情况说明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36.6</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13.5</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val="en-US" w:eastAsia="zh-CN"/>
        </w:rPr>
        <w:t>21.3</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1.8</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34.8</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95.08</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1.8</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5.17</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6"/>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项目物质运输</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（一）绩效管理工作开展情况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left="0" w:right="0" w:firstLine="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为进一步</w:t>
      </w:r>
      <w:r>
        <w:rPr>
          <w:rFonts w:hint="eastAsia" w:ascii="仿宋_GB2312" w:hAnsi="仿宋_GB2312" w:eastAsia="仿宋_GB2312" w:cs="仿宋_GB2312"/>
          <w:bCs w:val="0"/>
          <w:color w:val="auto"/>
          <w:kern w:val="0"/>
          <w:sz w:val="32"/>
          <w:szCs w:val="32"/>
          <w:lang w:val="en-US" w:eastAsia="zh-CN" w:bidi="ar-SA"/>
        </w:rPr>
        <w:t>规范财政资金管理,强化绩效和责任意识,切实提高财政资金使用效益,根据</w:t>
      </w:r>
      <w:r>
        <w:rPr>
          <w:rFonts w:hint="default" w:ascii="仿宋_GB2312" w:hAnsi="仿宋_GB2312" w:eastAsia="仿宋_GB2312" w:cs="仿宋_GB2312"/>
          <w:bCs w:val="0"/>
          <w:color w:val="auto"/>
          <w:kern w:val="0"/>
          <w:sz w:val="32"/>
          <w:szCs w:val="32"/>
          <w:lang w:val="en-US" w:eastAsia="zh-CN" w:bidi="ar-SA"/>
        </w:rPr>
        <w:t>怀化市财政局关于</w:t>
      </w:r>
      <w:r>
        <w:rPr>
          <w:rFonts w:hint="eastAsia" w:ascii="仿宋_GB2312" w:hAnsi="仿宋_GB2312" w:eastAsia="仿宋_GB2312" w:cs="仿宋_GB2312"/>
          <w:bCs w:val="0"/>
          <w:color w:val="auto"/>
          <w:kern w:val="0"/>
          <w:sz w:val="32"/>
          <w:szCs w:val="32"/>
          <w:lang w:val="en-US" w:eastAsia="zh-CN" w:bidi="ar-SA"/>
        </w:rPr>
        <w:t>《</w:t>
      </w:r>
      <w:r>
        <w:rPr>
          <w:rFonts w:hint="default" w:ascii="仿宋_GB2312" w:hAnsi="仿宋_GB2312" w:eastAsia="仿宋_GB2312" w:cs="仿宋_GB2312"/>
          <w:bCs w:val="0"/>
          <w:color w:val="auto"/>
          <w:kern w:val="0"/>
          <w:sz w:val="32"/>
          <w:szCs w:val="32"/>
          <w:lang w:val="en-US" w:eastAsia="zh-CN" w:bidi="ar-SA"/>
        </w:rPr>
        <w:t>开展2023年度预算支出绩效自评工作的通知</w:t>
      </w:r>
      <w:r>
        <w:rPr>
          <w:rFonts w:hint="eastAsia" w:ascii="仿宋_GB2312" w:hAnsi="仿宋_GB2312" w:eastAsia="仿宋_GB2312" w:cs="仿宋_GB2312"/>
          <w:bCs w:val="0"/>
          <w:color w:val="auto"/>
          <w:kern w:val="0"/>
          <w:sz w:val="32"/>
          <w:szCs w:val="32"/>
          <w:lang w:val="en-US" w:eastAsia="zh-CN" w:bidi="ar-SA"/>
        </w:rPr>
        <w:t>》文件精神,我院于2024年5月开展了2023年度部门整体支出绩效自评工作。我院计划财务部根据按照绩效评价目标。结合实际设定了三级指标,开展全院绩效自评工作。根据院各科室的总结报告</w:t>
      </w:r>
      <w:r>
        <w:rPr>
          <w:rFonts w:hint="eastAsia" w:ascii="仿宋_GB2312" w:hAnsi="仿宋_GB2312" w:eastAsia="仿宋_GB2312" w:cs="仿宋_GB2312"/>
          <w:color w:val="auto"/>
          <w:sz w:val="32"/>
          <w:szCs w:val="32"/>
          <w:lang w:val="en-US" w:eastAsia="zh-CN"/>
        </w:rPr>
        <w:t>,审核、汇总形成怀化市农业科学研究</w:t>
      </w:r>
      <w:r>
        <w:rPr>
          <w:rFonts w:hint="eastAsia" w:ascii="仿宋_GB2312" w:hAnsi="仿宋_GB2312" w:eastAsia="仿宋_GB2312" w:cs="仿宋_GB2312"/>
          <w:bCs w:val="0"/>
          <w:color w:val="auto"/>
          <w:kern w:val="0"/>
          <w:sz w:val="32"/>
          <w:szCs w:val="32"/>
          <w:lang w:val="en-US" w:eastAsia="zh-CN" w:bidi="ar-SA"/>
        </w:rPr>
        <w:t>院2023年度</w:t>
      </w:r>
      <w:r>
        <w:rPr>
          <w:rFonts w:hint="eastAsia" w:ascii="仿宋_GB2312" w:hAnsi="仿宋_GB2312" w:eastAsia="仿宋_GB2312" w:cs="仿宋_GB2312"/>
          <w:color w:val="auto"/>
          <w:sz w:val="32"/>
          <w:szCs w:val="32"/>
          <w:lang w:val="en-US" w:eastAsia="zh-CN"/>
        </w:rPr>
        <w:t>整体支出绩效自评报告。</w:t>
      </w:r>
    </w:p>
    <w:p>
      <w:pPr>
        <w:pStyle w:val="16"/>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部门</w:t>
      </w:r>
      <w:r>
        <w:rPr>
          <w:rFonts w:hint="eastAsia" w:ascii="楷体" w:hAnsi="楷体" w:eastAsia="楷体" w:cs="楷体"/>
          <w:b/>
          <w:bCs/>
          <w:color w:val="auto"/>
          <w:sz w:val="32"/>
          <w:szCs w:val="32"/>
          <w:lang w:eastAsia="zh-CN"/>
        </w:rPr>
        <w:t>（单位）</w:t>
      </w:r>
      <w:r>
        <w:rPr>
          <w:rFonts w:hint="eastAsia" w:ascii="楷体" w:hAnsi="楷体" w:eastAsia="楷体" w:cs="楷体"/>
          <w:b/>
          <w:bCs/>
          <w:color w:val="auto"/>
          <w:sz w:val="32"/>
          <w:szCs w:val="32"/>
        </w:rPr>
        <w:t>整体支出绩效情况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我院严格按照预算绩效管理的要求加强预算绩效管理,同时按照市财政局的要求开展了2023年度整体支出绩效自评,详细请见附件五《部门整体支出绩效自评报告》。</w:t>
      </w:r>
    </w:p>
    <w:p>
      <w:pPr>
        <w:pStyle w:val="16"/>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存在的问题及原因分析</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1、预算绩效管理水平有待进一步提高，应加强预算绩效管理知识学习，提升预算绩效管理水平。</w:t>
      </w:r>
    </w:p>
    <w:p>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指标设计亟待加强。农业科研项目绩效评价存在指标设计过于繁杂、各指标间相互关系逻辑不清晰、指标设计与科研经费投入不匹配等问题,导致绩效评价的结果不够客观。因此存在主观因素影响大、个性指标差异大、评定标准不一等问题。</w:t>
      </w: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both"/>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一、</w:t>
      </w:r>
      <w:r>
        <w:rPr>
          <w:rFonts w:hint="eastAsia" w:ascii="仿宋" w:hAnsi="仿宋" w:eastAsia="仿宋" w:cs="仿宋"/>
          <w:b/>
          <w:bCs/>
          <w:i w:val="0"/>
          <w:iCs w:val="0"/>
          <w:caps w:val="0"/>
          <w:color w:val="auto"/>
          <w:spacing w:val="0"/>
          <w:sz w:val="32"/>
          <w:szCs w:val="32"/>
          <w:shd w:val="clear" w:color="auto" w:fill="FFFFFF"/>
          <w:lang w:bidi="ar"/>
        </w:rPr>
        <w:t>财政拨款收入</w:t>
      </w:r>
      <w:r>
        <w:rPr>
          <w:rFonts w:hint="eastAsia" w:ascii="仿宋" w:hAnsi="仿宋" w:eastAsia="仿宋" w:cs="仿宋"/>
          <w:i w:val="0"/>
          <w:iCs w:val="0"/>
          <w:caps w:val="0"/>
          <w:color w:val="auto"/>
          <w:spacing w:val="0"/>
          <w:sz w:val="32"/>
          <w:szCs w:val="32"/>
          <w:shd w:val="clear" w:color="auto" w:fill="FFFFFF"/>
          <w:lang w:bidi="ar"/>
        </w:rPr>
        <w:t>：指财政当年拨付的资金。包括一般公共预算财政拨款和政府性基金财政拨款。</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二、上级补助收入</w:t>
      </w:r>
      <w:r>
        <w:rPr>
          <w:rFonts w:hint="eastAsia" w:ascii="仿宋" w:hAnsi="仿宋" w:eastAsia="仿宋" w:cs="仿宋"/>
          <w:i w:val="0"/>
          <w:iCs w:val="0"/>
          <w:caps w:val="0"/>
          <w:color w:val="auto"/>
          <w:spacing w:val="0"/>
          <w:sz w:val="32"/>
          <w:szCs w:val="32"/>
          <w:shd w:val="clear" w:color="auto" w:fill="FFFFFF"/>
          <w:lang w:bidi="ar"/>
        </w:rPr>
        <w:t>：指事业单位从主管部门和上级单位取得的非财政补助收入。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三、事业收入</w:t>
      </w:r>
      <w:r>
        <w:rPr>
          <w:rFonts w:hint="eastAsia" w:ascii="仿宋" w:hAnsi="仿宋" w:eastAsia="仿宋" w:cs="仿宋"/>
          <w:i w:val="0"/>
          <w:iCs w:val="0"/>
          <w:caps w:val="0"/>
          <w:color w:val="auto"/>
          <w:spacing w:val="0"/>
          <w:sz w:val="32"/>
          <w:szCs w:val="32"/>
          <w:shd w:val="clear" w:color="auto" w:fill="FFFFFF"/>
          <w:lang w:bidi="ar"/>
        </w:rPr>
        <w:t>：指事业单位开展专业业务活动及辅助活动所取得的收入。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四、经营收入</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：指事业单位在专业业务活动及其辅助活动之外开展非独立核算经营活动取得的收入。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五、附属单位上缴收入</w:t>
      </w:r>
      <w:r>
        <w:rPr>
          <w:rFonts w:hint="eastAsia" w:ascii="仿宋" w:hAnsi="仿宋" w:eastAsia="仿宋" w:cs="仿宋"/>
          <w:i w:val="0"/>
          <w:iCs w:val="0"/>
          <w:caps w:val="0"/>
          <w:color w:val="auto"/>
          <w:spacing w:val="0"/>
          <w:sz w:val="32"/>
          <w:szCs w:val="32"/>
          <w:shd w:val="clear" w:color="auto" w:fill="FFFFFF"/>
          <w:lang w:bidi="ar"/>
        </w:rPr>
        <w:t>：指事业单位附属独立核算单位按照有关规定上缴的收入。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六、其他收入</w:t>
      </w:r>
      <w:r>
        <w:rPr>
          <w:rFonts w:hint="eastAsia" w:ascii="仿宋" w:hAnsi="仿宋" w:eastAsia="仿宋" w:cs="仿宋"/>
          <w:i w:val="0"/>
          <w:iCs w:val="0"/>
          <w:caps w:val="0"/>
          <w:color w:val="auto"/>
          <w:spacing w:val="0"/>
          <w:sz w:val="32"/>
          <w:szCs w:val="32"/>
          <w:shd w:val="clear" w:color="auto" w:fill="FFFFFF"/>
          <w:lang w:bidi="ar"/>
        </w:rPr>
        <w:t>：指除上述“财政拨款收入”、“事业收入”、“经营收入”等以外的收入。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七、用事业基金弥补收支差额</w:t>
      </w:r>
      <w:r>
        <w:rPr>
          <w:rFonts w:hint="eastAsia" w:ascii="仿宋" w:hAnsi="仿宋" w:eastAsia="仿宋" w:cs="仿宋"/>
          <w:i w:val="0"/>
          <w:iCs w:val="0"/>
          <w:caps w:val="0"/>
          <w:color w:val="auto"/>
          <w:spacing w:val="0"/>
          <w:sz w:val="32"/>
          <w:szCs w:val="32"/>
          <w:shd w:val="clear" w:color="auto" w:fill="FFFFFF"/>
          <w:lang w:bidi="ar"/>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八、年初结转和结余</w:t>
      </w:r>
      <w:r>
        <w:rPr>
          <w:rFonts w:hint="eastAsia" w:ascii="仿宋" w:hAnsi="仿宋" w:eastAsia="仿宋" w:cs="仿宋"/>
          <w:i w:val="0"/>
          <w:iCs w:val="0"/>
          <w:caps w:val="0"/>
          <w:color w:val="auto"/>
          <w:spacing w:val="0"/>
          <w:sz w:val="32"/>
          <w:szCs w:val="32"/>
          <w:shd w:val="clear" w:color="auto" w:fill="FFFFFF"/>
          <w:lang w:bidi="ar"/>
        </w:rPr>
        <w:t>：指以前年度尚未完成、结转到本年按有关规定继续使用的资金。</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九、结余分配</w:t>
      </w:r>
      <w:r>
        <w:rPr>
          <w:rFonts w:hint="eastAsia" w:ascii="仿宋" w:hAnsi="仿宋" w:eastAsia="仿宋" w:cs="仿宋"/>
          <w:i w:val="0"/>
          <w:iCs w:val="0"/>
          <w:caps w:val="0"/>
          <w:color w:val="auto"/>
          <w:spacing w:val="0"/>
          <w:sz w:val="32"/>
          <w:szCs w:val="32"/>
          <w:shd w:val="clear" w:color="auto" w:fill="FFFFFF"/>
          <w:lang w:bidi="ar"/>
        </w:rPr>
        <w:t>：指事业单位按规定从非财政补助结余中分配的事业基金和职工福利基金等。</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十、年末结转和结余</w:t>
      </w:r>
      <w:r>
        <w:rPr>
          <w:rFonts w:hint="eastAsia" w:ascii="仿宋" w:hAnsi="仿宋" w:eastAsia="仿宋" w:cs="仿宋"/>
          <w:i w:val="0"/>
          <w:iCs w:val="0"/>
          <w:caps w:val="0"/>
          <w:color w:val="auto"/>
          <w:spacing w:val="0"/>
          <w:sz w:val="32"/>
          <w:szCs w:val="32"/>
          <w:shd w:val="clear" w:color="auto" w:fill="FFFFFF"/>
          <w:lang w:bidi="ar"/>
        </w:rPr>
        <w:t>：指本年度或以前年度预算安排、因客观条件发生变化无法按原计划实施，需要延迟到以后年度按有关规定继续使用的资金。</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十一、基本支出</w:t>
      </w:r>
      <w:r>
        <w:rPr>
          <w:rFonts w:hint="eastAsia" w:ascii="仿宋" w:hAnsi="仿宋" w:eastAsia="仿宋" w:cs="仿宋"/>
          <w:i w:val="0"/>
          <w:iCs w:val="0"/>
          <w:caps w:val="0"/>
          <w:color w:val="auto"/>
          <w:spacing w:val="0"/>
          <w:sz w:val="32"/>
          <w:szCs w:val="32"/>
          <w:shd w:val="clear" w:color="auto" w:fill="FFFFFF"/>
          <w:lang w:bidi="ar"/>
        </w:rPr>
        <w:t>：指为保障机构正常运转、完成日常工作任务而发生的人员支出和公用支出。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十二、项目支出</w:t>
      </w:r>
      <w:r>
        <w:rPr>
          <w:rFonts w:hint="eastAsia" w:ascii="仿宋" w:hAnsi="仿宋" w:eastAsia="仿宋" w:cs="仿宋"/>
          <w:i w:val="0"/>
          <w:iCs w:val="0"/>
          <w:caps w:val="0"/>
          <w:color w:val="auto"/>
          <w:spacing w:val="0"/>
          <w:sz w:val="32"/>
          <w:szCs w:val="32"/>
          <w:shd w:val="clear" w:color="auto" w:fill="FFFFFF"/>
          <w:lang w:bidi="ar"/>
        </w:rPr>
        <w:t>：指在基本支出之外为完成特定行政任务和事业发展目标所发生的支出。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十三、经营支出</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：指事业单位在专业业务活动及其辅助活动之外开展非独立核算经营活动所发生的支出。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十四、“三公”经费</w:t>
      </w:r>
      <w:r>
        <w:rPr>
          <w:rFonts w:hint="eastAsia" w:ascii="仿宋" w:hAnsi="仿宋" w:eastAsia="仿宋" w:cs="仿宋"/>
          <w:i w:val="0"/>
          <w:iCs w:val="0"/>
          <w:caps w:val="0"/>
          <w:color w:val="auto"/>
          <w:spacing w:val="0"/>
          <w:sz w:val="32"/>
          <w:szCs w:val="32"/>
          <w:shd w:val="clear" w:color="auto" w:fill="FFFFFF"/>
          <w:lang w:bidi="ar"/>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color w:val="auto"/>
        </w:rPr>
      </w:pPr>
      <w:r>
        <w:rPr>
          <w:rFonts w:hint="eastAsia" w:ascii="仿宋" w:hAnsi="仿宋" w:eastAsia="仿宋" w:cs="仿宋"/>
          <w:b/>
          <w:bCs/>
          <w:i w:val="0"/>
          <w:iCs w:val="0"/>
          <w:caps w:val="0"/>
          <w:color w:val="auto"/>
          <w:spacing w:val="0"/>
          <w:sz w:val="32"/>
          <w:szCs w:val="32"/>
          <w:shd w:val="clear" w:color="auto" w:fill="FFFFFF"/>
          <w:lang w:eastAsia="zh-CN" w:bidi="ar"/>
        </w:rPr>
        <w:t>十五、机关运行经费</w:t>
      </w:r>
      <w:r>
        <w:rPr>
          <w:rFonts w:hint="eastAsia" w:ascii="仿宋" w:hAnsi="仿宋" w:eastAsia="仿宋" w:cs="仿宋"/>
          <w:i w:val="0"/>
          <w:iCs w:val="0"/>
          <w:caps w:val="0"/>
          <w:color w:val="auto"/>
          <w:spacing w:val="0"/>
          <w:sz w:val="32"/>
          <w:szCs w:val="32"/>
          <w:shd w:val="clear" w:color="auto" w:fill="FFFFFF"/>
          <w:lang w:bidi="ar"/>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6"/>
        <w:jc w:val="both"/>
        <w:rPr>
          <w:sz w:val="72"/>
          <w:szCs w:val="72"/>
        </w:rPr>
      </w:pPr>
    </w:p>
    <w:p>
      <w:pPr>
        <w:pStyle w:val="16"/>
        <w:jc w:val="center"/>
        <w:rPr>
          <w:sz w:val="72"/>
          <w:szCs w:val="72"/>
        </w:rPr>
      </w:pPr>
    </w:p>
    <w:p>
      <w:pPr>
        <w:pStyle w:val="16"/>
        <w:jc w:val="center"/>
        <w:rPr>
          <w:sz w:val="72"/>
          <w:szCs w:val="72"/>
        </w:rPr>
      </w:pPr>
    </w:p>
    <w:p>
      <w:pPr>
        <w:rPr>
          <w:sz w:val="72"/>
          <w:szCs w:val="72"/>
        </w:rPr>
      </w:pPr>
    </w:p>
    <w:p>
      <w:pPr>
        <w:pStyle w:val="16"/>
        <w:jc w:val="center"/>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p>
    <w:p>
      <w:pPr>
        <w:pStyle w:val="16"/>
        <w:jc w:val="both"/>
        <w:rPr>
          <w:rFonts w:hint="eastAsia" w:ascii="方正小标宋_GBK" w:hAnsi="方正小标宋_GBK" w:eastAsia="方正小标宋_GBK" w:cs="方正小标宋_GBK"/>
          <w:sz w:val="72"/>
          <w:szCs w:val="72"/>
        </w:rPr>
      </w:pPr>
    </w:p>
    <w:p>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6"/>
        <w:jc w:val="center"/>
        <w:rPr>
          <w:rFonts w:hint="eastAsia" w:ascii="方正小标宋_GBK" w:hAnsi="方正小标宋_GBK" w:eastAsia="方正小标宋_GBK" w:cs="方正小标宋_GBK"/>
          <w:sz w:val="70"/>
          <w:szCs w:val="70"/>
        </w:rPr>
      </w:pPr>
    </w:p>
    <w:p>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both"/>
        <w:textAlignment w:val="auto"/>
        <w:rPr>
          <w:rFonts w:ascii="仿宋_GB2312" w:eastAsia="仿宋_GB2312" w:cs="仿宋_GB2312"/>
          <w:i w:val="0"/>
          <w:iCs w:val="0"/>
          <w:caps w:val="0"/>
          <w:color w:val="000000"/>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left"/>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怀化市农业科学研究院为市直正处级公益一类事业单位，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sz w:val="32"/>
          <w:szCs w:val="32"/>
          <w:lang w:val="en-US" w:eastAsia="zh-CN"/>
        </w:rPr>
        <w:t>单位内设机构14个科室包括：办公室、党群人事部、计划财务部、科研管理与技术推广部、水稻研究所、中药材研究所，蔬菜花卉研究所、果树研究所、旱作研究所、茶叶研究所、畜牧水产研究所、生物技术研究所、农业装备与食品研究所、农业农村经济研究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left"/>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（二）人员编制情况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人员编制数73人，2023年实际在职人数68人，控制率为93.1%。其中有高级农艺师9人，退休人员113人。</w:t>
      </w:r>
    </w:p>
    <w:p>
      <w:pPr>
        <w:pStyle w:val="11"/>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农业农村经济研究，农业应用基础、应用研究和高新技术研究等任务，为党委政府制定农业农村政策提供参谋咨询。2、承担国家、省作物品种区域试验任务，为农作物新品种审定提供技术依据。3、为全市农业优势特色产业规划和发展提供技术支撑；为全市种业安全、粮食安全、农产品质量安全、农业防灾减灾等重要工作提供技术支撑。4、承担上级下达的农作物种质资源调查、收集、保护工作任务。5、承担全市农业产业技术体系相关学科的基础性、应用性、公益性研究；承担国家、省农业产业技术体系建设任务，国家、省、市农业科研攻关课题及指令性科研任务。6、承担全市农作物种质资源创新利用工作；开展应用型农业生物技术研究、农业生化检验分析、本市特异种质资源筛选评价和重要基因发掘工作。7、承担水稻、果树、旱粮、中药材、茶叶、蔬菜、油料等农作物的育种技术研究；开展本地特色农作物品种培育技术研究，推进分子技术、基因编辑、合成生物学、人工智能等新技术在作物育种上的应用。8、承担农作物栽培、植物保护、土壤肥料等生产技术的研究与应用。9、承担禽畜水产绿色高效养殖技术研究与应用；承担地方特色禽畜水产品种的改良、繁育、疾病防控等技术的研究与应用。10、承担农业机械化、设施农业、智慧农业技术研究与推广应用，开展农牧渔及其副产品精深加工技术研究与应用。11、承担农业技术推广职能，制订实施农业技术推广计划；开展新品种、新装备、新农艺的引进、试验、示范和推广工作；承担农业技术培训、指导及技术资料编发。12、承担现代农业管理模式、农业产业发展规划等研究，开展农业经济，农业科技信息收集分析工作。13、组织开展农业学术交流、技术合作和科研人才培养工作。14、承办市委、市政府等上级有关部门交办的其他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jc w:val="left"/>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怀化市财政局关于开展2023年度预算支出绩效自评工作的通知》（怀财绩【2024】46号文件）要求，我单位对2023年部门整体运行及支出情况进行了自查自评，并比照部门整体支出绩效评价共性指标标准进行评分，自评分为：98分。</w:t>
      </w:r>
    </w:p>
    <w:p>
      <w:pPr>
        <w:keepNext w:val="0"/>
        <w:keepLines w:val="0"/>
        <w:pageBreakBefore w:val="0"/>
        <w:numPr>
          <w:ilvl w:val="0"/>
          <w:numId w:val="0"/>
        </w:numPr>
        <w:kinsoku/>
        <w:wordWrap/>
        <w:overflowPunct/>
        <w:topLinePunct w:val="0"/>
        <w:autoSpaceDE/>
        <w:autoSpaceDN/>
        <w:bidi w:val="0"/>
        <w:adjustRightInd/>
        <w:snapToGrid w:val="0"/>
        <w:spacing w:line="580" w:lineRule="exact"/>
        <w:ind w:firstLine="0"/>
        <w:jc w:val="both"/>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我院2023年度一般公共财政支出年初预算1684.88万元，全预算数1586.41万元，减少的主要因为是市里统筹调度，未下达第四季度指标。一般公共财政支出决算数为1586.41万元，预算执行率为94.15%。</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1.基本支出情况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2023年财务经费总体支出情况1062.66万元，具体包括：</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1、工资福利支出：740.87万元。主要包括在职人员工资、津贴补贴、政策规定奖金、绩效工资、基本养老保险、基本医疗保险、生育基金及工伤保险等其他社会保障费、住房公积金等支出。</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一般商品服务支出55.96万元。包括日常运行正常办公经费、印刷费、咨询费、水费、电费、差旅费、维修（护）费、会议费、培训费、“三公经费”、劳务费、委托业务费、工会经费、职工福利费、税金及附加及其商品服务支出等。</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对个人和家庭补助支出265.83万元。主要包括退休人员一次性生活补助费、抚恤金、独生子女奖励金等支出。</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项目支出情况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年初预算支出214元，实际市本级、省级全年安排我单位专项资金523.76万元，用于农业种质资源普查保护、农业技术推广经费、2023年省级现代农业产业技术体系建设与种业核心技术攻关资金、国有农场税费改革转移支付、专项业务费、基于农艺性状和简化基因组测序的碣滩茶茶树种质资源核心种质的构建、基于农艺性状和简化基因组测序的碣滩茶茶树种质资源核心种质的构建、种业振兴创新平台建设、科研成果绩效考核资金及柑橘品种创制科研经费</w:t>
      </w:r>
      <w:r>
        <w:rPr>
          <w:rFonts w:hint="default" w:ascii="仿宋_GB2312" w:hAnsi="仿宋_GB2312" w:eastAsia="仿宋_GB2312" w:cs="仿宋_GB2312"/>
          <w:sz w:val="32"/>
          <w:szCs w:val="32"/>
          <w:lang w:val="en-US" w:eastAsia="zh-CN"/>
        </w:rPr>
        <w:t>高新区基地建设工程款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南繁基地购房款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“一粒种子改变世界”籼型杂交水稻研究成功50周年暨种业高质量发展研讨会</w:t>
      </w:r>
      <w:r>
        <w:rPr>
          <w:rFonts w:hint="eastAsia" w:ascii="仿宋_GB2312" w:hAnsi="仿宋_GB2312" w:eastAsia="仿宋_GB2312" w:cs="仿宋_GB2312"/>
          <w:sz w:val="32"/>
          <w:szCs w:val="32"/>
          <w:lang w:val="en-US" w:eastAsia="zh-CN"/>
        </w:rPr>
        <w:t>等项目开展。2023年项目实际使523.76万元，专项项目预算支出完成率100%。</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（三）"三公"经费使用和管理情况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“三公”经费方面：三公经费总支出，其中公务接待费实际开支0.65万元；车辆运行费实际开支0.77万元。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三、</w:t>
      </w:r>
      <w:r>
        <w:rPr>
          <w:rFonts w:hint="eastAsia" w:ascii="黑体" w:hAnsi="黑体" w:eastAsia="黑体" w:cs="黑体"/>
          <w:i w:val="0"/>
          <w:iCs w:val="0"/>
          <w:caps w:val="0"/>
          <w:color w:val="000000"/>
          <w:spacing w:val="0"/>
          <w:sz w:val="32"/>
          <w:szCs w:val="32"/>
          <w:shd w:val="clear" w:fill="FFFFFF"/>
        </w:rPr>
        <w:t>政府性基金预算支出情况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2023年度我单位无政府性基金预算收入及支出。</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Chars="0" w:right="0" w:rightChars="0"/>
        <w:jc w:val="both"/>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四、</w:t>
      </w:r>
      <w:r>
        <w:rPr>
          <w:rFonts w:hint="eastAsia" w:ascii="黑体" w:hAnsi="黑体" w:eastAsia="黑体" w:cs="黑体"/>
          <w:i w:val="0"/>
          <w:iCs w:val="0"/>
          <w:caps w:val="0"/>
          <w:color w:val="000000"/>
          <w:spacing w:val="0"/>
          <w:sz w:val="32"/>
          <w:szCs w:val="32"/>
          <w:shd w:val="clear" w:fill="FFFFFF"/>
        </w:rPr>
        <w:t>国有资本经营预算支出情况</w:t>
      </w:r>
    </w:p>
    <w:p>
      <w:pPr>
        <w:keepNext w:val="0"/>
        <w:keepLines w:val="0"/>
        <w:pageBreakBefore w:val="0"/>
        <w:widowControl/>
        <w:suppressLineNumbers w:val="0"/>
        <w:kinsoku/>
        <w:wordWrap/>
        <w:overflowPunct/>
        <w:topLinePunct w:val="0"/>
        <w:autoSpaceDE/>
        <w:autoSpaceDN/>
        <w:bidi w:val="0"/>
        <w:adjustRightInd/>
        <w:spacing w:line="580" w:lineRule="exact"/>
        <w:ind w:firstLine="56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宋体" w:hAnsi="宋体" w:eastAsia="宋体" w:cs="宋体"/>
          <w:i w:val="0"/>
          <w:caps w:val="0"/>
          <w:color w:val="000000"/>
          <w:spacing w:val="0"/>
          <w:kern w:val="0"/>
          <w:sz w:val="28"/>
          <w:szCs w:val="28"/>
          <w:shd w:val="clear" w:fill="FFFFFF"/>
          <w:lang w:val="en-US" w:eastAsia="zh-CN" w:bidi="ar"/>
        </w:rPr>
        <w:t>2023年度我单位无政府性基金预算收入及支出。</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Chars="0" w:right="0" w:rightChars="0"/>
        <w:jc w:val="both"/>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五、</w:t>
      </w:r>
      <w:r>
        <w:rPr>
          <w:rFonts w:hint="eastAsia" w:ascii="黑体" w:hAnsi="黑体" w:eastAsia="黑体" w:cs="黑体"/>
          <w:i w:val="0"/>
          <w:iCs w:val="0"/>
          <w:caps w:val="0"/>
          <w:color w:val="000000"/>
          <w:spacing w:val="0"/>
          <w:sz w:val="32"/>
          <w:szCs w:val="32"/>
          <w:shd w:val="clear" w:fill="FFFFFF"/>
        </w:rPr>
        <w:t>社会保险基金预算支出情况</w:t>
      </w:r>
    </w:p>
    <w:p>
      <w:pPr>
        <w:keepNext w:val="0"/>
        <w:keepLines w:val="0"/>
        <w:pageBreakBefore w:val="0"/>
        <w:widowControl/>
        <w:suppressLineNumbers w:val="0"/>
        <w:kinsoku/>
        <w:wordWrap/>
        <w:overflowPunct/>
        <w:topLinePunct w:val="0"/>
        <w:autoSpaceDE/>
        <w:autoSpaceDN/>
        <w:bidi w:val="0"/>
        <w:adjustRightInd/>
        <w:spacing w:line="580" w:lineRule="exact"/>
        <w:ind w:firstLine="56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宋体" w:hAnsi="宋体" w:eastAsia="宋体" w:cs="宋体"/>
          <w:i w:val="0"/>
          <w:caps w:val="0"/>
          <w:color w:val="000000"/>
          <w:spacing w:val="0"/>
          <w:kern w:val="0"/>
          <w:sz w:val="28"/>
          <w:szCs w:val="28"/>
          <w:shd w:val="clear" w:fill="FFFFFF"/>
          <w:lang w:val="en-US" w:eastAsia="zh-CN" w:bidi="ar"/>
        </w:rPr>
        <w:t>2023年度我单位无政府性基金预算收入及支出。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项目执行完成率100%。2023年，我院始终坚持以习近平新时代中国特色社会主义思想为指导，全面贯彻党的二十大精神，深入实施市委市政府“五新四城”战略，严格落实重点产业链工作部署，着力实施种业振兴行动，开展10大农业技术攻关，建设10大农业科技示范基地，集成并示范推广10项农业高产高效安全生产新技术，奋力开创科研事业新局面。2023年本单位整体支出绩效自评得分98分，其中预算执行率7.7分、产出指标50分，效益指标30分，满意度指标10分。</w:t>
      </w:r>
    </w:p>
    <w:p>
      <w:pPr>
        <w:keepNext w:val="0"/>
        <w:keepLines w:val="0"/>
        <w:pageBreakBefore w:val="0"/>
        <w:widowControl/>
        <w:suppressLineNumbers w:val="0"/>
        <w:kinsoku/>
        <w:wordWrap/>
        <w:overflowPunct/>
        <w:topLinePunct w:val="0"/>
        <w:autoSpaceDE/>
        <w:autoSpaceDN/>
        <w:bidi w:val="0"/>
        <w:adjustRightInd/>
        <w:spacing w:line="580" w:lineRule="exact"/>
        <w:ind w:firstLine="560" w:firstLineChars="200"/>
        <w:jc w:val="left"/>
        <w:textAlignment w:val="auto"/>
        <w:rPr>
          <w:rFonts w:hint="eastAsia" w:ascii="宋体" w:hAnsi="宋体" w:eastAsia="宋体" w:cs="宋体"/>
          <w:i w:val="0"/>
          <w:caps w:val="0"/>
          <w:color w:val="000000"/>
          <w:spacing w:val="0"/>
          <w:kern w:val="0"/>
          <w:sz w:val="28"/>
          <w:szCs w:val="28"/>
          <w:shd w:val="clear" w:fill="FFFFFF"/>
          <w:lang w:val="en-US" w:eastAsia="zh-CN" w:bidi="ar"/>
        </w:rPr>
      </w:pPr>
      <w:r>
        <w:rPr>
          <w:rFonts w:hint="eastAsia" w:ascii="宋体" w:hAnsi="宋体" w:eastAsia="宋体" w:cs="宋体"/>
          <w:i w:val="0"/>
          <w:caps w:val="0"/>
          <w:color w:val="000000"/>
          <w:spacing w:val="0"/>
          <w:kern w:val="0"/>
          <w:sz w:val="28"/>
          <w:szCs w:val="28"/>
          <w:shd w:val="clear" w:fill="FFFFFF"/>
          <w:lang w:val="en-US" w:eastAsia="zh-CN" w:bidi="ar"/>
        </w:rPr>
        <w:t>具体完成以下工作：</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80" w:lineRule="exact"/>
        <w:ind w:firstLine="640"/>
        <w:jc w:val="both"/>
        <w:textAlignment w:val="auto"/>
        <w:outlineLvl w:val="9"/>
        <w:rPr>
          <w:rFonts w:hint="eastAsia" w:ascii="黑体" w:hAnsi="黑体" w:eastAsia="黑体" w:cs="黑体"/>
          <w:b w:val="0"/>
          <w:bCs w:val="0"/>
          <w:spacing w:val="-11"/>
          <w:sz w:val="32"/>
          <w:szCs w:val="32"/>
          <w:lang w:val="en-US" w:eastAsia="zh-CN"/>
        </w:rPr>
      </w:pPr>
      <w:r>
        <w:rPr>
          <w:rFonts w:hint="eastAsia" w:ascii="黑体" w:hAnsi="黑体" w:eastAsia="黑体" w:cs="黑体"/>
          <w:b w:val="0"/>
          <w:bCs w:val="0"/>
          <w:spacing w:val="-11"/>
          <w:sz w:val="32"/>
          <w:szCs w:val="32"/>
          <w:lang w:val="en-US" w:eastAsia="zh-CN"/>
        </w:rPr>
        <w:t>坚持政治引领，党的建设高质量发展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认真开展主题教育</w:t>
      </w:r>
      <w:r>
        <w:rPr>
          <w:rFonts w:hint="eastAsia" w:ascii="仿宋_GB2312" w:hAnsi="仿宋_GB2312" w:eastAsia="仿宋_GB2312" w:cs="仿宋_GB2312"/>
          <w:b/>
          <w:bCs/>
          <w:sz w:val="32"/>
          <w:szCs w:val="32"/>
          <w:lang w:eastAsia="zh-CN"/>
        </w:rPr>
        <w:t>。</w:t>
      </w:r>
      <w:r>
        <w:rPr>
          <w:rFonts w:hint="eastAsia" w:ascii="仿宋_GB2312" w:eastAsia="仿宋_GB2312" w:cs="Times New Roman"/>
          <w:color w:val="auto"/>
          <w:kern w:val="2"/>
          <w:sz w:val="32"/>
          <w:szCs w:val="32"/>
          <w:lang w:val="en-US" w:eastAsia="zh-CN" w:bidi="ar-SA"/>
        </w:rPr>
        <w:t>认</w:t>
      </w:r>
      <w:r>
        <w:rPr>
          <w:rFonts w:hint="eastAsia" w:ascii="仿宋_GB2312" w:hAnsi="仿宋_GB2312" w:eastAsia="仿宋_GB2312" w:cs="仿宋_GB2312"/>
          <w:sz w:val="32"/>
          <w:szCs w:val="32"/>
          <w:lang w:val="en-US" w:eastAsia="zh-CN"/>
        </w:rPr>
        <w:t>真开展学习贯彻习近平新时代中国特色社会主义思想主题教育工作，采取中心组学习、“三会一课”、主题党日等多种形式，深入学习领会习近平总书记的重要讲话、重要指示批示精神以及党中央的决策部署，将全院党员干部的思想统一到党的决策部署上来</w:t>
      </w:r>
      <w:r>
        <w:rPr>
          <w:rFonts w:hint="eastAsia" w:ascii="仿宋_GB2312" w:eastAsia="仿宋_GB2312" w:cs="Arial"/>
          <w:sz w:val="32"/>
          <w:szCs w:val="32"/>
          <w:lang w:val="en-US" w:eastAsia="zh-CN"/>
        </w:rPr>
        <w:t>。</w:t>
      </w:r>
      <w:r>
        <w:rPr>
          <w:rFonts w:hint="eastAsia" w:ascii="仿宋_GB2312" w:hAnsi="仿宋_GB2312" w:eastAsia="仿宋_GB2312" w:cs="仿宋_GB2312"/>
          <w:b/>
          <w:bCs/>
          <w:sz w:val="32"/>
          <w:szCs w:val="32"/>
          <w:lang w:eastAsia="zh-CN"/>
        </w:rPr>
        <w:t>二是强化中心组学习。</w:t>
      </w:r>
      <w:r>
        <w:rPr>
          <w:rFonts w:hint="eastAsia" w:ascii="仿宋_GB2312" w:eastAsia="仿宋_GB2312"/>
          <w:sz w:val="32"/>
          <w:szCs w:val="32"/>
          <w:lang w:val="en-US" w:eastAsia="zh-CN"/>
        </w:rPr>
        <w:t>着力抓好深化、强化党委会“第一议题”学习实效，加强理论学习中心组学习，努力吃透精神实质和实践要求。院党委班子</w:t>
      </w:r>
      <w:r>
        <w:rPr>
          <w:rFonts w:hint="eastAsia" w:ascii="仿宋_GB2312" w:eastAsia="仿宋_GB2312"/>
          <w:sz w:val="32"/>
          <w:szCs w:val="32"/>
          <w:lang w:eastAsia="zh-CN"/>
        </w:rPr>
        <w:t>全年</w:t>
      </w:r>
      <w:r>
        <w:rPr>
          <w:rFonts w:hint="eastAsia" w:ascii="仿宋_GB2312" w:eastAsia="仿宋_GB2312"/>
          <w:sz w:val="32"/>
          <w:szCs w:val="32"/>
          <w:lang w:val="en-US" w:eastAsia="zh-CN"/>
        </w:rPr>
        <w:t>理论学习中心组学习12次。</w:t>
      </w:r>
      <w:r>
        <w:rPr>
          <w:rFonts w:hint="eastAsia" w:ascii="仿宋_GB2312" w:hAnsi="仿宋_GB2312" w:eastAsia="仿宋_GB2312" w:cs="仿宋_GB2312"/>
          <w:b/>
          <w:bCs/>
          <w:sz w:val="32"/>
          <w:szCs w:val="32"/>
          <w:lang w:val="en-US" w:eastAsia="zh-CN"/>
        </w:rPr>
        <w:t>三是强化基层党组织建设。</w:t>
      </w:r>
      <w:r>
        <w:rPr>
          <w:rFonts w:hint="eastAsia" w:ascii="仿宋_GB2312" w:hAnsi="仿宋_GB2312" w:eastAsia="仿宋_GB2312" w:cs="仿宋_GB2312"/>
          <w:sz w:val="32"/>
          <w:szCs w:val="32"/>
          <w:lang w:val="en-US" w:eastAsia="zh-CN"/>
        </w:rPr>
        <w:t>指导两个支部按时完成换届，发展科研一线党员1名，不断增强基层组织活力。认真开展“一月一课一片一实践”主题党日活动，先后组织集中观看爱国教育片、先进模范纪录片11次，开展“</w:t>
      </w:r>
      <w:r>
        <w:rPr>
          <w:rFonts w:hint="eastAsia" w:ascii="仿宋_GB2312" w:hAnsi="仿宋_GB2312" w:eastAsia="仿宋_GB2312" w:cs="仿宋_GB2312"/>
          <w:sz w:val="32"/>
          <w:szCs w:val="32"/>
          <w:lang w:eastAsia="zh-CN"/>
        </w:rPr>
        <w:t>参观学习向警予同志纪念</w:t>
      </w:r>
      <w:r>
        <w:rPr>
          <w:rFonts w:hint="eastAsia" w:ascii="仿宋_GB2312" w:hAnsi="仿宋_GB2312" w:eastAsia="仿宋_GB2312" w:cs="仿宋_GB2312"/>
          <w:sz w:val="32"/>
          <w:szCs w:val="32"/>
          <w:lang w:val="en-US" w:eastAsia="zh-CN"/>
        </w:rPr>
        <w:t>馆”“龙溪讲坛听廉政党课”“抓好党建促农业科研”等主题党日活动12次。党委书记、院长张智忠同志分别以《以高水平党建引领农业科研高质量发展》《打造“国际种业之都”的几个问题——落实市委重大战略决策的思考》为题，为全体干部职工上党课。引导党员干部参加社区结对共建。</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554"/>
        <w:jc w:val="both"/>
        <w:textAlignment w:val="auto"/>
        <w:outlineLvl w:val="9"/>
        <w:rPr>
          <w:rFonts w:hint="eastAsia" w:ascii="黑体" w:hAnsi="黑体" w:eastAsia="黑体" w:cs="黑体"/>
          <w:b w:val="0"/>
          <w:bCs w:val="0"/>
          <w:spacing w:val="-11"/>
          <w:sz w:val="32"/>
          <w:szCs w:val="32"/>
          <w:lang w:eastAsia="zh-CN"/>
        </w:rPr>
      </w:pPr>
      <w:r>
        <w:rPr>
          <w:rFonts w:hint="eastAsia" w:ascii="黑体" w:hAnsi="黑体" w:eastAsia="黑体" w:cs="黑体"/>
          <w:b w:val="0"/>
          <w:bCs w:val="0"/>
          <w:spacing w:val="-11"/>
          <w:sz w:val="32"/>
          <w:szCs w:val="32"/>
          <w:lang w:eastAsia="zh-CN"/>
        </w:rPr>
        <w:t>（二）立足主责主业，科技创新持续赋能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全年共实施各级科研项目36项（其中国家级3项，省级13项，市级8项，合作项目1项，院设科研项目11项），通过一年的努力攻关，所有项目均顺利进行或圆满完成。</w:t>
      </w:r>
    </w:p>
    <w:p>
      <w:pPr>
        <w:pStyle w:val="8"/>
        <w:keepNext w:val="0"/>
        <w:keepLines w:val="0"/>
        <w:pageBreakBefore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kern w:val="2"/>
          <w:sz w:val="32"/>
          <w:szCs w:val="32"/>
          <w:lang w:eastAsia="zh-CN" w:bidi="ar-SA"/>
        </w:rPr>
        <w:t>1</w:t>
      </w:r>
      <w:r>
        <w:rPr>
          <w:rFonts w:hint="eastAsia" w:ascii="楷体" w:hAnsi="楷体" w:eastAsia="楷体" w:cs="楷体"/>
          <w:b/>
          <w:bCs/>
          <w:kern w:val="2"/>
          <w:sz w:val="32"/>
          <w:szCs w:val="32"/>
          <w:lang w:val="en-US" w:eastAsia="zh-CN" w:bidi="ar-SA"/>
        </w:rPr>
        <w:t>.</w:t>
      </w:r>
      <w:r>
        <w:rPr>
          <w:rFonts w:hint="eastAsia" w:ascii="楷体" w:hAnsi="楷体" w:eastAsia="楷体" w:cs="楷体"/>
          <w:b/>
          <w:bCs/>
          <w:kern w:val="2"/>
          <w:sz w:val="32"/>
          <w:szCs w:val="32"/>
          <w:lang w:eastAsia="zh-CN" w:bidi="ar-SA"/>
        </w:rPr>
        <w:t>加强</w:t>
      </w:r>
      <w:r>
        <w:rPr>
          <w:rFonts w:hint="eastAsia" w:ascii="楷体" w:hAnsi="楷体" w:eastAsia="楷体" w:cs="楷体"/>
          <w:b/>
          <w:bCs/>
          <w:kern w:val="2"/>
          <w:sz w:val="32"/>
          <w:szCs w:val="32"/>
          <w:lang w:val="en-US" w:eastAsia="zh-CN" w:bidi="ar-SA"/>
        </w:rPr>
        <w:t>新品种</w:t>
      </w:r>
      <w:r>
        <w:rPr>
          <w:rFonts w:hint="eastAsia" w:ascii="楷体" w:hAnsi="楷体" w:eastAsia="楷体" w:cs="楷体"/>
          <w:b/>
          <w:bCs/>
          <w:kern w:val="2"/>
          <w:sz w:val="32"/>
          <w:szCs w:val="32"/>
          <w:lang w:eastAsia="zh-CN" w:bidi="ar-SA"/>
        </w:rPr>
        <w:t>培育。</w:t>
      </w:r>
      <w:r>
        <w:rPr>
          <w:rFonts w:hint="eastAsia" w:ascii="仿宋_GB2312" w:hAnsi="仿宋_GB2312" w:eastAsia="仿宋_GB2312" w:cs="仿宋_GB2312"/>
          <w:kern w:val="2"/>
          <w:sz w:val="32"/>
          <w:szCs w:val="32"/>
          <w:lang w:val="en-US" w:eastAsia="zh-CN" w:bidi="ar-SA"/>
        </w:rPr>
        <w:t>我院通过遗传改良和育种技术，成功培育出多个优良性状的新品种。3个我院选育水稻品种进入国家和省级正规区试；5个水稻品种参加省联合品比筛选试验，拟进入省中籼迟熟组区试；在海南南繁选择不育系材料3000余份，选择恢复系材料5000余份，改造材料500余对，筛选组合400余个，测配组合600余个。与国家柑橘改良中心长沙分中心、怀化锦瑞农业科技发展有限公司达成了柑橘新品种联合登记、保护、开发合作协议，正在开展冰糖橙优系1号、2号两个新品种登记与保护的DUS测试。《怀化辣椒地方品种提纯复壮研究》正在海南开展加代繁殖，即将开展新品种登记工作。</w:t>
      </w:r>
    </w:p>
    <w:p>
      <w:pPr>
        <w:keepNext w:val="0"/>
        <w:keepLines w:val="0"/>
        <w:pageBreakBefore w:val="0"/>
        <w:widowControl/>
        <w:suppressLineNumbers w:val="0"/>
        <w:kinsoku/>
        <w:wordWrap/>
        <w:overflowPunct/>
        <w:topLinePunct w:val="0"/>
        <w:autoSpaceDE/>
        <w:autoSpaceDN/>
        <w:bidi w:val="0"/>
        <w:adjustRightIn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 xml:space="preserve"> </w:t>
      </w:r>
      <w:r>
        <w:rPr>
          <w:rFonts w:hint="eastAsia" w:ascii="楷体" w:hAnsi="楷体" w:eastAsia="楷体" w:cs="楷体"/>
          <w:b/>
          <w:bCs/>
          <w:kern w:val="2"/>
          <w:sz w:val="32"/>
          <w:szCs w:val="32"/>
          <w:lang w:eastAsia="zh-CN" w:bidi="ar-SA"/>
        </w:rPr>
        <w:t>2</w:t>
      </w:r>
      <w:r>
        <w:rPr>
          <w:rFonts w:hint="eastAsia" w:ascii="楷体" w:hAnsi="楷体" w:eastAsia="楷体" w:cs="楷体"/>
          <w:b/>
          <w:bCs/>
          <w:kern w:val="2"/>
          <w:sz w:val="32"/>
          <w:szCs w:val="32"/>
          <w:lang w:val="en-US" w:eastAsia="zh-CN" w:bidi="ar-SA"/>
        </w:rPr>
        <w:t>.</w:t>
      </w:r>
      <w:r>
        <w:rPr>
          <w:rFonts w:hint="eastAsia" w:ascii="楷体" w:hAnsi="楷体" w:eastAsia="楷体" w:cs="楷体"/>
          <w:b/>
          <w:bCs/>
          <w:kern w:val="2"/>
          <w:sz w:val="32"/>
          <w:szCs w:val="32"/>
          <w:lang w:eastAsia="zh-CN" w:bidi="ar-SA"/>
        </w:rPr>
        <w:t>加紧</w:t>
      </w:r>
      <w:r>
        <w:rPr>
          <w:rFonts w:hint="eastAsia" w:ascii="楷体" w:hAnsi="楷体" w:eastAsia="楷体" w:cs="楷体"/>
          <w:b/>
          <w:bCs/>
          <w:kern w:val="2"/>
          <w:sz w:val="32"/>
          <w:szCs w:val="32"/>
          <w:lang w:val="en-US" w:eastAsia="zh-CN" w:bidi="ar-SA"/>
        </w:rPr>
        <w:t>新技术</w:t>
      </w:r>
      <w:r>
        <w:rPr>
          <w:rFonts w:hint="eastAsia" w:ascii="楷体" w:hAnsi="楷体" w:eastAsia="楷体" w:cs="楷体"/>
          <w:b/>
          <w:bCs/>
          <w:kern w:val="2"/>
          <w:sz w:val="32"/>
          <w:szCs w:val="32"/>
          <w:lang w:eastAsia="zh-CN" w:bidi="ar-SA"/>
        </w:rPr>
        <w:t>研发。</w:t>
      </w:r>
      <w:r>
        <w:rPr>
          <w:rFonts w:hint="eastAsia" w:ascii="仿宋_GB2312" w:hAnsi="仿宋_GB2312" w:eastAsia="仿宋_GB2312" w:cs="仿宋_GB2312"/>
          <w:sz w:val="32"/>
          <w:szCs w:val="32"/>
          <w:lang w:val="en-US" w:eastAsia="zh-CN"/>
        </w:rPr>
        <w:t>《植物精油控释包装膜及其对杨梅防蝇保鲜作用机理研究》获授权实用新型专利1项，申请国家发明专利1项。《低产茶园提质改造技术示范项目》《碣滩茶专用茶树品种的初筛选》《施氮对茶叶控氟效果影响的研究》《黔阳天麻高效萌发菌与蜜环菌的筛选和利用》《中药材发酵饲料的制备及其饲喂溆浦鹅效果研究》《肉桂醛对热应激白羽肉鸡生长性能、屠宰性能、血清抗氧化指标及空肠形态结构的影响》等科研课题取得了阶段性成果。</w:t>
      </w:r>
    </w:p>
    <w:p>
      <w:pPr>
        <w:keepNext w:val="0"/>
        <w:keepLines w:val="0"/>
        <w:pageBreakBefore w:val="0"/>
        <w:widowControl/>
        <w:suppressLineNumbers w:val="0"/>
        <w:kinsoku/>
        <w:wordWrap/>
        <w:overflowPunct/>
        <w:topLinePunct w:val="0"/>
        <w:autoSpaceDE/>
        <w:autoSpaceDN/>
        <w:bidi w:val="0"/>
        <w:adjustRightIn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kern w:val="2"/>
          <w:sz w:val="32"/>
          <w:szCs w:val="32"/>
          <w:lang w:val="en-US" w:eastAsia="zh-CN" w:bidi="ar-SA"/>
        </w:rPr>
        <w:t>3.加快新装备研制。</w:t>
      </w:r>
      <w:r>
        <w:rPr>
          <w:rFonts w:hint="eastAsia" w:ascii="仿宋_GB2312" w:hAnsi="仿宋_GB2312" w:eastAsia="仿宋_GB2312" w:cs="仿宋_GB2312"/>
          <w:sz w:val="32"/>
          <w:szCs w:val="32"/>
          <w:lang w:val="en-US" w:eastAsia="zh-CN"/>
        </w:rPr>
        <w:t>我院积极开展新型农业装备的研发工作，《丘陵山区林果地垦复机研究与示范》进展迅速，已成功研究出第一台样机，实现我院农业装备研发零的突破，并成功应用于蔬菜、中药材、茶叶等各应用场景开展田间试验。</w:t>
      </w:r>
    </w:p>
    <w:p>
      <w:pPr>
        <w:keepNext w:val="0"/>
        <w:keepLines w:val="0"/>
        <w:pageBreakBefore w:val="0"/>
        <w:kinsoku/>
        <w:wordWrap/>
        <w:overflowPunct/>
        <w:topLinePunct w:val="0"/>
        <w:autoSpaceDE/>
        <w:autoSpaceDN/>
        <w:bidi w:val="0"/>
        <w:adjustRightInd/>
        <w:snapToGrid/>
        <w:spacing w:line="580" w:lineRule="exact"/>
        <w:ind w:firstLine="596"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pacing w:val="-11"/>
          <w:sz w:val="32"/>
          <w:szCs w:val="32"/>
          <w:lang w:eastAsia="zh-CN"/>
        </w:rPr>
        <w:t>（三）聚焦</w:t>
      </w:r>
      <w:r>
        <w:rPr>
          <w:rFonts w:hint="eastAsia" w:ascii="黑体" w:hAnsi="黑体" w:eastAsia="黑体" w:cs="黑体"/>
          <w:b w:val="0"/>
          <w:bCs w:val="0"/>
          <w:spacing w:val="-11"/>
          <w:sz w:val="32"/>
          <w:szCs w:val="32"/>
        </w:rPr>
        <w:t>产业</w:t>
      </w:r>
      <w:r>
        <w:rPr>
          <w:rFonts w:hint="eastAsia" w:ascii="黑体" w:hAnsi="黑体" w:eastAsia="黑体" w:cs="黑体"/>
          <w:b w:val="0"/>
          <w:bCs w:val="0"/>
          <w:spacing w:val="-11"/>
          <w:sz w:val="32"/>
          <w:szCs w:val="32"/>
          <w:lang w:eastAsia="zh-CN"/>
        </w:rPr>
        <w:t>发展</w:t>
      </w:r>
      <w:r>
        <w:rPr>
          <w:rFonts w:hint="eastAsia" w:ascii="黑体" w:hAnsi="黑体" w:eastAsia="黑体" w:cs="黑体"/>
          <w:b w:val="0"/>
          <w:bCs w:val="0"/>
          <w:spacing w:val="-11"/>
          <w:sz w:val="32"/>
          <w:szCs w:val="32"/>
        </w:rPr>
        <w:t>，</w:t>
      </w:r>
      <w:r>
        <w:rPr>
          <w:rFonts w:hint="eastAsia" w:ascii="黑体" w:hAnsi="黑体" w:eastAsia="黑体" w:cs="黑体"/>
          <w:b w:val="0"/>
          <w:bCs w:val="0"/>
          <w:spacing w:val="-11"/>
          <w:sz w:val="32"/>
          <w:szCs w:val="32"/>
          <w:lang w:eastAsia="zh-CN"/>
        </w:rPr>
        <w:t>科技服务稳步推进</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lang w:val="en-US" w:eastAsia="zh-CN"/>
        </w:rPr>
      </w:pPr>
      <w:r>
        <w:rPr>
          <w:rFonts w:hint="eastAsia" w:ascii="楷体" w:hAnsi="楷体" w:eastAsia="楷体" w:cs="楷体"/>
          <w:b/>
          <w:bCs/>
          <w:sz w:val="32"/>
          <w:szCs w:val="32"/>
        </w:rPr>
        <w:t>1.</w:t>
      </w:r>
      <w:r>
        <w:rPr>
          <w:rFonts w:hint="eastAsia" w:ascii="楷体" w:hAnsi="楷体" w:eastAsia="楷体" w:cs="楷体"/>
          <w:b/>
          <w:bCs/>
          <w:sz w:val="32"/>
          <w:szCs w:val="32"/>
          <w:lang w:eastAsia="zh-CN"/>
        </w:rPr>
        <w:t>深入</w:t>
      </w:r>
      <w:r>
        <w:rPr>
          <w:rFonts w:hint="eastAsia" w:ascii="楷体" w:hAnsi="楷体" w:eastAsia="楷体" w:cs="楷体"/>
          <w:b/>
          <w:bCs/>
          <w:sz w:val="32"/>
          <w:szCs w:val="32"/>
        </w:rPr>
        <w:t>开展乡村振兴专项调研。</w:t>
      </w:r>
      <w:r>
        <w:rPr>
          <w:rFonts w:hint="eastAsia" w:ascii="仿宋_GB2312" w:hAnsi="仿宋_GB2312" w:eastAsia="仿宋_GB2312" w:cs="仿宋_GB2312"/>
          <w:sz w:val="32"/>
          <w:szCs w:val="32"/>
          <w:lang w:val="en-US" w:eastAsia="zh-CN"/>
        </w:rPr>
        <w:t>对全市20个市级乡村振兴示范村进行“科技支撑农业产业发展”专项调研，为乡村振兴农业产业发展把脉，调查了解产业发展需求及存在的技术难题，提出针对性的对策建议，形成了有针对性的调研报告。</w:t>
      </w:r>
      <w:r>
        <w:rPr>
          <w:rFonts w:hint="eastAsia" w:ascii="楷体" w:hAnsi="楷体" w:eastAsia="楷体" w:cs="楷体"/>
          <w:b/>
          <w:bCs/>
          <w:sz w:val="32"/>
          <w:szCs w:val="32"/>
          <w:lang w:val="en-US" w:eastAsia="zh-CN"/>
        </w:rPr>
        <w:t>2.</w:t>
      </w:r>
      <w:r>
        <w:rPr>
          <w:rFonts w:hint="eastAsia" w:ascii="楷体" w:hAnsi="楷体" w:eastAsia="楷体" w:cs="楷体"/>
          <w:b/>
          <w:bCs/>
          <w:sz w:val="32"/>
          <w:szCs w:val="32"/>
          <w:lang w:eastAsia="zh-CN"/>
        </w:rPr>
        <w:t>积极</w:t>
      </w:r>
      <w:r>
        <w:rPr>
          <w:rFonts w:hint="eastAsia" w:ascii="楷体" w:hAnsi="楷体" w:eastAsia="楷体" w:cs="楷体"/>
          <w:b/>
          <w:bCs/>
          <w:sz w:val="32"/>
          <w:szCs w:val="32"/>
        </w:rPr>
        <w:t>创办科技示范基地。</w:t>
      </w:r>
      <w:r>
        <w:rPr>
          <w:rFonts w:hint="eastAsia" w:ascii="仿宋_GB2312" w:hAnsi="仿宋_GB2312" w:eastAsia="仿宋_GB2312" w:cs="仿宋_GB2312"/>
          <w:sz w:val="32"/>
          <w:szCs w:val="32"/>
        </w:rPr>
        <w:t>组织科研人员前往沅陵、溆浦、芷江、洪江、会同、通道等6个县市区创办了再生稻高效栽培示范、水稻全程机械化生产示范、柑橘老园改造提质增效等10大示范基地</w:t>
      </w:r>
      <w:r>
        <w:rPr>
          <w:rFonts w:hint="eastAsia" w:ascii="仿宋_GB2312" w:hAnsi="仿宋_GB2312" w:eastAsia="仿宋_GB2312" w:cs="仿宋_GB2312"/>
          <w:sz w:val="32"/>
          <w:szCs w:val="32"/>
          <w:lang w:eastAsia="zh-CN"/>
        </w:rPr>
        <w:t>。</w:t>
      </w:r>
      <w:r>
        <w:rPr>
          <w:rFonts w:hint="eastAsia" w:ascii="楷体" w:hAnsi="楷体" w:eastAsia="楷体" w:cs="楷体"/>
          <w:b/>
          <w:bCs/>
          <w:sz w:val="32"/>
          <w:szCs w:val="32"/>
        </w:rPr>
        <w:t>3.</w:t>
      </w:r>
      <w:r>
        <w:rPr>
          <w:rFonts w:hint="eastAsia" w:ascii="楷体" w:hAnsi="楷体" w:eastAsia="楷体" w:cs="楷体"/>
          <w:b/>
          <w:bCs/>
          <w:sz w:val="32"/>
          <w:szCs w:val="32"/>
          <w:lang w:eastAsia="zh-CN"/>
        </w:rPr>
        <w:t>持续推进</w:t>
      </w:r>
      <w:r>
        <w:rPr>
          <w:rFonts w:hint="eastAsia" w:ascii="楷体" w:hAnsi="楷体" w:eastAsia="楷体" w:cs="楷体"/>
          <w:b/>
          <w:bCs/>
          <w:sz w:val="32"/>
          <w:szCs w:val="32"/>
        </w:rPr>
        <w:t>科技特派员</w:t>
      </w:r>
      <w:r>
        <w:rPr>
          <w:rFonts w:hint="eastAsia" w:ascii="楷体" w:hAnsi="楷体" w:eastAsia="楷体" w:cs="楷体"/>
          <w:b/>
          <w:bCs/>
          <w:sz w:val="32"/>
          <w:szCs w:val="32"/>
          <w:lang w:eastAsia="zh-CN"/>
        </w:rPr>
        <w:t>工作</w:t>
      </w:r>
      <w:r>
        <w:rPr>
          <w:rFonts w:hint="eastAsia" w:ascii="楷体" w:hAnsi="楷体" w:eastAsia="楷体" w:cs="楷体"/>
          <w:b/>
          <w:bCs/>
          <w:sz w:val="32"/>
          <w:szCs w:val="32"/>
        </w:rPr>
        <w:t>。</w:t>
      </w:r>
      <w:r>
        <w:rPr>
          <w:rFonts w:hint="eastAsia" w:ascii="仿宋_GB2312" w:hAnsi="仿宋_GB2312" w:eastAsia="仿宋_GB2312" w:cs="仿宋_GB2312"/>
          <w:sz w:val="32"/>
          <w:szCs w:val="32"/>
        </w:rPr>
        <w:t>共选派10名专业技术骨干，通过举办培训班、现场“手把手”指导服务、网上咨询、短信微信提示等形式，在全市18个村开展“点对点”技术服务，现场指导服务437次、服务农户2200余人次</w:t>
      </w:r>
      <w:r>
        <w:rPr>
          <w:rFonts w:hint="eastAsia" w:ascii="仿宋_GB2312" w:hAnsi="仿宋_GB2312" w:eastAsia="仿宋_GB2312" w:cs="仿宋_GB2312"/>
          <w:sz w:val="32"/>
          <w:szCs w:val="32"/>
          <w:lang w:eastAsia="zh-CN"/>
        </w:rPr>
        <w:t>。</w:t>
      </w:r>
      <w:r>
        <w:rPr>
          <w:rFonts w:hint="eastAsia" w:ascii="楷体" w:hAnsi="楷体" w:eastAsia="楷体" w:cs="楷体"/>
          <w:b/>
          <w:bCs/>
          <w:sz w:val="32"/>
          <w:szCs w:val="32"/>
          <w:lang w:eastAsia="zh-CN"/>
        </w:rPr>
        <w:t>4.不断强化农业技术服务。</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布农业技术指南5期，覆盖全市200多个县镇，指导全市面上的农业生产工作；</w:t>
      </w:r>
      <w:r>
        <w:rPr>
          <w:rFonts w:hint="eastAsia" w:ascii="仿宋_GB2312" w:hAnsi="仿宋_GB2312" w:eastAsia="仿宋_GB2312" w:cs="仿宋_GB2312"/>
          <w:color w:val="auto"/>
          <w:sz w:val="32"/>
          <w:szCs w:val="32"/>
          <w:lang w:eastAsia="zh-CN"/>
        </w:rPr>
        <w:t>开展种业振兴、水稻生产全程机械化技术“机收减损”、再生稻栽培、柑橘栽培与修剪、茶叶、蔬菜、中药材、家禽饲养技术等线下培训40余场，培训人员1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万余人次</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rPr>
        <w:t>线上举办农业技术培训班2期，培训</w:t>
      </w:r>
      <w:r>
        <w:rPr>
          <w:rFonts w:hint="eastAsia" w:ascii="仿宋_GB2312" w:hAnsi="仿宋_GB2312" w:eastAsia="仿宋_GB2312" w:cs="仿宋_GB2312"/>
          <w:color w:val="auto"/>
          <w:sz w:val="32"/>
          <w:szCs w:val="32"/>
          <w:lang w:eastAsia="zh-CN"/>
        </w:rPr>
        <w:t>人员</w:t>
      </w:r>
      <w:r>
        <w:rPr>
          <w:rFonts w:hint="eastAsia" w:ascii="仿宋_GB2312" w:hAnsi="仿宋_GB2312" w:eastAsia="仿宋_GB2312" w:cs="仿宋_GB2312"/>
          <w:sz w:val="32"/>
          <w:szCs w:val="32"/>
        </w:rPr>
        <w:t>2万余人</w:t>
      </w:r>
      <w:r>
        <w:rPr>
          <w:rFonts w:hint="eastAsia" w:ascii="仿宋_GB2312" w:hAnsi="仿宋_GB2312" w:eastAsia="仿宋_GB2312" w:cs="仿宋_GB2312"/>
          <w:color w:val="auto"/>
          <w:sz w:val="32"/>
          <w:szCs w:val="32"/>
          <w:lang w:eastAsia="zh-CN"/>
        </w:rPr>
        <w:t>次</w:t>
      </w:r>
      <w:r>
        <w:rPr>
          <w:rFonts w:hint="eastAsia" w:ascii="仿宋_GB2312" w:hAnsi="仿宋_GB2312" w:eastAsia="仿宋_GB2312" w:cs="仿宋_GB2312"/>
          <w:sz w:val="32"/>
          <w:szCs w:val="32"/>
        </w:rPr>
        <w:t>；接受相关部门邀请开展技术培训26次，培训企业、专业合作社和农户1200余人；</w:t>
      </w:r>
      <w:r>
        <w:rPr>
          <w:rFonts w:hint="eastAsia" w:ascii="仿宋_GB2312" w:hAnsi="仿宋_GB2312" w:eastAsia="仿宋_GB2312" w:cs="仿宋_GB2312"/>
          <w:color w:val="auto"/>
          <w:sz w:val="32"/>
          <w:szCs w:val="32"/>
          <w:lang w:eastAsia="zh-CN"/>
        </w:rPr>
        <w:t>举办农业科技大讲堂2期，惠及农户和生产大户等5000余人</w:t>
      </w:r>
      <w:r>
        <w:rPr>
          <w:rFonts w:hint="eastAsia" w:ascii="仿宋_GB2312" w:hAnsi="仿宋_GB2312" w:eastAsia="仿宋_GB2312" w:cs="仿宋_GB2312"/>
          <w:sz w:val="32"/>
          <w:szCs w:val="32"/>
        </w:rPr>
        <w:t>接受邀请选派专业技术人员赴田间地头开展技术指导500余人次</w:t>
      </w:r>
      <w:r>
        <w:rPr>
          <w:rFonts w:hint="eastAsia" w:ascii="仿宋_GB2312" w:hAnsi="仿宋_GB2312" w:eastAsia="仿宋_GB2312" w:cs="仿宋_GB2312"/>
          <w:sz w:val="32"/>
          <w:szCs w:val="32"/>
          <w:lang w:eastAsia="zh-CN"/>
        </w:rPr>
        <w: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一是科研项目的争取力度不够；二是适宜大面积推广的科研成果较少；三是科技服务还不够精准。</w:t>
      </w:r>
    </w:p>
    <w:p>
      <w:pPr>
        <w:pStyle w:val="11"/>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围绕</w:t>
      </w:r>
      <w:r>
        <w:rPr>
          <w:rFonts w:hint="eastAsia" w:ascii="仿宋_GB2312" w:hAnsi="仿宋_GB2312" w:eastAsia="仿宋_GB2312" w:cs="仿宋_GB2312"/>
          <w:sz w:val="32"/>
          <w:szCs w:val="32"/>
          <w:lang w:val="en-US" w:eastAsia="zh-CN"/>
        </w:rPr>
        <w:t>怀化农业高质量发展这个</w:t>
      </w:r>
      <w:r>
        <w:rPr>
          <w:rFonts w:hint="default" w:ascii="仿宋_GB2312" w:hAnsi="仿宋_GB2312" w:eastAsia="仿宋_GB2312" w:cs="仿宋_GB2312"/>
          <w:sz w:val="32"/>
          <w:szCs w:val="32"/>
          <w:lang w:val="en-US" w:eastAsia="zh-CN"/>
        </w:rPr>
        <w:t>目标</w:t>
      </w:r>
      <w:r>
        <w:rPr>
          <w:rFonts w:hint="eastAsia" w:ascii="仿宋_GB2312" w:hAnsi="仿宋_GB2312" w:eastAsia="仿宋_GB2312" w:cs="仿宋_GB2312"/>
          <w:sz w:val="32"/>
          <w:szCs w:val="32"/>
          <w:lang w:val="en-US" w:eastAsia="zh-CN"/>
        </w:rPr>
        <w:t>，把农业增产、农民增收作为服务农业工作的重中之重</w:t>
      </w:r>
      <w:r>
        <w:rPr>
          <w:rFonts w:hint="default" w:ascii="仿宋_GB2312" w:hAnsi="仿宋_GB2312" w:eastAsia="仿宋_GB2312" w:cs="仿宋_GB2312"/>
          <w:sz w:val="32"/>
          <w:szCs w:val="32"/>
          <w:lang w:val="en-US" w:eastAsia="zh-CN"/>
        </w:rPr>
        <w:t>，助力</w:t>
      </w:r>
      <w:r>
        <w:rPr>
          <w:rFonts w:hint="eastAsia" w:ascii="仿宋_GB2312" w:hAnsi="仿宋_GB2312" w:eastAsia="仿宋_GB2312" w:cs="仿宋_GB2312"/>
          <w:sz w:val="32"/>
          <w:szCs w:val="32"/>
          <w:lang w:val="en-US" w:eastAsia="zh-CN"/>
        </w:rPr>
        <w:t>农业产业发展</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2.根据全市产业发展重点、院整体发展定位，做好院学科调整，传统学科要和新兴学科比拼竞争</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有侧重点地布局院里资金、人才，培养水稻、果树两个</w:t>
      </w:r>
      <w:r>
        <w:rPr>
          <w:rFonts w:hint="default" w:ascii="仿宋_GB2312" w:hAnsi="仿宋_GB2312" w:eastAsia="仿宋_GB2312" w:cs="仿宋_GB2312"/>
          <w:sz w:val="32"/>
          <w:szCs w:val="32"/>
          <w:lang w:val="en-US" w:eastAsia="zh-CN"/>
        </w:rPr>
        <w:t>在省</w:t>
      </w:r>
      <w:r>
        <w:rPr>
          <w:rFonts w:hint="eastAsia" w:ascii="仿宋_GB2312" w:hAnsi="仿宋_GB2312" w:eastAsia="仿宋_GB2312" w:cs="仿宋_GB2312"/>
          <w:sz w:val="32"/>
          <w:szCs w:val="32"/>
          <w:lang w:val="en-US" w:eastAsia="zh-CN"/>
        </w:rPr>
        <w:t>内有一定影响力的拳头学科。</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3.从精准引进、重点物色学科领军人才</w:t>
      </w:r>
      <w:r>
        <w:rPr>
          <w:rFonts w:hint="default" w:ascii="仿宋_GB2312" w:hAnsi="仿宋_GB2312" w:eastAsia="仿宋_GB2312" w:cs="仿宋_GB2312"/>
          <w:sz w:val="32"/>
          <w:szCs w:val="32"/>
          <w:lang w:val="en-US" w:eastAsia="zh-CN"/>
        </w:rPr>
        <w:t>来</w:t>
      </w:r>
      <w:r>
        <w:rPr>
          <w:rFonts w:hint="eastAsia" w:ascii="仿宋_GB2312" w:hAnsi="仿宋_GB2312" w:eastAsia="仿宋_GB2312" w:cs="仿宋_GB2312"/>
          <w:sz w:val="32"/>
          <w:szCs w:val="32"/>
          <w:lang w:val="en-US" w:eastAsia="zh-CN"/>
        </w:rPr>
        <w:t>强大人才支撑</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从争取横向项目、全力做好成果转化和科技服务</w:t>
      </w:r>
      <w:r>
        <w:rPr>
          <w:rFonts w:hint="default" w:ascii="仿宋_GB2312" w:hAnsi="仿宋_GB2312" w:eastAsia="仿宋_GB2312" w:cs="仿宋_GB2312"/>
          <w:sz w:val="32"/>
          <w:szCs w:val="32"/>
          <w:lang w:val="en-US" w:eastAsia="zh-CN"/>
        </w:rPr>
        <w:t>来</w:t>
      </w:r>
      <w:r>
        <w:rPr>
          <w:rFonts w:hint="eastAsia" w:ascii="仿宋_GB2312" w:hAnsi="仿宋_GB2312" w:eastAsia="仿宋_GB2312" w:cs="仿宋_GB2312"/>
          <w:sz w:val="32"/>
          <w:szCs w:val="32"/>
          <w:lang w:val="en-US" w:eastAsia="zh-CN"/>
        </w:rPr>
        <w:t>强大资金支撑</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从完善好科研设施基地建设，规范基地制度</w:t>
      </w:r>
      <w:r>
        <w:rPr>
          <w:rFonts w:hint="default" w:ascii="仿宋_GB2312" w:hAnsi="仿宋_GB2312" w:eastAsia="仿宋_GB2312" w:cs="仿宋_GB2312"/>
          <w:sz w:val="32"/>
          <w:szCs w:val="32"/>
          <w:lang w:val="en-US" w:eastAsia="zh-CN"/>
        </w:rPr>
        <w:t>来</w:t>
      </w:r>
      <w:r>
        <w:rPr>
          <w:rFonts w:hint="eastAsia" w:ascii="仿宋_GB2312" w:hAnsi="仿宋_GB2312" w:eastAsia="仿宋_GB2312" w:cs="仿宋_GB2312"/>
          <w:sz w:val="32"/>
          <w:szCs w:val="32"/>
          <w:lang w:val="en-US" w:eastAsia="zh-CN"/>
        </w:rPr>
        <w:t>强大基地支撑。</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4.优化科技激励机制</w:t>
      </w:r>
      <w:r>
        <w:rPr>
          <w:rFonts w:hint="default" w:ascii="仿宋_GB2312" w:hAnsi="仿宋_GB2312" w:eastAsia="仿宋_GB2312" w:cs="仿宋_GB2312"/>
          <w:sz w:val="32"/>
          <w:szCs w:val="32"/>
          <w:lang w:val="en-US" w:eastAsia="zh-CN"/>
        </w:rPr>
        <w:t>，注重产业科技激励；优化</w:t>
      </w:r>
      <w:r>
        <w:rPr>
          <w:rFonts w:hint="eastAsia" w:ascii="仿宋_GB2312" w:hAnsi="仿宋_GB2312" w:eastAsia="仿宋_GB2312" w:cs="仿宋_GB2312"/>
          <w:sz w:val="32"/>
          <w:szCs w:val="32"/>
          <w:lang w:val="en-US" w:eastAsia="zh-CN"/>
        </w:rPr>
        <w:t>成果转化机制</w:t>
      </w:r>
      <w:r>
        <w:rPr>
          <w:rFonts w:hint="default" w:ascii="仿宋_GB2312" w:hAnsi="仿宋_GB2312" w:eastAsia="仿宋_GB2312" w:cs="仿宋_GB2312"/>
          <w:sz w:val="32"/>
          <w:szCs w:val="32"/>
          <w:lang w:val="en-US" w:eastAsia="zh-CN"/>
        </w:rPr>
        <w:t>、科技合作机制，加强院企合作，</w:t>
      </w:r>
      <w:r>
        <w:rPr>
          <w:rFonts w:hint="eastAsia" w:ascii="仿宋_GB2312" w:hAnsi="仿宋_GB2312" w:eastAsia="仿宋_GB2312" w:cs="仿宋_GB2312"/>
          <w:sz w:val="32"/>
          <w:szCs w:val="32"/>
          <w:lang w:val="en-US" w:eastAsia="zh-CN"/>
        </w:rPr>
        <w:t>对接地方人大，申请议案立法，打通科研院所和企业的合作通道，畅通科研人员进</w:t>
      </w:r>
      <w:r>
        <w:rPr>
          <w:rFonts w:hint="default" w:ascii="仿宋_GB2312" w:hAnsi="仿宋_GB2312" w:eastAsia="仿宋_GB2312" w:cs="仿宋_GB2312"/>
          <w:sz w:val="32"/>
          <w:szCs w:val="32"/>
          <w:lang w:val="en-US" w:eastAsia="zh-CN"/>
        </w:rPr>
        <w:t>入</w:t>
      </w:r>
      <w:r>
        <w:rPr>
          <w:rFonts w:hint="eastAsia" w:ascii="仿宋_GB2312" w:hAnsi="仿宋_GB2312" w:eastAsia="仿宋_GB2312" w:cs="仿宋_GB2312"/>
          <w:sz w:val="32"/>
          <w:szCs w:val="32"/>
          <w:lang w:val="en-US" w:eastAsia="zh-CN"/>
        </w:rPr>
        <w:t>企业的渠道，</w:t>
      </w:r>
      <w:r>
        <w:rPr>
          <w:rFonts w:hint="default" w:ascii="仿宋_GB2312" w:hAnsi="仿宋_GB2312" w:eastAsia="仿宋_GB2312" w:cs="仿宋_GB2312"/>
          <w:sz w:val="32"/>
          <w:szCs w:val="32"/>
          <w:lang w:val="en-US" w:eastAsia="zh-CN"/>
        </w:rPr>
        <w:t>同时紧密联系市外合作，</w:t>
      </w:r>
      <w:r>
        <w:rPr>
          <w:rFonts w:hint="eastAsia" w:ascii="仿宋_GB2312" w:hAnsi="仿宋_GB2312" w:eastAsia="仿宋_GB2312" w:cs="仿宋_GB2312"/>
          <w:sz w:val="32"/>
          <w:szCs w:val="32"/>
          <w:lang w:val="en-US" w:eastAsia="zh-CN"/>
        </w:rPr>
        <w:t>助力成果转化和</w:t>
      </w:r>
      <w:r>
        <w:rPr>
          <w:rFonts w:hint="default" w:ascii="仿宋_GB2312" w:hAnsi="仿宋_GB2312" w:eastAsia="仿宋_GB2312" w:cs="仿宋_GB2312"/>
          <w:sz w:val="32"/>
          <w:szCs w:val="32"/>
          <w:lang w:val="en-US" w:eastAsia="zh-CN"/>
        </w:rPr>
        <w:t>共同</w:t>
      </w:r>
      <w:r>
        <w:rPr>
          <w:rFonts w:hint="eastAsia" w:ascii="仿宋_GB2312" w:hAnsi="仿宋_GB2312" w:eastAsia="仿宋_GB2312" w:cs="仿宋_GB2312"/>
          <w:sz w:val="32"/>
          <w:szCs w:val="32"/>
          <w:lang w:val="en-US" w:eastAsia="zh-CN"/>
        </w:rPr>
        <w:t>发展</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全力发展健全</w:t>
      </w:r>
      <w:r>
        <w:rPr>
          <w:rFonts w:hint="eastAsia" w:ascii="仿宋_GB2312" w:hAnsi="仿宋_GB2312" w:eastAsia="仿宋_GB2312" w:cs="仿宋_GB2312"/>
          <w:sz w:val="32"/>
          <w:szCs w:val="32"/>
          <w:lang w:val="en-US" w:eastAsia="zh-CN"/>
        </w:rPr>
        <w:t>我院现有的院设实验室</w:t>
      </w:r>
      <w:r>
        <w:rPr>
          <w:rFonts w:hint="default"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lang w:val="en-US" w:eastAsia="zh-CN"/>
        </w:rPr>
        <w:t>种质资源保护与利用中心</w:t>
      </w:r>
      <w:r>
        <w:rPr>
          <w:rFonts w:hint="default" w:ascii="仿宋_GB2312" w:hAnsi="仿宋_GB2312" w:eastAsia="仿宋_GB2312" w:cs="仿宋_GB2312"/>
          <w:sz w:val="32"/>
          <w:szCs w:val="32"/>
          <w:lang w:val="en-US" w:eastAsia="zh-CN"/>
        </w:rPr>
        <w:t>的创新，建设好</w:t>
      </w:r>
      <w:r>
        <w:rPr>
          <w:rFonts w:hint="eastAsia" w:ascii="仿宋_GB2312" w:hAnsi="仿宋_GB2312" w:eastAsia="仿宋_GB2312" w:cs="仿宋_GB2312"/>
          <w:sz w:val="32"/>
          <w:szCs w:val="32"/>
          <w:lang w:val="en-US" w:eastAsia="zh-CN"/>
        </w:rPr>
        <w:t>体系</w:t>
      </w:r>
      <w:r>
        <w:rPr>
          <w:rFonts w:hint="default"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val="en-US" w:eastAsia="zh-CN"/>
        </w:rPr>
        <w:t>试验站</w:t>
      </w:r>
      <w:r>
        <w:rPr>
          <w:rFonts w:hint="default"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lang w:val="en-US" w:eastAsia="zh-CN"/>
        </w:rPr>
        <w:t>科技小院</w:t>
      </w:r>
      <w:r>
        <w:rPr>
          <w:rFonts w:hint="default" w:ascii="仿宋_GB2312" w:hAnsi="仿宋_GB2312" w:eastAsia="仿宋_GB2312" w:cs="仿宋_GB2312"/>
          <w:sz w:val="32"/>
          <w:szCs w:val="32"/>
          <w:lang w:val="en-US" w:eastAsia="zh-CN"/>
        </w:rPr>
        <w:t>的创制与日常态化管理工作，以及</w:t>
      </w:r>
      <w:r>
        <w:rPr>
          <w:rFonts w:hint="eastAsia" w:ascii="仿宋_GB2312" w:hAnsi="仿宋_GB2312" w:eastAsia="仿宋_GB2312" w:cs="仿宋_GB2312"/>
          <w:sz w:val="32"/>
          <w:szCs w:val="32"/>
          <w:lang w:val="en-US" w:eastAsia="zh-CN"/>
        </w:rPr>
        <w:t>专家</w:t>
      </w:r>
      <w:r>
        <w:rPr>
          <w:rFonts w:hint="default" w:ascii="仿宋_GB2312" w:hAnsi="仿宋_GB2312" w:eastAsia="仿宋_GB2312" w:cs="仿宋_GB2312"/>
          <w:sz w:val="32"/>
          <w:szCs w:val="32"/>
          <w:lang w:val="en-US" w:eastAsia="zh-CN"/>
        </w:rPr>
        <w:t>科技</w:t>
      </w:r>
      <w:r>
        <w:rPr>
          <w:rFonts w:hint="eastAsia" w:ascii="仿宋_GB2312" w:hAnsi="仿宋_GB2312" w:eastAsia="仿宋_GB2312" w:cs="仿宋_GB2312"/>
          <w:sz w:val="32"/>
          <w:szCs w:val="32"/>
          <w:lang w:val="en-US" w:eastAsia="zh-CN"/>
        </w:rPr>
        <w:t>站及市级重点实验室平台</w:t>
      </w:r>
      <w:r>
        <w:rPr>
          <w:rFonts w:hint="default" w:ascii="仿宋_GB2312" w:hAnsi="仿宋_GB2312" w:eastAsia="仿宋_GB2312" w:cs="仿宋_GB2312"/>
          <w:sz w:val="32"/>
          <w:szCs w:val="32"/>
          <w:lang w:val="en-US" w:eastAsia="zh-CN"/>
        </w:rPr>
        <w:t>的建立</w:t>
      </w:r>
      <w:r>
        <w:rPr>
          <w:rFonts w:hint="eastAsia" w:ascii="仿宋_GB2312" w:hAnsi="仿宋_GB2312" w:eastAsia="仿宋_GB2312" w:cs="仿宋_GB2312"/>
          <w:sz w:val="32"/>
          <w:szCs w:val="32"/>
          <w:lang w:val="en-US" w:eastAsia="zh-CN"/>
        </w:rPr>
        <w: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无</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both"/>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both"/>
        <w:rPr>
          <w:rFonts w:hint="default" w:eastAsia="仿宋_GB2312"/>
          <w:kern w:val="0"/>
          <w:sz w:val="24"/>
          <w:lang w:val="en-US" w:eastAsia="zh-CN"/>
        </w:rPr>
      </w:pPr>
      <w:r>
        <w:rPr>
          <w:rFonts w:hint="eastAsia" w:eastAsia="仿宋_GB2312"/>
          <w:kern w:val="0"/>
          <w:sz w:val="24"/>
          <w:lang w:val="en-US" w:eastAsia="zh-CN"/>
        </w:rPr>
        <w:t xml:space="preserve">填报单位：怀化市农业科学研究院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4"/>
        <w:gridCol w:w="9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vMerge w:val="restart"/>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838"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554" w:type="dxa"/>
            <w:vMerge w:val="continue"/>
            <w:noWrap w:val="0"/>
            <w:vAlign w:val="center"/>
          </w:tcPr>
          <w:p>
            <w:pPr>
              <w:widowControl/>
              <w:jc w:val="both"/>
              <w:rPr>
                <w:rFonts w:hint="eastAsia" w:ascii="仿宋" w:hAnsi="仿宋" w:eastAsia="仿宋" w:cs="仿宋"/>
                <w:b w:val="0"/>
                <w:bCs w:val="0"/>
                <w:kern w:val="0"/>
                <w:sz w:val="20"/>
                <w:szCs w:val="20"/>
              </w:rPr>
            </w:pP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68</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838"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2.55</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2.92</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8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1.15</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2.11</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838"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1.15</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2.11</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838"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0.81</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8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214</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1、业务工作经费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22.5</w:t>
            </w:r>
          </w:p>
        </w:tc>
        <w:tc>
          <w:tcPr>
            <w:tcW w:w="1832" w:type="dxa"/>
            <w:gridSpan w:val="2"/>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16</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8</w:t>
            </w:r>
            <w:r>
              <w:rPr>
                <w:rFonts w:hint="eastAsia" w:ascii="仿宋" w:hAnsi="仿宋" w:eastAsia="仿宋" w:cs="仿宋"/>
                <w:b w:val="0"/>
                <w:bCs w:val="0"/>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、农业种质资源普查保护</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54"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w:t>
            </w:r>
            <w:r>
              <w:rPr>
                <w:rFonts w:hint="eastAsia" w:ascii="仿宋" w:hAnsi="仿宋" w:eastAsia="仿宋" w:cs="仿宋"/>
                <w:b w:val="0"/>
                <w:bCs w:val="0"/>
                <w:w w:val="90"/>
                <w:kern w:val="0"/>
                <w:sz w:val="20"/>
                <w:szCs w:val="20"/>
                <w:lang w:eastAsia="zh-CN"/>
              </w:rPr>
              <w:t>种业振兴创新平台建设、科研成果绩效考核资金及柑橘品种创制科研经费</w:t>
            </w:r>
          </w:p>
        </w:tc>
        <w:tc>
          <w:tcPr>
            <w:tcW w:w="1838"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130</w:t>
            </w:r>
          </w:p>
        </w:tc>
        <w:tc>
          <w:tcPr>
            <w:tcW w:w="1832" w:type="dxa"/>
            <w:gridSpan w:val="2"/>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97</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w:t>
            </w:r>
            <w:r>
              <w:rPr>
                <w:rFonts w:hint="eastAsia" w:ascii="仿宋" w:hAnsi="仿宋" w:eastAsia="仿宋" w:cs="仿宋"/>
                <w:b w:val="0"/>
                <w:bCs w:val="0"/>
                <w:kern w:val="0"/>
                <w:sz w:val="20"/>
                <w:szCs w:val="20"/>
              </w:rPr>
              <w:t>、农业技术推广经费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w:t>
            </w:r>
            <w:r>
              <w:rPr>
                <w:rFonts w:hint="eastAsia" w:ascii="仿宋" w:hAnsi="仿宋" w:eastAsia="仿宋" w:cs="仿宋"/>
                <w:b w:val="0"/>
                <w:bCs w:val="0"/>
                <w:kern w:val="0"/>
                <w:sz w:val="20"/>
                <w:szCs w:val="20"/>
              </w:rPr>
              <w:t>国有农场税费改革转移支付</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21</w:t>
            </w:r>
            <w:r>
              <w:rPr>
                <w:rFonts w:hint="eastAsia" w:ascii="仿宋" w:hAnsi="仿宋" w:eastAsia="仿宋" w:cs="仿宋"/>
                <w:b w:val="0"/>
                <w:bCs w:val="0"/>
                <w:color w:val="auto"/>
                <w:kern w:val="0"/>
                <w:sz w:val="20"/>
                <w:szCs w:val="20"/>
                <w:lang w:val="en-US" w:eastAsia="zh-CN"/>
              </w:rPr>
              <w:t>.</w:t>
            </w:r>
            <w:r>
              <w:rPr>
                <w:rFonts w:hint="eastAsia" w:ascii="仿宋" w:hAnsi="仿宋" w:eastAsia="仿宋" w:cs="仿宋"/>
                <w:b w:val="0"/>
                <w:bCs w:val="0"/>
                <w:color w:val="auto"/>
                <w:kern w:val="0"/>
                <w:sz w:val="20"/>
                <w:szCs w:val="20"/>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6、高新区基地建设工程款</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227.52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w:t>
            </w:r>
            <w:r>
              <w:rPr>
                <w:rFonts w:hint="eastAsia" w:ascii="仿宋" w:hAnsi="仿宋" w:eastAsia="仿宋" w:cs="仿宋"/>
                <w:b w:val="0"/>
                <w:bCs w:val="0"/>
                <w:kern w:val="0"/>
                <w:sz w:val="20"/>
                <w:szCs w:val="20"/>
                <w:lang w:eastAsia="zh-CN"/>
              </w:rPr>
              <w:t>“一粒种子改变世界”籼型杂交水稻研究成功</w:t>
            </w:r>
            <w:r>
              <w:rPr>
                <w:rFonts w:hint="eastAsia" w:ascii="仿宋" w:hAnsi="仿宋" w:eastAsia="仿宋" w:cs="仿宋"/>
                <w:b w:val="0"/>
                <w:bCs w:val="0"/>
                <w:kern w:val="0"/>
                <w:sz w:val="20"/>
                <w:szCs w:val="20"/>
                <w:lang w:val="en-US" w:eastAsia="zh-CN"/>
              </w:rPr>
              <w:t>50周年暨种业高质量发展研讨会</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8南繁基地购房款</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kern w:val="0"/>
                <w:sz w:val="20"/>
                <w:szCs w:val="20"/>
                <w:lang w:val="en-US" w:eastAsia="zh-CN"/>
              </w:rPr>
              <w:t>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48.19</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79.2</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2.43</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6.6</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0.19</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8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w:t>
            </w:r>
            <w:r>
              <w:rPr>
                <w:rFonts w:hint="eastAsia" w:ascii="仿宋" w:hAnsi="仿宋" w:eastAsia="仿宋" w:cs="仿宋"/>
                <w:b w:val="0"/>
                <w:bCs w:val="0"/>
                <w:kern w:val="0"/>
                <w:sz w:val="20"/>
                <w:szCs w:val="20"/>
                <w:lang w:val="en-US" w:eastAsia="zh-CN"/>
              </w:rPr>
              <w:t>54</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131.5</w:t>
            </w:r>
          </w:p>
        </w:tc>
        <w:tc>
          <w:tcPr>
            <w:tcW w:w="1832"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1838"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554" w:type="dxa"/>
            <w:vMerge w:val="restart"/>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989"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554" w:type="dxa"/>
            <w:vMerge w:val="continue"/>
            <w:noWrap w:val="0"/>
            <w:vAlign w:val="center"/>
          </w:tcPr>
          <w:p>
            <w:pPr>
              <w:widowControl/>
              <w:jc w:val="both"/>
              <w:rPr>
                <w:rFonts w:hint="eastAsia" w:ascii="仿宋" w:hAnsi="仿宋" w:eastAsia="仿宋" w:cs="仿宋"/>
                <w:b w:val="0"/>
                <w:bCs w:val="0"/>
                <w:kern w:val="0"/>
                <w:sz w:val="20"/>
                <w:szCs w:val="20"/>
              </w:rPr>
            </w:pPr>
          </w:p>
        </w:tc>
        <w:tc>
          <w:tcPr>
            <w:tcW w:w="989"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54" w:type="dxa"/>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910" w:type="dxa"/>
            <w:gridSpan w:val="6"/>
            <w:noWrap w:val="0"/>
            <w:vAlign w:val="center"/>
          </w:tcPr>
          <w:p>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pPr>
        <w:pStyle w:val="22"/>
        <w:keepNext/>
        <w:keepLines/>
        <w:pageBreakBefore w:val="0"/>
        <w:widowControl w:val="0"/>
        <w:kinsoku/>
        <w:wordWrap/>
        <w:overflowPunct/>
        <w:topLinePunct w:val="0"/>
        <w:autoSpaceDE/>
        <w:autoSpaceDN/>
        <w:bidi w:val="0"/>
        <w:adjustRightInd/>
        <w:snapToGrid/>
        <w:spacing w:line="280" w:lineRule="exact"/>
        <w:jc w:val="both"/>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刘盼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18074353677 </w:t>
      </w:r>
    </w:p>
    <w:p>
      <w:pP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br w:type="page"/>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both"/>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2"/>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76"/>
        <w:gridCol w:w="1128"/>
        <w:gridCol w:w="998"/>
        <w:gridCol w:w="626"/>
        <w:gridCol w:w="128"/>
        <w:gridCol w:w="534"/>
        <w:gridCol w:w="946"/>
        <w:gridCol w:w="586"/>
        <w:gridCol w:w="965"/>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201" w:type="dxa"/>
            <w:gridSpan w:val="10"/>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怀化市农业科学研究院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SA"/>
              </w:rPr>
              <w:t>年初</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SA"/>
              </w:rPr>
              <w:t>预算数</w:t>
            </w:r>
          </w:p>
        </w:tc>
        <w:tc>
          <w:tcPr>
            <w:tcW w:w="75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SA"/>
              </w:rPr>
              <w:t>1684.88</w:t>
            </w:r>
          </w:p>
        </w:tc>
        <w:tc>
          <w:tcPr>
            <w:tcW w:w="75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1883.59</w:t>
            </w:r>
          </w:p>
        </w:tc>
        <w:tc>
          <w:tcPr>
            <w:tcW w:w="148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1883.59</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111.79%</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1586.41</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1224.2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3.8</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297.18</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05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pPr>
              <w:keepNext w:val="0"/>
              <w:keepLines w:val="0"/>
              <w:pageBreakBefore w:val="0"/>
              <w:widowControl/>
              <w:numPr>
                <w:ilvl w:val="0"/>
                <w:numId w:val="6"/>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坚持政治引领，积极发展党建，抓好作风建设。</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二、</w:t>
            </w:r>
            <w:r>
              <w:rPr>
                <w:rFonts w:hint="eastAsia" w:ascii="仿宋" w:hAnsi="仿宋" w:eastAsia="仿宋" w:cs="仿宋"/>
                <w:color w:val="000000"/>
                <w:kern w:val="0"/>
                <w:sz w:val="20"/>
                <w:szCs w:val="20"/>
                <w:lang w:eastAsia="zh-CN"/>
              </w:rPr>
              <w:t>立足主责主业，科技创新持续赋能</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三、聚焦产业发展，科技服务稳步推进</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四、服务“三农”大局，推动重点工作</w:t>
            </w:r>
          </w:p>
          <w:p>
            <w:pPr>
              <w:pStyle w:val="8"/>
              <w:numPr>
                <w:ilvl w:val="0"/>
                <w:numId w:val="0"/>
              </w:numPr>
              <w:ind w:left="420" w:leftChars="0"/>
              <w:rPr>
                <w:rFonts w:hint="default"/>
                <w:lang w:val="en-US" w:eastAsia="zh-CN"/>
              </w:rPr>
            </w:pPr>
          </w:p>
        </w:tc>
        <w:tc>
          <w:tcPr>
            <w:tcW w:w="4145"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1.认真开展主题教育，强化中心组学习，强化基层党组织建设。</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2.全年共实施各级科研项目36项（其中国家级3项，省级13项，市级8项，合作项目1项，院设科研项目11项）。</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加强新品种新技术。3个我院选育水稻品种进入国家和省级正规区试；5个水稻品种参加省联合品比筛选试验，拟进入省中籼迟熟组区试。《植物精油控释包装膜及其对杨梅防蝇保鲜作用机理研究》获授权实用新型专利1项。已成功研究出第一台农业装备样机。</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eastAsia="楷体"/>
                <w:lang w:val="en-US" w:eastAsia="zh-CN"/>
              </w:rPr>
            </w:pPr>
            <w:r>
              <w:rPr>
                <w:rFonts w:hint="eastAsia" w:ascii="仿宋" w:hAnsi="仿宋" w:eastAsia="仿宋" w:cs="仿宋"/>
                <w:color w:val="000000"/>
                <w:kern w:val="0"/>
                <w:sz w:val="20"/>
                <w:szCs w:val="20"/>
                <w:lang w:val="en-US" w:eastAsia="zh-CN"/>
              </w:rPr>
              <w:t>4.加强科技服务对全市20个市级乡村振兴示范村进行“科技支撑农业产业发展”专项调研，积极创办科技示范基地，持续推进科技特派员工作，强化农业技术服务。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4"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数量指标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20分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发布科研项目</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新品种培育</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海南南繁选择不育系、恢复系材料（份）</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专利</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新型农业装备</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种质资源调查收集</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质量指标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20分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新品种登记（个）</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农业科技示范基地（个）</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高质量实施品种区域试验完成品种（个）</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“国家级中早熟柑橘柑橘产业集群”项目</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时效指标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是否按照计划执行到位</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是</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是</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成本指标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是否按照成本执行</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是</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是</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增加农业效益</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500万元</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500万</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社会效益指标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深入</w:t>
            </w:r>
            <w:r>
              <w:rPr>
                <w:rFonts w:hint="default" w:ascii="仿宋" w:hAnsi="仿宋" w:eastAsia="仿宋" w:cs="仿宋"/>
                <w:color w:val="000000"/>
                <w:kern w:val="0"/>
                <w:sz w:val="20"/>
                <w:szCs w:val="20"/>
                <w:lang w:val="en-US" w:eastAsia="zh-CN"/>
              </w:rPr>
              <w:t>乡村振兴点、</w:t>
            </w:r>
            <w:r>
              <w:rPr>
                <w:rFonts w:hint="eastAsia" w:ascii="仿宋" w:hAnsi="仿宋" w:eastAsia="仿宋" w:cs="仿宋"/>
                <w:color w:val="000000"/>
                <w:kern w:val="0"/>
                <w:sz w:val="20"/>
                <w:szCs w:val="20"/>
                <w:lang w:val="en-US" w:eastAsia="zh-CN"/>
              </w:rPr>
              <w:t>农业企业、合作社培训（场）</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社区结对共建</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发布技术指南（期）</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推广应用农业技术（项）</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24</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推进科技特派员工作</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科普宣传活动（次）</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解决农业实际生产中技术问题</w:t>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可持续影响指标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在科技创新、乡村振兴、服务“三农”等方面的持续影响</w:t>
            </w:r>
            <w:r>
              <w:rPr>
                <w:rFonts w:hint="eastAsia" w:ascii="仿宋" w:hAnsi="仿宋" w:eastAsia="仿宋" w:cs="仿宋"/>
                <w:color w:val="000000"/>
                <w:kern w:val="0"/>
                <w:sz w:val="20"/>
                <w:szCs w:val="20"/>
              </w:rPr>
              <w:tab/>
            </w: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62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在科技创新、乡村振兴、服务“三农”等方面的持续影响</w:t>
            </w:r>
            <w:r>
              <w:rPr>
                <w:rFonts w:hint="eastAsia" w:ascii="仿宋" w:hAnsi="仿宋" w:eastAsia="仿宋" w:cs="仿宋"/>
                <w:color w:val="000000"/>
                <w:kern w:val="0"/>
                <w:sz w:val="20"/>
                <w:szCs w:val="20"/>
              </w:rPr>
              <w:tab/>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6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5"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8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刘盼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2024年6月21日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18074353677 </w:t>
      </w:r>
    </w:p>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pPr>
        <w:jc w:val="both"/>
        <w:rPr>
          <w:rFonts w:hint="default"/>
          <w:lang w:val="en-US" w:eastAsia="zh-CN"/>
        </w:rPr>
      </w:pPr>
      <w:r>
        <w:rPr>
          <w:rFonts w:hint="default"/>
          <w:lang w:val="en-US" w:eastAsia="zh-CN"/>
        </w:rPr>
        <w:br w:type="page"/>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_GB2312" w:eastAsia="仿宋_GB2312" w:cs="仿宋_GB2312"/>
          <w:i w:val="0"/>
          <w:iCs w:val="0"/>
          <w:caps w:val="0"/>
          <w:color w:val="000000"/>
          <w:spacing w:val="0"/>
          <w:sz w:val="24"/>
          <w:szCs w:val="24"/>
          <w:shd w:val="clear" w:fill="FFFFFF"/>
          <w:lang w:val="en-US" w:eastAsia="zh-CN"/>
        </w:rPr>
      </w:pPr>
    </w:p>
    <w:p/>
    <w:p>
      <w:pPr>
        <w:pStyle w:val="16"/>
        <w:jc w:val="center"/>
        <w:rPr>
          <w:sz w:val="72"/>
          <w:szCs w:val="72"/>
        </w:rPr>
      </w:pPr>
    </w:p>
    <w:p>
      <w:pPr>
        <w:pStyle w:val="16"/>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EC83A"/>
    <w:multiLevelType w:val="singleLevel"/>
    <w:tmpl w:val="BFBEC83A"/>
    <w:lvl w:ilvl="0" w:tentative="0">
      <w:start w:val="2"/>
      <w:numFmt w:val="chineseCounting"/>
      <w:suff w:val="nothing"/>
      <w:lvlText w:val="（%1）"/>
      <w:lvlJc w:val="left"/>
      <w:rPr>
        <w:rFonts w:hint="eastAsia"/>
      </w:rPr>
    </w:lvl>
  </w:abstractNum>
  <w:abstractNum w:abstractNumId="1">
    <w:nsid w:val="D7F68BC4"/>
    <w:multiLevelType w:val="singleLevel"/>
    <w:tmpl w:val="D7F68BC4"/>
    <w:lvl w:ilvl="0" w:tentative="0">
      <w:start w:val="1"/>
      <w:numFmt w:val="chineseCounting"/>
      <w:suff w:val="nothing"/>
      <w:lvlText w:val="（%1）"/>
      <w:lvlJc w:val="left"/>
      <w:rPr>
        <w:rFonts w:hint="eastAsia"/>
      </w:rPr>
    </w:lvl>
  </w:abstractNum>
  <w:abstractNum w:abstractNumId="2">
    <w:nsid w:val="DDBFB81C"/>
    <w:multiLevelType w:val="singleLevel"/>
    <w:tmpl w:val="DDBFB81C"/>
    <w:lvl w:ilvl="0" w:tentative="0">
      <w:start w:val="8"/>
      <w:numFmt w:val="chineseCounting"/>
      <w:suff w:val="nothing"/>
      <w:lvlText w:val="%1、"/>
      <w:lvlJc w:val="left"/>
      <w:rPr>
        <w:rFonts w:hint="eastAsia"/>
      </w:rPr>
    </w:lvl>
  </w:abstractNum>
  <w:abstractNum w:abstractNumId="3">
    <w:nsid w:val="F6AE9CA3"/>
    <w:multiLevelType w:val="singleLevel"/>
    <w:tmpl w:val="F6AE9CA3"/>
    <w:lvl w:ilvl="0" w:tentative="0">
      <w:start w:val="3"/>
      <w:numFmt w:val="chineseCounting"/>
      <w:suff w:val="nothing"/>
      <w:lvlText w:val="（%1）"/>
      <w:lvlJc w:val="left"/>
      <w:rPr>
        <w:rFonts w:hint="eastAsia"/>
      </w:r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7AE039"/>
    <w:multiLevelType w:val="singleLevel"/>
    <w:tmpl w:val="517AE039"/>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771DD3"/>
    <w:rsid w:val="177FBD02"/>
    <w:rsid w:val="1BBAC951"/>
    <w:rsid w:val="1D97DEFF"/>
    <w:rsid w:val="1DFF72E5"/>
    <w:rsid w:val="1EFC6F07"/>
    <w:rsid w:val="1FFBEA90"/>
    <w:rsid w:val="1FFFAFEB"/>
    <w:rsid w:val="1FFFF42A"/>
    <w:rsid w:val="26EF54B0"/>
    <w:rsid w:val="2FDF85B8"/>
    <w:rsid w:val="2FFFEE04"/>
    <w:rsid w:val="307FF62B"/>
    <w:rsid w:val="34DF85B0"/>
    <w:rsid w:val="371FEB69"/>
    <w:rsid w:val="37B34051"/>
    <w:rsid w:val="3B8F36BC"/>
    <w:rsid w:val="3BEF7A82"/>
    <w:rsid w:val="3D3FAF09"/>
    <w:rsid w:val="3E5F5321"/>
    <w:rsid w:val="3F76A4A5"/>
    <w:rsid w:val="3FDA79E7"/>
    <w:rsid w:val="3FFB2DC6"/>
    <w:rsid w:val="3FFD69CC"/>
    <w:rsid w:val="3FFF2A37"/>
    <w:rsid w:val="491FF225"/>
    <w:rsid w:val="4FFD214C"/>
    <w:rsid w:val="527D80AC"/>
    <w:rsid w:val="5777D4F5"/>
    <w:rsid w:val="59DD8326"/>
    <w:rsid w:val="5B4F80D6"/>
    <w:rsid w:val="5BF5EE4D"/>
    <w:rsid w:val="5BFAC70D"/>
    <w:rsid w:val="5CA9EC8D"/>
    <w:rsid w:val="5CEBA58E"/>
    <w:rsid w:val="5DEF592A"/>
    <w:rsid w:val="5FC6BB1E"/>
    <w:rsid w:val="5FDFBBAA"/>
    <w:rsid w:val="5FF720F1"/>
    <w:rsid w:val="66FF0882"/>
    <w:rsid w:val="67FF5C0B"/>
    <w:rsid w:val="6DED0E51"/>
    <w:rsid w:val="6DFB2652"/>
    <w:rsid w:val="6EDCC816"/>
    <w:rsid w:val="6EFC0924"/>
    <w:rsid w:val="6FB74722"/>
    <w:rsid w:val="6FEF8B7E"/>
    <w:rsid w:val="6FFA1C5F"/>
    <w:rsid w:val="71A6591B"/>
    <w:rsid w:val="72FF55B4"/>
    <w:rsid w:val="737D59BA"/>
    <w:rsid w:val="756D5468"/>
    <w:rsid w:val="76AE23EA"/>
    <w:rsid w:val="7756E12A"/>
    <w:rsid w:val="77C37683"/>
    <w:rsid w:val="77F3E991"/>
    <w:rsid w:val="78BE3C5B"/>
    <w:rsid w:val="79FF515B"/>
    <w:rsid w:val="79FFCC28"/>
    <w:rsid w:val="7AF76710"/>
    <w:rsid w:val="7BC5680F"/>
    <w:rsid w:val="7DEEEDE2"/>
    <w:rsid w:val="7E7A4647"/>
    <w:rsid w:val="7E9E1962"/>
    <w:rsid w:val="7E9F11B4"/>
    <w:rsid w:val="7EDEC03D"/>
    <w:rsid w:val="7EF7C2AB"/>
    <w:rsid w:val="7EFF2526"/>
    <w:rsid w:val="7F37EC1E"/>
    <w:rsid w:val="7F7DCD9D"/>
    <w:rsid w:val="7F970A6F"/>
    <w:rsid w:val="7FC1FFF3"/>
    <w:rsid w:val="7FC69637"/>
    <w:rsid w:val="7FDF8620"/>
    <w:rsid w:val="7FE72BA9"/>
    <w:rsid w:val="7FFB242F"/>
    <w:rsid w:val="7FFDB408"/>
    <w:rsid w:val="7FFE4EEB"/>
    <w:rsid w:val="7FFF0C37"/>
    <w:rsid w:val="7FFF1161"/>
    <w:rsid w:val="7FFF3A0C"/>
    <w:rsid w:val="8EDB4F96"/>
    <w:rsid w:val="8FEDD6E8"/>
    <w:rsid w:val="95FB2B98"/>
    <w:rsid w:val="9A639BC2"/>
    <w:rsid w:val="9F2C6198"/>
    <w:rsid w:val="9F9BB021"/>
    <w:rsid w:val="9FF7D786"/>
    <w:rsid w:val="A8BD9A8D"/>
    <w:rsid w:val="ABBFB23D"/>
    <w:rsid w:val="AD6F4EE4"/>
    <w:rsid w:val="AFEEE010"/>
    <w:rsid w:val="B5BF81A3"/>
    <w:rsid w:val="BB79EA83"/>
    <w:rsid w:val="BBD49FB6"/>
    <w:rsid w:val="BE5A2577"/>
    <w:rsid w:val="BEDF471D"/>
    <w:rsid w:val="BF7E3585"/>
    <w:rsid w:val="BFFFDFDC"/>
    <w:rsid w:val="C3B4DA5A"/>
    <w:rsid w:val="CBFF70E0"/>
    <w:rsid w:val="CEEE56B0"/>
    <w:rsid w:val="CFF50B82"/>
    <w:rsid w:val="CFFFAD89"/>
    <w:rsid w:val="D6B7C8DC"/>
    <w:rsid w:val="D6D72F81"/>
    <w:rsid w:val="DCEEF6F1"/>
    <w:rsid w:val="DDBF2D7B"/>
    <w:rsid w:val="DDECB01E"/>
    <w:rsid w:val="DF1F1905"/>
    <w:rsid w:val="DFFE359E"/>
    <w:rsid w:val="DFFE4FFD"/>
    <w:rsid w:val="DFFF6209"/>
    <w:rsid w:val="E7F79C27"/>
    <w:rsid w:val="E9EBC538"/>
    <w:rsid w:val="E9F747A6"/>
    <w:rsid w:val="E9FFD704"/>
    <w:rsid w:val="EEABED75"/>
    <w:rsid w:val="F3E63C01"/>
    <w:rsid w:val="F56FDF51"/>
    <w:rsid w:val="F6B69F17"/>
    <w:rsid w:val="F77F1D61"/>
    <w:rsid w:val="F7FED3A9"/>
    <w:rsid w:val="F8C9DB26"/>
    <w:rsid w:val="F97E8EAE"/>
    <w:rsid w:val="FB36E1A6"/>
    <w:rsid w:val="FB3BE134"/>
    <w:rsid w:val="FB7BDA2F"/>
    <w:rsid w:val="FB7FE3A6"/>
    <w:rsid w:val="FBDE927F"/>
    <w:rsid w:val="FBEF8CDE"/>
    <w:rsid w:val="FBFAD695"/>
    <w:rsid w:val="FCFF4275"/>
    <w:rsid w:val="FD7FEEEA"/>
    <w:rsid w:val="FDFFB577"/>
    <w:rsid w:val="FE3F143A"/>
    <w:rsid w:val="FE7BF87C"/>
    <w:rsid w:val="FE7FEDFD"/>
    <w:rsid w:val="FE9D1708"/>
    <w:rsid w:val="FEAFBE05"/>
    <w:rsid w:val="FEBF4553"/>
    <w:rsid w:val="FEEA50FE"/>
    <w:rsid w:val="FEFB10D8"/>
    <w:rsid w:val="FF7D47A9"/>
    <w:rsid w:val="FFA63CB3"/>
    <w:rsid w:val="FFCF21CB"/>
    <w:rsid w:val="FFDF594E"/>
    <w:rsid w:val="FFEF3D43"/>
    <w:rsid w:val="FFEF8F09"/>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ascii="Calibri Light" w:hAnsi="Calibri Light" w:eastAsia="楷体_GB2312" w:cs="Times New Roman"/>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TOC1"/>
    <w:basedOn w:val="1"/>
    <w:next w:val="1"/>
    <w:qFormat/>
    <w:uiPriority w:val="0"/>
  </w:style>
  <w:style w:type="paragraph" w:styleId="4">
    <w:name w:val="index 5"/>
    <w:basedOn w:val="1"/>
    <w:next w:val="1"/>
    <w:qFormat/>
    <w:uiPriority w:val="0"/>
    <w:pPr>
      <w:ind w:left="1680"/>
    </w:p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8"/>
    <w:semiHidden/>
    <w:unhideWhenUsed/>
    <w:qFormat/>
    <w:uiPriority w:val="99"/>
    <w:rPr>
      <w:sz w:val="18"/>
      <w:szCs w:val="18"/>
    </w:rPr>
  </w:style>
  <w:style w:type="paragraph" w:styleId="8">
    <w:name w:val="footer"/>
    <w:basedOn w:val="1"/>
    <w:next w:val="4"/>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semiHidden/>
    <w:qFormat/>
    <w:uiPriority w:val="0"/>
    <w:pPr>
      <w:snapToGrid w:val="0"/>
      <w:jc w:val="left"/>
    </w:pPr>
    <w:rPr>
      <w:sz w:val="18"/>
      <w:szCs w:val="18"/>
    </w:rPr>
  </w:style>
  <w:style w:type="paragraph" w:styleId="11">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4">
    <w:name w:val="页眉 Char"/>
    <w:basedOn w:val="13"/>
    <w:link w:val="9"/>
    <w:qFormat/>
    <w:uiPriority w:val="99"/>
    <w:rPr>
      <w:sz w:val="18"/>
      <w:szCs w:val="18"/>
    </w:rPr>
  </w:style>
  <w:style w:type="character" w:customStyle="1" w:styleId="15">
    <w:name w:val="页脚 Char"/>
    <w:basedOn w:val="13"/>
    <w:link w:val="8"/>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标题1"/>
    <w:basedOn w:val="3"/>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TotalTime>
  <ScaleCrop>false</ScaleCrop>
  <LinksUpToDate>false</LinksUpToDate>
  <CharactersWithSpaces>9008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2020-07-11T02:32:00Z</dcterms:created>
  <dc:creator>李航 null</dc:creator>
  <cp:lastModifiedBy>greatwall</cp:lastModifiedBy>
  <cp:lastPrinted>2024-08-11T10:20:00Z</cp:lastPrinted>
  <dcterms:modified xsi:type="dcterms:W3CDTF">2024-09-24T16:32:13Z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