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kinsoku/>
        <w:wordWrap/>
        <w:overflowPunct/>
        <w:topLinePunct w:val="0"/>
        <w:bidi w:val="0"/>
        <w:snapToGrid/>
        <w:spacing w:line="240" w:lineRule="auto"/>
        <w:ind w:left="0" w:leftChars="0" w:firstLine="0" w:firstLineChars="0"/>
        <w:jc w:val="center"/>
        <w:textAlignment w:val="auto"/>
        <w:rPr>
          <w:rFonts w:hint="eastAsia" w:ascii="黑体" w:hAnsi="黑体" w:eastAsia="黑体" w:cs="黑体"/>
          <w:bCs/>
          <w:color w:val="auto"/>
          <w:kern w:val="0"/>
          <w:sz w:val="48"/>
          <w:szCs w:val="48"/>
          <w:lang w:val="en-US" w:eastAsia="zh-CN" w:bidi="ar-SA"/>
        </w:rPr>
      </w:pPr>
      <w:r>
        <w:rPr>
          <w:rFonts w:hint="eastAsia" w:ascii="黑体" w:hAnsi="黑体" w:eastAsia="黑体" w:cs="黑体"/>
          <w:bCs/>
          <w:color w:val="auto"/>
          <w:kern w:val="0"/>
          <w:sz w:val="48"/>
          <w:szCs w:val="48"/>
          <w:lang w:val="en-US" w:eastAsia="zh-CN" w:bidi="ar-SA"/>
        </w:rPr>
        <w:t>2021年怀化市人工影响天气</w:t>
      </w:r>
    </w:p>
    <w:p>
      <w:pPr>
        <w:pStyle w:val="12"/>
        <w:keepNext w:val="0"/>
        <w:keepLines w:val="0"/>
        <w:pageBreakBefore w:val="0"/>
        <w:kinsoku/>
        <w:wordWrap/>
        <w:overflowPunct/>
        <w:topLinePunct w:val="0"/>
        <w:bidi w:val="0"/>
        <w:snapToGrid/>
        <w:spacing w:line="240" w:lineRule="auto"/>
        <w:ind w:left="0" w:leftChars="0" w:firstLine="0" w:firstLineChars="0"/>
        <w:jc w:val="center"/>
        <w:textAlignment w:val="auto"/>
        <w:rPr>
          <w:color w:val="auto"/>
          <w:sz w:val="56"/>
          <w:szCs w:val="56"/>
        </w:rPr>
      </w:pPr>
      <w:r>
        <w:rPr>
          <w:rFonts w:hint="eastAsia" w:ascii="黑体" w:hAnsi="黑体" w:eastAsia="黑体" w:cs="黑体"/>
          <w:bCs/>
          <w:color w:val="auto"/>
          <w:kern w:val="0"/>
          <w:sz w:val="48"/>
          <w:szCs w:val="48"/>
          <w:lang w:val="en-US" w:eastAsia="zh-CN" w:bidi="ar-SA"/>
        </w:rPr>
        <w:t>办公室部门决算</w:t>
      </w:r>
    </w:p>
    <w:p>
      <w:pPr>
        <w:pStyle w:val="12"/>
        <w:keepNext w:val="0"/>
        <w:keepLines w:val="0"/>
        <w:pageBreakBefore w:val="0"/>
        <w:kinsoku/>
        <w:wordWrap/>
        <w:overflowPunct/>
        <w:topLinePunct w:val="0"/>
        <w:bidi w:val="0"/>
        <w:snapToGrid/>
        <w:spacing w:line="240" w:lineRule="auto"/>
        <w:ind w:left="0" w:firstLine="720" w:firstLineChars="200"/>
        <w:jc w:val="both"/>
        <w:textAlignment w:val="auto"/>
        <w:rPr>
          <w:b/>
          <w:color w:val="auto"/>
          <w:sz w:val="36"/>
          <w:szCs w:val="28"/>
        </w:rPr>
      </w:pPr>
    </w:p>
    <w:p>
      <w:pPr>
        <w:keepNext w:val="0"/>
        <w:keepLines w:val="0"/>
        <w:pageBreakBefore w:val="0"/>
        <w:widowControl/>
        <w:kinsoku/>
        <w:wordWrap/>
        <w:overflowPunct/>
        <w:topLinePunct w:val="0"/>
        <w:bidi w:val="0"/>
        <w:snapToGrid/>
        <w:spacing w:line="600" w:lineRule="exact"/>
        <w:ind w:left="0" w:leftChars="0" w:firstLine="0" w:firstLineChars="0"/>
        <w:jc w:val="center"/>
        <w:textAlignment w:val="auto"/>
        <w:rPr>
          <w:rFonts w:hint="eastAsia"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rPr>
        <w:t>目</w:t>
      </w:r>
      <w:r>
        <w:rPr>
          <w:rFonts w:hint="eastAsia" w:ascii="Times New Roman" w:hAnsi="Times New Roman" w:eastAsia="黑体" w:cs="Times New Roman"/>
          <w:bCs/>
          <w:color w:val="auto"/>
          <w:kern w:val="0"/>
          <w:sz w:val="32"/>
          <w:szCs w:val="32"/>
          <w:lang w:val="en-US" w:eastAsia="zh-CN"/>
        </w:rPr>
        <w:t xml:space="preserve"> </w:t>
      </w:r>
      <w:r>
        <w:rPr>
          <w:rFonts w:hint="eastAsia" w:ascii="Times New Roman" w:hAnsi="Times New Roman" w:eastAsia="黑体" w:cs="Times New Roman"/>
          <w:bCs/>
          <w:color w:val="auto"/>
          <w:kern w:val="0"/>
          <w:sz w:val="32"/>
          <w:szCs w:val="32"/>
        </w:rPr>
        <w:t>录</w:t>
      </w:r>
    </w:p>
    <w:p>
      <w:pPr>
        <w:pStyle w:val="12"/>
        <w:keepNext w:val="0"/>
        <w:keepLines w:val="0"/>
        <w:pageBreakBefore w:val="0"/>
        <w:kinsoku/>
        <w:wordWrap/>
        <w:overflowPunct/>
        <w:topLinePunct w:val="0"/>
        <w:bidi w:val="0"/>
        <w:snapToGrid/>
        <w:spacing w:line="240" w:lineRule="auto"/>
        <w:ind w:left="0" w:firstLine="720" w:firstLineChars="200"/>
        <w:jc w:val="center"/>
        <w:textAlignment w:val="auto"/>
        <w:rPr>
          <w:rFonts w:hint="eastAsia"/>
          <w:b/>
          <w:color w:val="auto"/>
          <w:sz w:val="36"/>
          <w:szCs w:val="28"/>
        </w:rPr>
      </w:pPr>
    </w:p>
    <w:p>
      <w:pPr>
        <w:pStyle w:val="12"/>
        <w:keepNext w:val="0"/>
        <w:keepLines w:val="0"/>
        <w:pageBreakBefore w:val="0"/>
        <w:widowControl w:val="0"/>
        <w:kinsoku/>
        <w:wordWrap/>
        <w:overflowPunct/>
        <w:topLinePunct w:val="0"/>
        <w:bidi w:val="0"/>
        <w:snapToGrid/>
        <w:spacing w:line="240" w:lineRule="auto"/>
        <w:ind w:left="0" w:leftChars="0" w:firstLine="640" w:firstLineChars="200"/>
        <w:jc w:val="left"/>
        <w:textAlignment w:val="auto"/>
        <w:outlineLvl w:val="9"/>
        <w:rPr>
          <w:rFonts w:ascii="仿宋_GB2312" w:hAnsi="仿宋_GB2312" w:cs="仿宋_GB2312"/>
          <w:b/>
          <w:color w:val="auto"/>
          <w:sz w:val="28"/>
          <w:szCs w:val="28"/>
        </w:rPr>
      </w:pPr>
      <w:r>
        <w:rPr>
          <w:rFonts w:hint="eastAsia" w:ascii="黑体" w:hAnsi="黑体" w:eastAsia="黑体" w:cs="黑体"/>
          <w:b/>
          <w:bCs/>
          <w:color w:val="auto"/>
          <w:kern w:val="0"/>
          <w:sz w:val="32"/>
          <w:szCs w:val="32"/>
          <w:lang w:val="en-US" w:eastAsia="zh-CN" w:bidi="ar-SA"/>
        </w:rPr>
        <w:t>第一部分 怀化市人工影响天气办公室部门概况</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一、部门职责</w:t>
      </w:r>
    </w:p>
    <w:p>
      <w:pPr>
        <w:pStyle w:val="12"/>
        <w:keepNext w:val="0"/>
        <w:keepLines w:val="0"/>
        <w:pageBreakBefore w:val="0"/>
        <w:kinsoku/>
        <w:wordWrap/>
        <w:overflowPunct/>
        <w:topLinePunct w:val="0"/>
        <w:bidi w:val="0"/>
        <w:snapToGrid/>
        <w:spacing w:line="600" w:lineRule="exact"/>
        <w:ind w:firstLine="800" w:firstLineChars="250"/>
        <w:textAlignment w:val="auto"/>
        <w:rPr>
          <w:rFonts w:cs="仿宋_GB2312" w:asciiTheme="minorEastAsia" w:hAnsiTheme="minorEastAsia" w:eastAsiaTheme="minorEastAsia"/>
          <w:color w:val="auto"/>
          <w:sz w:val="28"/>
          <w:szCs w:val="28"/>
        </w:rPr>
      </w:pPr>
      <w:r>
        <w:rPr>
          <w:rFonts w:hint="eastAsia" w:ascii="仿宋" w:hAnsi="仿宋" w:eastAsia="仿宋" w:cs="仿宋"/>
          <w:color w:val="auto"/>
          <w:kern w:val="0"/>
          <w:sz w:val="32"/>
          <w:szCs w:val="32"/>
        </w:rPr>
        <w:t>二、机构设置</w:t>
      </w:r>
    </w:p>
    <w:p>
      <w:pPr>
        <w:pStyle w:val="12"/>
        <w:keepNext w:val="0"/>
        <w:keepLines w:val="0"/>
        <w:pageBreakBefore w:val="0"/>
        <w:widowControl w:val="0"/>
        <w:kinsoku/>
        <w:wordWrap/>
        <w:overflowPunct/>
        <w:topLinePunct w:val="0"/>
        <w:bidi w:val="0"/>
        <w:snapToGrid/>
        <w:spacing w:line="240" w:lineRule="auto"/>
        <w:ind w:left="0" w:leftChars="0" w:firstLine="640" w:firstLineChars="200"/>
        <w:jc w:val="left"/>
        <w:textAlignment w:val="auto"/>
        <w:outlineLvl w:val="9"/>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第二部分 2021年度部门决算表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八、政府性基金预算财政拨款收入支出决算表</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cs="仿宋_GB2312" w:asciiTheme="minorEastAsia" w:hAnsiTheme="minorEastAsia" w:eastAsiaTheme="minorEastAsia"/>
          <w:color w:val="auto"/>
          <w:sz w:val="28"/>
          <w:szCs w:val="28"/>
          <w:lang w:val="en-US" w:eastAsia="zh-CN"/>
        </w:rPr>
      </w:pPr>
      <w:r>
        <w:rPr>
          <w:rFonts w:hint="eastAsia" w:ascii="仿宋" w:hAnsi="仿宋" w:eastAsia="仿宋" w:cs="仿宋"/>
          <w:color w:val="auto"/>
          <w:kern w:val="0"/>
          <w:sz w:val="32"/>
          <w:szCs w:val="32"/>
        </w:rPr>
        <w:t>九、国有资本经营预算财政拨款支出决算表</w:t>
      </w:r>
      <w:r>
        <w:rPr>
          <w:rFonts w:hint="eastAsia" w:cs="仿宋_GB2312" w:asciiTheme="minorEastAsia" w:hAnsiTheme="minorEastAsia" w:eastAsiaTheme="minorEastAsia"/>
          <w:color w:val="auto"/>
          <w:sz w:val="28"/>
          <w:szCs w:val="28"/>
          <w:lang w:val="en-US" w:eastAsia="zh-CN"/>
        </w:rPr>
        <w:t xml:space="preserve"> </w:t>
      </w:r>
    </w:p>
    <w:p>
      <w:pPr>
        <w:pStyle w:val="12"/>
        <w:keepNext w:val="0"/>
        <w:keepLines w:val="0"/>
        <w:pageBreakBefore w:val="0"/>
        <w:widowControl w:val="0"/>
        <w:kinsoku/>
        <w:wordWrap/>
        <w:overflowPunct/>
        <w:topLinePunct w:val="0"/>
        <w:bidi w:val="0"/>
        <w:snapToGrid/>
        <w:spacing w:line="240" w:lineRule="auto"/>
        <w:ind w:left="0" w:leftChars="0" w:firstLine="640" w:firstLineChars="200"/>
        <w:jc w:val="left"/>
        <w:textAlignment w:val="auto"/>
        <w:outlineLvl w:val="9"/>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第三部分 2021年度部门决算情况说明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一、收入支出决算总体情况说明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八、政府性基金预算收入支出决算情况</w:t>
      </w:r>
      <w:r>
        <w:rPr>
          <w:rFonts w:hint="eastAsia" w:ascii="仿宋" w:hAnsi="仿宋" w:eastAsia="仿宋" w:cs="仿宋"/>
          <w:color w:val="auto"/>
          <w:kern w:val="0"/>
          <w:sz w:val="32"/>
          <w:szCs w:val="32"/>
          <w:lang w:eastAsia="zh-CN"/>
        </w:rPr>
        <w:t>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九、</w:t>
      </w:r>
      <w:r>
        <w:rPr>
          <w:rFonts w:hint="eastAsia" w:ascii="仿宋" w:hAnsi="仿宋" w:eastAsia="仿宋" w:cs="仿宋"/>
          <w:color w:val="auto"/>
          <w:kern w:val="0"/>
          <w:sz w:val="32"/>
          <w:szCs w:val="32"/>
        </w:rPr>
        <w:t>国有资本经营预算财政拨款支出</w:t>
      </w:r>
      <w:r>
        <w:rPr>
          <w:rFonts w:hint="eastAsia" w:ascii="仿宋" w:hAnsi="仿宋" w:eastAsia="仿宋" w:cs="仿宋"/>
          <w:color w:val="auto"/>
          <w:kern w:val="0"/>
          <w:sz w:val="32"/>
          <w:szCs w:val="32"/>
          <w:lang w:eastAsia="zh-CN"/>
        </w:rPr>
        <w:t>决算情况说明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十</w:t>
      </w:r>
      <w:r>
        <w:rPr>
          <w:rFonts w:hint="eastAsia" w:ascii="仿宋" w:hAnsi="仿宋" w:eastAsia="仿宋" w:cs="仿宋"/>
          <w:color w:val="auto"/>
          <w:kern w:val="0"/>
          <w:sz w:val="32"/>
          <w:szCs w:val="32"/>
        </w:rPr>
        <w:t>、关于机关运行经费支出说明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十一、一般性支出情况</w:t>
      </w:r>
      <w:r>
        <w:rPr>
          <w:rFonts w:hint="eastAsia" w:ascii="仿宋" w:hAnsi="仿宋" w:eastAsia="仿宋" w:cs="仿宋"/>
          <w:color w:val="auto"/>
          <w:kern w:val="0"/>
          <w:sz w:val="32"/>
          <w:szCs w:val="32"/>
          <w:lang w:eastAsia="zh-CN"/>
        </w:rPr>
        <w:t>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十二、关于政府采购支出说明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十三、关于国有资产占用情况说明</w:t>
      </w:r>
    </w:p>
    <w:p>
      <w:pPr>
        <w:pStyle w:val="12"/>
        <w:keepNext w:val="0"/>
        <w:keepLines w:val="0"/>
        <w:pageBreakBefore w:val="0"/>
        <w:kinsoku/>
        <w:wordWrap/>
        <w:overflowPunct/>
        <w:topLinePunct w:val="0"/>
        <w:bidi w:val="0"/>
        <w:snapToGrid/>
        <w:spacing w:line="600" w:lineRule="exact"/>
        <w:ind w:firstLine="800" w:firstLineChars="250"/>
        <w:textAlignment w:val="auto"/>
        <w:rPr>
          <w:rFonts w:ascii="仿宋_GB2312" w:hAnsi="仿宋_GB2312" w:cs="仿宋_GB2312" w:eastAsiaTheme="minorEastAsia"/>
          <w:color w:val="auto"/>
          <w:sz w:val="28"/>
          <w:szCs w:val="28"/>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四</w:t>
      </w:r>
      <w:r>
        <w:rPr>
          <w:rFonts w:hint="eastAsia" w:ascii="仿宋" w:hAnsi="仿宋" w:eastAsia="仿宋" w:cs="仿宋"/>
          <w:color w:val="auto"/>
          <w:kern w:val="0"/>
          <w:sz w:val="32"/>
          <w:szCs w:val="32"/>
        </w:rPr>
        <w:t>、关于202</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年度预算绩效情况的说明</w:t>
      </w:r>
    </w:p>
    <w:p>
      <w:pPr>
        <w:keepNext w:val="0"/>
        <w:keepLines w:val="0"/>
        <w:pageBreakBefore w:val="0"/>
        <w:widowControl w:val="0"/>
        <w:kinsoku/>
        <w:wordWrap/>
        <w:overflowPunct/>
        <w:topLinePunct w:val="0"/>
        <w:autoSpaceDE w:val="0"/>
        <w:autoSpaceDN w:val="0"/>
        <w:bidi w:val="0"/>
        <w:adjustRightInd w:val="0"/>
        <w:snapToGrid/>
        <w:spacing w:line="240" w:lineRule="auto"/>
        <w:ind w:left="0" w:firstLine="640" w:firstLineChars="200"/>
        <w:jc w:val="left"/>
        <w:textAlignment w:val="auto"/>
        <w:outlineLvl w:val="9"/>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第四部分 名词解释</w:t>
      </w:r>
    </w:p>
    <w:p>
      <w:pPr>
        <w:keepNext w:val="0"/>
        <w:keepLines w:val="0"/>
        <w:pageBreakBefore w:val="0"/>
        <w:widowControl w:val="0"/>
        <w:kinsoku/>
        <w:wordWrap/>
        <w:overflowPunct/>
        <w:topLinePunct w:val="0"/>
        <w:autoSpaceDE w:val="0"/>
        <w:autoSpaceDN w:val="0"/>
        <w:bidi w:val="0"/>
        <w:adjustRightInd w:val="0"/>
        <w:snapToGrid/>
        <w:spacing w:line="240" w:lineRule="auto"/>
        <w:ind w:left="0" w:firstLine="640" w:firstLineChars="200"/>
        <w:jc w:val="left"/>
        <w:textAlignment w:val="auto"/>
        <w:outlineLvl w:val="9"/>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第五部分 附件</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left"/>
        <w:textAlignment w:val="auto"/>
        <w:outlineLvl w:val="9"/>
        <w:rPr>
          <w:rFonts w:hint="eastAsia" w:ascii="黑体" w:hAnsi="黑体" w:eastAsia="黑体" w:cs="黑体"/>
          <w:b/>
          <w:bCs/>
          <w:color w:val="auto"/>
          <w:kern w:val="0"/>
          <w:sz w:val="32"/>
          <w:szCs w:val="32"/>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left"/>
        <w:textAlignment w:val="auto"/>
        <w:outlineLvl w:val="9"/>
        <w:rPr>
          <w:rFonts w:hint="eastAsia" w:ascii="黑体" w:hAnsi="黑体" w:eastAsia="黑体" w:cs="黑体"/>
          <w:b/>
          <w:bCs/>
          <w:color w:val="auto"/>
          <w:kern w:val="0"/>
          <w:sz w:val="32"/>
          <w:szCs w:val="32"/>
          <w:lang w:val="en-US" w:eastAsia="zh-CN" w:bidi="ar-SA"/>
        </w:rPr>
      </w:pPr>
    </w:p>
    <w:p>
      <w:pPr>
        <w:pStyle w:val="12"/>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outlineLvl w:val="9"/>
        <w:rPr>
          <w:rFonts w:hint="eastAsia" w:eastAsiaTheme="minorEastAsia"/>
          <w:color w:val="auto"/>
          <w:sz w:val="72"/>
          <w:szCs w:val="72"/>
          <w:lang w:val="en-US" w:eastAsia="zh-CN"/>
        </w:rPr>
      </w:pPr>
      <w:r>
        <w:rPr>
          <w:rFonts w:hint="eastAsia" w:ascii="黑体" w:hAnsi="黑体" w:eastAsia="黑体" w:cs="黑体"/>
          <w:b/>
          <w:bCs w:val="0"/>
          <w:color w:val="auto"/>
          <w:kern w:val="0"/>
          <w:sz w:val="44"/>
          <w:szCs w:val="44"/>
          <w:lang w:val="en-US" w:eastAsia="zh-CN" w:bidi="ar-SA"/>
        </w:rPr>
        <w:t>第一部分 怀化市人工影响天气办公室概况</w:t>
      </w:r>
    </w:p>
    <w:p>
      <w:pPr>
        <w:pStyle w:val="13"/>
        <w:keepNext w:val="0"/>
        <w:keepLines w:val="0"/>
        <w:pageBreakBefore w:val="0"/>
        <w:widowControl w:val="0"/>
        <w:kinsoku/>
        <w:wordWrap/>
        <w:overflowPunct/>
        <w:topLinePunct w:val="0"/>
        <w:bidi w:val="0"/>
        <w:snapToGrid/>
        <w:spacing w:line="240" w:lineRule="auto"/>
        <w:ind w:left="0" w:leftChars="0" w:firstLine="0" w:firstLineChars="0"/>
        <w:jc w:val="left"/>
        <w:textAlignment w:val="auto"/>
        <w:outlineLvl w:val="9"/>
        <w:rPr>
          <w:rFonts w:ascii="黑体" w:hAnsi="黑体" w:eastAsia="黑体"/>
          <w:color w:val="auto"/>
          <w:sz w:val="32"/>
          <w:szCs w:val="32"/>
        </w:rPr>
      </w:pPr>
    </w:p>
    <w:p>
      <w:pPr>
        <w:pStyle w:val="13"/>
        <w:keepNext w:val="0"/>
        <w:keepLines w:val="0"/>
        <w:pageBreakBefore w:val="0"/>
        <w:numPr>
          <w:ilvl w:val="0"/>
          <w:numId w:val="0"/>
        </w:numPr>
        <w:tabs>
          <w:tab w:val="left" w:pos="1477"/>
        </w:tabs>
        <w:kinsoku/>
        <w:wordWrap/>
        <w:overflowPunct/>
        <w:topLinePunct w:val="0"/>
        <w:bidi w:val="0"/>
        <w:snapToGrid/>
        <w:spacing w:line="240" w:lineRule="auto"/>
        <w:ind w:firstLine="640" w:firstLineChars="200"/>
        <w:jc w:val="left"/>
        <w:textAlignment w:val="auto"/>
        <w:rPr>
          <w:rFonts w:ascii="黑体" w:hAnsi="黑体" w:eastAsia="黑体"/>
          <w:color w:val="auto"/>
          <w:sz w:val="32"/>
          <w:szCs w:val="32"/>
        </w:rPr>
      </w:pPr>
      <w:r>
        <w:rPr>
          <w:rFonts w:hint="eastAsia" w:ascii="黑体" w:hAnsi="黑体" w:eastAsia="黑体" w:cs="黑体"/>
          <w:b w:val="0"/>
          <w:bCs/>
          <w:color w:val="auto"/>
          <w:kern w:val="0"/>
          <w:sz w:val="32"/>
          <w:szCs w:val="32"/>
          <w:lang w:val="en-US" w:eastAsia="zh-CN" w:bidi="ar-SA"/>
        </w:rPr>
        <w:t>一、部门职责</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（一）怀化市人工影响天气办公室为全额拨款的事业单位，其宗旨和业务范围是：提供人工影响天气服务，人工增雨、消雹等相关服务。</w:t>
      </w:r>
    </w:p>
    <w:p>
      <w:pPr>
        <w:pStyle w:val="13"/>
        <w:keepNext w:val="0"/>
        <w:keepLines w:val="0"/>
        <w:pageBreakBefore w:val="0"/>
        <w:numPr>
          <w:ilvl w:val="0"/>
          <w:numId w:val="0"/>
        </w:numPr>
        <w:tabs>
          <w:tab w:val="left" w:pos="1477"/>
        </w:tabs>
        <w:kinsoku/>
        <w:wordWrap/>
        <w:overflowPunct/>
        <w:topLinePunct w:val="0"/>
        <w:bidi w:val="0"/>
        <w:snapToGrid/>
        <w:spacing w:line="240" w:lineRule="auto"/>
        <w:ind w:firstLine="640" w:firstLineChars="200"/>
        <w:jc w:val="left"/>
        <w:textAlignment w:val="auto"/>
        <w:rPr>
          <w:rFonts w:hint="eastAsia" w:ascii="黑体" w:hAnsi="黑体" w:eastAsia="黑体" w:cs="黑体"/>
          <w:b w:val="0"/>
          <w:bCs/>
          <w:color w:val="auto"/>
          <w:kern w:val="0"/>
          <w:sz w:val="32"/>
          <w:szCs w:val="32"/>
          <w:lang w:val="en-US" w:eastAsia="zh-CN" w:bidi="ar-SA"/>
        </w:rPr>
      </w:pPr>
      <w:r>
        <w:rPr>
          <w:rFonts w:hint="eastAsia" w:ascii="黑体" w:hAnsi="黑体" w:eastAsia="黑体" w:cs="黑体"/>
          <w:b w:val="0"/>
          <w:bCs/>
          <w:color w:val="auto"/>
          <w:kern w:val="0"/>
          <w:sz w:val="32"/>
          <w:szCs w:val="32"/>
          <w:lang w:val="en-US" w:eastAsia="zh-CN" w:bidi="ar-SA"/>
        </w:rPr>
        <w:t>二、机构设置及决算单位构成</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（一）内设机构设置。怀化市人工影响天气办公室为一级部门预算单位，无内设科室。编制数3人，实有人员3人。</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（二）决算单位构成。怀化市人工影响天气办公室20</w:t>
      </w:r>
      <w:r>
        <w:rPr>
          <w:rFonts w:hint="eastAsia" w:ascii="仿宋" w:hAnsi="仿宋" w:eastAsia="仿宋" w:cs="仿宋"/>
          <w:b w:val="0"/>
          <w:bCs/>
          <w:color w:val="auto"/>
          <w:kern w:val="0"/>
          <w:sz w:val="32"/>
          <w:szCs w:val="32"/>
          <w:lang w:val="en-US" w:eastAsia="zh-CN"/>
        </w:rPr>
        <w:t>21</w:t>
      </w:r>
      <w:r>
        <w:rPr>
          <w:rFonts w:hint="eastAsia" w:ascii="仿宋" w:hAnsi="仿宋" w:eastAsia="仿宋" w:cs="仿宋"/>
          <w:b w:val="0"/>
          <w:bCs/>
          <w:color w:val="auto"/>
          <w:kern w:val="0"/>
          <w:sz w:val="32"/>
          <w:szCs w:val="32"/>
        </w:rPr>
        <w:t>年部门决算公开单位只有怀化市人工影响天气办公室本级。</w:t>
      </w:r>
    </w:p>
    <w:p>
      <w:pPr>
        <w:keepNext w:val="0"/>
        <w:keepLines w:val="0"/>
        <w:pageBreakBefore w:val="0"/>
        <w:widowControl/>
        <w:kinsoku/>
        <w:wordWrap/>
        <w:overflowPunct/>
        <w:topLinePunct w:val="0"/>
        <w:bidi w:val="0"/>
        <w:snapToGrid/>
        <w:spacing w:line="600" w:lineRule="exact"/>
        <w:textAlignment w:val="auto"/>
        <w:rPr>
          <w:rFonts w:hint="eastAsia" w:ascii="仿宋" w:hAnsi="仿宋" w:eastAsia="仿宋" w:cs="仿宋"/>
          <w:b w:val="0"/>
          <w:bCs/>
          <w:color w:val="auto"/>
          <w:kern w:val="0"/>
          <w:sz w:val="32"/>
          <w:szCs w:val="32"/>
        </w:rPr>
      </w:pPr>
    </w:p>
    <w:p>
      <w:pPr>
        <w:keepNext w:val="0"/>
        <w:keepLines w:val="0"/>
        <w:pageBreakBefore w:val="0"/>
        <w:kinsoku/>
        <w:wordWrap/>
        <w:overflowPunct/>
        <w:topLinePunct w:val="0"/>
        <w:bidi w:val="0"/>
        <w:snapToGrid/>
        <w:spacing w:line="240" w:lineRule="auto"/>
        <w:ind w:left="0" w:leftChars="0" w:firstLine="0" w:firstLineChars="0"/>
        <w:jc w:val="center"/>
        <w:textAlignment w:val="auto"/>
        <w:rPr>
          <w:color w:val="auto"/>
          <w:sz w:val="72"/>
          <w:szCs w:val="72"/>
        </w:rPr>
      </w:pPr>
      <w:r>
        <w:rPr>
          <w:rFonts w:hint="eastAsia" w:ascii="黑体" w:hAnsi="黑体" w:eastAsia="黑体" w:cs="黑体"/>
          <w:b/>
          <w:bCs/>
          <w:color w:val="auto"/>
          <w:kern w:val="0"/>
          <w:sz w:val="44"/>
          <w:szCs w:val="44"/>
          <w:lang w:val="en-US" w:eastAsia="zh-CN" w:bidi="ar-SA"/>
        </w:rPr>
        <w:t>第二部分 部门决算表</w:t>
      </w:r>
    </w:p>
    <w:p>
      <w:pPr>
        <w:keepNext w:val="0"/>
        <w:keepLines w:val="0"/>
        <w:pageBreakBefore w:val="0"/>
        <w:kinsoku/>
        <w:wordWrap/>
        <w:overflowPunct/>
        <w:topLinePunct w:val="0"/>
        <w:bidi w:val="0"/>
        <w:snapToGrid/>
        <w:spacing w:line="600" w:lineRule="exac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怀化市人工影响天气办公室此部分为excel导出表，见附件</w:t>
      </w:r>
      <w:r>
        <w:rPr>
          <w:rFonts w:hint="eastAsia" w:ascii="仿宋" w:hAnsi="仿宋" w:eastAsia="仿宋" w:cs="仿宋"/>
          <w:color w:val="auto"/>
          <w:sz w:val="32"/>
          <w:szCs w:val="32"/>
          <w:lang w:val="en-US" w:eastAsia="zh-CN"/>
        </w:rPr>
        <w:t>1</w:t>
      </w:r>
    </w:p>
    <w:p>
      <w:pPr>
        <w:keepNext w:val="0"/>
        <w:keepLines w:val="0"/>
        <w:pageBreakBefore w:val="0"/>
        <w:kinsoku/>
        <w:wordWrap/>
        <w:overflowPunct/>
        <w:topLinePunct w:val="0"/>
        <w:bidi w:val="0"/>
        <w:snapToGrid/>
        <w:spacing w:line="600" w:lineRule="exact"/>
        <w:textAlignment w:val="auto"/>
        <w:rPr>
          <w:rFonts w:hint="eastAsia" w:ascii="仿宋" w:hAnsi="仿宋" w:eastAsia="仿宋" w:cs="仿宋"/>
          <w:color w:val="auto"/>
          <w:sz w:val="32"/>
          <w:szCs w:val="32"/>
          <w:lang w:val="en-US" w:eastAsia="zh-CN"/>
        </w:rPr>
      </w:pPr>
    </w:p>
    <w:p>
      <w:pPr>
        <w:pStyle w:val="12"/>
        <w:keepNext w:val="0"/>
        <w:keepLines w:val="0"/>
        <w:pageBreakBefore w:val="0"/>
        <w:kinsoku/>
        <w:wordWrap/>
        <w:overflowPunct/>
        <w:topLinePunct w:val="0"/>
        <w:bidi w:val="0"/>
        <w:snapToGrid/>
        <w:spacing w:line="240" w:lineRule="auto"/>
        <w:ind w:left="0" w:leftChars="0" w:firstLine="0" w:firstLineChars="0"/>
        <w:jc w:val="center"/>
        <w:textAlignment w:val="auto"/>
        <w:rPr>
          <w:color w:val="auto"/>
          <w:sz w:val="84"/>
          <w:szCs w:val="84"/>
        </w:rPr>
      </w:pPr>
      <w:r>
        <w:rPr>
          <w:rFonts w:hint="eastAsia" w:ascii="黑体" w:hAnsi="黑体" w:eastAsia="黑体" w:cs="黑体"/>
          <w:b/>
          <w:bCs w:val="0"/>
          <w:color w:val="auto"/>
          <w:kern w:val="0"/>
          <w:sz w:val="44"/>
          <w:szCs w:val="44"/>
          <w:lang w:val="en-US" w:eastAsia="zh-CN" w:bidi="ar-SA"/>
        </w:rPr>
        <w:t>第三部分 2021年度部门决算情况说明</w:t>
      </w:r>
    </w:p>
    <w:p>
      <w:pPr>
        <w:keepNext w:val="0"/>
        <w:keepLines w:val="0"/>
        <w:pageBreakBefore w:val="0"/>
        <w:widowControl/>
        <w:kinsoku/>
        <w:wordWrap/>
        <w:overflowPunct/>
        <w:topLinePunct w:val="0"/>
        <w:bidi w:val="0"/>
        <w:snapToGrid/>
        <w:spacing w:line="240" w:lineRule="auto"/>
        <w:ind w:left="0" w:firstLine="640" w:firstLineChars="200"/>
        <w:jc w:val="left"/>
        <w:textAlignment w:val="auto"/>
        <w:rPr>
          <w:rFonts w:asciiTheme="minorEastAsia" w:hAnsiTheme="minorEastAsia" w:eastAsiaTheme="minorEastAsia"/>
          <w:color w:val="auto"/>
          <w:sz w:val="32"/>
          <w:szCs w:val="32"/>
        </w:rPr>
      </w:pPr>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hAnsi="黑体" w:cs="Times New Roman"/>
          <w:color w:val="auto"/>
          <w:kern w:val="0"/>
          <w:sz w:val="32"/>
          <w:szCs w:val="32"/>
        </w:rPr>
        <w:t>一、收入支出决算总体情况说明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仿宋" w:hAnsi="仿宋" w:eastAsia="仿宋" w:cs="仿宋"/>
          <w:b w:val="0"/>
          <w:bCs w:val="0"/>
          <w:color w:val="auto"/>
          <w:kern w:val="0"/>
          <w:sz w:val="32"/>
          <w:szCs w:val="32"/>
          <w:lang w:val="en-US" w:eastAsia="zh-CN"/>
        </w:rPr>
        <w:t>2021年度收、支总计各33.02万元。与上年相比，增加1.77万元，增加5.67%，主要是因为奖金发放数增加，基本工资、养老保险等调整增加。</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hAnsi="黑体" w:cs="Times New Roman"/>
          <w:color w:val="auto"/>
          <w:kern w:val="0"/>
          <w:sz w:val="32"/>
          <w:szCs w:val="32"/>
        </w:rPr>
        <w:t>二、收入决算情况说明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asciiTheme="minorEastAsia" w:hAnsiTheme="minorEastAsia" w:eastAsiaTheme="minorEastAsia"/>
          <w:color w:val="auto"/>
          <w:sz w:val="32"/>
          <w:szCs w:val="32"/>
        </w:rPr>
      </w:pPr>
      <w:r>
        <w:rPr>
          <w:rFonts w:hint="eastAsia" w:ascii="仿宋" w:hAnsi="仿宋" w:eastAsia="仿宋" w:cs="仿宋"/>
          <w:b w:val="0"/>
          <w:bCs w:val="0"/>
          <w:color w:val="auto"/>
          <w:kern w:val="0"/>
          <w:sz w:val="32"/>
          <w:szCs w:val="32"/>
          <w:lang w:val="en-US" w:eastAsia="zh-CN"/>
        </w:rPr>
        <w:t>本年收入合计33.02万元，其中：财政拨款收入33.02万元，占100%。</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hAnsi="黑体" w:cs="Times New Roman"/>
          <w:color w:val="auto"/>
          <w:kern w:val="0"/>
          <w:sz w:val="32"/>
          <w:szCs w:val="32"/>
        </w:rPr>
        <w:t>三、支出决算情况说明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asciiTheme="minorEastAsia" w:hAnsiTheme="minorEastAsia" w:eastAsiaTheme="minorEastAsia"/>
          <w:color w:val="auto"/>
          <w:sz w:val="32"/>
          <w:szCs w:val="32"/>
        </w:rPr>
      </w:pPr>
      <w:r>
        <w:rPr>
          <w:rFonts w:hint="eastAsia" w:ascii="仿宋" w:hAnsi="仿宋" w:eastAsia="仿宋" w:cs="仿宋"/>
          <w:b w:val="0"/>
          <w:bCs w:val="0"/>
          <w:color w:val="auto"/>
          <w:kern w:val="0"/>
          <w:sz w:val="32"/>
          <w:szCs w:val="32"/>
          <w:lang w:val="en-US" w:eastAsia="zh-CN"/>
        </w:rPr>
        <w:t>本年支出合计33.02万元，其中：基本支出33.02万元，占100%。</w:t>
      </w:r>
    </w:p>
    <w:p>
      <w:pPr>
        <w:pStyle w:val="12"/>
        <w:keepNext w:val="0"/>
        <w:keepLines w:val="0"/>
        <w:pageBreakBefore w:val="0"/>
        <w:numPr>
          <w:ilvl w:val="0"/>
          <w:numId w:val="0"/>
        </w:numPr>
        <w:kinsoku/>
        <w:wordWrap/>
        <w:overflowPunct/>
        <w:topLinePunct w:val="0"/>
        <w:bidi w:val="0"/>
        <w:snapToGrid/>
        <w:spacing w:line="240" w:lineRule="auto"/>
        <w:ind w:left="0" w:leftChars="0" w:firstLine="640" w:firstLineChars="200"/>
        <w:textAlignment w:val="auto"/>
        <w:rPr>
          <w:rFonts w:hint="eastAsia" w:hAnsi="黑体"/>
          <w:b/>
          <w:color w:val="auto"/>
          <w:sz w:val="32"/>
          <w:szCs w:val="32"/>
        </w:rPr>
      </w:pPr>
      <w:r>
        <w:rPr>
          <w:rFonts w:hint="eastAsia" w:hAnsi="黑体" w:cs="Times New Roman"/>
          <w:color w:val="auto"/>
          <w:kern w:val="0"/>
          <w:sz w:val="32"/>
          <w:szCs w:val="32"/>
          <w:lang w:val="en-US" w:eastAsia="zh-CN"/>
        </w:rPr>
        <w:t>四、</w:t>
      </w:r>
      <w:r>
        <w:rPr>
          <w:rFonts w:hint="eastAsia" w:hAnsi="黑体" w:cs="Times New Roman"/>
          <w:color w:val="auto"/>
          <w:kern w:val="0"/>
          <w:sz w:val="32"/>
          <w:szCs w:val="32"/>
        </w:rPr>
        <w:t>财政拨款收入支出决算总体情况说明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仿宋" w:hAnsi="仿宋" w:eastAsia="仿宋" w:cs="仿宋"/>
          <w:b w:val="0"/>
          <w:bCs w:val="0"/>
          <w:color w:val="auto"/>
          <w:kern w:val="0"/>
          <w:sz w:val="32"/>
          <w:szCs w:val="32"/>
          <w:lang w:val="en-US" w:eastAsia="zh-CN"/>
        </w:rPr>
        <w:t>2021年度财政拨款收、支总计各33.02万元，与上年相比，增加1.77万元，增加5.67%，主要是因为奖金发放数增加，基本工资、养老保险等调整增加。</w:t>
      </w:r>
    </w:p>
    <w:p>
      <w:pPr>
        <w:pStyle w:val="12"/>
        <w:keepNext w:val="0"/>
        <w:keepLines w:val="0"/>
        <w:pageBreakBefore w:val="0"/>
        <w:numPr>
          <w:ilvl w:val="0"/>
          <w:numId w:val="0"/>
        </w:numPr>
        <w:kinsoku/>
        <w:wordWrap/>
        <w:overflowPunct/>
        <w:topLinePunct w:val="0"/>
        <w:bidi w:val="0"/>
        <w:snapToGrid/>
        <w:spacing w:line="240" w:lineRule="auto"/>
        <w:ind w:left="0" w:leftChars="0" w:firstLine="640" w:firstLineChars="200"/>
        <w:textAlignment w:val="auto"/>
        <w:rPr>
          <w:rFonts w:hint="eastAsia" w:hAnsi="黑体" w:cs="Times New Roman"/>
          <w:color w:val="auto"/>
          <w:kern w:val="0"/>
          <w:sz w:val="32"/>
          <w:szCs w:val="32"/>
          <w:lang w:val="en-US" w:eastAsia="zh-CN"/>
        </w:rPr>
      </w:pPr>
      <w:r>
        <w:rPr>
          <w:rFonts w:hint="eastAsia" w:hAnsi="黑体" w:cs="Times New Roman"/>
          <w:color w:val="auto"/>
          <w:kern w:val="0"/>
          <w:sz w:val="32"/>
          <w:szCs w:val="32"/>
          <w:lang w:val="en-US" w:eastAsia="zh-CN"/>
        </w:rPr>
        <w:t>五、一般公共预算财政拨款支出决算情况说明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bCs/>
          <w:color w:val="auto"/>
          <w:kern w:val="0"/>
          <w:sz w:val="32"/>
          <w:szCs w:val="32"/>
          <w:lang w:val="en-US" w:eastAsia="zh-CN"/>
        </w:rPr>
      </w:pPr>
      <w:r>
        <w:rPr>
          <w:rFonts w:hint="eastAsia" w:ascii="仿宋" w:hAnsi="仿宋" w:eastAsia="仿宋" w:cs="仿宋"/>
          <w:b/>
          <w:bCs/>
          <w:color w:val="auto"/>
          <w:kern w:val="0"/>
          <w:sz w:val="32"/>
          <w:szCs w:val="32"/>
          <w:lang w:val="en-US" w:eastAsia="zh-CN"/>
        </w:rPr>
        <w:t>（一）财政拨款支出决算总体情况</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2021年度财政拨款支出33.02万元，占本年支出合计的100%，与上年相比，财政拨款支出增加1.35万元，增加4.26%，主要是因为奖金发放数增加，基本工资、养老保险等调整增加。</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bCs/>
          <w:color w:val="auto"/>
          <w:kern w:val="0"/>
          <w:sz w:val="32"/>
          <w:szCs w:val="32"/>
          <w:lang w:val="en-US" w:eastAsia="zh-CN"/>
        </w:rPr>
      </w:pPr>
      <w:r>
        <w:rPr>
          <w:rFonts w:hint="eastAsia" w:ascii="仿宋" w:hAnsi="仿宋" w:eastAsia="仿宋" w:cs="仿宋"/>
          <w:b/>
          <w:bCs/>
          <w:color w:val="auto"/>
          <w:kern w:val="0"/>
          <w:sz w:val="32"/>
          <w:szCs w:val="32"/>
          <w:lang w:val="en-US" w:eastAsia="zh-CN"/>
        </w:rPr>
        <w:t>（二）财政拨款支出决算结构情况</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2021年度财政拨款支出33.02万元，主要用于以下方面：社会保障和就业支出2.72万元，占8.24%；卫生健康支出1.36万元，占4.12%；自然资源海洋气象等支出28.95万元，占87.67%。</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bCs/>
          <w:color w:val="auto"/>
          <w:kern w:val="0"/>
          <w:sz w:val="32"/>
          <w:szCs w:val="32"/>
          <w:lang w:val="en-US" w:eastAsia="zh-CN"/>
        </w:rPr>
      </w:pPr>
      <w:r>
        <w:rPr>
          <w:rFonts w:hint="eastAsia" w:ascii="仿宋" w:hAnsi="仿宋" w:eastAsia="仿宋" w:cs="仿宋"/>
          <w:b/>
          <w:bCs/>
          <w:color w:val="auto"/>
          <w:kern w:val="0"/>
          <w:sz w:val="32"/>
          <w:szCs w:val="32"/>
          <w:lang w:val="en-US" w:eastAsia="zh-CN"/>
        </w:rPr>
        <w:t>（三）财政拨款支出决算具体情况说明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2021年度财政拨款支出年初预算数为21.41万元，支出决算数为33.02万元，完成年初预算的100%，其中：</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1、社会保障和就业支出（类）行政事业单位离退休（款）机关事业单位基本养老保险缴费支出（项）。</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年初预算为0.00万元，支出决算为2.72万元，决算数大于年初预算数的主要原因是：本年度增加了机关事业单位基本养老保险缴费支出。</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2、卫生健康支出（类）行政事业单位医疗（款）事业单位医疗（项）。</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年初预算为0.00万元，支出决算为1.34万元，决算数大于年初预算数的主要原因是：本年度增加了行政单位医疗支出。</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3、卫生健康支出（类）行政事业单位医疗（款）其他行政事业单位医疗支出（项）。</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年初预算为0.00万元，支出决算为0.02万元，决算数大于年初预算数的主要原因是：本年度追加了其他行政事业单位医疗支出。</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4、自然资源海洋气象等支出（类）气象事务（款）行政运行（项）。</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年初预算为21.41万元，支出决算为28.95万元，完成年初预算的135.22%，决算数大于年初预算数的主要原因是：本年度本年度人员经费中基本工资、津贴补贴正常调增，以及增加了奖金发放支出。</w:t>
      </w:r>
    </w:p>
    <w:p>
      <w:pPr>
        <w:pStyle w:val="12"/>
        <w:keepNext w:val="0"/>
        <w:keepLines w:val="0"/>
        <w:pageBreakBefore w:val="0"/>
        <w:kinsoku/>
        <w:wordWrap/>
        <w:overflowPunct/>
        <w:topLinePunct w:val="0"/>
        <w:bidi w:val="0"/>
        <w:snapToGrid/>
        <w:spacing w:line="600" w:lineRule="exact"/>
        <w:ind w:firstLine="640" w:firstLineChars="200"/>
        <w:textAlignment w:val="auto"/>
        <w:rPr>
          <w:rFonts w:hAnsi="黑体" w:cs="Times New Roman"/>
          <w:color w:val="auto"/>
          <w:kern w:val="0"/>
          <w:sz w:val="32"/>
          <w:szCs w:val="32"/>
        </w:rPr>
      </w:pPr>
      <w:r>
        <w:rPr>
          <w:rFonts w:hint="eastAsia" w:hAnsi="黑体" w:cs="Times New Roman"/>
          <w:color w:val="auto"/>
          <w:kern w:val="0"/>
          <w:sz w:val="32"/>
          <w:szCs w:val="32"/>
        </w:rPr>
        <w:t>六、一般公共预算财政拨款基本支出决算情况说明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财政拨款基本支出33.02万元，其中：人员经费29.35万元，占基本支出的88.89%,主要包括基本工资、津贴补贴、奖金、机关事业单位基本养老保险缴费、职工基本医疗保险缴费、其他社会保障缴费等；公用经费3.67万元，占基本支出的11.11%，主要包括办公费、网络租赁费、福利费、其他交通费等。</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hAnsi="黑体" w:cs="Times New Roman"/>
          <w:color w:val="auto"/>
          <w:kern w:val="0"/>
          <w:sz w:val="32"/>
          <w:szCs w:val="32"/>
        </w:rPr>
        <w:t>七、一般公共预算财政拨款三公经费支出决算情况说明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bCs/>
          <w:color w:val="auto"/>
          <w:kern w:val="0"/>
          <w:sz w:val="32"/>
          <w:szCs w:val="32"/>
          <w:lang w:val="en-US" w:eastAsia="zh-CN"/>
        </w:rPr>
        <w:t>（一）“三公”经费财政拨款支出决算总体情况说明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“三公”经费财政拨款支出预算为1.89万元，支出决算为0万元，完成预算的0%，其中：</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1、因公出国（境）费支出预算为0万元，支出决算为0万元，决算数与年初预算数持平，主要原因按预算执行，与上年数持平，主要原因本年度未安排因公出国（境）。</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2、公务接待费支出预算0万元，支出决算为0万元，决算数与年初预算数持平，主要原因是按预算执行，与上年数持平，主要原因是厉行节约，减少开支。</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3、公务用车购置费及运行维护费支出预算为1.89万元，支出决算为0万元，完成预算的0%，与上年数持平，主要原因是厉行节约，减少开支。</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bCs/>
          <w:color w:val="auto"/>
          <w:kern w:val="0"/>
          <w:sz w:val="32"/>
          <w:szCs w:val="32"/>
          <w:lang w:val="en-US" w:eastAsia="zh-CN"/>
        </w:rPr>
        <w:t>（二）“三公”经费财政拨款支出决算具体情况说明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2021年度“三公”经费财政拨款支出决算中，公务接待费支出决算0万元，因公出国（境）费支出决算0万元，公务用车购置费及运行维护费支出决算0万元。其中：</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1、因公出国（境）费支出决算为0万元，全年安排因公出国（境）团组0个，累计0人次。</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2、公务接待费支出决算为0万元，全年共接待来访团组0个、来宾0人次。</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i w:val="0"/>
          <w:iCs w:val="0"/>
          <w:caps w:val="0"/>
          <w:color w:val="auto"/>
          <w:spacing w:val="0"/>
          <w:sz w:val="32"/>
          <w:szCs w:val="32"/>
          <w:highlight w:val="yellow"/>
          <w:shd w:val="clear" w:color="auto" w:fill="FFFFFF"/>
          <w:lang w:eastAsia="zh-CN"/>
        </w:rPr>
      </w:pPr>
      <w:r>
        <w:rPr>
          <w:rFonts w:hint="eastAsia" w:ascii="仿宋" w:hAnsi="仿宋" w:eastAsia="仿宋" w:cs="仿宋"/>
          <w:b w:val="0"/>
          <w:bCs w:val="0"/>
          <w:color w:val="auto"/>
          <w:kern w:val="0"/>
          <w:sz w:val="32"/>
          <w:szCs w:val="32"/>
          <w:lang w:val="en-US" w:eastAsia="zh-CN"/>
        </w:rPr>
        <w:t>3、公务用车购置费及运行维护费支出决算为0万元，其中：公务用车购置费0万元，更新公务用车0辆。公务用车运行维护费0万元，截止2021年12月31日，我单位开支财政拨款的公务用车保有量为0辆。</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hAnsi="黑体" w:eastAsia="黑体"/>
          <w:b/>
          <w:bCs w:val="0"/>
          <w:color w:val="auto"/>
          <w:sz w:val="32"/>
          <w:szCs w:val="32"/>
          <w:lang w:eastAsia="zh-CN"/>
        </w:rPr>
      </w:pPr>
      <w:r>
        <w:rPr>
          <w:rFonts w:hint="eastAsia" w:hAnsi="黑体" w:cs="Times New Roman"/>
          <w:color w:val="auto"/>
          <w:kern w:val="0"/>
          <w:sz w:val="32"/>
          <w:szCs w:val="32"/>
        </w:rPr>
        <w:t>八、政府性基金预算收入支出决算情况</w:t>
      </w:r>
      <w:r>
        <w:rPr>
          <w:rFonts w:hint="eastAsia" w:hAnsi="黑体" w:cs="Times New Roman"/>
          <w:color w:val="auto"/>
          <w:kern w:val="0"/>
          <w:sz w:val="32"/>
          <w:szCs w:val="32"/>
          <w:lang w:eastAsia="zh-CN"/>
        </w:rPr>
        <w:t>说明</w:t>
      </w:r>
    </w:p>
    <w:p>
      <w:pPr>
        <w:pStyle w:val="12"/>
        <w:keepNext w:val="0"/>
        <w:keepLines w:val="0"/>
        <w:pageBreakBefore w:val="0"/>
        <w:kinsoku/>
        <w:wordWrap/>
        <w:overflowPunct/>
        <w:topLinePunct w:val="0"/>
        <w:bidi w:val="0"/>
        <w:snapToGrid/>
        <w:spacing w:line="240" w:lineRule="auto"/>
        <w:ind w:firstLine="640" w:firstLineChars="200"/>
        <w:textAlignment w:val="auto"/>
        <w:rPr>
          <w:rFonts w:hint="eastAsia" w:asciiTheme="minorEastAsia" w:hAnsiTheme="minorEastAsia" w:eastAsiaTheme="minorEastAsia" w:cstheme="minorBidi"/>
          <w:color w:val="auto"/>
          <w:kern w:val="2"/>
          <w:sz w:val="32"/>
          <w:szCs w:val="32"/>
          <w:lang w:val="en-US" w:eastAsia="zh-CN" w:bidi="ar-SA"/>
        </w:rPr>
      </w:pPr>
      <w:r>
        <w:rPr>
          <w:rFonts w:hint="eastAsia" w:ascii="仿宋" w:hAnsi="仿宋" w:eastAsia="仿宋" w:cs="仿宋"/>
          <w:color w:val="auto"/>
          <w:kern w:val="0"/>
          <w:sz w:val="32"/>
          <w:szCs w:val="32"/>
          <w:lang w:val="en-US" w:eastAsia="zh-CN"/>
        </w:rPr>
        <w:t>2021年度本单位无政府性基金收支。</w:t>
      </w:r>
    </w:p>
    <w:p>
      <w:pPr>
        <w:pStyle w:val="12"/>
        <w:keepNext w:val="0"/>
        <w:keepLines w:val="0"/>
        <w:pageBreakBefore w:val="0"/>
        <w:numPr>
          <w:ilvl w:val="0"/>
          <w:numId w:val="0"/>
        </w:numPr>
        <w:kinsoku/>
        <w:wordWrap/>
        <w:overflowPunct/>
        <w:topLinePunct w:val="0"/>
        <w:bidi w:val="0"/>
        <w:snapToGrid/>
        <w:spacing w:line="240" w:lineRule="auto"/>
        <w:ind w:left="0" w:leftChars="0" w:firstLine="640" w:firstLineChars="200"/>
        <w:textAlignment w:val="auto"/>
        <w:rPr>
          <w:rFonts w:hint="eastAsia" w:hAnsi="黑体"/>
          <w:b/>
          <w:bCs w:val="0"/>
          <w:color w:val="auto"/>
          <w:sz w:val="32"/>
          <w:szCs w:val="32"/>
          <w:lang w:eastAsia="zh-CN"/>
        </w:rPr>
      </w:pPr>
      <w:r>
        <w:rPr>
          <w:rFonts w:hint="eastAsia" w:ascii="黑体" w:hAnsi="黑体" w:eastAsia="黑体" w:cs="黑体"/>
          <w:b/>
          <w:bCs w:val="0"/>
          <w:color w:val="auto"/>
          <w:kern w:val="0"/>
          <w:sz w:val="32"/>
          <w:szCs w:val="32"/>
          <w:lang w:val="en-US" w:eastAsia="zh-CN" w:bidi="ar-SA"/>
        </w:rPr>
        <w:t>九、</w:t>
      </w:r>
      <w:r>
        <w:rPr>
          <w:rFonts w:hint="eastAsia" w:hAnsi="黑体"/>
          <w:b/>
          <w:bCs w:val="0"/>
          <w:color w:val="auto"/>
          <w:sz w:val="32"/>
          <w:szCs w:val="32"/>
        </w:rPr>
        <w:t>国有资本经营预算财政拨款支出</w:t>
      </w:r>
      <w:r>
        <w:rPr>
          <w:rFonts w:hint="eastAsia" w:hAnsi="黑体"/>
          <w:b/>
          <w:bCs w:val="0"/>
          <w:color w:val="auto"/>
          <w:sz w:val="32"/>
          <w:szCs w:val="32"/>
          <w:lang w:eastAsia="zh-CN"/>
        </w:rPr>
        <w:t>情况</w:t>
      </w:r>
    </w:p>
    <w:p>
      <w:pPr>
        <w:pStyle w:val="12"/>
        <w:keepNext w:val="0"/>
        <w:keepLines w:val="0"/>
        <w:pageBreakBefore w:val="0"/>
        <w:numPr>
          <w:ilvl w:val="0"/>
          <w:numId w:val="0"/>
        </w:numPr>
        <w:kinsoku/>
        <w:wordWrap/>
        <w:overflowPunct/>
        <w:topLinePunct w:val="0"/>
        <w:bidi w:val="0"/>
        <w:snapToGrid/>
        <w:spacing w:line="240" w:lineRule="auto"/>
        <w:ind w:left="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2021年度本单位无国有资本经营预算财政拨款支出。</w:t>
      </w:r>
    </w:p>
    <w:p>
      <w:pPr>
        <w:pStyle w:val="12"/>
        <w:keepNext w:val="0"/>
        <w:keepLines w:val="0"/>
        <w:pageBreakBefore w:val="0"/>
        <w:numPr>
          <w:ilvl w:val="0"/>
          <w:numId w:val="0"/>
        </w:numPr>
        <w:kinsoku/>
        <w:wordWrap/>
        <w:overflowPunct/>
        <w:topLinePunct w:val="0"/>
        <w:bidi w:val="0"/>
        <w:snapToGrid/>
        <w:spacing w:line="240" w:lineRule="auto"/>
        <w:ind w:left="0" w:leftChars="0" w:firstLine="640" w:firstLineChars="200"/>
        <w:textAlignment w:val="auto"/>
        <w:rPr>
          <w:rFonts w:hint="eastAsia" w:ascii="黑体" w:hAnsi="黑体" w:eastAsia="黑体" w:cs="黑体"/>
          <w:b/>
          <w:bCs w:val="0"/>
          <w:color w:val="auto"/>
          <w:kern w:val="0"/>
          <w:sz w:val="32"/>
          <w:szCs w:val="32"/>
          <w:lang w:val="en-US" w:eastAsia="zh-CN" w:bidi="ar-SA"/>
        </w:rPr>
      </w:pPr>
      <w:r>
        <w:rPr>
          <w:rFonts w:hint="eastAsia" w:ascii="黑体" w:hAnsi="黑体" w:eastAsia="黑体" w:cs="黑体"/>
          <w:b/>
          <w:bCs w:val="0"/>
          <w:color w:val="auto"/>
          <w:kern w:val="0"/>
          <w:sz w:val="32"/>
          <w:szCs w:val="32"/>
          <w:lang w:val="en-US" w:eastAsia="zh-CN" w:bidi="ar-SA"/>
        </w:rPr>
        <w:t>十、关于机关运行经费支出说明</w:t>
      </w:r>
    </w:p>
    <w:p>
      <w:pPr>
        <w:keepNext w:val="0"/>
        <w:keepLines w:val="0"/>
        <w:pageBreakBefore w:val="0"/>
        <w:kinsoku/>
        <w:wordWrap/>
        <w:overflowPunct/>
        <w:topLinePunct w:val="0"/>
        <w:bidi w:val="0"/>
        <w:snapToGrid/>
        <w:spacing w:line="240" w:lineRule="auto"/>
        <w:ind w:left="0" w:firstLine="640" w:firstLineChars="200"/>
        <w:textAlignment w:val="auto"/>
        <w:rPr>
          <w:rFonts w:cs="黑体" w:asciiTheme="minorEastAsia" w:hAnsiTheme="minorEastAsia"/>
          <w:color w:val="auto"/>
          <w:kern w:val="0"/>
          <w:sz w:val="32"/>
          <w:szCs w:val="32"/>
        </w:rPr>
      </w:pPr>
      <w:r>
        <w:rPr>
          <w:rFonts w:hint="eastAsia" w:ascii="仿宋" w:hAnsi="仿宋" w:eastAsia="仿宋" w:cs="仿宋"/>
          <w:color w:val="auto"/>
          <w:kern w:val="0"/>
          <w:sz w:val="32"/>
          <w:szCs w:val="32"/>
          <w:lang w:val="en-US" w:eastAsia="zh-CN" w:bidi="ar-SA"/>
        </w:rPr>
        <w:t>本部门2021年度机关运行经费支出3.67万元，比年初预算数减少0.75万元。主要原因是：本单位为全额拨款事业单位，本年新增失业保险和工伤保险，无经费保障来源，因此用公用经费调剂以弥补这块资金缺口。</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ascii="黑体" w:hAnsi="黑体" w:eastAsia="黑体" w:cs="黑体"/>
          <w:b/>
          <w:bCs w:val="0"/>
          <w:color w:val="auto"/>
          <w:kern w:val="0"/>
          <w:sz w:val="32"/>
          <w:szCs w:val="32"/>
          <w:lang w:val="en-US" w:eastAsia="zh-CN" w:bidi="ar-SA"/>
        </w:rPr>
        <w:t>十一、一般性支出情况说明</w:t>
      </w:r>
    </w:p>
    <w:p>
      <w:pPr>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2021年本部门开支会议费0.00万元；开支培训费0.00万元；举办节庆、晚会、论坛、赛事活动，开支0.00万元。</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黑体" w:hAnsi="黑体" w:eastAsia="黑体" w:cs="黑体"/>
          <w:b/>
          <w:bCs w:val="0"/>
          <w:color w:val="auto"/>
          <w:kern w:val="0"/>
          <w:sz w:val="32"/>
          <w:szCs w:val="32"/>
          <w:lang w:val="en-US" w:eastAsia="zh-CN" w:bidi="ar-SA"/>
        </w:rPr>
      </w:pPr>
      <w:r>
        <w:rPr>
          <w:rFonts w:hint="eastAsia" w:ascii="黑体" w:hAnsi="黑体" w:eastAsia="黑体" w:cs="黑体"/>
          <w:b/>
          <w:bCs w:val="0"/>
          <w:color w:val="auto"/>
          <w:kern w:val="0"/>
          <w:sz w:val="32"/>
          <w:szCs w:val="32"/>
          <w:lang w:val="en-US" w:eastAsia="zh-CN" w:bidi="ar-SA"/>
        </w:rPr>
        <w:t>十二、关于政府采购支出说明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bookmarkStart w:id="0" w:name="_GoBack"/>
      <w:bookmarkEnd w:id="0"/>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ascii="黑体" w:hAnsi="黑体" w:eastAsia="黑体" w:cs="黑体"/>
          <w:b/>
          <w:bCs w:val="0"/>
          <w:color w:val="auto"/>
          <w:kern w:val="0"/>
          <w:sz w:val="32"/>
          <w:szCs w:val="32"/>
          <w:lang w:val="en-US" w:eastAsia="zh-CN" w:bidi="ar-SA"/>
        </w:rPr>
        <w:t>十三、关于国有资产占用情况说明</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asciiTheme="minorEastAsia" w:hAnsiTheme="minorEastAsia" w:eastAsiaTheme="minorEastAsia"/>
          <w:color w:val="auto"/>
          <w:sz w:val="32"/>
          <w:szCs w:val="32"/>
        </w:rPr>
      </w:pPr>
      <w:r>
        <w:rPr>
          <w:rFonts w:hint="eastAsia" w:ascii="仿宋" w:hAnsi="仿宋" w:eastAsia="仿宋" w:cs="仿宋"/>
          <w:color w:val="auto"/>
          <w:kern w:val="0"/>
          <w:sz w:val="32"/>
          <w:szCs w:val="32"/>
          <w:lang w:val="en-US" w:eastAsia="zh-CN" w:bidi="ar-SA"/>
        </w:rPr>
        <w:t>截至2021年12月31日，本单位共有车辆0辆；单位价值50万元以上通用设备0台（套）；单位价值100万元以上专用设备0台（套）。</w:t>
      </w:r>
    </w:p>
    <w:p>
      <w:pPr>
        <w:pStyle w:val="12"/>
        <w:keepNext w:val="0"/>
        <w:keepLines w:val="0"/>
        <w:pageBreakBefore w:val="0"/>
        <w:kinsoku/>
        <w:wordWrap/>
        <w:overflowPunct/>
        <w:topLinePunct w:val="0"/>
        <w:bidi w:val="0"/>
        <w:snapToGrid/>
        <w:spacing w:line="240" w:lineRule="auto"/>
        <w:ind w:left="0" w:firstLine="640" w:firstLineChars="200"/>
        <w:textAlignment w:val="auto"/>
        <w:rPr>
          <w:rFonts w:hAnsi="黑体"/>
          <w:b/>
          <w:color w:val="auto"/>
          <w:sz w:val="32"/>
          <w:szCs w:val="32"/>
        </w:rPr>
      </w:pPr>
      <w:r>
        <w:rPr>
          <w:rFonts w:hint="eastAsia" w:ascii="黑体" w:hAnsi="黑体" w:eastAsia="黑体" w:cs="黑体"/>
          <w:b/>
          <w:bCs w:val="0"/>
          <w:color w:val="auto"/>
          <w:kern w:val="0"/>
          <w:sz w:val="32"/>
          <w:szCs w:val="32"/>
          <w:lang w:val="en-US" w:eastAsia="zh-CN" w:bidi="ar-SA"/>
        </w:rPr>
        <w:t>十四、关于2021年度预算绩效情况说明</w:t>
      </w:r>
    </w:p>
    <w:p>
      <w:pPr>
        <w:keepNext w:val="0"/>
        <w:keepLines w:val="0"/>
        <w:pageBreakBefore w:val="0"/>
        <w:widowControl/>
        <w:kinsoku/>
        <w:wordWrap/>
        <w:overflowPunct/>
        <w:topLinePunct w:val="0"/>
        <w:autoSpaceDE/>
        <w:autoSpaceDN/>
        <w:bidi w:val="0"/>
        <w:adjustRightInd/>
        <w:snapToGrid/>
        <w:spacing w:line="240" w:lineRule="auto"/>
        <w:ind w:left="0" w:firstLine="640" w:firstLineChars="200"/>
        <w:jc w:val="left"/>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单位有效的完成了2021年的拟定计划及目标，由怀化市气象局统一调度、用于飞机增雨作业，怀化市人工影响天气办公室具体落实。该资金使用严格把关，不列支预算范围外的支出，资金使用得到有效控制。改善了空气质量，创建空气质量达标二级城市作业。同时缓解、解除了湘东、湘南的旱情，降低了森林火险等级，为湘东、湘南的秋收秋种起到了关键作用，得到了省委省政府、相关市委市政府领导及相关部门的一致好评。人工增雨调动指挥人员与外场作业人员密切配合，注意天气形势变化，向作业现场报告信息，内外密切配合，互相协调，从而保证人工增雨工作的正常有效开展。社会公众或服务对象满意度95%（即对气象行业的满意度）。</w:t>
      </w:r>
    </w:p>
    <w:p>
      <w:pPr>
        <w:keepNext w:val="0"/>
        <w:keepLines w:val="0"/>
        <w:pageBreakBefore w:val="0"/>
        <w:widowControl/>
        <w:kinsoku/>
        <w:wordWrap/>
        <w:overflowPunct/>
        <w:topLinePunct w:val="0"/>
        <w:autoSpaceDE/>
        <w:autoSpaceDN/>
        <w:bidi w:val="0"/>
        <w:adjustRightInd/>
        <w:snapToGrid/>
        <w:spacing w:line="240" w:lineRule="auto"/>
        <w:ind w:left="0" w:firstLine="640" w:firstLineChars="200"/>
        <w:jc w:val="left"/>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本单位无重点项目，因此无重点项目绩效报告。</w:t>
      </w:r>
    </w:p>
    <w:p>
      <w:pPr>
        <w:keepNext w:val="0"/>
        <w:keepLines w:val="0"/>
        <w:pageBreakBefore w:val="0"/>
        <w:widowControl/>
        <w:kinsoku/>
        <w:wordWrap/>
        <w:overflowPunct/>
        <w:topLinePunct w:val="0"/>
        <w:autoSpaceDE/>
        <w:autoSpaceDN/>
        <w:bidi w:val="0"/>
        <w:adjustRightInd/>
        <w:snapToGrid/>
        <w:spacing w:line="240" w:lineRule="auto"/>
        <w:ind w:left="0" w:firstLine="640" w:firstLineChars="200"/>
        <w:jc w:val="left"/>
        <w:textAlignment w:val="auto"/>
        <w:rPr>
          <w:rFonts w:hint="eastAsia" w:ascii="仿宋" w:hAnsi="仿宋" w:eastAsia="仿宋" w:cs="仿宋"/>
          <w:color w:val="auto"/>
          <w:kern w:val="0"/>
          <w:sz w:val="32"/>
          <w:szCs w:val="32"/>
          <w:lang w:val="en-US" w:eastAsia="zh-CN" w:bidi="ar-SA"/>
        </w:rPr>
      </w:pPr>
    </w:p>
    <w:p>
      <w:pPr>
        <w:pStyle w:val="12"/>
        <w:keepNext w:val="0"/>
        <w:keepLines w:val="0"/>
        <w:pageBreakBefore w:val="0"/>
        <w:kinsoku/>
        <w:wordWrap/>
        <w:overflowPunct/>
        <w:topLinePunct w:val="0"/>
        <w:bidi w:val="0"/>
        <w:snapToGrid/>
        <w:spacing w:line="240" w:lineRule="auto"/>
        <w:ind w:left="0" w:firstLine="880" w:firstLineChars="200"/>
        <w:jc w:val="center"/>
        <w:textAlignment w:val="auto"/>
        <w:rPr>
          <w:rFonts w:hint="eastAsia" w:ascii="黑体" w:hAnsi="黑体" w:eastAsia="黑体" w:cs="黑体"/>
          <w:bCs/>
          <w:color w:val="auto"/>
          <w:kern w:val="0"/>
          <w:sz w:val="44"/>
          <w:szCs w:val="44"/>
          <w:lang w:val="en-US" w:eastAsia="zh-CN" w:bidi="ar-SA"/>
        </w:rPr>
      </w:pPr>
      <w:r>
        <w:rPr>
          <w:rFonts w:hint="eastAsia" w:ascii="黑体" w:hAnsi="黑体" w:eastAsia="黑体" w:cs="黑体"/>
          <w:bCs/>
          <w:color w:val="auto"/>
          <w:kern w:val="0"/>
          <w:sz w:val="44"/>
          <w:szCs w:val="44"/>
          <w:lang w:val="en-US" w:eastAsia="zh-CN" w:bidi="ar-SA"/>
        </w:rPr>
        <w:t>第四部分 名词解释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财政拨款收入：指财政当年拨付的资金。包括一般公共预算财政拨款和政府性基金财政拨款。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上级补助收入：指事业单位从主管部门和上级单位取得的非财政补助收入。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事业收入：指事业单位开展专业业务活动及辅助活动所取得的收入。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经营收入：指事业单位在专业业务活动及其辅助活动之外开展非独立核算经营活动取得的收入。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附属单位上缴收入：指事业单位附属独立核算单位按照有关规定上缴的收入。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其他收入：指除上述“财政拨款收入”、“事业收入”、“经营收入”等以外的收入。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年初结转和结余：指以前年度尚未完成、结转到本年按有关规定继续使用的资金。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结余分配：指事业单位按规定从非财政补助结余中分配的事业基金和职工福利基金等。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年末结转和结余：指本年度或以前年度预算安排、因客观条件发生变化无法按原计划实施，需要延迟到以后年度按有关规定继续使用的资金。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基本支出：指为保障机构正常运转、完成日常工作任务而发生的人员支出和公用支出。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项目支出：指在基本支出之外为完成特定行政任务和事业发展目标所发生的支出。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经营支出：指事业单位在专业业务活动及其辅助活动之外开展非独立核算经营活动所发生的支出。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color w:val="auto"/>
          <w:sz w:val="72"/>
          <w:szCs w:val="72"/>
        </w:rPr>
      </w:pPr>
      <w:r>
        <w:rPr>
          <w:rFonts w:hint="eastAsia" w:ascii="仿宋" w:hAnsi="仿宋" w:eastAsia="仿宋" w:cs="仿宋"/>
          <w:i w:val="0"/>
          <w:iCs w:val="0"/>
          <w:caps w:val="0"/>
          <w:color w:val="auto"/>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2"/>
        <w:keepNext w:val="0"/>
        <w:keepLines w:val="0"/>
        <w:pageBreakBefore w:val="0"/>
        <w:kinsoku/>
        <w:wordWrap/>
        <w:overflowPunct/>
        <w:topLinePunct w:val="0"/>
        <w:bidi w:val="0"/>
        <w:snapToGrid/>
        <w:spacing w:line="240" w:lineRule="auto"/>
        <w:ind w:left="0" w:leftChars="0" w:firstLine="0" w:firstLineChars="0"/>
        <w:jc w:val="center"/>
        <w:textAlignment w:val="auto"/>
        <w:rPr>
          <w:rFonts w:hint="eastAsia"/>
          <w:color w:val="auto"/>
          <w:sz w:val="84"/>
          <w:szCs w:val="84"/>
        </w:rPr>
      </w:pPr>
      <w:r>
        <w:rPr>
          <w:rFonts w:hint="eastAsia" w:ascii="黑体" w:hAnsi="黑体" w:eastAsia="黑体" w:cs="黑体"/>
          <w:bCs/>
          <w:color w:val="auto"/>
          <w:kern w:val="0"/>
          <w:sz w:val="44"/>
          <w:szCs w:val="44"/>
          <w:lang w:val="en-US" w:eastAsia="zh-CN" w:bidi="ar-SA"/>
        </w:rPr>
        <w:t>第五部分 附件</w:t>
      </w:r>
    </w:p>
    <w:p>
      <w:pPr>
        <w:keepNext w:val="0"/>
        <w:keepLines w:val="0"/>
        <w:pageBreakBefore w:val="0"/>
        <w:kinsoku/>
        <w:wordWrap/>
        <w:overflowPunct/>
        <w:topLinePunct w:val="0"/>
        <w:bidi w:val="0"/>
        <w:snapToGrid/>
        <w:spacing w:line="240" w:lineRule="auto"/>
        <w:ind w:left="0" w:firstLine="640" w:firstLineChars="200"/>
        <w:jc w:val="left"/>
        <w:textAlignment w:val="auto"/>
        <w:rPr>
          <w:rFonts w:hint="eastAsia" w:cs="黑体" w:asciiTheme="minorEastAsia" w:hAnsiTheme="minorEastAsia"/>
          <w:color w:val="auto"/>
          <w:kern w:val="0"/>
          <w:sz w:val="32"/>
          <w:szCs w:val="32"/>
          <w:lang w:val="en-US" w:eastAsia="zh-CN"/>
        </w:rPr>
      </w:pPr>
    </w:p>
    <w:p>
      <w:pPr>
        <w:keepNext w:val="0"/>
        <w:keepLines w:val="0"/>
        <w:pageBreakBefore w:val="0"/>
        <w:kinsoku/>
        <w:wordWrap/>
        <w:overflowPunct/>
        <w:topLinePunct w:val="0"/>
        <w:bidi w:val="0"/>
        <w:snapToGrid/>
        <w:spacing w:line="240" w:lineRule="auto"/>
        <w:ind w:left="0" w:firstLine="640" w:firstLineChars="200"/>
        <w:jc w:val="left"/>
        <w:textAlignment w:val="auto"/>
        <w:rPr>
          <w:rFonts w:hint="eastAsia" w:cs="黑体" w:asciiTheme="minorEastAsia" w:hAnsiTheme="minorEastAsia"/>
          <w:color w:val="auto"/>
          <w:kern w:val="0"/>
          <w:sz w:val="32"/>
          <w:szCs w:val="32"/>
          <w:lang w:val="en-US" w:eastAsia="zh-CN"/>
        </w:rPr>
      </w:pPr>
    </w:p>
    <w:p>
      <w:pPr>
        <w:keepNext w:val="0"/>
        <w:keepLines w:val="0"/>
        <w:pageBreakBefore w:val="0"/>
        <w:kinsoku/>
        <w:wordWrap/>
        <w:overflowPunct/>
        <w:topLinePunct w:val="0"/>
        <w:bidi w:val="0"/>
        <w:snapToGrid/>
        <w:spacing w:line="240" w:lineRule="auto"/>
        <w:ind w:left="0" w:firstLine="640" w:firstLineChars="200"/>
        <w:jc w:val="left"/>
        <w:textAlignment w:val="auto"/>
        <w:rPr>
          <w:rFonts w:hint="eastAsia" w:cs="黑体" w:asciiTheme="minorEastAsia" w:hAnsiTheme="minorEastAsia"/>
          <w:color w:val="auto"/>
          <w:kern w:val="0"/>
          <w:sz w:val="32"/>
          <w:szCs w:val="32"/>
          <w:lang w:val="en-US" w:eastAsia="zh-CN"/>
        </w:rPr>
      </w:pPr>
    </w:p>
    <w:p>
      <w:pPr>
        <w:keepNext w:val="0"/>
        <w:keepLines w:val="0"/>
        <w:pageBreakBefore w:val="0"/>
        <w:kinsoku/>
        <w:wordWrap/>
        <w:overflowPunct/>
        <w:topLinePunct w:val="0"/>
        <w:bidi w:val="0"/>
        <w:snapToGrid/>
        <w:spacing w:line="240" w:lineRule="auto"/>
        <w:ind w:left="0" w:firstLine="640" w:firstLineChars="200"/>
        <w:jc w:val="left"/>
        <w:textAlignment w:val="auto"/>
        <w:rPr>
          <w:rFonts w:hint="eastAsia" w:cs="黑体" w:asciiTheme="minorEastAsia" w:hAnsiTheme="minorEastAsia"/>
          <w:color w:val="auto"/>
          <w:kern w:val="0"/>
          <w:sz w:val="32"/>
          <w:szCs w:val="32"/>
          <w:lang w:val="en-US" w:eastAsia="zh-CN"/>
        </w:rPr>
      </w:pPr>
      <w:r>
        <w:rPr>
          <w:rFonts w:hint="eastAsia" w:cs="黑体" w:asciiTheme="minorEastAsia" w:hAnsiTheme="minorEastAsia"/>
          <w:color w:val="auto"/>
          <w:kern w:val="0"/>
          <w:sz w:val="32"/>
          <w:szCs w:val="32"/>
          <w:lang w:val="en-US" w:eastAsia="zh-CN"/>
        </w:rPr>
        <w:t xml:space="preserve">                       怀化市人工影响天气办公室</w:t>
      </w:r>
    </w:p>
    <w:p>
      <w:pPr>
        <w:keepNext w:val="0"/>
        <w:keepLines w:val="0"/>
        <w:pageBreakBefore w:val="0"/>
        <w:kinsoku/>
        <w:wordWrap/>
        <w:overflowPunct/>
        <w:topLinePunct w:val="0"/>
        <w:bidi w:val="0"/>
        <w:snapToGrid/>
        <w:spacing w:line="240" w:lineRule="auto"/>
        <w:ind w:left="0" w:firstLine="640" w:firstLineChars="200"/>
        <w:jc w:val="left"/>
        <w:textAlignment w:val="auto"/>
        <w:rPr>
          <w:rFonts w:hint="eastAsia" w:cs="黑体" w:asciiTheme="minorEastAsia" w:hAnsiTheme="minorEastAsia"/>
          <w:color w:val="auto"/>
          <w:kern w:val="0"/>
          <w:sz w:val="32"/>
          <w:szCs w:val="32"/>
          <w:lang w:val="en-US" w:eastAsia="zh-CN"/>
        </w:rPr>
      </w:pPr>
      <w:r>
        <w:rPr>
          <w:rFonts w:hint="eastAsia" w:cs="黑体" w:asciiTheme="minorEastAsia" w:hAnsiTheme="minorEastAsia"/>
          <w:color w:val="auto"/>
          <w:kern w:val="0"/>
          <w:sz w:val="32"/>
          <w:szCs w:val="32"/>
          <w:lang w:val="en-US" w:eastAsia="zh-CN"/>
        </w:rPr>
        <w:t xml:space="preserve">                              2022年9月22日</w:t>
      </w: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8145D2"/>
    <w:rsid w:val="05345117"/>
    <w:rsid w:val="05370897"/>
    <w:rsid w:val="05F47EFB"/>
    <w:rsid w:val="07124C35"/>
    <w:rsid w:val="07B55599"/>
    <w:rsid w:val="0DEA5C28"/>
    <w:rsid w:val="0E434F5C"/>
    <w:rsid w:val="0EDF6601"/>
    <w:rsid w:val="117B6FAE"/>
    <w:rsid w:val="122250C9"/>
    <w:rsid w:val="12E90299"/>
    <w:rsid w:val="15651E74"/>
    <w:rsid w:val="160B548B"/>
    <w:rsid w:val="16915975"/>
    <w:rsid w:val="1C8D1FC4"/>
    <w:rsid w:val="1D262670"/>
    <w:rsid w:val="21E4770C"/>
    <w:rsid w:val="22206E03"/>
    <w:rsid w:val="228F6A0D"/>
    <w:rsid w:val="22BF7B9D"/>
    <w:rsid w:val="237E25A8"/>
    <w:rsid w:val="23D3737F"/>
    <w:rsid w:val="25660EB9"/>
    <w:rsid w:val="27C665F1"/>
    <w:rsid w:val="2A146E2B"/>
    <w:rsid w:val="2A6930C7"/>
    <w:rsid w:val="2C211471"/>
    <w:rsid w:val="2C3F554B"/>
    <w:rsid w:val="2D511AD1"/>
    <w:rsid w:val="2D713AA7"/>
    <w:rsid w:val="2DA61D55"/>
    <w:rsid w:val="2F085BAE"/>
    <w:rsid w:val="30DC4F37"/>
    <w:rsid w:val="310379D2"/>
    <w:rsid w:val="310514C1"/>
    <w:rsid w:val="31954217"/>
    <w:rsid w:val="34605015"/>
    <w:rsid w:val="369726B9"/>
    <w:rsid w:val="36C72FBE"/>
    <w:rsid w:val="381F5168"/>
    <w:rsid w:val="3A325D15"/>
    <w:rsid w:val="3C541458"/>
    <w:rsid w:val="3F1B0E91"/>
    <w:rsid w:val="3F3C2868"/>
    <w:rsid w:val="40461569"/>
    <w:rsid w:val="40B47541"/>
    <w:rsid w:val="430721D1"/>
    <w:rsid w:val="434848FB"/>
    <w:rsid w:val="43921724"/>
    <w:rsid w:val="46441358"/>
    <w:rsid w:val="47F5772D"/>
    <w:rsid w:val="4BE55755"/>
    <w:rsid w:val="4CB907D2"/>
    <w:rsid w:val="4E8035AE"/>
    <w:rsid w:val="50375814"/>
    <w:rsid w:val="509547F1"/>
    <w:rsid w:val="513A0D0B"/>
    <w:rsid w:val="518E1615"/>
    <w:rsid w:val="51A26ADA"/>
    <w:rsid w:val="529304C7"/>
    <w:rsid w:val="548C3661"/>
    <w:rsid w:val="575A7B66"/>
    <w:rsid w:val="57927845"/>
    <w:rsid w:val="59D969BE"/>
    <w:rsid w:val="5AC47347"/>
    <w:rsid w:val="5CB139E5"/>
    <w:rsid w:val="63305E70"/>
    <w:rsid w:val="687A5294"/>
    <w:rsid w:val="6A0D420D"/>
    <w:rsid w:val="6A4528E9"/>
    <w:rsid w:val="6EB82EA6"/>
    <w:rsid w:val="6FF94BA8"/>
    <w:rsid w:val="72152168"/>
    <w:rsid w:val="73015DC0"/>
    <w:rsid w:val="749304DC"/>
    <w:rsid w:val="756015DA"/>
    <w:rsid w:val="76786520"/>
    <w:rsid w:val="7684374D"/>
    <w:rsid w:val="768C3750"/>
    <w:rsid w:val="76C142A2"/>
    <w:rsid w:val="786204D7"/>
    <w:rsid w:val="7ABB159D"/>
    <w:rsid w:val="7B4A3B98"/>
    <w:rsid w:val="7FE8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4085</Words>
  <Characters>4370</Characters>
  <Lines>62</Lines>
  <Paragraphs>17</Paragraphs>
  <TotalTime>2</TotalTime>
  <ScaleCrop>false</ScaleCrop>
  <LinksUpToDate>false</LinksUpToDate>
  <CharactersWithSpaces>4435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2021-07-28T00:12:00Z</cp:lastPrinted>
  <dcterms:modified xsi:type="dcterms:W3CDTF">2023-10-06T02:05:56Z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1BB48E1B35464650B78049B82972D651_13</vt:lpwstr>
  </property>
</Properties>
</file>