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color w:val="auto"/>
          <w:kern w:val="0"/>
          <w:sz w:val="48"/>
          <w:szCs w:val="48"/>
          <w:lang w:val="en-US" w:eastAsia="zh-CN"/>
        </w:rPr>
      </w:pPr>
      <w:r>
        <w:rPr>
          <w:rFonts w:hint="eastAsia" w:ascii="仿宋" w:hAnsi="仿宋" w:eastAsia="仿宋" w:cs="仿宋"/>
          <w:b/>
          <w:bCs/>
          <w:color w:val="auto"/>
          <w:kern w:val="0"/>
          <w:sz w:val="48"/>
          <w:szCs w:val="48"/>
          <w:lang w:val="en-US" w:eastAsia="zh-CN"/>
        </w:rPr>
        <w:t>2022年怀化市人工影响天气</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eastAsia="黑体"/>
          <w:bCs/>
          <w:color w:val="auto"/>
          <w:kern w:val="0"/>
          <w:sz w:val="32"/>
          <w:szCs w:val="32"/>
          <w:lang w:eastAsia="zh-CN"/>
        </w:rPr>
      </w:pPr>
      <w:r>
        <w:rPr>
          <w:rFonts w:hint="eastAsia" w:ascii="仿宋" w:hAnsi="仿宋" w:eastAsia="仿宋" w:cs="仿宋"/>
          <w:b/>
          <w:bCs/>
          <w:color w:val="auto"/>
          <w:kern w:val="0"/>
          <w:sz w:val="48"/>
          <w:szCs w:val="48"/>
          <w:lang w:val="en-US" w:eastAsia="zh-CN"/>
        </w:rPr>
        <w:t>办公室部门预算</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eastAsia="黑体"/>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eastAsia="黑体"/>
          <w:bCs/>
          <w:color w:val="auto"/>
          <w:kern w:val="0"/>
          <w:sz w:val="32"/>
          <w:szCs w:val="32"/>
        </w:rPr>
      </w:pPr>
      <w:r>
        <w:rPr>
          <w:rFonts w:eastAsia="黑体"/>
          <w:bCs/>
          <w:color w:val="auto"/>
          <w:kern w:val="0"/>
          <w:sz w:val="32"/>
          <w:szCs w:val="32"/>
        </w:rPr>
        <w:t>目 录</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eastAsia="黑体"/>
          <w:bCs/>
          <w:color w:val="auto"/>
          <w:kern w:val="0"/>
          <w:sz w:val="32"/>
          <w:szCs w:val="32"/>
        </w:rPr>
      </w:pP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color w:val="auto"/>
          <w:kern w:val="0"/>
          <w:sz w:val="32"/>
          <w:szCs w:val="32"/>
        </w:rPr>
      </w:pPr>
      <w:r>
        <w:rPr>
          <w:rFonts w:hint="eastAsia" w:ascii="黑体" w:hAnsi="黑体" w:eastAsia="黑体" w:cs="黑体"/>
          <w:b/>
          <w:bCs/>
          <w:color w:val="auto"/>
          <w:kern w:val="0"/>
          <w:sz w:val="32"/>
          <w:szCs w:val="32"/>
        </w:rPr>
        <w:t>202</w:t>
      </w:r>
      <w:r>
        <w:rPr>
          <w:rFonts w:hint="eastAsia" w:ascii="黑体" w:hAnsi="黑体" w:eastAsia="黑体" w:cs="黑体"/>
          <w:b/>
          <w:bCs/>
          <w:color w:val="auto"/>
          <w:kern w:val="0"/>
          <w:sz w:val="32"/>
          <w:szCs w:val="32"/>
          <w:lang w:val="en-US" w:eastAsia="zh-CN"/>
        </w:rPr>
        <w:t>2</w:t>
      </w:r>
      <w:r>
        <w:rPr>
          <w:rFonts w:hint="eastAsia" w:ascii="黑体" w:hAnsi="黑体" w:eastAsia="黑体" w:cs="黑体"/>
          <w:b/>
          <w:bCs/>
          <w:color w:val="auto"/>
          <w:kern w:val="0"/>
          <w:sz w:val="32"/>
          <w:szCs w:val="32"/>
        </w:rPr>
        <w:t>年部门预算说明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一、部门基本概况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二、部门预算单位构成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三、部门收支总体情况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四、一般公共预算拨款支出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五、政府性基金预算支出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六、其他重要事项的情况说明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七、名词解释</w:t>
      </w: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color w:val="auto"/>
          <w:kern w:val="0"/>
          <w:sz w:val="32"/>
          <w:szCs w:val="32"/>
        </w:rPr>
      </w:pPr>
      <w:r>
        <w:rPr>
          <w:rFonts w:hint="eastAsia" w:ascii="黑体" w:hAnsi="黑体" w:eastAsia="黑体" w:cs="黑体"/>
          <w:b/>
          <w:bCs/>
          <w:color w:val="auto"/>
          <w:kern w:val="0"/>
          <w:sz w:val="32"/>
          <w:szCs w:val="32"/>
        </w:rPr>
        <w:t>202</w:t>
      </w:r>
      <w:r>
        <w:rPr>
          <w:rFonts w:hint="eastAsia" w:ascii="黑体" w:hAnsi="黑体" w:eastAsia="黑体" w:cs="黑体"/>
          <w:b/>
          <w:bCs/>
          <w:color w:val="auto"/>
          <w:kern w:val="0"/>
          <w:sz w:val="32"/>
          <w:szCs w:val="32"/>
          <w:lang w:val="en-US" w:eastAsia="zh-CN"/>
        </w:rPr>
        <w:t>2</w:t>
      </w:r>
      <w:r>
        <w:rPr>
          <w:rFonts w:hint="eastAsia" w:ascii="黑体" w:hAnsi="黑体" w:eastAsia="黑体" w:cs="黑体"/>
          <w:b/>
          <w:bCs/>
          <w:color w:val="auto"/>
          <w:kern w:val="0"/>
          <w:sz w:val="32"/>
          <w:szCs w:val="32"/>
        </w:rPr>
        <w:t>年部门预算表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1、部门收支总表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2、部门收入总表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3、部门支出总表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4、财政拨款收支</w:t>
      </w:r>
      <w:r>
        <w:rPr>
          <w:rFonts w:hint="eastAsia" w:ascii="仿宋" w:hAnsi="仿宋" w:eastAsia="仿宋" w:cs="仿宋"/>
          <w:i w:val="0"/>
          <w:iCs w:val="0"/>
          <w:caps w:val="0"/>
          <w:color w:val="auto"/>
          <w:spacing w:val="0"/>
          <w:sz w:val="32"/>
          <w:szCs w:val="32"/>
          <w:shd w:val="clear" w:fill="FFFFFF"/>
          <w:lang w:val="en-US" w:eastAsia="zh-CN"/>
        </w:rPr>
        <w:t>总</w:t>
      </w:r>
      <w:r>
        <w:rPr>
          <w:rFonts w:hint="eastAsia" w:ascii="仿宋" w:hAnsi="仿宋" w:eastAsia="仿宋" w:cs="仿宋"/>
          <w:i w:val="0"/>
          <w:iCs w:val="0"/>
          <w:caps w:val="0"/>
          <w:color w:val="auto"/>
          <w:spacing w:val="0"/>
          <w:sz w:val="32"/>
          <w:szCs w:val="32"/>
          <w:shd w:val="clear" w:fill="FFFFFF"/>
        </w:rPr>
        <w:t>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5、一般公共预算支出表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6、一般公共预算基本支出表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7、一般公共预算“三公”经费支出表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8、政府性基金预算支出表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val="en-US" w:eastAsia="zh-CN"/>
        </w:rPr>
        <w:t>9、</w:t>
      </w:r>
      <w:r>
        <w:rPr>
          <w:rFonts w:hint="eastAsia" w:ascii="仿宋" w:hAnsi="仿宋" w:eastAsia="仿宋" w:cs="仿宋"/>
          <w:i w:val="0"/>
          <w:iCs w:val="0"/>
          <w:caps w:val="0"/>
          <w:color w:val="auto"/>
          <w:spacing w:val="0"/>
          <w:sz w:val="32"/>
          <w:szCs w:val="32"/>
          <w:shd w:val="clear" w:fill="FFFFFF"/>
        </w:rPr>
        <w:t>国有资本经营预算支出表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10、</w:t>
      </w:r>
      <w:r>
        <w:rPr>
          <w:rFonts w:hint="eastAsia" w:ascii="仿宋" w:hAnsi="仿宋" w:eastAsia="仿宋" w:cs="仿宋"/>
          <w:i w:val="0"/>
          <w:iCs w:val="0"/>
          <w:caps w:val="0"/>
          <w:color w:val="auto"/>
          <w:spacing w:val="0"/>
          <w:sz w:val="32"/>
          <w:szCs w:val="32"/>
          <w:shd w:val="clear" w:fill="FFFFFF"/>
        </w:rPr>
        <w:t>项目支出绩效目标表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11、部门</w:t>
      </w:r>
      <w:r>
        <w:rPr>
          <w:rFonts w:hint="eastAsia" w:ascii="仿宋" w:hAnsi="仿宋" w:eastAsia="仿宋" w:cs="仿宋"/>
          <w:i w:val="0"/>
          <w:iCs w:val="0"/>
          <w:caps w:val="0"/>
          <w:color w:val="auto"/>
          <w:spacing w:val="0"/>
          <w:sz w:val="32"/>
          <w:szCs w:val="32"/>
          <w:shd w:val="clear" w:fill="FFFFFF"/>
        </w:rPr>
        <w:t>整体支出绩效目标表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注：以上部门预算报表中，空表表示本部门无相关收支情况。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shd w:val="clear" w:fill="FFFFFF"/>
          <w:lang w:val="en-US" w:eastAsia="zh-CN"/>
        </w:rPr>
      </w:pPr>
    </w:p>
    <w:p>
      <w:pPr>
        <w:keepNext w:val="0"/>
        <w:keepLines w:val="0"/>
        <w:pageBreakBefore w:val="0"/>
        <w:widowControl/>
        <w:numPr>
          <w:ilvl w:val="0"/>
          <w:numId w:val="2"/>
        </w:numPr>
        <w:kinsoku/>
        <w:wordWrap/>
        <w:overflowPunct/>
        <w:topLinePunct w:val="0"/>
        <w:autoSpaceDE/>
        <w:autoSpaceDN/>
        <w:bidi w:val="0"/>
        <w:adjustRightInd/>
        <w:snapToGrid/>
        <w:spacing w:line="600" w:lineRule="exact"/>
        <w:jc w:val="center"/>
        <w:textAlignment w:val="auto"/>
        <w:rPr>
          <w:rFonts w:hint="eastAsia" w:ascii="黑体" w:hAnsi="黑体" w:eastAsia="黑体" w:cs="黑体"/>
          <w:b/>
          <w:bCs w:val="0"/>
          <w:color w:val="auto"/>
          <w:kern w:val="0"/>
          <w:sz w:val="44"/>
          <w:szCs w:val="44"/>
        </w:rPr>
      </w:pPr>
      <w:r>
        <w:rPr>
          <w:rFonts w:hint="eastAsia" w:ascii="黑体" w:hAnsi="黑体" w:eastAsia="黑体" w:cs="黑体"/>
          <w:b/>
          <w:bCs w:val="0"/>
          <w:color w:val="auto"/>
          <w:kern w:val="0"/>
          <w:sz w:val="44"/>
          <w:szCs w:val="44"/>
          <w:lang w:val="en-US" w:eastAsia="zh-CN"/>
        </w:rPr>
        <w:t>2022年</w:t>
      </w:r>
      <w:r>
        <w:rPr>
          <w:rFonts w:hint="eastAsia" w:ascii="黑体" w:hAnsi="黑体" w:eastAsia="黑体" w:cs="黑体"/>
          <w:b/>
          <w:bCs w:val="0"/>
          <w:color w:val="auto"/>
          <w:kern w:val="0"/>
          <w:sz w:val="44"/>
          <w:szCs w:val="44"/>
        </w:rPr>
        <w:t>部门预算说明</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jc w:val="both"/>
        <w:textAlignment w:val="auto"/>
        <w:rPr>
          <w:rFonts w:hint="eastAsia" w:ascii="黑体" w:hAnsi="黑体" w:eastAsia="黑体" w:cs="黑体"/>
          <w:b/>
          <w:bCs w:val="0"/>
          <w:color w:val="auto"/>
          <w:kern w:val="0"/>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eastAsia="黑体"/>
          <w:bCs/>
          <w:color w:val="auto"/>
          <w:kern w:val="0"/>
          <w:sz w:val="32"/>
          <w:szCs w:val="32"/>
        </w:rPr>
      </w:pPr>
      <w:r>
        <w:rPr>
          <w:rFonts w:eastAsia="黑体"/>
          <w:bCs/>
          <w:color w:val="auto"/>
          <w:kern w:val="0"/>
          <w:sz w:val="32"/>
          <w:szCs w:val="32"/>
        </w:rPr>
        <w:t>一、部门</w:t>
      </w:r>
      <w:r>
        <w:rPr>
          <w:rFonts w:hint="eastAsia" w:eastAsia="黑体"/>
          <w:bCs/>
          <w:color w:val="auto"/>
          <w:kern w:val="0"/>
          <w:sz w:val="32"/>
          <w:szCs w:val="32"/>
          <w:lang w:eastAsia="zh-CN"/>
        </w:rPr>
        <w:t>基本概况</w:t>
      </w:r>
    </w:p>
    <w:p>
      <w:pPr>
        <w:keepNext w:val="0"/>
        <w:keepLines w:val="0"/>
        <w:pageBreakBefore w:val="0"/>
        <w:widowControl/>
        <w:kinsoku/>
        <w:wordWrap/>
        <w:overflowPunct/>
        <w:topLinePunct w:val="0"/>
        <w:autoSpaceDE/>
        <w:autoSpaceDN/>
        <w:bidi w:val="0"/>
        <w:adjustRightInd/>
        <w:snapToGrid/>
        <w:spacing w:line="600" w:lineRule="exact"/>
        <w:ind w:firstLine="630" w:firstLineChars="196"/>
        <w:jc w:val="left"/>
        <w:textAlignment w:val="auto"/>
        <w:rPr>
          <w:rFonts w:hint="eastAsia" w:ascii="仿宋" w:hAnsi="仿宋" w:eastAsia="仿宋" w:cs="仿宋"/>
          <w:b/>
          <w:bCs w:val="0"/>
          <w:color w:val="auto"/>
          <w:sz w:val="32"/>
          <w:szCs w:val="32"/>
          <w:lang w:eastAsia="zh-CN"/>
        </w:rPr>
      </w:pPr>
      <w:r>
        <w:rPr>
          <w:rFonts w:hint="eastAsia" w:ascii="仿宋" w:hAnsi="仿宋" w:eastAsia="仿宋" w:cs="仿宋"/>
          <w:b/>
          <w:bCs w:val="0"/>
          <w:color w:val="auto"/>
          <w:sz w:val="32"/>
          <w:szCs w:val="32"/>
          <w:lang w:eastAsia="zh-CN"/>
        </w:rPr>
        <w:t>（一）部门职责</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lang w:eastAsia="zh-CN"/>
        </w:rPr>
      </w:pPr>
      <w:r>
        <w:rPr>
          <w:rFonts w:hint="eastAsia" w:ascii="仿宋" w:hAnsi="仿宋" w:eastAsia="仿宋" w:cs="仿宋"/>
          <w:b w:val="0"/>
          <w:bCs/>
          <w:color w:val="auto"/>
          <w:sz w:val="32"/>
          <w:szCs w:val="32"/>
        </w:rPr>
        <w:t>怀化市人工影响天气办公室为全额拨款的事业单位，其宗旨和业务范围是：提供人工影响天气服务，人工增雨、消雹等相关服务。</w:t>
      </w:r>
    </w:p>
    <w:p>
      <w:pPr>
        <w:keepNext w:val="0"/>
        <w:keepLines w:val="0"/>
        <w:pageBreakBefore w:val="0"/>
        <w:widowControl/>
        <w:kinsoku/>
        <w:wordWrap/>
        <w:overflowPunct/>
        <w:topLinePunct w:val="0"/>
        <w:autoSpaceDE/>
        <w:autoSpaceDN/>
        <w:bidi w:val="0"/>
        <w:adjustRightInd/>
        <w:snapToGrid/>
        <w:spacing w:line="600" w:lineRule="exact"/>
        <w:ind w:firstLine="630" w:firstLineChars="196"/>
        <w:jc w:val="left"/>
        <w:textAlignment w:val="auto"/>
        <w:rPr>
          <w:rFonts w:hint="eastAsia" w:ascii="仿宋" w:hAnsi="仿宋" w:eastAsia="仿宋" w:cs="仿宋"/>
          <w:b/>
          <w:bCs w:val="0"/>
          <w:color w:val="auto"/>
          <w:sz w:val="32"/>
          <w:szCs w:val="32"/>
          <w:lang w:eastAsia="zh-CN"/>
        </w:rPr>
      </w:pP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lang w:val="en-US" w:eastAsia="zh-CN"/>
        </w:rPr>
        <w:t>二</w:t>
      </w:r>
      <w:r>
        <w:rPr>
          <w:rFonts w:hint="eastAsia" w:ascii="仿宋" w:hAnsi="仿宋" w:eastAsia="仿宋" w:cs="仿宋"/>
          <w:b/>
          <w:bCs w:val="0"/>
          <w:color w:val="auto"/>
          <w:sz w:val="32"/>
          <w:szCs w:val="32"/>
          <w:lang w:eastAsia="zh-CN"/>
        </w:rPr>
        <w:t>）机构设置情况</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eastAsia="仿宋_GB2312"/>
          <w:color w:val="auto"/>
          <w:sz w:val="32"/>
          <w:szCs w:val="32"/>
          <w:lang w:eastAsia="zh-CN"/>
        </w:rPr>
      </w:pPr>
      <w:r>
        <w:rPr>
          <w:rFonts w:hint="eastAsia" w:ascii="仿宋" w:hAnsi="仿宋" w:eastAsia="仿宋" w:cs="仿宋"/>
          <w:b w:val="0"/>
          <w:bCs/>
          <w:color w:val="auto"/>
          <w:sz w:val="32"/>
          <w:szCs w:val="32"/>
        </w:rPr>
        <w:t>怀化市人工影响天气办公室为一级部门预算单位，无内设科室。编制数3人，实有人员3人</w:t>
      </w:r>
      <w:r>
        <w:rPr>
          <w:rFonts w:hint="eastAsia" w:ascii="仿宋_GB2312" w:hAnsi="仿宋_GB2312" w:eastAsia="仿宋_GB2312"/>
          <w:color w:val="auto"/>
          <w:sz w:val="32"/>
          <w:szCs w:val="32"/>
        </w:rPr>
        <w:t>。</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color w:val="auto"/>
          <w:kern w:val="0"/>
          <w:sz w:val="32"/>
          <w:szCs w:val="32"/>
          <w:lang w:eastAsia="zh-CN"/>
        </w:rPr>
      </w:pPr>
      <w:r>
        <w:rPr>
          <w:rFonts w:hint="eastAsia" w:eastAsia="黑体"/>
          <w:color w:val="auto"/>
          <w:kern w:val="0"/>
          <w:sz w:val="32"/>
          <w:szCs w:val="32"/>
          <w:lang w:eastAsia="zh-CN"/>
        </w:rPr>
        <w:t>二、部门预算单位构成</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怀化市人工影响天气办公室只有本级，没有其他二级预算单位，因此，纳入20</w:t>
      </w:r>
      <w:r>
        <w:rPr>
          <w:rFonts w:hint="eastAsia" w:ascii="仿宋" w:hAnsi="仿宋" w:eastAsia="仿宋" w:cs="仿宋"/>
          <w:b w:val="0"/>
          <w:bCs/>
          <w:color w:val="auto"/>
          <w:sz w:val="32"/>
          <w:szCs w:val="32"/>
          <w:lang w:val="en-US" w:eastAsia="zh-CN"/>
        </w:rPr>
        <w:t>22</w:t>
      </w:r>
      <w:r>
        <w:rPr>
          <w:rFonts w:hint="eastAsia" w:ascii="仿宋" w:hAnsi="仿宋" w:eastAsia="仿宋" w:cs="仿宋"/>
          <w:b w:val="0"/>
          <w:bCs/>
          <w:color w:val="auto"/>
          <w:sz w:val="32"/>
          <w:szCs w:val="32"/>
        </w:rPr>
        <w:t>年部门预算编制范围的只有怀化市人工影响天气办公室本级。</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color w:val="auto"/>
          <w:kern w:val="0"/>
          <w:sz w:val="32"/>
          <w:szCs w:val="32"/>
        </w:rPr>
      </w:pPr>
      <w:r>
        <w:rPr>
          <w:rFonts w:hint="eastAsia" w:eastAsia="黑体"/>
          <w:color w:val="auto"/>
          <w:kern w:val="0"/>
          <w:sz w:val="32"/>
          <w:szCs w:val="32"/>
          <w:lang w:eastAsia="zh-CN"/>
        </w:rPr>
        <w:t>三、部门收支总体情况</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lang w:eastAsia="zh-CN"/>
        </w:rPr>
      </w:pPr>
      <w:r>
        <w:rPr>
          <w:rFonts w:hint="eastAsia" w:ascii="仿宋" w:hAnsi="仿宋" w:eastAsia="仿宋" w:cs="仿宋"/>
          <w:b w:val="0"/>
          <w:bCs/>
          <w:color w:val="auto"/>
          <w:sz w:val="32"/>
          <w:szCs w:val="32"/>
          <w:lang w:eastAsia="zh-CN"/>
        </w:rPr>
        <w:t>20</w:t>
      </w:r>
      <w:r>
        <w:rPr>
          <w:rFonts w:hint="eastAsia" w:ascii="仿宋" w:hAnsi="仿宋" w:eastAsia="仿宋" w:cs="仿宋"/>
          <w:b w:val="0"/>
          <w:bCs/>
          <w:color w:val="auto"/>
          <w:sz w:val="32"/>
          <w:szCs w:val="32"/>
          <w:lang w:val="en-US" w:eastAsia="zh-CN"/>
        </w:rPr>
        <w:t>22</w:t>
      </w:r>
      <w:r>
        <w:rPr>
          <w:rFonts w:hint="eastAsia" w:ascii="仿宋" w:hAnsi="仿宋" w:eastAsia="仿宋" w:cs="仿宋"/>
          <w:b w:val="0"/>
          <w:bCs/>
          <w:color w:val="auto"/>
          <w:sz w:val="32"/>
          <w:szCs w:val="32"/>
          <w:lang w:eastAsia="zh-CN"/>
        </w:rPr>
        <w:t>年部门预算包括本单位预算内的收支情况。</w:t>
      </w:r>
    </w:p>
    <w:p>
      <w:pPr>
        <w:keepNext w:val="0"/>
        <w:keepLines w:val="0"/>
        <w:pageBreakBefore w:val="0"/>
        <w:widowControl/>
        <w:kinsoku/>
        <w:wordWrap/>
        <w:overflowPunct/>
        <w:topLinePunct w:val="0"/>
        <w:autoSpaceDE/>
        <w:autoSpaceDN/>
        <w:bidi w:val="0"/>
        <w:adjustRightInd/>
        <w:snapToGrid/>
        <w:spacing w:line="600" w:lineRule="exact"/>
        <w:ind w:firstLine="630" w:firstLineChars="196"/>
        <w:jc w:val="left"/>
        <w:textAlignment w:val="auto"/>
        <w:rPr>
          <w:rFonts w:hint="eastAsia" w:ascii="仿宋" w:hAnsi="仿宋" w:eastAsia="仿宋" w:cs="仿宋"/>
          <w:b w:val="0"/>
          <w:bCs/>
          <w:color w:val="auto"/>
          <w:sz w:val="32"/>
          <w:szCs w:val="32"/>
          <w:lang w:eastAsia="zh-CN"/>
        </w:rPr>
      </w:pP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lang w:val="en-US" w:eastAsia="zh-CN"/>
        </w:rPr>
        <w:t>一</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收入预算：</w:t>
      </w:r>
      <w:r>
        <w:rPr>
          <w:rFonts w:hint="eastAsia" w:ascii="仿宋" w:hAnsi="仿宋" w:eastAsia="仿宋" w:cs="仿宋"/>
          <w:b w:val="0"/>
          <w:bCs/>
          <w:color w:val="auto"/>
          <w:sz w:val="32"/>
          <w:szCs w:val="32"/>
        </w:rPr>
        <w:t>包括一般公共预算、政府性基金、国有资本经营预算等财政拨款收入，以及经营收入、事业收入等单位资金。</w:t>
      </w:r>
      <w:r>
        <w:rPr>
          <w:rFonts w:hint="eastAsia" w:ascii="仿宋" w:hAnsi="仿宋" w:eastAsia="仿宋" w:cs="仿宋"/>
          <w:b w:val="0"/>
          <w:bCs/>
          <w:color w:val="auto"/>
          <w:sz w:val="32"/>
          <w:szCs w:val="32"/>
          <w:lang w:val="en-US" w:eastAsia="zh-CN"/>
        </w:rPr>
        <w:t>2022</w:t>
      </w:r>
      <w:r>
        <w:rPr>
          <w:rFonts w:hint="eastAsia" w:ascii="仿宋" w:hAnsi="仿宋" w:eastAsia="仿宋" w:cs="仿宋"/>
          <w:b w:val="0"/>
          <w:bCs/>
          <w:color w:val="auto"/>
          <w:sz w:val="32"/>
          <w:szCs w:val="32"/>
        </w:rPr>
        <w:t>年本部门收入预算</w:t>
      </w:r>
      <w:r>
        <w:rPr>
          <w:rFonts w:hint="eastAsia" w:ascii="仿宋" w:hAnsi="仿宋" w:eastAsia="仿宋" w:cs="仿宋"/>
          <w:b w:val="0"/>
          <w:bCs/>
          <w:color w:val="auto"/>
          <w:sz w:val="32"/>
          <w:szCs w:val="32"/>
          <w:lang w:val="en-US" w:eastAsia="zh-CN"/>
        </w:rPr>
        <w:t>28.83</w:t>
      </w:r>
      <w:r>
        <w:rPr>
          <w:rFonts w:hint="eastAsia" w:ascii="仿宋" w:hAnsi="仿宋" w:eastAsia="仿宋" w:cs="仿宋"/>
          <w:b w:val="0"/>
          <w:bCs/>
          <w:color w:val="auto"/>
          <w:sz w:val="32"/>
          <w:szCs w:val="32"/>
        </w:rPr>
        <w:t>万元，</w:t>
      </w:r>
      <w:r>
        <w:rPr>
          <w:rFonts w:hint="eastAsia" w:ascii="仿宋" w:hAnsi="仿宋" w:eastAsia="仿宋" w:cs="仿宋"/>
          <w:b w:val="0"/>
          <w:bCs/>
          <w:color w:val="auto"/>
          <w:sz w:val="32"/>
          <w:szCs w:val="32"/>
          <w:lang w:eastAsia="zh-CN"/>
        </w:rPr>
        <w:t>其中：</w:t>
      </w:r>
      <w:r>
        <w:rPr>
          <w:rFonts w:hint="eastAsia" w:ascii="仿宋" w:hAnsi="仿宋" w:eastAsia="仿宋" w:cs="仿宋"/>
          <w:b w:val="0"/>
          <w:bCs/>
          <w:color w:val="auto"/>
          <w:sz w:val="32"/>
          <w:szCs w:val="32"/>
        </w:rPr>
        <w:t>一般公共预算拨款</w:t>
      </w:r>
      <w:r>
        <w:rPr>
          <w:rFonts w:hint="eastAsia" w:ascii="仿宋" w:hAnsi="仿宋" w:eastAsia="仿宋" w:cs="仿宋"/>
          <w:b w:val="0"/>
          <w:bCs/>
          <w:color w:val="auto"/>
          <w:sz w:val="32"/>
          <w:szCs w:val="32"/>
          <w:lang w:val="en-US" w:eastAsia="zh-CN"/>
        </w:rPr>
        <w:t>28.83</w:t>
      </w:r>
      <w:r>
        <w:rPr>
          <w:rFonts w:hint="eastAsia" w:ascii="仿宋" w:hAnsi="仿宋" w:eastAsia="仿宋" w:cs="仿宋"/>
          <w:b w:val="0"/>
          <w:bCs/>
          <w:color w:val="auto"/>
          <w:sz w:val="32"/>
          <w:szCs w:val="32"/>
        </w:rPr>
        <w:t>万元。收入较去年增加</w:t>
      </w:r>
      <w:r>
        <w:rPr>
          <w:rFonts w:hint="eastAsia" w:ascii="仿宋" w:hAnsi="仿宋" w:eastAsia="仿宋" w:cs="仿宋"/>
          <w:b w:val="0"/>
          <w:bCs/>
          <w:color w:val="auto"/>
          <w:sz w:val="32"/>
          <w:szCs w:val="32"/>
          <w:lang w:val="en-US" w:eastAsia="zh-CN"/>
        </w:rPr>
        <w:t>7.42</w:t>
      </w:r>
      <w:r>
        <w:rPr>
          <w:rFonts w:hint="eastAsia" w:ascii="仿宋" w:hAnsi="仿宋" w:eastAsia="仿宋" w:cs="仿宋"/>
          <w:b w:val="0"/>
          <w:bCs/>
          <w:color w:val="auto"/>
          <w:sz w:val="32"/>
          <w:szCs w:val="32"/>
        </w:rPr>
        <w:t>万元，</w:t>
      </w:r>
      <w:r>
        <w:rPr>
          <w:rFonts w:hint="eastAsia" w:ascii="仿宋" w:hAnsi="仿宋" w:eastAsia="仿宋" w:cs="仿宋"/>
          <w:b w:val="0"/>
          <w:bCs/>
          <w:color w:val="auto"/>
          <w:sz w:val="32"/>
          <w:szCs w:val="32"/>
          <w:lang w:val="en-US" w:eastAsia="zh-CN"/>
        </w:rPr>
        <w:t>增长34.66%，</w:t>
      </w:r>
      <w:r>
        <w:rPr>
          <w:rFonts w:hint="eastAsia" w:ascii="仿宋" w:hAnsi="仿宋" w:eastAsia="仿宋" w:cs="仿宋"/>
          <w:b w:val="0"/>
          <w:bCs/>
          <w:color w:val="auto"/>
          <w:sz w:val="32"/>
          <w:szCs w:val="32"/>
        </w:rPr>
        <w:t>主要是</w:t>
      </w:r>
      <w:r>
        <w:rPr>
          <w:rFonts w:hint="eastAsia" w:ascii="仿宋" w:hAnsi="仿宋" w:eastAsia="仿宋" w:cs="仿宋"/>
          <w:b w:val="0"/>
          <w:bCs/>
          <w:color w:val="auto"/>
          <w:sz w:val="32"/>
          <w:szCs w:val="32"/>
          <w:lang w:val="en-US" w:eastAsia="zh-CN"/>
        </w:rPr>
        <w:t>2022年增加了人员经费，将养老保险、医疗保险以及住房公积金纳入预算。且2022年工资福利支出预算经费支出较2021年扩充7.34万元</w:t>
      </w:r>
      <w:r>
        <w:rPr>
          <w:rFonts w:hint="eastAsia" w:ascii="仿宋" w:hAnsi="仿宋" w:eastAsia="仿宋" w:cs="仿宋"/>
          <w:b w:val="0"/>
          <w:bCs/>
          <w:color w:val="auto"/>
          <w:sz w:val="32"/>
          <w:szCs w:val="32"/>
        </w:rPr>
        <w:t>。</w:t>
      </w:r>
    </w:p>
    <w:p>
      <w:pPr>
        <w:keepNext w:val="0"/>
        <w:keepLines w:val="0"/>
        <w:pageBreakBefore w:val="0"/>
        <w:widowControl/>
        <w:kinsoku/>
        <w:wordWrap/>
        <w:overflowPunct/>
        <w:topLinePunct w:val="0"/>
        <w:autoSpaceDE/>
        <w:autoSpaceDN/>
        <w:bidi w:val="0"/>
        <w:adjustRightInd/>
        <w:snapToGrid/>
        <w:spacing w:line="600" w:lineRule="exact"/>
        <w:ind w:firstLine="630" w:firstLineChars="196"/>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bCs w:val="0"/>
          <w:color w:val="auto"/>
          <w:sz w:val="32"/>
          <w:szCs w:val="32"/>
        </w:rPr>
        <w:t>（二）支出预算：</w:t>
      </w:r>
      <w:r>
        <w:rPr>
          <w:rFonts w:hint="eastAsia" w:ascii="仿宋" w:hAnsi="仿宋" w:eastAsia="仿宋" w:cs="仿宋"/>
          <w:b w:val="0"/>
          <w:bCs/>
          <w:color w:val="auto"/>
          <w:sz w:val="32"/>
          <w:szCs w:val="32"/>
          <w:lang w:val="en-US" w:eastAsia="zh-CN"/>
        </w:rPr>
        <w:t>2022</w:t>
      </w:r>
      <w:r>
        <w:rPr>
          <w:rFonts w:hint="eastAsia" w:ascii="仿宋" w:hAnsi="仿宋" w:eastAsia="仿宋" w:cs="仿宋"/>
          <w:b w:val="0"/>
          <w:bCs/>
          <w:color w:val="auto"/>
          <w:sz w:val="32"/>
          <w:szCs w:val="32"/>
        </w:rPr>
        <w:t>年本部门支出预算</w:t>
      </w:r>
      <w:r>
        <w:rPr>
          <w:rFonts w:hint="eastAsia" w:ascii="仿宋" w:hAnsi="仿宋" w:eastAsia="仿宋" w:cs="仿宋"/>
          <w:b w:val="0"/>
          <w:bCs/>
          <w:color w:val="auto"/>
          <w:sz w:val="32"/>
          <w:szCs w:val="32"/>
          <w:lang w:val="en-US" w:eastAsia="zh-CN"/>
        </w:rPr>
        <w:t>28.83</w:t>
      </w:r>
      <w:r>
        <w:rPr>
          <w:rFonts w:hint="eastAsia" w:ascii="仿宋" w:hAnsi="仿宋" w:eastAsia="仿宋" w:cs="仿宋"/>
          <w:b w:val="0"/>
          <w:bCs/>
          <w:color w:val="auto"/>
          <w:sz w:val="32"/>
          <w:szCs w:val="32"/>
        </w:rPr>
        <w:t>万元，其中，</w:t>
      </w:r>
      <w:r>
        <w:rPr>
          <w:rFonts w:hint="eastAsia" w:ascii="仿宋" w:hAnsi="仿宋" w:eastAsia="仿宋" w:cs="仿宋"/>
          <w:b w:val="0"/>
          <w:bCs/>
          <w:color w:val="auto"/>
          <w:sz w:val="32"/>
          <w:szCs w:val="32"/>
          <w:lang w:eastAsia="zh-CN"/>
        </w:rPr>
        <w:t>社会保障和就业支出</w:t>
      </w:r>
      <w:r>
        <w:rPr>
          <w:rFonts w:hint="eastAsia" w:ascii="仿宋" w:hAnsi="仿宋" w:eastAsia="仿宋" w:cs="仿宋"/>
          <w:b w:val="0"/>
          <w:bCs/>
          <w:color w:val="auto"/>
          <w:sz w:val="32"/>
          <w:szCs w:val="32"/>
          <w:lang w:val="en-US" w:eastAsia="zh-CN"/>
        </w:rPr>
        <w:t>2.75万元，卫生健康支出1.46万元，自然资源海洋气象等支出22.55万元，住房保障支出2.07万元</w:t>
      </w:r>
      <w:r>
        <w:rPr>
          <w:rFonts w:hint="eastAsia" w:ascii="仿宋" w:hAnsi="仿宋" w:eastAsia="仿宋" w:cs="仿宋"/>
          <w:b w:val="0"/>
          <w:bCs/>
          <w:color w:val="auto"/>
          <w:sz w:val="32"/>
          <w:szCs w:val="32"/>
        </w:rPr>
        <w:t>。支出较去年增加</w:t>
      </w:r>
      <w:r>
        <w:rPr>
          <w:rFonts w:hint="eastAsia" w:ascii="仿宋" w:hAnsi="仿宋" w:eastAsia="仿宋" w:cs="仿宋"/>
          <w:b w:val="0"/>
          <w:bCs/>
          <w:color w:val="auto"/>
          <w:sz w:val="32"/>
          <w:szCs w:val="32"/>
          <w:lang w:val="en-US" w:eastAsia="zh-CN"/>
        </w:rPr>
        <w:t>7.42</w:t>
      </w:r>
      <w:r>
        <w:rPr>
          <w:rFonts w:hint="eastAsia" w:ascii="仿宋" w:hAnsi="仿宋" w:eastAsia="仿宋" w:cs="仿宋"/>
          <w:b w:val="0"/>
          <w:bCs/>
          <w:color w:val="auto"/>
          <w:sz w:val="32"/>
          <w:szCs w:val="32"/>
        </w:rPr>
        <w:t>万元，</w:t>
      </w:r>
      <w:r>
        <w:rPr>
          <w:rFonts w:hint="eastAsia" w:ascii="仿宋" w:hAnsi="仿宋" w:eastAsia="仿宋" w:cs="仿宋"/>
          <w:b w:val="0"/>
          <w:bCs/>
          <w:color w:val="auto"/>
          <w:sz w:val="32"/>
          <w:szCs w:val="32"/>
          <w:lang w:val="en-US" w:eastAsia="zh-CN"/>
        </w:rPr>
        <w:t>增长34.66%，</w:t>
      </w:r>
      <w:r>
        <w:rPr>
          <w:rFonts w:hint="eastAsia" w:ascii="仿宋" w:hAnsi="仿宋" w:eastAsia="仿宋" w:cs="仿宋"/>
          <w:b w:val="0"/>
          <w:bCs/>
          <w:color w:val="auto"/>
          <w:sz w:val="32"/>
          <w:szCs w:val="32"/>
          <w:lang w:eastAsia="zh-CN"/>
        </w:rPr>
        <w:t>主要是</w:t>
      </w:r>
      <w:r>
        <w:rPr>
          <w:rFonts w:hint="eastAsia" w:ascii="仿宋" w:hAnsi="仿宋" w:eastAsia="仿宋" w:cs="仿宋"/>
          <w:b w:val="0"/>
          <w:bCs/>
          <w:color w:val="auto"/>
          <w:sz w:val="32"/>
          <w:szCs w:val="32"/>
          <w:lang w:val="en-US" w:eastAsia="zh-CN"/>
        </w:rPr>
        <w:t>2022年增加了人员经费，将养老保险、医疗保险以及住房公积金纳入预算。且2022年工资福利支出预算经费支出较2021年扩充7.34万元。</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eastAsia="黑体"/>
          <w:bCs/>
          <w:color w:val="auto"/>
          <w:kern w:val="0"/>
          <w:sz w:val="32"/>
          <w:szCs w:val="32"/>
          <w:lang w:eastAsia="zh-CN"/>
        </w:rPr>
      </w:pPr>
      <w:bookmarkStart w:id="0" w:name="_GoBack"/>
      <w:bookmarkEnd w:id="0"/>
      <w:r>
        <w:rPr>
          <w:rFonts w:hint="eastAsia" w:eastAsia="黑体"/>
          <w:color w:val="auto"/>
          <w:sz w:val="32"/>
          <w:szCs w:val="32"/>
          <w:lang w:eastAsia="zh-CN"/>
        </w:rPr>
        <w:t>四、一般公共预算拨款支出</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2022年本部门一般公共预算拨款支出预算28.83万元，其中社会保障和就业2.75万元，占9.54%；卫生健康支出1.46万元，占5.06%；自然资源海洋气象等支出22.55万元，占78.22%；住房保障支出2.07万元，占7.18%。具体安排情况如下：</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（一）基本支出：</w:t>
      </w:r>
      <w:r>
        <w:rPr>
          <w:rFonts w:hint="eastAsia" w:ascii="仿宋" w:hAnsi="仿宋" w:eastAsia="仿宋" w:cs="仿宋"/>
          <w:color w:val="auto"/>
          <w:sz w:val="32"/>
          <w:szCs w:val="32"/>
          <w:lang w:val="en-US" w:eastAsia="zh-CN"/>
        </w:rPr>
        <w:t>2022年年初预算数为28.83万元，是指为保障单位机构正常运转、完成日常工作任务而发生的各项支出，包括用于机关事业单位基本养老保险缴费2.75万元、职工基本医疗保险缴费1.46万元、基本工资9.71万元、住房公积金支出2.07万元、津贴补贴0.04万元、绩效工资7.47万元、工会经费0.34万元、其他社会保障缴费0.25万元、邮电费0.4万元、公务用车运行维护费1.89万元、劳务费0.4万元、维护（修）费0.3万元、差旅费0.36万元、租赁费0.2万元、办公费0.5万元、其他商品和服务支出0.2万元、其他工资福利支出0.49万元等；</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eastAsia="仿宋_GB2312"/>
          <w:color w:val="auto"/>
          <w:sz w:val="32"/>
          <w:szCs w:val="32"/>
          <w:lang w:val="en-US" w:eastAsia="zh-CN"/>
        </w:rPr>
      </w:pPr>
      <w:r>
        <w:rPr>
          <w:rFonts w:hint="eastAsia" w:ascii="仿宋" w:hAnsi="仿宋" w:eastAsia="仿宋" w:cs="仿宋"/>
          <w:b/>
          <w:bCs/>
          <w:color w:val="auto"/>
          <w:sz w:val="32"/>
          <w:szCs w:val="32"/>
          <w:lang w:val="en-US" w:eastAsia="zh-CN"/>
        </w:rPr>
        <w:t>（二）项目支出：</w:t>
      </w:r>
      <w:r>
        <w:rPr>
          <w:rFonts w:hint="eastAsia" w:ascii="仿宋" w:hAnsi="仿宋" w:eastAsia="仿宋" w:cs="仿宋"/>
          <w:color w:val="auto"/>
          <w:sz w:val="32"/>
          <w:szCs w:val="32"/>
          <w:lang w:val="en-US" w:eastAsia="zh-CN"/>
        </w:rPr>
        <w:t>2022年年初预算数为0万元。</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黑体" w:hAnsi="黑体" w:eastAsia="黑体" w:cs="黑体"/>
          <w:color w:val="auto"/>
          <w:sz w:val="32"/>
          <w:szCs w:val="32"/>
          <w:lang w:eastAsia="zh-CN"/>
        </w:rPr>
      </w:pPr>
      <w:r>
        <w:rPr>
          <w:rFonts w:hint="eastAsia" w:eastAsia="黑体"/>
          <w:color w:val="auto"/>
          <w:sz w:val="32"/>
          <w:szCs w:val="32"/>
          <w:lang w:eastAsia="zh-CN"/>
        </w:rPr>
        <w:t>五、政府性基金预算支出</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2022年本部门无政府性基金预算支出。</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jc w:val="left"/>
        <w:textAlignment w:val="auto"/>
        <w:outlineLvl w:val="9"/>
        <w:rPr>
          <w:rFonts w:hint="eastAsia" w:eastAsia="黑体"/>
          <w:bCs/>
          <w:color w:val="auto"/>
          <w:kern w:val="0"/>
          <w:sz w:val="32"/>
          <w:szCs w:val="32"/>
          <w:lang w:eastAsia="zh-CN"/>
        </w:rPr>
      </w:pPr>
      <w:r>
        <w:rPr>
          <w:rFonts w:hint="eastAsia" w:eastAsia="黑体"/>
          <w:bCs/>
          <w:color w:val="auto"/>
          <w:kern w:val="0"/>
          <w:sz w:val="32"/>
          <w:szCs w:val="32"/>
          <w:lang w:val="en-US" w:eastAsia="zh-CN"/>
        </w:rPr>
        <w:t xml:space="preserve">    </w:t>
      </w:r>
      <w:r>
        <w:rPr>
          <w:rFonts w:hint="eastAsia" w:eastAsia="黑体"/>
          <w:color w:val="auto"/>
          <w:sz w:val="32"/>
          <w:szCs w:val="32"/>
          <w:lang w:eastAsia="zh-CN"/>
        </w:rPr>
        <w:t>六、其他重要事项的情况说明</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b/>
          <w:bCs w:val="0"/>
          <w:color w:val="auto"/>
          <w:sz w:val="32"/>
          <w:szCs w:val="32"/>
          <w:lang w:val="en-US" w:eastAsia="zh-CN"/>
        </w:rPr>
      </w:pPr>
      <w:r>
        <w:rPr>
          <w:rFonts w:hint="eastAsia" w:ascii="仿宋" w:hAnsi="仿宋" w:eastAsia="仿宋" w:cs="仿宋"/>
          <w:b/>
          <w:bCs w:val="0"/>
          <w:color w:val="auto"/>
          <w:sz w:val="32"/>
          <w:szCs w:val="32"/>
          <w:lang w:val="en-US" w:eastAsia="zh-CN"/>
        </w:rPr>
        <w:t>（一）“三公”经费预算</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2022年</w:t>
      </w:r>
      <w:r>
        <w:rPr>
          <w:rFonts w:hint="eastAsia" w:ascii="仿宋" w:hAnsi="仿宋" w:eastAsia="仿宋" w:cs="仿宋"/>
          <w:b w:val="0"/>
          <w:bCs/>
          <w:color w:val="auto"/>
          <w:sz w:val="32"/>
          <w:szCs w:val="32"/>
        </w:rPr>
        <w:t>本部门</w:t>
      </w:r>
      <w:r>
        <w:rPr>
          <w:rFonts w:hint="eastAsia" w:ascii="仿宋" w:hAnsi="仿宋" w:eastAsia="仿宋" w:cs="仿宋"/>
          <w:b w:val="0"/>
          <w:bCs/>
          <w:color w:val="auto"/>
          <w:sz w:val="32"/>
          <w:szCs w:val="32"/>
          <w:lang w:val="en-US" w:eastAsia="zh-CN"/>
        </w:rPr>
        <w:t>一般公共预算拨款安排“三公”经费预算数为1.89万元，其中，公务接待费0元，公务用车购置费0元，公务用车运行费1.89万元，因公出国（境）费0元。2022年“三公”经费预算较2021年预算数无变化。因为2022年较2021年相比，无三公预算增减需求。</w:t>
      </w:r>
    </w:p>
    <w:p>
      <w:pPr>
        <w:keepNext w:val="0"/>
        <w:keepLines w:val="0"/>
        <w:pageBreakBefore w:val="0"/>
        <w:widowControl/>
        <w:numPr>
          <w:ilvl w:val="0"/>
          <w:numId w:val="3"/>
        </w:numPr>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b/>
          <w:bCs w:val="0"/>
          <w:color w:val="auto"/>
          <w:sz w:val="32"/>
          <w:szCs w:val="32"/>
          <w:lang w:val="en-US" w:eastAsia="zh-CN"/>
        </w:rPr>
      </w:pPr>
      <w:r>
        <w:rPr>
          <w:rFonts w:hint="eastAsia" w:ascii="仿宋" w:hAnsi="仿宋" w:eastAsia="仿宋" w:cs="仿宋"/>
          <w:b/>
          <w:bCs w:val="0"/>
          <w:color w:val="auto"/>
          <w:sz w:val="32"/>
          <w:szCs w:val="32"/>
          <w:lang w:val="en-US" w:eastAsia="zh-CN"/>
        </w:rPr>
        <w:t>机关运行经费</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2022年本部门机关运行经费一般公共预算拨款4.5万元，主要因为商品和服务支出共计增加0.08万元，主要用于：其他社会保障缴费0.25万元、公务用车运行维护费1.89万元、劳务费0.4万元、维护（修）费0.3万元、邮电费支出0.04万元；差旅费支出0.36万元；其他商品服务支出0.02万元等。</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bCs w:val="0"/>
          <w:color w:val="auto"/>
          <w:sz w:val="32"/>
          <w:szCs w:val="32"/>
          <w:lang w:val="en-US" w:eastAsia="zh-CN"/>
        </w:rPr>
        <w:t>（三）政府采购情况</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 xml:space="preserve"> 2022年本部门政府采购预算总额0万元，其中，货物类采购预算0万元；工程类采购预算0万元；服务类采购预算0万元。</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bCs w:val="0"/>
          <w:color w:val="auto"/>
          <w:sz w:val="32"/>
          <w:szCs w:val="32"/>
          <w:lang w:val="en-US" w:eastAsia="zh-CN"/>
        </w:rPr>
        <w:t>（四）预算绩效目标说明</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本部门所有支出实行绩效目标管理。纳入</w:t>
      </w:r>
      <w:r>
        <w:rPr>
          <w:rFonts w:hint="eastAsia" w:ascii="仿宋" w:hAnsi="仿宋" w:eastAsia="仿宋" w:cs="仿宋"/>
          <w:b w:val="0"/>
          <w:bCs/>
          <w:color w:val="auto"/>
          <w:sz w:val="32"/>
          <w:szCs w:val="32"/>
          <w:lang w:val="en-US" w:eastAsia="zh-CN"/>
        </w:rPr>
        <w:t>2022</w:t>
      </w:r>
      <w:r>
        <w:rPr>
          <w:rFonts w:hint="eastAsia" w:ascii="仿宋" w:hAnsi="仿宋" w:eastAsia="仿宋" w:cs="仿宋"/>
          <w:b w:val="0"/>
          <w:bCs/>
          <w:color w:val="auto"/>
          <w:sz w:val="32"/>
          <w:szCs w:val="32"/>
        </w:rPr>
        <w:t>年部门整体支出绩效目标的金额为</w:t>
      </w:r>
      <w:r>
        <w:rPr>
          <w:rFonts w:hint="eastAsia" w:ascii="仿宋" w:hAnsi="仿宋" w:eastAsia="仿宋" w:cs="仿宋"/>
          <w:b w:val="0"/>
          <w:bCs/>
          <w:color w:val="auto"/>
          <w:sz w:val="32"/>
          <w:szCs w:val="32"/>
          <w:lang w:val="en-US" w:eastAsia="zh-CN"/>
        </w:rPr>
        <w:t>28.83</w:t>
      </w:r>
      <w:r>
        <w:rPr>
          <w:rFonts w:hint="eastAsia" w:ascii="仿宋" w:hAnsi="仿宋" w:eastAsia="仿宋" w:cs="仿宋"/>
          <w:b w:val="0"/>
          <w:bCs/>
          <w:color w:val="auto"/>
          <w:sz w:val="32"/>
          <w:szCs w:val="32"/>
        </w:rPr>
        <w:t>万元，其中，基本支出</w:t>
      </w:r>
      <w:r>
        <w:rPr>
          <w:rFonts w:hint="eastAsia" w:ascii="仿宋" w:hAnsi="仿宋" w:eastAsia="仿宋" w:cs="仿宋"/>
          <w:b w:val="0"/>
          <w:bCs/>
          <w:color w:val="auto"/>
          <w:sz w:val="32"/>
          <w:szCs w:val="32"/>
          <w:lang w:val="en-US" w:eastAsia="zh-CN"/>
        </w:rPr>
        <w:t>28.83</w:t>
      </w:r>
      <w:r>
        <w:rPr>
          <w:rFonts w:hint="eastAsia" w:ascii="仿宋" w:hAnsi="仿宋" w:eastAsia="仿宋" w:cs="仿宋"/>
          <w:b w:val="0"/>
          <w:bCs/>
          <w:color w:val="auto"/>
          <w:sz w:val="32"/>
          <w:szCs w:val="32"/>
        </w:rPr>
        <w:t>万元，项目支出</w:t>
      </w:r>
      <w:r>
        <w:rPr>
          <w:rFonts w:hint="eastAsia" w:ascii="仿宋" w:hAnsi="仿宋" w:eastAsia="仿宋" w:cs="仿宋"/>
          <w:b w:val="0"/>
          <w:bCs/>
          <w:color w:val="auto"/>
          <w:sz w:val="32"/>
          <w:szCs w:val="32"/>
          <w:lang w:val="en-US" w:eastAsia="zh-CN"/>
        </w:rPr>
        <w:t>0</w:t>
      </w:r>
      <w:r>
        <w:rPr>
          <w:rFonts w:hint="eastAsia" w:ascii="仿宋" w:hAnsi="仿宋" w:eastAsia="仿宋" w:cs="仿宋"/>
          <w:b w:val="0"/>
          <w:bCs/>
          <w:color w:val="auto"/>
          <w:sz w:val="32"/>
          <w:szCs w:val="32"/>
        </w:rPr>
        <w:t>万元，具体绩效目标详见报表。详见附件2022 年项目支出绩效目标表。</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bCs w:val="0"/>
          <w:color w:val="auto"/>
          <w:sz w:val="32"/>
          <w:szCs w:val="32"/>
          <w:lang w:val="en-US" w:eastAsia="zh-CN"/>
        </w:rPr>
        <w:t>（五） 国有资产占用情况</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1.截至2021年12月31日，本部门无车辆，但是从怀化市气象局借用一辆车用于业务运行。本部门无</w:t>
      </w:r>
      <w:r>
        <w:rPr>
          <w:rFonts w:hint="eastAsia" w:ascii="仿宋" w:hAnsi="仿宋" w:eastAsia="仿宋" w:cs="仿宋"/>
          <w:b w:val="0"/>
          <w:bCs/>
          <w:color w:val="auto"/>
          <w:sz w:val="32"/>
          <w:szCs w:val="32"/>
        </w:rPr>
        <w:t>单位价值50 万元以上</w:t>
      </w:r>
      <w:r>
        <w:rPr>
          <w:rFonts w:hint="eastAsia" w:ascii="仿宋" w:hAnsi="仿宋" w:eastAsia="仿宋" w:cs="仿宋"/>
          <w:b w:val="0"/>
          <w:bCs/>
          <w:color w:val="auto"/>
          <w:sz w:val="32"/>
          <w:szCs w:val="32"/>
          <w:lang w:eastAsia="zh-CN"/>
        </w:rPr>
        <w:t>的</w:t>
      </w:r>
      <w:r>
        <w:rPr>
          <w:rFonts w:hint="eastAsia" w:ascii="仿宋" w:hAnsi="仿宋" w:eastAsia="仿宋" w:cs="仿宋"/>
          <w:b w:val="0"/>
          <w:bCs/>
          <w:color w:val="auto"/>
          <w:sz w:val="32"/>
          <w:szCs w:val="32"/>
        </w:rPr>
        <w:t>通用设备</w:t>
      </w:r>
      <w:r>
        <w:rPr>
          <w:rFonts w:hint="eastAsia" w:ascii="仿宋" w:hAnsi="仿宋" w:eastAsia="仿宋" w:cs="仿宋"/>
          <w:b w:val="0"/>
          <w:bCs/>
          <w:color w:val="auto"/>
          <w:sz w:val="32"/>
          <w:szCs w:val="32"/>
          <w:lang w:eastAsia="zh-CN"/>
        </w:rPr>
        <w:t>和</w:t>
      </w:r>
      <w:r>
        <w:rPr>
          <w:rFonts w:hint="eastAsia" w:ascii="仿宋" w:hAnsi="仿宋" w:eastAsia="仿宋" w:cs="仿宋"/>
          <w:b w:val="0"/>
          <w:bCs/>
          <w:color w:val="auto"/>
          <w:sz w:val="32"/>
          <w:szCs w:val="32"/>
        </w:rPr>
        <w:t>单价100 万元以上专用设备。</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2.截至2022年，本部门无新增车辆，无新增50万元以上的通用设备和专用设备。</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b/>
          <w:bCs w:val="0"/>
          <w:color w:val="auto"/>
          <w:sz w:val="32"/>
          <w:szCs w:val="32"/>
          <w:lang w:val="en-US" w:eastAsia="zh-CN"/>
        </w:rPr>
      </w:pPr>
      <w:r>
        <w:rPr>
          <w:rFonts w:hint="eastAsia" w:ascii="仿宋" w:hAnsi="仿宋" w:eastAsia="仿宋" w:cs="仿宋"/>
          <w:b/>
          <w:bCs w:val="0"/>
          <w:color w:val="auto"/>
          <w:sz w:val="32"/>
          <w:szCs w:val="32"/>
          <w:lang w:val="en-US" w:eastAsia="zh-CN"/>
        </w:rPr>
        <w:t>（六）一般性支出情况</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1.2022年本部门无会议费预算。</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2.2022年本部门无培训费预算。</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eastAsia="仿宋_GB2312"/>
          <w:b w:val="0"/>
          <w:bCs w:val="0"/>
          <w:color w:val="auto"/>
          <w:sz w:val="32"/>
          <w:szCs w:val="32"/>
          <w:lang w:val="en-US" w:eastAsia="zh-CN"/>
        </w:rPr>
      </w:pPr>
      <w:r>
        <w:rPr>
          <w:rFonts w:hint="eastAsia" w:ascii="仿宋" w:hAnsi="仿宋" w:eastAsia="仿宋" w:cs="仿宋"/>
          <w:b w:val="0"/>
          <w:bCs/>
          <w:color w:val="auto"/>
          <w:sz w:val="32"/>
          <w:szCs w:val="32"/>
          <w:lang w:val="en-US" w:eastAsia="zh-CN"/>
        </w:rPr>
        <w:t>3.2022年本部门无举办节庆、晚会、论坛、赛事等预算。</w:t>
      </w: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eastAsia="黑体"/>
          <w:color w:val="auto"/>
          <w:sz w:val="32"/>
          <w:szCs w:val="32"/>
          <w:lang w:val="en-US" w:eastAsia="zh-CN"/>
        </w:rPr>
      </w:pPr>
      <w:r>
        <w:rPr>
          <w:rFonts w:hint="eastAsia" w:eastAsia="黑体"/>
          <w:color w:val="auto"/>
          <w:sz w:val="32"/>
          <w:szCs w:val="32"/>
          <w:lang w:eastAsia="zh-CN"/>
        </w:rPr>
        <w:t>七、</w:t>
      </w:r>
      <w:r>
        <w:rPr>
          <w:rFonts w:hint="eastAsia" w:eastAsia="黑体"/>
          <w:color w:val="auto"/>
          <w:sz w:val="32"/>
          <w:szCs w:val="32"/>
        </w:rPr>
        <w:t>专业名词解释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1、一般公共预算拨款收入：指区财政当年拨付的资金。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2、基本支出：指为保障机构正常运转、完成日常工作任务而发生的人员支出和公用支出。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3、项目支出：指在基本支出之外为完成特定行政任务和事业发展目标所发生的支出。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4、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5、“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pPr>
        <w:numPr>
          <w:ilvl w:val="0"/>
          <w:numId w:val="0"/>
        </w:numPr>
        <w:ind w:firstLine="640" w:firstLineChars="200"/>
        <w:rPr>
          <w:rFonts w:hint="eastAsia" w:ascii="仿宋" w:hAnsi="仿宋" w:eastAsia="仿宋" w:cs="仿宋"/>
          <w:color w:val="auto"/>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仿宋" w:hAnsi="仿宋" w:eastAsia="仿宋" w:cs="仿宋"/>
          <w:b/>
          <w:bCs w:val="0"/>
          <w:color w:val="auto"/>
          <w:kern w:val="0"/>
          <w:sz w:val="36"/>
          <w:szCs w:val="36"/>
        </w:rPr>
      </w:pPr>
      <w:r>
        <w:rPr>
          <w:rFonts w:hint="eastAsia" w:ascii="黑体" w:hAnsi="黑体" w:eastAsia="黑体" w:cs="黑体"/>
          <w:b/>
          <w:bCs w:val="0"/>
          <w:color w:val="auto"/>
          <w:kern w:val="0"/>
          <w:sz w:val="44"/>
          <w:szCs w:val="44"/>
        </w:rPr>
        <w:t>第二部分 202</w:t>
      </w:r>
      <w:r>
        <w:rPr>
          <w:rFonts w:hint="eastAsia" w:ascii="黑体" w:hAnsi="黑体" w:eastAsia="黑体" w:cs="黑体"/>
          <w:b/>
          <w:bCs w:val="0"/>
          <w:color w:val="auto"/>
          <w:kern w:val="0"/>
          <w:sz w:val="44"/>
          <w:szCs w:val="44"/>
          <w:lang w:val="en-US" w:eastAsia="zh-CN"/>
        </w:rPr>
        <w:t>2</w:t>
      </w:r>
      <w:r>
        <w:rPr>
          <w:rFonts w:hint="eastAsia" w:ascii="黑体" w:hAnsi="黑体" w:eastAsia="黑体" w:cs="黑体"/>
          <w:b/>
          <w:bCs w:val="0"/>
          <w:color w:val="auto"/>
          <w:kern w:val="0"/>
          <w:sz w:val="44"/>
          <w:szCs w:val="44"/>
        </w:rPr>
        <w:t>年部门预算表</w:t>
      </w:r>
    </w:p>
    <w:p>
      <w:pPr>
        <w:widowControl/>
        <w:spacing w:line="600" w:lineRule="exact"/>
        <w:ind w:left="0" w:leftChars="0" w:firstLine="0" w:firstLineChars="0"/>
        <w:jc w:val="center"/>
        <w:rPr>
          <w:rFonts w:ascii="宋体" w:hAnsi="宋体" w:eastAsia="宋体" w:cs="宋体"/>
          <w:color w:val="auto"/>
          <w:sz w:val="30"/>
          <w:szCs w:val="30"/>
        </w:rPr>
      </w:pPr>
      <w:r>
        <w:rPr>
          <w:rFonts w:ascii="宋体" w:hAnsi="宋体" w:eastAsia="宋体" w:cs="宋体"/>
          <w:color w:val="auto"/>
          <w:sz w:val="30"/>
          <w:szCs w:val="30"/>
        </w:rPr>
        <w:t>(具体见附件)</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olor w:val="auto"/>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olor w:val="auto"/>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olor w:val="auto"/>
          <w:sz w:val="32"/>
          <w:szCs w:val="32"/>
          <w:lang w:val="en-US" w:eastAsia="zh-CN"/>
        </w:rPr>
      </w:pPr>
      <w:r>
        <w:rPr>
          <w:rFonts w:hint="eastAsia" w:eastAsia="仿宋_GB2312"/>
          <w:color w:val="auto"/>
          <w:sz w:val="32"/>
          <w:szCs w:val="32"/>
          <w:lang w:val="en-US" w:eastAsia="zh-CN"/>
        </w:rPr>
        <w:t xml:space="preserve">                       怀化市人工影响天气办公室</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olor w:val="auto"/>
          <w:sz w:val="32"/>
          <w:szCs w:val="32"/>
          <w:lang w:val="en-US" w:eastAsia="zh-CN"/>
        </w:rPr>
      </w:pPr>
      <w:r>
        <w:rPr>
          <w:rFonts w:hint="eastAsia" w:eastAsia="仿宋_GB2312"/>
          <w:color w:val="auto"/>
          <w:sz w:val="32"/>
          <w:szCs w:val="32"/>
          <w:lang w:val="en-US" w:eastAsia="zh-CN"/>
        </w:rPr>
        <w:t xml:space="preserve">                            2022年3月16日</w:t>
      </w:r>
    </w:p>
    <w:p>
      <w:pPr>
        <w:rPr>
          <w:color w:val="auto"/>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6670" cy="131445"/>
              <wp:effectExtent l="0" t="0" r="0" b="0"/>
              <wp:wrapSquare wrapText="bothSides"/>
              <wp:docPr id="1" name="文本框 1"/>
              <wp:cNvGraphicFramePr/>
              <a:graphic xmlns:a="http://schemas.openxmlformats.org/drawingml/2006/main">
                <a:graphicData uri="http://schemas.microsoft.com/office/word/2010/wordprocessingShape">
                  <wps:wsp>
                    <wps:cNvSpPr txBox="1"/>
                    <wps:spPr>
                      <a:xfrm>
                        <a:off x="0" y="0"/>
                        <a:ext cx="26670" cy="131445"/>
                      </a:xfrm>
                      <a:prstGeom prst="rect">
                        <a:avLst/>
                      </a:prstGeom>
                      <a:noFill/>
                      <a:ln w="9525">
                        <a:noFill/>
                      </a:ln>
                    </wps:spPr>
                    <wps:txbx>
                      <w:txbxContent>
                        <w:p>
                          <w:pPr>
                            <w:pStyle w:val="2"/>
                            <w:rPr>
                              <w:rStyle w:val="7"/>
                            </w:rPr>
                          </w:pPr>
                          <w:r>
                            <w:fldChar w:fldCharType="begin"/>
                          </w:r>
                          <w:r>
                            <w:rPr>
                              <w:rStyle w:val="7"/>
                            </w:rPr>
                            <w:instrText xml:space="preserve">PAGE  </w:instrText>
                          </w:r>
                          <w:r>
                            <w:fldChar w:fldCharType="separate"/>
                          </w:r>
                          <w:r>
                            <w:rPr>
                              <w:rStyle w:val="7"/>
                            </w:rP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2.1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jUeE/dAAAAACAQAADwAAAAAAAAABACAAAAAiAAAA&#10;ZHJzL2Rvd25yZXYueG1sUEsBAhQAFAAAAAgAh07iQLggJy/WAQAAnwMAAA4AAAAAAAAAAQAgAAAA&#10;HwEAAGRycy9lMm9Eb2MueG1sUEsFBgAAAAAGAAYAWQEAAGcFAAAAAA==&#10;">
              <v:fill on="f" focussize="0,0"/>
              <v:stroke on="f"/>
              <v:imagedata o:title=""/>
              <o:lock v:ext="edit" aspectratio="f"/>
              <v:textbox inset="0mm,0mm,0mm,0mm" style="mso-fit-shape-to-text:t;">
                <w:txbxContent>
                  <w:p>
                    <w:pPr>
                      <w:pStyle w:val="2"/>
                      <w:rPr>
                        <w:rStyle w:val="7"/>
                      </w:rPr>
                    </w:pPr>
                    <w:r>
                      <w:fldChar w:fldCharType="begin"/>
                    </w:r>
                    <w:r>
                      <w:rPr>
                        <w:rStyle w:val="7"/>
                      </w:rPr>
                      <w:instrText xml:space="preserve">PAGE  </w:instrText>
                    </w:r>
                    <w:r>
                      <w:fldChar w:fldCharType="separate"/>
                    </w:r>
                    <w:r>
                      <w:rPr>
                        <w:rStyle w:val="7"/>
                      </w:rPr>
                      <w:t>1</w:t>
                    </w:r>
                    <w:r>
                      <w:fldChar w:fldCharType="end"/>
                    </w:r>
                  </w:p>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24181E"/>
    <w:multiLevelType w:val="singleLevel"/>
    <w:tmpl w:val="0324181E"/>
    <w:lvl w:ilvl="0" w:tentative="0">
      <w:start w:val="1"/>
      <w:numFmt w:val="chineseCounting"/>
      <w:suff w:val="space"/>
      <w:lvlText w:val="第%1部分"/>
      <w:lvlJc w:val="left"/>
      <w:rPr>
        <w:rFonts w:hint="eastAsia"/>
      </w:rPr>
    </w:lvl>
  </w:abstractNum>
  <w:abstractNum w:abstractNumId="1">
    <w:nsid w:val="19A0957C"/>
    <w:multiLevelType w:val="singleLevel"/>
    <w:tmpl w:val="19A0957C"/>
    <w:lvl w:ilvl="0" w:tentative="0">
      <w:start w:val="1"/>
      <w:numFmt w:val="chineseCounting"/>
      <w:suff w:val="space"/>
      <w:lvlText w:val="第%1部分"/>
      <w:lvlJc w:val="left"/>
      <w:rPr>
        <w:rFonts w:hint="eastAsia"/>
      </w:rPr>
    </w:lvl>
  </w:abstractNum>
  <w:abstractNum w:abstractNumId="2">
    <w:nsid w:val="6CBA1039"/>
    <w:multiLevelType w:val="singleLevel"/>
    <w:tmpl w:val="6CBA1039"/>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6C4941CB"/>
    <w:rsid w:val="02546ED0"/>
    <w:rsid w:val="044309E3"/>
    <w:rsid w:val="069928C6"/>
    <w:rsid w:val="07243C60"/>
    <w:rsid w:val="09045DB1"/>
    <w:rsid w:val="1005119D"/>
    <w:rsid w:val="15973721"/>
    <w:rsid w:val="15AC76A4"/>
    <w:rsid w:val="1EA35143"/>
    <w:rsid w:val="24E921A2"/>
    <w:rsid w:val="27D35D18"/>
    <w:rsid w:val="36931719"/>
    <w:rsid w:val="3A1F1142"/>
    <w:rsid w:val="462E660C"/>
    <w:rsid w:val="4639439C"/>
    <w:rsid w:val="48B3058C"/>
    <w:rsid w:val="48F20626"/>
    <w:rsid w:val="4F952F05"/>
    <w:rsid w:val="56A2474C"/>
    <w:rsid w:val="6C4941CB"/>
    <w:rsid w:val="72A37FD8"/>
    <w:rsid w:val="7E3F59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2404</Words>
  <Characters>2692</Characters>
  <Lines>0</Lines>
  <Paragraphs>0</Paragraphs>
  <TotalTime>7</TotalTime>
  <ScaleCrop>false</ScaleCrop>
  <LinksUpToDate>false</LinksUpToDate>
  <CharactersWithSpaces>2754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2022-03-16T02:23:00Z</dcterms:created>
  <dc:creator>湖南省怀化市气象局本级</dc:creator>
  <cp:lastModifiedBy>非鱼</cp:lastModifiedBy>
  <dcterms:modified xsi:type="dcterms:W3CDTF">2023-10-11T14:27:14Z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1302D7660CF94D71A76BF4990C61340F_13</vt:lpwstr>
  </property>
</Properties>
</file>