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r>
        <w:rPr>
          <w:rFonts w:hint="eastAsia" w:ascii="方正小标宋_GBK" w:hAnsi="方正小标宋_GBK" w:eastAsia="方正小标宋_GBK" w:cs="方正小标宋_GBK"/>
          <w:sz w:val="84"/>
          <w:szCs w:val="84"/>
          <w:lang w:eastAsia="zh-CN"/>
        </w:rPr>
        <w:t>怀化市人工影响天气办公室</w:t>
      </w:r>
      <w:r>
        <w:rPr>
          <w:rFonts w:hint="eastAsia" w:ascii="方正小标宋_GBK" w:hAnsi="方正小标宋_GBK" w:eastAsia="方正小标宋_GBK" w:cs="方正小标宋_GBK"/>
          <w:sz w:val="84"/>
          <w:szCs w:val="84"/>
        </w:rPr>
        <w:t>部门决算</w:t>
      </w:r>
    </w:p>
    <w:p>
      <w:pPr>
        <w:pStyle w:val="13"/>
        <w:jc w:val="center"/>
        <w:rPr>
          <w:rFonts w:hint="eastAsia"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spacing w:line="500" w:lineRule="exact"/>
        <w:jc w:val="center"/>
        <w:rPr>
          <w:b/>
          <w:sz w:val="36"/>
          <w:szCs w:val="28"/>
        </w:rPr>
      </w:pPr>
      <w:r>
        <w:rPr>
          <w:rFonts w:hint="eastAsia"/>
          <w:b/>
          <w:sz w:val="36"/>
          <w:szCs w:val="28"/>
        </w:rPr>
        <w:t>目录</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怀化市人工影响天气办公室</w:t>
      </w:r>
      <w:r>
        <w:rPr>
          <w:rFonts w:hint="eastAsia" w:ascii="黑体" w:hAnsi="黑体" w:eastAsia="黑体" w:cs="黑体"/>
          <w:b w:val="0"/>
          <w:bCs/>
          <w:sz w:val="28"/>
          <w:szCs w:val="28"/>
        </w:rPr>
        <w:t>概况</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w:t>
      </w:r>
      <w:r>
        <w:rPr>
          <w:rFonts w:hint="eastAsia" w:ascii="仿宋_GB2312" w:hAnsi="仿宋_GB2312" w:eastAsia="仿宋_GB2312" w:cs="仿宋_GB2312"/>
          <w:sz w:val="28"/>
          <w:szCs w:val="28"/>
        </w:rPr>
        <w:t>国有资本经营预算</w:t>
      </w:r>
      <w:r>
        <w:rPr>
          <w:rFonts w:hint="eastAsia" w:ascii="仿宋_GB2312" w:hAnsi="仿宋_GB2312" w:eastAsia="仿宋_GB2312" w:cs="仿宋_GB2312"/>
          <w:sz w:val="28"/>
          <w:szCs w:val="28"/>
          <w:lang w:eastAsia="zh-CN"/>
        </w:rPr>
        <w:t>收入支出决算情况说明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3"/>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怀化市人工影响天气</w:t>
      </w: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办公室</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w:t>
      </w:r>
      <w:r>
        <w:rPr>
          <w:rFonts w:hint="eastAsia" w:ascii="仿宋_GB2312" w:hAnsi="仿宋_GB2312" w:cs="仿宋_GB2312"/>
          <w:color w:val="000000"/>
          <w:kern w:val="0"/>
          <w:sz w:val="32"/>
          <w:szCs w:val="32"/>
        </w:rPr>
        <w:t>怀化市人工影响天气办公室为全额拨款的事业单位，其宗旨和业务范围是：提供人工影响天气服务，人工增雨、消雹等相关服务。</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ind w:firstLine="640" w:firstLineChars="200"/>
        <w:rPr>
          <w:rFonts w:hint="eastAsia" w:asciiTheme="minorEastAsia" w:hAnsiTheme="minorEastAsia" w:eastAsiaTheme="minorEastAsia" w:cstheme="minorEastAsia"/>
          <w:color w:val="000000"/>
          <w:kern w:val="0"/>
          <w:sz w:val="32"/>
          <w:szCs w:val="32"/>
        </w:rPr>
      </w:pPr>
      <w:r>
        <w:rPr>
          <w:rFonts w:hint="eastAsia" w:ascii="Times New Roman" w:hAnsi="Times New Roman" w:eastAsia="仿宋_GB2312" w:cs="仿宋_GB2312"/>
          <w:bCs/>
          <w:kern w:val="0"/>
          <w:sz w:val="32"/>
          <w:szCs w:val="32"/>
        </w:rPr>
        <w:t>（一）内设机构设置。</w:t>
      </w:r>
      <w:r>
        <w:rPr>
          <w:rFonts w:hint="eastAsia" w:asciiTheme="minorEastAsia" w:hAnsiTheme="minorEastAsia" w:eastAsiaTheme="minorEastAsia" w:cstheme="minorEastAsia"/>
          <w:color w:val="000000"/>
          <w:kern w:val="0"/>
          <w:sz w:val="32"/>
          <w:szCs w:val="32"/>
        </w:rPr>
        <w:t>怀化市人工影响天气办公室为一级部门预算单位，无内设科室。编制数3人，实有人员3人。</w:t>
      </w:r>
    </w:p>
    <w:p>
      <w:pPr>
        <w:widowControl/>
        <w:spacing w:line="600" w:lineRule="exact"/>
        <w:ind w:firstLine="640" w:firstLineChars="200"/>
        <w:rPr>
          <w:rFonts w:hint="eastAsia" w:asciiTheme="minorEastAsia" w:hAnsiTheme="minorEastAsia" w:eastAsiaTheme="minorEastAsia" w:cstheme="minorEastAsia"/>
          <w:color w:val="000000"/>
          <w:kern w:val="0"/>
          <w:sz w:val="32"/>
          <w:szCs w:val="32"/>
        </w:rPr>
      </w:pPr>
      <w:r>
        <w:rPr>
          <w:rFonts w:hint="eastAsia" w:ascii="Times New Roman" w:hAnsi="Times New Roman" w:eastAsia="仿宋_GB2312" w:cs="仿宋_GB2312"/>
          <w:bCs/>
          <w:kern w:val="0"/>
          <w:sz w:val="32"/>
          <w:szCs w:val="32"/>
        </w:rPr>
        <w:t>（二）决算单位构成。</w:t>
      </w:r>
      <w:r>
        <w:rPr>
          <w:rFonts w:hint="eastAsia" w:asciiTheme="minorEastAsia" w:hAnsiTheme="minorEastAsia" w:eastAsiaTheme="minorEastAsia" w:cstheme="minorEastAsia"/>
          <w:color w:val="000000"/>
          <w:kern w:val="0"/>
          <w:sz w:val="32"/>
          <w:szCs w:val="32"/>
        </w:rPr>
        <w:t>怀化市人工影响天气办公室20</w:t>
      </w:r>
      <w:r>
        <w:rPr>
          <w:rFonts w:hint="eastAsia" w:asciiTheme="minorEastAsia" w:hAnsiTheme="minorEastAsia" w:cstheme="minorEastAsia"/>
          <w:color w:val="000000"/>
          <w:kern w:val="0"/>
          <w:sz w:val="32"/>
          <w:szCs w:val="32"/>
          <w:lang w:val="en-US" w:eastAsia="zh-CN"/>
        </w:rPr>
        <w:t>23</w:t>
      </w:r>
      <w:r>
        <w:rPr>
          <w:rFonts w:hint="eastAsia" w:asciiTheme="minorEastAsia" w:hAnsiTheme="minorEastAsia" w:eastAsiaTheme="minorEastAsia" w:cstheme="minorEastAsia"/>
          <w:color w:val="000000"/>
          <w:kern w:val="0"/>
          <w:sz w:val="32"/>
          <w:szCs w:val="32"/>
        </w:rPr>
        <w:t>年部门决算公开单位只有怀化市人工影响天气办公室本级。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466"/>
        <w:gridCol w:w="468"/>
        <w:gridCol w:w="5301"/>
        <w:gridCol w:w="1786"/>
        <w:gridCol w:w="1336"/>
        <w:gridCol w:w="1382"/>
        <w:gridCol w:w="880"/>
        <w:gridCol w:w="880"/>
        <w:gridCol w:w="1236"/>
        <w:gridCol w:w="1693"/>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42"/>
              <w:gridCol w:w="603"/>
              <w:gridCol w:w="1399"/>
              <w:gridCol w:w="5033"/>
              <w:gridCol w:w="1165"/>
              <w:gridCol w:w="456"/>
              <w:gridCol w:w="23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60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30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部门：怀化市人工影响天气办公室</w:t>
                  </w:r>
                </w:p>
              </w:tc>
              <w:tc>
                <w:tcPr>
                  <w:tcW w:w="60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30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8954"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38.46</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31</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32</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33</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34</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35</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36</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2"/>
                      <w:szCs w:val="22"/>
                      <w:u w:val="none"/>
                      <w:lang w:eastAsia="zh-CN"/>
                    </w:rPr>
                    <w:t>七、文化旅游体育与传媒支出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37</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八、社会保障和就业支出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38</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九、卫生健康支出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39</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十、节能环保支出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十一、城乡社区支出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41</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十二、农林水支出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42</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十三、交通运输支出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43</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十四、资源勘探工业信息等支出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十五、商业服务业等支出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十六、金融支出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十七、援助其他地区支出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47</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十八、自然资源海洋气象等支出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48</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880" w:firstLineChars="400"/>
                    <w:rPr>
                      <w:rFonts w:hint="eastAsia"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十九、住房保障支出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49</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二十、粮油物资储备支出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50</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二十一、国有资本经营预算支出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二十二、灾害防治及应急管理支出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52</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二十三、其他支出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53</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二十四、债务还本支出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二十五、债务付息支出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55</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二十六、抗疫特别国债安排的支出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56</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883" w:firstLineChars="400"/>
                    <w:rPr>
                      <w:rFonts w:hint="eastAsia" w:ascii="宋体" w:hAnsi="宋体" w:eastAsia="宋体" w:cs="宋体"/>
                      <w:b/>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38.46</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57</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58</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59</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38.46</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60</w:t>
                  </w:r>
                </w:p>
              </w:tc>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880" w:firstLineChars="400"/>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46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46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530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8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3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8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3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934"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5301" w:type="dxa"/>
            <w:tcBorders>
              <w:top w:val="nil"/>
              <w:left w:val="nil"/>
              <w:bottom w:val="nil"/>
              <w:right w:val="nil"/>
            </w:tcBorders>
            <w:shd w:val="clear" w:color="000000" w:fill="FFFFFF"/>
            <w:noWrap/>
            <w:tcMar>
              <w:top w:w="15" w:type="dxa"/>
              <w:left w:w="15" w:type="dxa"/>
              <w:bottom w:w="0" w:type="dxa"/>
              <w:right w:w="15" w:type="dxa"/>
            </w:tcMar>
            <w:vAlign w:val="center"/>
          </w:tcPr>
          <w:p>
            <w:pPr>
              <w:jc w:val="both"/>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怀化市人工影响天气办公室</w:t>
            </w:r>
            <w:r>
              <w:rPr>
                <w:rFonts w:hint="eastAsia"/>
              </w:rPr>
              <w:t>　</w:t>
            </w:r>
          </w:p>
        </w:tc>
        <w:tc>
          <w:tcPr>
            <w:tcW w:w="178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3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82"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8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3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6235"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7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3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38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8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8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23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69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93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5301"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78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3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8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8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8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23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934"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5301"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8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3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8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8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8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23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623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78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33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38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8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8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23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6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623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lang w:val="en-US" w:eastAsia="zh-CN"/>
              </w:rPr>
              <w:t>38.46</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kern w:val="2"/>
                <w:sz w:val="24"/>
                <w:szCs w:val="24"/>
                <w:lang w:val="en-US" w:eastAsia="zh-CN" w:bidi="ar-SA"/>
              </w:rPr>
            </w:pPr>
            <w:r>
              <w:rPr>
                <w:rFonts w:hint="eastAsia"/>
                <w:lang w:val="en-US" w:eastAsia="zh-CN"/>
              </w:rPr>
              <w:t>38.46</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lang w:val="en-US" w:eastAsia="zh-CN"/>
              </w:rPr>
              <w:t>2080505</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机关事业单位基本养老保险缴费支出</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kern w:val="2"/>
                <w:sz w:val="24"/>
                <w:szCs w:val="24"/>
                <w:lang w:val="en-US" w:eastAsia="zh-CN" w:bidi="ar-SA"/>
              </w:rPr>
            </w:pPr>
            <w:r>
              <w:rPr>
                <w:rFonts w:hint="eastAsia"/>
                <w:lang w:val="en-US" w:eastAsia="zh-CN"/>
              </w:rPr>
              <w:t>3.84</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kern w:val="2"/>
                <w:sz w:val="24"/>
                <w:szCs w:val="24"/>
                <w:lang w:val="en-US" w:eastAsia="zh-CN" w:bidi="ar-SA"/>
              </w:rPr>
            </w:pPr>
            <w:r>
              <w:rPr>
                <w:rFonts w:hint="eastAsia"/>
                <w:lang w:val="en-US" w:eastAsia="zh-CN"/>
              </w:rPr>
              <w:t>3.84</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lang w:val="en-US" w:eastAsia="zh-CN"/>
              </w:rPr>
              <w:t>2</w:t>
            </w:r>
            <w:r>
              <w:rPr>
                <w:rFonts w:hint="eastAsia"/>
              </w:rPr>
              <w:t>101101</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行政单位医疗</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华文中宋" w:hAnsi="华文中宋" w:eastAsia="华文中宋" w:cs="宋体"/>
                <w:kern w:val="2"/>
                <w:sz w:val="24"/>
                <w:szCs w:val="24"/>
                <w:lang w:val="en-US" w:eastAsia="zh-CN" w:bidi="ar-SA"/>
              </w:rPr>
            </w:pPr>
            <w:r>
              <w:rPr>
                <w:rFonts w:hint="eastAsia" w:ascii="华文中宋" w:hAnsi="华文中宋" w:eastAsia="华文中宋"/>
                <w:lang w:val="en-US" w:eastAsia="zh-CN"/>
              </w:rPr>
              <w:t>1.51</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华文中宋" w:hAnsi="华文中宋" w:eastAsia="华文中宋" w:cs="宋体"/>
                <w:kern w:val="2"/>
                <w:sz w:val="24"/>
                <w:szCs w:val="24"/>
                <w:lang w:val="en-US" w:eastAsia="zh-CN" w:bidi="ar-SA"/>
              </w:rPr>
            </w:pPr>
            <w:r>
              <w:rPr>
                <w:rFonts w:hint="eastAsia" w:ascii="华文中宋" w:hAnsi="华文中宋" w:eastAsia="华文中宋"/>
                <w:lang w:val="en-US" w:eastAsia="zh-CN"/>
              </w:rPr>
              <w:t>1.51</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lang w:val="en-US" w:eastAsia="zh-CN"/>
              </w:rPr>
              <w:t>2200501</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行政运行</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kern w:val="2"/>
                <w:sz w:val="24"/>
                <w:szCs w:val="24"/>
                <w:lang w:val="en-US" w:eastAsia="zh-CN" w:bidi="ar-SA"/>
              </w:rPr>
            </w:pPr>
            <w:r>
              <w:rPr>
                <w:rFonts w:hint="eastAsia"/>
                <w:lang w:val="en-US" w:eastAsia="zh-CN"/>
              </w:rPr>
              <w:t>29.51</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eastAsia="宋体" w:cs="宋体"/>
                <w:kern w:val="2"/>
                <w:sz w:val="24"/>
                <w:szCs w:val="24"/>
                <w:lang w:val="en-US" w:eastAsia="zh-CN" w:bidi="ar-SA"/>
              </w:rPr>
            </w:pPr>
            <w:r>
              <w:rPr>
                <w:rFonts w:hint="eastAsia"/>
                <w:lang w:val="en-US" w:eastAsia="zh-CN"/>
              </w:rPr>
              <w:t>29.51</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lang w:val="en-US" w:eastAsia="zh-CN"/>
              </w:rPr>
            </w:pPr>
            <w:r>
              <w:rPr>
                <w:rFonts w:hint="eastAsia"/>
                <w:lang w:val="en-US" w:eastAsia="zh-CN"/>
              </w:rPr>
              <w:t>2200599</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其他气象事务支出</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宋体" w:hAnsi="宋体" w:eastAsia="宋体" w:cs="宋体"/>
                <w:kern w:val="2"/>
                <w:sz w:val="24"/>
                <w:szCs w:val="24"/>
                <w:lang w:val="en-US" w:eastAsia="zh-CN" w:bidi="ar-SA"/>
              </w:rPr>
            </w:pPr>
            <w:r>
              <w:rPr>
                <w:rFonts w:hint="eastAsia"/>
                <w:lang w:val="en-US" w:eastAsia="zh-CN"/>
              </w:rPr>
              <w:t>3.60</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宋体" w:hAnsi="宋体" w:eastAsia="宋体" w:cs="宋体"/>
                <w:kern w:val="2"/>
                <w:sz w:val="24"/>
                <w:szCs w:val="24"/>
                <w:lang w:val="en-US" w:eastAsia="zh-CN" w:bidi="ar-SA"/>
              </w:rPr>
            </w:pPr>
            <w:r>
              <w:rPr>
                <w:rFonts w:hint="eastAsia"/>
                <w:lang w:val="en-US" w:eastAsia="zh-CN"/>
              </w:rPr>
              <w:t>3.60</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93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53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178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fixed"/>
        <w:tblCellMar>
          <w:top w:w="0" w:type="dxa"/>
          <w:left w:w="108" w:type="dxa"/>
          <w:bottom w:w="0" w:type="dxa"/>
          <w:right w:w="108" w:type="dxa"/>
        </w:tblCellMar>
      </w:tblPr>
      <w:tblGrid>
        <w:gridCol w:w="1236"/>
        <w:gridCol w:w="263"/>
        <w:gridCol w:w="3999"/>
        <w:gridCol w:w="1691"/>
        <w:gridCol w:w="1500"/>
        <w:gridCol w:w="1637"/>
        <w:gridCol w:w="1990"/>
        <w:gridCol w:w="1691"/>
        <w:gridCol w:w="1633"/>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99"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5498" w:type="dxa"/>
            <w:gridSpan w:val="3"/>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怀化市人工影响天气办公室</w:t>
            </w:r>
            <w:r>
              <w:rPr>
                <w:rFonts w:hint="eastAsia"/>
              </w:rPr>
              <w:t>　</w:t>
            </w:r>
            <w:r>
              <w:rPr>
                <w:rFonts w:hint="eastAsia" w:ascii="宋体" w:hAnsi="宋体" w:eastAsia="宋体" w:cs="宋体"/>
                <w:kern w:val="0"/>
                <w:sz w:val="24"/>
                <w:szCs w:val="24"/>
              </w:rPr>
              <w:t>　　</w:t>
            </w:r>
          </w:p>
        </w:tc>
        <w:tc>
          <w:tcPr>
            <w:tcW w:w="16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7"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5498"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3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6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999"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399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549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0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37"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63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549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91" w:type="dxa"/>
            <w:tcBorders>
              <w:top w:val="nil"/>
              <w:left w:val="nil"/>
              <w:bottom w:val="single" w:color="auto" w:sz="4" w:space="0"/>
              <w:right w:val="single" w:color="auto" w:sz="4" w:space="0"/>
            </w:tcBorders>
            <w:shd w:val="clear" w:color="auto" w:fill="auto"/>
            <w:noWrap/>
            <w:vAlign w:val="center"/>
          </w:tcPr>
          <w:p>
            <w:pPr>
              <w:jc w:val="center"/>
              <w:rPr>
                <w:rFonts w:hint="eastAsia"/>
                <w:lang w:val="en-US" w:eastAsia="zh-CN"/>
              </w:rPr>
            </w:pPr>
            <w:r>
              <w:rPr>
                <w:rFonts w:hint="eastAsia"/>
                <w:lang w:val="en-US" w:eastAsia="zh-CN"/>
              </w:rPr>
              <w:t>38.46　</w:t>
            </w:r>
          </w:p>
        </w:tc>
        <w:tc>
          <w:tcPr>
            <w:tcW w:w="1500" w:type="dxa"/>
            <w:tcBorders>
              <w:top w:val="nil"/>
              <w:left w:val="nil"/>
              <w:bottom w:val="single" w:color="auto" w:sz="4" w:space="0"/>
              <w:right w:val="single" w:color="auto" w:sz="4" w:space="0"/>
            </w:tcBorders>
            <w:shd w:val="clear" w:color="auto" w:fill="auto"/>
            <w:noWrap/>
            <w:vAlign w:val="center"/>
          </w:tcPr>
          <w:p>
            <w:pPr>
              <w:jc w:val="center"/>
              <w:rPr>
                <w:rFonts w:hint="eastAsia"/>
                <w:lang w:val="en-US" w:eastAsia="zh-CN"/>
              </w:rPr>
            </w:pPr>
            <w:r>
              <w:rPr>
                <w:rFonts w:hint="eastAsia"/>
                <w:lang w:val="en-US" w:eastAsia="zh-CN"/>
              </w:rPr>
              <w:t>38.46　</w:t>
            </w:r>
          </w:p>
        </w:tc>
        <w:tc>
          <w:tcPr>
            <w:tcW w:w="163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both"/>
              <w:rPr>
                <w:rFonts w:hint="eastAsia" w:ascii="宋体" w:hAnsi="宋体" w:cs="宋体" w:eastAsiaTheme="minorEastAsia"/>
                <w:kern w:val="2"/>
                <w:sz w:val="24"/>
                <w:szCs w:val="24"/>
                <w:lang w:val="en-US" w:eastAsia="zh-CN" w:bidi="ar-SA"/>
              </w:rPr>
            </w:pPr>
            <w:r>
              <w:rPr>
                <w:rFonts w:hint="eastAsia"/>
                <w:lang w:val="en-US" w:eastAsia="zh-CN"/>
              </w:rPr>
              <w:t>2080505</w:t>
            </w:r>
          </w:p>
        </w:tc>
        <w:tc>
          <w:tcPr>
            <w:tcW w:w="3999" w:type="dxa"/>
            <w:tcBorders>
              <w:top w:val="nil"/>
              <w:left w:val="nil"/>
              <w:bottom w:val="single" w:color="auto" w:sz="4" w:space="0"/>
              <w:right w:val="single" w:color="auto" w:sz="4" w:space="0"/>
            </w:tcBorders>
            <w:shd w:val="clear" w:color="000000" w:fill="FFFFFF"/>
            <w:noWrap/>
            <w:vAlign w:val="center"/>
          </w:tcPr>
          <w:p>
            <w:pPr>
              <w:rPr>
                <w:rFonts w:ascii="宋体" w:hAnsi="宋体" w:eastAsia="宋体" w:cs="宋体"/>
                <w:kern w:val="2"/>
                <w:sz w:val="24"/>
                <w:szCs w:val="24"/>
                <w:lang w:val="en-US" w:eastAsia="zh-CN" w:bidi="ar-SA"/>
              </w:rPr>
            </w:pPr>
            <w:r>
              <w:rPr>
                <w:rFonts w:hint="eastAsia"/>
              </w:rPr>
              <w:t>　机关事业单位基本养老保险缴费支出</w:t>
            </w:r>
          </w:p>
        </w:tc>
        <w:tc>
          <w:tcPr>
            <w:tcW w:w="1691" w:type="dxa"/>
            <w:tcBorders>
              <w:top w:val="nil"/>
              <w:left w:val="nil"/>
              <w:bottom w:val="single" w:color="auto" w:sz="4" w:space="0"/>
              <w:right w:val="single" w:color="auto" w:sz="4" w:space="0"/>
            </w:tcBorders>
            <w:shd w:val="clear" w:color="auto" w:fill="auto"/>
            <w:noWrap/>
            <w:vAlign w:val="center"/>
          </w:tcPr>
          <w:p>
            <w:pPr>
              <w:jc w:val="center"/>
              <w:rPr>
                <w:rFonts w:ascii="宋体" w:hAnsi="宋体" w:eastAsia="宋体" w:cs="宋体"/>
                <w:kern w:val="2"/>
                <w:sz w:val="24"/>
                <w:szCs w:val="24"/>
                <w:lang w:val="en-US" w:eastAsia="zh-CN" w:bidi="ar-SA"/>
              </w:rPr>
            </w:pPr>
            <w:r>
              <w:rPr>
                <w:rFonts w:hint="eastAsia"/>
                <w:lang w:val="en-US" w:eastAsia="zh-CN"/>
              </w:rPr>
              <w:t>2.75</w:t>
            </w:r>
          </w:p>
        </w:tc>
        <w:tc>
          <w:tcPr>
            <w:tcW w:w="1500" w:type="dxa"/>
            <w:tcBorders>
              <w:top w:val="nil"/>
              <w:left w:val="nil"/>
              <w:bottom w:val="single" w:color="auto" w:sz="4" w:space="0"/>
              <w:right w:val="single" w:color="auto" w:sz="4" w:space="0"/>
            </w:tcBorders>
            <w:shd w:val="clear" w:color="auto" w:fill="auto"/>
            <w:noWrap/>
            <w:vAlign w:val="center"/>
          </w:tcPr>
          <w:p>
            <w:pPr>
              <w:jc w:val="center"/>
              <w:rPr>
                <w:rFonts w:ascii="宋体" w:hAnsi="宋体" w:eastAsia="宋体" w:cs="宋体"/>
                <w:kern w:val="2"/>
                <w:sz w:val="24"/>
                <w:szCs w:val="24"/>
                <w:lang w:val="en-US" w:eastAsia="zh-CN" w:bidi="ar-SA"/>
              </w:rPr>
            </w:pPr>
            <w:r>
              <w:rPr>
                <w:rFonts w:hint="eastAsia"/>
                <w:lang w:val="en-US" w:eastAsia="zh-CN"/>
              </w:rPr>
              <w:t>2.75</w:t>
            </w:r>
          </w:p>
        </w:tc>
        <w:tc>
          <w:tcPr>
            <w:tcW w:w="163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both"/>
              <w:rPr>
                <w:rFonts w:ascii="宋体" w:hAnsi="宋体" w:eastAsia="宋体" w:cs="宋体"/>
                <w:kern w:val="2"/>
                <w:sz w:val="24"/>
                <w:szCs w:val="24"/>
                <w:lang w:val="en-US" w:eastAsia="zh-CN" w:bidi="ar-SA"/>
              </w:rPr>
            </w:pPr>
            <w:r>
              <w:rPr>
                <w:rFonts w:hint="eastAsia"/>
              </w:rPr>
              <w:t>2101101</w:t>
            </w:r>
          </w:p>
        </w:tc>
        <w:tc>
          <w:tcPr>
            <w:tcW w:w="3999" w:type="dxa"/>
            <w:tcBorders>
              <w:top w:val="nil"/>
              <w:left w:val="nil"/>
              <w:bottom w:val="single" w:color="auto" w:sz="4" w:space="0"/>
              <w:right w:val="single" w:color="auto" w:sz="4" w:space="0"/>
            </w:tcBorders>
            <w:shd w:val="clear" w:color="000000" w:fill="FFFFFF"/>
            <w:noWrap/>
            <w:vAlign w:val="center"/>
          </w:tcPr>
          <w:p>
            <w:pPr>
              <w:rPr>
                <w:rFonts w:ascii="宋体" w:hAnsi="宋体" w:eastAsia="宋体" w:cs="宋体"/>
                <w:kern w:val="2"/>
                <w:sz w:val="24"/>
                <w:szCs w:val="24"/>
                <w:lang w:val="en-US" w:eastAsia="zh-CN" w:bidi="ar-SA"/>
              </w:rPr>
            </w:pPr>
            <w:r>
              <w:rPr>
                <w:rFonts w:hint="eastAsia"/>
              </w:rPr>
              <w:t>　行政单位医疗</w:t>
            </w:r>
          </w:p>
        </w:tc>
        <w:tc>
          <w:tcPr>
            <w:tcW w:w="1691" w:type="dxa"/>
            <w:tcBorders>
              <w:top w:val="nil"/>
              <w:left w:val="nil"/>
              <w:bottom w:val="single" w:color="auto" w:sz="4" w:space="0"/>
              <w:right w:val="single" w:color="auto" w:sz="4" w:space="0"/>
            </w:tcBorders>
            <w:shd w:val="clear" w:color="auto" w:fill="auto"/>
            <w:noWrap/>
            <w:vAlign w:val="center"/>
          </w:tcPr>
          <w:p>
            <w:pPr>
              <w:jc w:val="center"/>
              <w:rPr>
                <w:rFonts w:ascii="宋体" w:hAnsi="宋体" w:eastAsia="宋体" w:cs="宋体"/>
                <w:kern w:val="2"/>
                <w:sz w:val="24"/>
                <w:szCs w:val="24"/>
                <w:lang w:val="en-US" w:eastAsia="zh-CN" w:bidi="ar-SA"/>
              </w:rPr>
            </w:pPr>
            <w:r>
              <w:rPr>
                <w:rFonts w:hint="eastAsia"/>
                <w:lang w:val="en-US" w:eastAsia="zh-CN"/>
              </w:rPr>
              <w:t>1.38</w:t>
            </w:r>
          </w:p>
        </w:tc>
        <w:tc>
          <w:tcPr>
            <w:tcW w:w="1500" w:type="dxa"/>
            <w:tcBorders>
              <w:top w:val="nil"/>
              <w:left w:val="nil"/>
              <w:bottom w:val="single" w:color="auto" w:sz="4" w:space="0"/>
              <w:right w:val="single" w:color="auto" w:sz="4" w:space="0"/>
            </w:tcBorders>
            <w:shd w:val="clear" w:color="auto" w:fill="auto"/>
            <w:noWrap/>
            <w:vAlign w:val="center"/>
          </w:tcPr>
          <w:p>
            <w:pPr>
              <w:jc w:val="center"/>
              <w:rPr>
                <w:rFonts w:ascii="宋体" w:hAnsi="宋体" w:eastAsia="宋体" w:cs="宋体"/>
                <w:kern w:val="2"/>
                <w:sz w:val="24"/>
                <w:szCs w:val="24"/>
                <w:lang w:val="en-US" w:eastAsia="zh-CN" w:bidi="ar-SA"/>
              </w:rPr>
            </w:pPr>
            <w:r>
              <w:rPr>
                <w:rFonts w:hint="eastAsia"/>
                <w:lang w:val="en-US" w:eastAsia="zh-CN"/>
              </w:rPr>
              <w:t>1.38</w:t>
            </w:r>
          </w:p>
        </w:tc>
        <w:tc>
          <w:tcPr>
            <w:tcW w:w="163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2200501</w:t>
            </w:r>
          </w:p>
        </w:tc>
        <w:tc>
          <w:tcPr>
            <w:tcW w:w="3999"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rPr>
              <w:t xml:space="preserve">  行政运行</w:t>
            </w:r>
          </w:p>
        </w:tc>
        <w:tc>
          <w:tcPr>
            <w:tcW w:w="1691" w:type="dxa"/>
            <w:tcBorders>
              <w:top w:val="nil"/>
              <w:left w:val="nil"/>
              <w:bottom w:val="single" w:color="auto" w:sz="4" w:space="0"/>
              <w:right w:val="single" w:color="auto" w:sz="4" w:space="0"/>
            </w:tcBorders>
            <w:shd w:val="clear" w:color="auto" w:fill="auto"/>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27.13</w:t>
            </w:r>
          </w:p>
        </w:tc>
        <w:tc>
          <w:tcPr>
            <w:tcW w:w="1500" w:type="dxa"/>
            <w:tcBorders>
              <w:top w:val="nil"/>
              <w:left w:val="nil"/>
              <w:bottom w:val="single" w:color="auto" w:sz="4" w:space="0"/>
              <w:right w:val="single" w:color="auto" w:sz="4" w:space="0"/>
            </w:tcBorders>
            <w:shd w:val="clear" w:color="auto" w:fill="auto"/>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27.13</w:t>
            </w:r>
          </w:p>
        </w:tc>
        <w:tc>
          <w:tcPr>
            <w:tcW w:w="163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2200599</w:t>
            </w:r>
          </w:p>
        </w:tc>
        <w:tc>
          <w:tcPr>
            <w:tcW w:w="3999" w:type="dxa"/>
            <w:tcBorders>
              <w:top w:val="nil"/>
              <w:left w:val="nil"/>
              <w:bottom w:val="single" w:color="auto" w:sz="4" w:space="0"/>
              <w:right w:val="single" w:color="auto" w:sz="4" w:space="0"/>
            </w:tcBorders>
            <w:shd w:val="clear" w:color="000000" w:fill="FFFFFF"/>
            <w:noWrap/>
            <w:vAlign w:val="center"/>
          </w:tcPr>
          <w:p>
            <w:pPr>
              <w:ind w:firstLine="210" w:firstLineChars="100"/>
              <w:rPr>
                <w:rFonts w:hint="eastAsia" w:asciiTheme="minorHAnsi" w:hAnsiTheme="minorHAnsi" w:eastAsiaTheme="minorEastAsia" w:cstheme="minorBidi"/>
                <w:kern w:val="2"/>
                <w:sz w:val="21"/>
                <w:szCs w:val="22"/>
                <w:lang w:val="en-US" w:eastAsia="zh-CN" w:bidi="ar-SA"/>
              </w:rPr>
            </w:pPr>
            <w:r>
              <w:rPr>
                <w:rFonts w:hint="eastAsia"/>
              </w:rPr>
              <w:t>其他气象事务支出</w:t>
            </w:r>
          </w:p>
        </w:tc>
        <w:tc>
          <w:tcPr>
            <w:tcW w:w="1691" w:type="dxa"/>
            <w:tcBorders>
              <w:top w:val="nil"/>
              <w:left w:val="nil"/>
              <w:bottom w:val="single" w:color="auto" w:sz="4" w:space="0"/>
              <w:right w:val="single" w:color="auto" w:sz="4" w:space="0"/>
            </w:tcBorders>
            <w:shd w:val="clear" w:color="auto" w:fill="auto"/>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7.96</w:t>
            </w:r>
          </w:p>
        </w:tc>
        <w:tc>
          <w:tcPr>
            <w:tcW w:w="1500" w:type="dxa"/>
            <w:tcBorders>
              <w:top w:val="nil"/>
              <w:left w:val="nil"/>
              <w:bottom w:val="single" w:color="auto" w:sz="4" w:space="0"/>
              <w:right w:val="single" w:color="auto" w:sz="4" w:space="0"/>
            </w:tcBorders>
            <w:shd w:val="clear" w:color="auto" w:fill="auto"/>
            <w:noWrap/>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7.96</w:t>
            </w:r>
          </w:p>
        </w:tc>
        <w:tc>
          <w:tcPr>
            <w:tcW w:w="163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999"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999"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3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fixed"/>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怀化市人工影响天气办公室</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38.46</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2"/>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1.51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33.11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33.11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19</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21</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22</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38.46</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38.46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38.46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38.46</w:t>
            </w:r>
          </w:p>
        </w:tc>
        <w:tc>
          <w:tcPr>
            <w:tcW w:w="341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64</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38.46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38.46</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pStyle w:val="7"/>
        <w:rPr>
          <w:rFonts w:ascii="Times New Roman" w:hAnsi="Times New Roman" w:eastAsia="方正小标宋_GBK" w:cs="Times New Roman"/>
          <w:kern w:val="0"/>
          <w:sz w:val="36"/>
          <w:szCs w:val="36"/>
        </w:rPr>
      </w:pPr>
    </w:p>
    <w:p>
      <w:pPr>
        <w:pStyle w:val="3"/>
        <w:rPr>
          <w:rFonts w:ascii="Times New Roman" w:hAnsi="Times New Roman" w:eastAsia="方正小标宋_GBK" w:cs="Times New Roman"/>
          <w:kern w:val="0"/>
          <w:sz w:val="36"/>
          <w:szCs w:val="36"/>
        </w:rPr>
      </w:pPr>
    </w:p>
    <w:p>
      <w:pPr>
        <w:rPr>
          <w:rFonts w:ascii="Times New Roman" w:hAnsi="Times New Roman" w:eastAsia="方正小标宋_GBK" w:cs="Times New Roman"/>
          <w:kern w:val="0"/>
          <w:sz w:val="36"/>
          <w:szCs w:val="36"/>
        </w:rPr>
      </w:pPr>
    </w:p>
    <w:p>
      <w:pPr>
        <w:pStyle w:val="7"/>
        <w:rPr>
          <w:rFonts w:ascii="Times New Roman" w:hAnsi="Times New Roman" w:eastAsia="方正小标宋_GBK" w:cs="Times New Roman"/>
          <w:kern w:val="0"/>
          <w:sz w:val="36"/>
          <w:szCs w:val="36"/>
        </w:rPr>
      </w:pPr>
    </w:p>
    <w:p>
      <w:pPr>
        <w:pStyle w:val="3"/>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lang w:eastAsia="zh-CN"/>
        </w:rPr>
        <w:t>怀化市人工影响天气办公室</w:t>
      </w:r>
      <w:r>
        <w:rPr>
          <w:rFonts w:hint="eastAsia"/>
        </w:rPr>
        <w:t>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858"/>
        <w:gridCol w:w="2669"/>
        <w:gridCol w:w="3492"/>
        <w:gridCol w:w="3000"/>
      </w:tblGrid>
      <w:tr>
        <w:tblPrEx>
          <w:tblCellMar>
            <w:top w:w="0" w:type="dxa"/>
            <w:left w:w="108" w:type="dxa"/>
            <w:bottom w:w="0" w:type="dxa"/>
            <w:right w:w="108" w:type="dxa"/>
          </w:tblCellMar>
        </w:tblPrEx>
        <w:trPr>
          <w:trHeight w:val="405" w:hRule="atLeast"/>
          <w:jc w:val="center"/>
        </w:trPr>
        <w:tc>
          <w:tcPr>
            <w:tcW w:w="5058"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161"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85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66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85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669"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85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669"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505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66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505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66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38.46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38.46</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2080505</w:t>
            </w:r>
            <w:r>
              <w:rPr>
                <w:rFonts w:ascii="Times New Roman" w:hAnsi="Times New Roman" w:eastAsia="仿宋_GB2312" w:cs="Times New Roman"/>
                <w:kern w:val="0"/>
                <w:szCs w:val="21"/>
              </w:rPr>
              <w:t>　</w:t>
            </w:r>
          </w:p>
        </w:tc>
        <w:tc>
          <w:tcPr>
            <w:tcW w:w="385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机关事业单位基本养老保险缴费支出</w:t>
            </w:r>
          </w:p>
        </w:tc>
        <w:tc>
          <w:tcPr>
            <w:tcW w:w="266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3.84</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3.84</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2101101</w:t>
            </w:r>
            <w:r>
              <w:rPr>
                <w:rFonts w:ascii="Times New Roman" w:hAnsi="Times New Roman" w:eastAsia="仿宋_GB2312" w:cs="Times New Roman"/>
                <w:kern w:val="0"/>
                <w:szCs w:val="21"/>
              </w:rPr>
              <w:t>　</w:t>
            </w:r>
          </w:p>
        </w:tc>
        <w:tc>
          <w:tcPr>
            <w:tcW w:w="385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行政单位医疗</w:t>
            </w:r>
          </w:p>
        </w:tc>
        <w:tc>
          <w:tcPr>
            <w:tcW w:w="266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1.51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2200501</w:t>
            </w:r>
            <w:r>
              <w:rPr>
                <w:rFonts w:ascii="Times New Roman" w:hAnsi="Times New Roman" w:eastAsia="仿宋_GB2312" w:cs="Times New Roman"/>
                <w:kern w:val="0"/>
                <w:szCs w:val="21"/>
              </w:rPr>
              <w:t>　</w:t>
            </w:r>
          </w:p>
        </w:tc>
        <w:tc>
          <w:tcPr>
            <w:tcW w:w="385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行政运行</w:t>
            </w:r>
          </w:p>
        </w:tc>
        <w:tc>
          <w:tcPr>
            <w:tcW w:w="266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29.51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29.51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2200599</w:t>
            </w:r>
            <w:r>
              <w:rPr>
                <w:rFonts w:ascii="Times New Roman" w:hAnsi="Times New Roman" w:eastAsia="仿宋_GB2312" w:cs="Times New Roman"/>
                <w:kern w:val="0"/>
                <w:szCs w:val="21"/>
              </w:rPr>
              <w:t>　</w:t>
            </w:r>
          </w:p>
        </w:tc>
        <w:tc>
          <w:tcPr>
            <w:tcW w:w="385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其他气象事务支出</w:t>
            </w:r>
          </w:p>
        </w:tc>
        <w:tc>
          <w:tcPr>
            <w:tcW w:w="2669"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3.60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3.60</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85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6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858"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669"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85"/>
        <w:gridCol w:w="239"/>
        <w:gridCol w:w="93"/>
        <w:gridCol w:w="1282"/>
        <w:gridCol w:w="2017"/>
        <w:gridCol w:w="87"/>
        <w:gridCol w:w="848"/>
        <w:gridCol w:w="1199"/>
        <w:gridCol w:w="304"/>
        <w:gridCol w:w="1965"/>
        <w:gridCol w:w="111"/>
        <w:gridCol w:w="527"/>
        <w:gridCol w:w="1200"/>
        <w:gridCol w:w="353"/>
        <w:gridCol w:w="2076"/>
        <w:gridCol w:w="1689"/>
        <w:gridCol w:w="388"/>
        <w:gridCol w:w="251"/>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怀化市人工影响天气办公室</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9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6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3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1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34.73</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3.73</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12.19</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1.01</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13.18</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0.70</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3.60</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3.84</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1.51</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0.41</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0.07</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0.54</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ascii="宋体" w:hAnsi="宋体" w:eastAsia="宋体" w:cs="宋体"/>
                <w:color w:val="000000"/>
                <w:kern w:val="0"/>
                <w:szCs w:val="20"/>
              </w:rPr>
            </w:pP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1.29</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9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6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3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0.13</w:t>
            </w:r>
          </w:p>
        </w:tc>
        <w:tc>
          <w:tcPr>
            <w:tcW w:w="12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461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35" w:type="dxa"/>
            <w:gridSpan w:val="2"/>
            <w:tcBorders>
              <w:top w:val="nil"/>
              <w:left w:val="nil"/>
              <w:bottom w:val="single" w:color="auto" w:sz="4" w:space="0"/>
              <w:right w:val="single" w:color="auto" w:sz="4" w:space="0"/>
            </w:tcBorders>
            <w:shd w:val="clear" w:color="auto" w:fill="auto"/>
            <w:noWrap/>
            <w:vAlign w:val="center"/>
          </w:tcPr>
          <w:p>
            <w:pPr>
              <w:widowControl/>
              <w:jc w:val="both"/>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34.73</w:t>
            </w:r>
          </w:p>
        </w:tc>
        <w:tc>
          <w:tcPr>
            <w:tcW w:w="9424"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3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lang w:val="en-US" w:eastAsia="zh-CN"/>
              </w:rPr>
              <w:t>3.73</w:t>
            </w:r>
            <w:r>
              <w:rPr>
                <w:rFonts w:hint="eastAsia" w:ascii="宋体" w:hAnsi="宋体" w:eastAsia="宋体" w:cs="宋体"/>
                <w:color w:val="000000"/>
                <w:kern w:val="0"/>
                <w:szCs w:val="18"/>
              </w:rPr>
              <w:t>　</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85"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75"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04"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351"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4703" w:type="dxa"/>
            <w:gridSpan w:val="6"/>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部门：怀化市人工影响天气办公室</w:t>
            </w:r>
          </w:p>
        </w:tc>
        <w:tc>
          <w:tcPr>
            <w:tcW w:w="2351"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5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6"/>
        <w:gridCol w:w="619"/>
        <w:gridCol w:w="1976"/>
        <w:gridCol w:w="2823"/>
        <w:gridCol w:w="2823"/>
        <w:gridCol w:w="36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321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61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97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823"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823"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3835" w:type="dxa"/>
            <w:gridSpan w:val="2"/>
            <w:tcBorders>
              <w:top w:val="nil"/>
              <w:left w:val="nil"/>
              <w:bottom w:val="nil"/>
              <w:right w:val="nil"/>
            </w:tcBorders>
            <w:shd w:val="clear" w:color="auto" w:fill="FFFFFF"/>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部门：怀化市人工影响天气办公室</w:t>
            </w:r>
          </w:p>
        </w:tc>
        <w:tc>
          <w:tcPr>
            <w:tcW w:w="197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823"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823"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58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93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3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58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58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8"/>
        <w:gridCol w:w="1337"/>
        <w:gridCol w:w="1227"/>
        <w:gridCol w:w="1336"/>
        <w:gridCol w:w="1487"/>
        <w:gridCol w:w="1363"/>
        <w:gridCol w:w="928"/>
        <w:gridCol w:w="1227"/>
        <w:gridCol w:w="1063"/>
        <w:gridCol w:w="1228"/>
        <w:gridCol w:w="1432"/>
        <w:gridCol w:w="13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8"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337"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27"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33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487"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363"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928"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27"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63"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28"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432"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364"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712" w:type="dxa"/>
            <w:gridSpan w:val="3"/>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部门：怀化市人工影响天气办公室</w:t>
            </w:r>
          </w:p>
        </w:tc>
        <w:tc>
          <w:tcPr>
            <w:tcW w:w="133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487"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363"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928"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27"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63"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28"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432"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364"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8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2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4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3"/>
        <w:rPr>
          <w:sz w:val="72"/>
          <w:szCs w:val="72"/>
        </w:rPr>
      </w:pPr>
    </w:p>
    <w:p>
      <w:pPr>
        <w:pStyle w:val="13"/>
        <w:rPr>
          <w:sz w:val="72"/>
          <w:szCs w:val="72"/>
        </w:rPr>
      </w:pPr>
    </w:p>
    <w:p>
      <w:pPr>
        <w:pStyle w:val="13"/>
        <w:rPr>
          <w:sz w:val="72"/>
          <w:szCs w:val="72"/>
        </w:rPr>
      </w:pPr>
    </w:p>
    <w:p>
      <w:pPr>
        <w:pStyle w:val="13"/>
        <w:rPr>
          <w:sz w:val="72"/>
          <w:szCs w:val="72"/>
        </w:rPr>
      </w:pPr>
    </w:p>
    <w:p>
      <w:pPr>
        <w:pStyle w:val="13"/>
        <w:jc w:val="center"/>
        <w:rPr>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38.46</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0.76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1.94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人员奖金减少。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38.46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38.46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38.46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38.46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38.46</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0.76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1.94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人员奖金减少。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38.46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0.76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1.94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人员奖金减少。</w:t>
      </w:r>
    </w:p>
    <w:p>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38.46</w:t>
      </w:r>
      <w:r>
        <w:rPr>
          <w:rFonts w:hint="eastAsia" w:ascii="Times New Roman" w:hAnsi="Times New Roman" w:eastAsia="仿宋_GB2312"/>
          <w:sz w:val="32"/>
          <w:szCs w:val="32"/>
        </w:rPr>
        <w:t>万元，主要用于以下方面：</w:t>
      </w:r>
      <w:r>
        <w:rPr>
          <w:rFonts w:hint="eastAsia" w:ascii="仿宋_GB2312" w:hAnsi="仿宋_GB2312" w:eastAsia="仿宋_GB2312" w:cs="仿宋_GB2312"/>
          <w:sz w:val="32"/>
          <w:szCs w:val="32"/>
          <w:lang w:eastAsia="zh-CN"/>
        </w:rPr>
        <w:t>社会保障和就业（类）支出</w:t>
      </w:r>
      <w:r>
        <w:rPr>
          <w:rFonts w:hint="eastAsia" w:ascii="仿宋_GB2312" w:hAnsi="仿宋_GB2312" w:eastAsia="仿宋_GB2312" w:cs="仿宋_GB2312"/>
          <w:sz w:val="32"/>
          <w:szCs w:val="32"/>
          <w:lang w:val="en-US" w:eastAsia="zh-CN"/>
        </w:rPr>
        <w:t>3.84万元，占9.98%；卫生健康（类）支出1.51万元，占3.93%；自然资源海洋气象等（类）支出33.11万元，占86.09%。</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38.46</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highlight w:val="none"/>
          <w:lang w:val="en-US" w:eastAsia="zh-CN"/>
        </w:rPr>
        <w:t>38.46</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社会保障和就业支出（类）行政事业单位离退休（款）机关事业单位基本养老保险缴费支出（项）。</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3.43</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3.84</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大于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的主要原因是：</w:t>
      </w:r>
      <w:r>
        <w:rPr>
          <w:rFonts w:hint="eastAsia" w:ascii="仿宋_GB2312" w:hAnsi="仿宋_GB2312" w:eastAsia="仿宋_GB2312" w:cs="仿宋_GB2312"/>
          <w:sz w:val="32"/>
          <w:szCs w:val="32"/>
          <w:lang w:val="en-US" w:eastAsia="zh-CN"/>
        </w:rPr>
        <w:t>基本养老保险缴费支出</w:t>
      </w:r>
      <w:r>
        <w:rPr>
          <w:rFonts w:hint="eastAsia" w:ascii="仿宋_GB2312" w:hAnsi="仿宋_GB2312" w:eastAsia="仿宋_GB2312" w:cs="仿宋_GB2312"/>
          <w:sz w:val="32"/>
          <w:szCs w:val="32"/>
          <w:lang w:eastAsia="zh-CN"/>
        </w:rPr>
        <w:t>年初预算数由财政统一测算，支出数由实际需求决定。</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卫生健康支出（类）行政事业单位医疗（款）事业单位医疗（项）。</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1.39</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于年初预算数的主要原因是：</w:t>
      </w:r>
      <w:r>
        <w:rPr>
          <w:rFonts w:hint="eastAsia" w:ascii="仿宋_GB2312" w:hAnsi="仿宋_GB2312" w:eastAsia="仿宋_GB2312" w:cs="仿宋_GB2312"/>
          <w:sz w:val="32"/>
          <w:szCs w:val="32"/>
          <w:lang w:eastAsia="zh-CN"/>
        </w:rPr>
        <w:t>事业单位医疗年初预算数由财政统一测算，支出数由实际需求决定。</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3、自然资源海洋气象等支出（类）气象事务（款）行政运行（项）。</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29.79</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33.11</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%，决算数大于年初预算数的主要原因是：</w:t>
      </w:r>
      <w:r>
        <w:rPr>
          <w:rFonts w:hint="eastAsia" w:ascii="仿宋_GB2312" w:hAnsi="仿宋_GB2312" w:eastAsia="仿宋_GB2312" w:cs="仿宋_GB2312"/>
          <w:sz w:val="32"/>
          <w:szCs w:val="32"/>
          <w:lang w:eastAsia="zh-CN"/>
        </w:rPr>
        <w:t>人员工资调整增加，以及每月增加绩效奖金发放。</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4、住房保障支出（类）住房改革支出（款）住房公积金（项）。</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2.93</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%，决算数小于年初预算数的主要原因是：</w:t>
      </w:r>
      <w:r>
        <w:rPr>
          <w:rFonts w:hint="eastAsia" w:ascii="仿宋_GB2312" w:hAnsi="仿宋_GB2312" w:eastAsia="仿宋_GB2312" w:cs="仿宋_GB2312"/>
          <w:sz w:val="32"/>
          <w:szCs w:val="32"/>
          <w:lang w:eastAsia="zh-CN"/>
        </w:rPr>
        <w:t>住房改革支出由财政统一支付，未计入本单位支出。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38.46</w:t>
      </w:r>
      <w:r>
        <w:rPr>
          <w:rFonts w:hint="eastAsia" w:ascii="Times New Roman" w:hAnsi="Times New Roman" w:eastAsia="仿宋_GB2312"/>
          <w:sz w:val="32"/>
          <w:szCs w:val="32"/>
        </w:rPr>
        <w:t>万元，其中：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34.73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90.30</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机关事业单位养老保险缴费、职工基本医疗保险缴费、其他社会保障缴费。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3.73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9.70</w:t>
      </w:r>
      <w:r>
        <w:rPr>
          <w:rFonts w:hint="eastAsia" w:ascii="Times New Roman" w:hAnsi="Times New Roman" w:eastAsia="仿宋_GB2312"/>
          <w:sz w:val="32"/>
          <w:szCs w:val="32"/>
        </w:rPr>
        <w:t>%，主要包括办公费、印刷费、</w:t>
      </w:r>
      <w:r>
        <w:rPr>
          <w:rFonts w:hint="eastAsia" w:ascii="Times New Roman" w:hAnsi="Times New Roman" w:eastAsia="仿宋_GB2312"/>
          <w:sz w:val="32"/>
          <w:szCs w:val="32"/>
          <w:lang w:eastAsia="zh-CN"/>
        </w:rPr>
        <w:t>差旅</w:t>
      </w:r>
      <w:r>
        <w:rPr>
          <w:rFonts w:hint="eastAsia" w:ascii="Times New Roman" w:hAnsi="Times New Roman" w:eastAsia="仿宋_GB2312"/>
          <w:sz w:val="32"/>
          <w:szCs w:val="32"/>
        </w:rPr>
        <w:t>费、</w:t>
      </w:r>
      <w:r>
        <w:rPr>
          <w:rFonts w:hint="eastAsia" w:ascii="Times New Roman" w:hAnsi="Times New Roman" w:eastAsia="仿宋_GB2312"/>
          <w:sz w:val="32"/>
          <w:szCs w:val="32"/>
          <w:lang w:eastAsia="zh-CN"/>
        </w:rPr>
        <w:t>福利</w:t>
      </w:r>
      <w:r>
        <w:rPr>
          <w:rFonts w:hint="eastAsia" w:ascii="Times New Roman" w:hAnsi="Times New Roman" w:eastAsia="仿宋_GB2312"/>
          <w:sz w:val="32"/>
          <w:szCs w:val="32"/>
        </w:rPr>
        <w:t>费</w:t>
      </w:r>
      <w:r>
        <w:rPr>
          <w:rFonts w:hint="eastAsia" w:ascii="Times New Roman" w:hAnsi="Times New Roman" w:eastAsia="仿宋_GB2312"/>
          <w:sz w:val="32"/>
          <w:szCs w:val="32"/>
          <w:lang w:eastAsia="zh-CN"/>
        </w:rPr>
        <w:t>、其他交通费用、其他商品和服务支出</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决算数与年初预算数持平，主要原因是按预算执行，与上年数持平，主要原因是厉行节约，减少开支</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决算数与年初预算数持平，主要原因按预算执行，与上年数持平，主要原因本年度未安排因公出国（境）。</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公务接待费支出预算为0万元，支出决算为0万元，完成预算的0%，决算数与年初预算数持平，主要原因是按预算执行，与上年数持平，主要原因是厉行节约，减少开支。</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公务用车购置费支出预算为0万元，支出决算为0万元，完成预算的0%，决算数与年初预算数持平，主要原因是按预算执行，与上年数持平，主要原因是厉行节约，减少开支。</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决算数与年初预算数持平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本单位无公务用车，没有安排公务用车运行维护费，与上年数持平。</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r>
        <w:rPr>
          <w:rFonts w:hint="eastAsia" w:ascii="Times New Roman" w:hAnsi="Times New Roman" w:eastAsia="仿宋_GB2312"/>
          <w:sz w:val="32"/>
          <w:szCs w:val="32"/>
          <w:lang w:val="en-US" w:eastAsia="zh-CN"/>
        </w:rPr>
        <w:t>次。</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rPr>
        <w:t>九</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国有资本经营预算</w:t>
      </w:r>
      <w:r>
        <w:rPr>
          <w:rFonts w:hint="eastAsia" w:ascii="黑体" w:hAnsi="黑体" w:eastAsia="黑体" w:cs="黑体"/>
          <w:b w:val="0"/>
          <w:bCs/>
          <w:sz w:val="32"/>
          <w:szCs w:val="32"/>
          <w:lang w:eastAsia="zh-CN"/>
        </w:rPr>
        <w:t>收入支出决算情况</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sz w:val="32"/>
          <w:szCs w:val="32"/>
          <w:lang w:val="en-US" w:eastAsia="zh-CN"/>
        </w:rPr>
        <w:t>2023年度本单位无国有资本经营预算收支。</w:t>
      </w:r>
      <w:bookmarkStart w:id="3" w:name="_GoBack"/>
      <w:bookmarkEnd w:id="3"/>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黑体" w:hAnsi="黑体" w:eastAsia="黑体" w:cs="黑体"/>
          <w:b w:val="0"/>
          <w:bCs/>
          <w:sz w:val="32"/>
          <w:szCs w:val="32"/>
        </w:rPr>
        <w:t>十</w:t>
      </w:r>
      <w:r>
        <w:rPr>
          <w:rFonts w:hint="eastAsia" w:ascii="Times New Roman" w:hAnsi="Times New Roman" w:eastAsia="仿宋_GB2312"/>
          <w:b/>
          <w:color w:val="auto"/>
          <w:sz w:val="32"/>
          <w:szCs w:val="32"/>
        </w:rPr>
        <w:t>、关于机关运行经费支出说明</w:t>
      </w:r>
    </w:p>
    <w:p>
      <w:pPr>
        <w:keepNext w:val="0"/>
        <w:keepLines w:val="0"/>
        <w:pageBreakBefore w:val="0"/>
        <w:widowControl w:val="0"/>
        <w:kinsoku/>
        <w:wordWrap/>
        <w:overflowPunct/>
        <w:topLinePunct w:val="0"/>
        <w:bidi w:val="0"/>
        <w:snapToGrid/>
        <w:spacing w:line="560" w:lineRule="exact"/>
        <w:ind w:left="0"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部门2023年度机关运行经费支出3.73万元，比年初预算数减少0.77万元，降低17.11%。主要原因是：厉行节约，财政统一压减公用经费支出；本单位为全额拨款事业单位，本年失业保险和工伤保险，无经费保障来源，用公用经费调剂以弥补这块资金缺口。</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十一、一般性支出情况说明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万元；举办节庆、晚会、论坛、赛事活动，开支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color w:val="auto"/>
          <w:sz w:val="32"/>
          <w:szCs w:val="32"/>
        </w:rPr>
        <w:t>十二</w:t>
      </w:r>
      <w:r>
        <w:rPr>
          <w:rFonts w:hint="eastAsia" w:ascii="黑体" w:hAnsi="黑体" w:eastAsia="黑体" w:cs="黑体"/>
          <w:b w:val="0"/>
          <w:bCs/>
          <w:sz w:val="32"/>
          <w:szCs w:val="32"/>
        </w:rPr>
        <w:t>、关于政府采购支出说明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本部门2023年度政府采购支出总额0万元，其中：政府采购货物支出0 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十三、关于国有资产占用情况说明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截至2023年12月31日，本单位共有车辆0辆，其中，副部（省）级及以上领导用车0辆、主要负责人用车0辆、机要通信用车0辆、应急保障用车0辆、执法执勤用车0辆、特种专业技术用车0辆、离退休干部服务用车0辆、其他用车0辆；单位价值100万元以上设备（不含车辆）0台（套）。</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本单位2023年度无重点项目支出。</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今年以来（截止12月27日），全市气候总体温高雨少。全市平均气温18.4℃，较历年同期（17.3℃）偏高1.1℃，为1961年以来同期最高。平均降雨1035.7毫米，较历年同期（1389.7毫米）偏少25.5%，为1961年以来同期第三少。</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今年为增加蓄水、增加土壤墒情、降低森林火险、改善空气质量等，全市气象部门密切监视天气变化，抢抓一切作业机会开展地面和飞机增雨作业。今年截止12月27日共开展地面火箭增雨作业130余次，发射增雨火箭弹400余枚。开展飞机增雨作业10架次，燃烧烟条400余根。影响区域均下了小到中雨，效益明显。</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根据天气变化结合各地实际需求，适时组织开展人工影响天气作业。为农业生产、水库保蓄水、森林防火、改善空气质量、生态环境修复、应对高温热害、重大社会活动等提供气象保障服务；对作业单位作业资质进行年检、初审工作。对拟参加2023年火箭炮作业人员进行技术培训上岗考核工作。作业人员须经培训考核并取得上岗证后，方可参加作业；会同省人影办、县（市）人影办做好作业装备年检工作，严禁未经年检或年检不合格的作业装备投入使用。建立相应的检测、维修和年检档案，并逐一登记备案；组织开展全市人影作业炮点安全论证和炮点风险评估。</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对全市现有的66个地面火箭炮发射作业点进行安全体系论证，收集各炮点基础信息，录入人影安全作业系统；加强与南部战区空域管理部门的联系，特别是与邵东、遵义、桂林空中交通管制室的沟通协调，强化地面炮射作业和人影飞机作业的空域申请与空域保障，即时报送作业站点信息和作业计划，为作业顺利开展提供条件；做好飞机人工增雨作业协调和后勤保障工作。</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根据怀化市人民政府与湖南省气象局签订的局市合作协议精神，做好增雨飞机在怀化开展飞机增雨期间的地面协调和机组的后勤保障服务工作；加强安全生产管理，完善人影作业制度和流程，对全市12县（市区）人影作业进行安全生产督查和技术指导。协调办理作业人员的人身安全保险工作，加强对作业设备及火箭弹的管理，确保安全。落实人工影响天气作业安全岗位责任制，及时掌握各作业点火箭弹的耗弹量和库存量，加强对火箭炮的维护和保养，发现问题及故障及时排除，使作业装备始终处于良好的战备状态；组织开展本地区人工增雨作业效果评估工作。加强同民政、防汛等部门的联系，主动收集雨情、灾情信息，做好作业效果的评估工作。收集本地区人工增雨作业有关情况的工作，及时做好人工增雨信息上报工作。</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近些年，发生严重干旱频率之高与气候异常存在密切关系。人工增雨作为主要抗旱措施之一，所以要转变发展方式，由季节性抗旱转变为常规性服务，在农业生产、森林防火、水库蓄水、城市降温等领域充分发挥人工增雨的优势。而目前的人影作业公用经费根本不能满足现有业务开展的需要；人工影响天气作业队伍不稳定，人工影响天气基础设施较薄弱。</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为进一步提高人工影响天气作业的保障能力，我单位希望地方财政能逐步加大对人影作业的经费投入力度，加强人才队伍的建设，逐步完善标准化站点建设，为我市人影事业能持续、健康地发展提供有力保障。</w:t>
      </w:r>
    </w:p>
    <w:p>
      <w:pPr>
        <w:pStyle w:val="13"/>
        <w:jc w:val="both"/>
        <w:rPr>
          <w:sz w:val="72"/>
          <w:szCs w:val="72"/>
        </w:rPr>
      </w:pPr>
    </w:p>
    <w:p>
      <w:pPr>
        <w:pStyle w:val="13"/>
        <w:jc w:val="center"/>
        <w:rPr>
          <w:sz w:val="72"/>
          <w:szCs w:val="72"/>
        </w:rPr>
      </w:pPr>
    </w:p>
    <w:p>
      <w:pPr>
        <w:pStyle w:val="13"/>
        <w:jc w:val="center"/>
        <w:rPr>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rPr>
        <w:t>一、</w:t>
      </w:r>
      <w:r>
        <w:rPr>
          <w:rFonts w:hint="eastAsia" w:ascii="仿宋" w:hAnsi="仿宋" w:eastAsia="仿宋" w:cs="仿宋"/>
          <w:i w:val="0"/>
          <w:iCs w:val="0"/>
          <w:caps w:val="0"/>
          <w:color w:val="auto"/>
          <w:spacing w:val="0"/>
          <w:sz w:val="32"/>
          <w:szCs w:val="32"/>
          <w:shd w:val="clear" w:color="auto" w:fill="FFFFFF"/>
        </w:rPr>
        <w:t>财政拨款收入：指财政当年拨付的资金。包括一般公共预算财政拨款和政府性基金财政拨款。</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二、</w:t>
      </w:r>
      <w:r>
        <w:rPr>
          <w:rFonts w:hint="eastAsia" w:ascii="仿宋" w:hAnsi="仿宋" w:eastAsia="仿宋" w:cs="仿宋"/>
          <w:i w:val="0"/>
          <w:iCs w:val="0"/>
          <w:caps w:val="0"/>
          <w:color w:val="auto"/>
          <w:spacing w:val="0"/>
          <w:sz w:val="32"/>
          <w:szCs w:val="32"/>
          <w:shd w:val="clear" w:color="auto" w:fill="FFFFFF"/>
        </w:rPr>
        <w:t>上级补助收入：指事业单位从主管部门和上级单位取得的非财政补助收入。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三、</w:t>
      </w:r>
      <w:r>
        <w:rPr>
          <w:rFonts w:hint="eastAsia" w:ascii="仿宋" w:hAnsi="仿宋" w:eastAsia="仿宋" w:cs="仿宋"/>
          <w:i w:val="0"/>
          <w:iCs w:val="0"/>
          <w:caps w:val="0"/>
          <w:color w:val="auto"/>
          <w:spacing w:val="0"/>
          <w:sz w:val="32"/>
          <w:szCs w:val="32"/>
          <w:shd w:val="clear" w:color="auto" w:fill="FFFFFF"/>
        </w:rPr>
        <w:t>事业收入：指事业单位开展专业业务活动及辅助活动所取得的收入。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四、</w:t>
      </w:r>
      <w:r>
        <w:rPr>
          <w:rFonts w:hint="eastAsia" w:ascii="仿宋" w:hAnsi="仿宋" w:eastAsia="仿宋" w:cs="仿宋"/>
          <w:i w:val="0"/>
          <w:iCs w:val="0"/>
          <w:caps w:val="0"/>
          <w:color w:val="auto"/>
          <w:spacing w:val="0"/>
          <w:sz w:val="32"/>
          <w:szCs w:val="32"/>
          <w:shd w:val="clear" w:color="auto" w:fill="FFFFFF"/>
        </w:rPr>
        <w:t>经营收入：指事业单位在专业业务活动及其辅助活动之外开展非独立核算经营活动取得的收入。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五、</w:t>
      </w:r>
      <w:r>
        <w:rPr>
          <w:rFonts w:hint="eastAsia" w:ascii="仿宋" w:hAnsi="仿宋" w:eastAsia="仿宋" w:cs="仿宋"/>
          <w:i w:val="0"/>
          <w:iCs w:val="0"/>
          <w:caps w:val="0"/>
          <w:color w:val="auto"/>
          <w:spacing w:val="0"/>
          <w:sz w:val="32"/>
          <w:szCs w:val="32"/>
          <w:shd w:val="clear" w:color="auto" w:fill="FFFFFF"/>
        </w:rPr>
        <w:t>附属单位上缴收入：指事业单位附属独立核算单位按照有关规定上缴的收入。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六、</w:t>
      </w:r>
      <w:r>
        <w:rPr>
          <w:rFonts w:hint="eastAsia" w:ascii="仿宋" w:hAnsi="仿宋" w:eastAsia="仿宋" w:cs="仿宋"/>
          <w:i w:val="0"/>
          <w:iCs w:val="0"/>
          <w:caps w:val="0"/>
          <w:color w:val="auto"/>
          <w:spacing w:val="0"/>
          <w:sz w:val="32"/>
          <w:szCs w:val="32"/>
          <w:shd w:val="clear" w:color="auto" w:fill="FFFFFF"/>
        </w:rPr>
        <w:t>其他收入：指除上述“财政拨款收入”、“事业收入”、“经营收入”等以外的收入。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七、</w:t>
      </w:r>
      <w:r>
        <w:rPr>
          <w:rFonts w:hint="eastAsia" w:ascii="仿宋" w:hAnsi="仿宋" w:eastAsia="仿宋" w:cs="仿宋"/>
          <w:i w:val="0"/>
          <w:iCs w:val="0"/>
          <w:caps w:val="0"/>
          <w:color w:val="auto"/>
          <w:spacing w:val="0"/>
          <w:sz w:val="32"/>
          <w:szCs w:val="32"/>
          <w:shd w:val="clear" w:color="auto" w:fill="FFFFFF"/>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八、</w:t>
      </w:r>
      <w:r>
        <w:rPr>
          <w:rFonts w:hint="eastAsia" w:ascii="仿宋" w:hAnsi="仿宋" w:eastAsia="仿宋" w:cs="仿宋"/>
          <w:i w:val="0"/>
          <w:iCs w:val="0"/>
          <w:caps w:val="0"/>
          <w:color w:val="auto"/>
          <w:spacing w:val="0"/>
          <w:sz w:val="32"/>
          <w:szCs w:val="32"/>
          <w:shd w:val="clear" w:color="auto" w:fill="FFFFFF"/>
        </w:rPr>
        <w:t>年初结转和结余：指以前年度尚未完成、结转到本年按有关规定继续使用的资金。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九、</w:t>
      </w:r>
      <w:r>
        <w:rPr>
          <w:rFonts w:hint="eastAsia" w:ascii="仿宋" w:hAnsi="仿宋" w:eastAsia="仿宋" w:cs="仿宋"/>
          <w:i w:val="0"/>
          <w:iCs w:val="0"/>
          <w:caps w:val="0"/>
          <w:color w:val="auto"/>
          <w:spacing w:val="0"/>
          <w:sz w:val="32"/>
          <w:szCs w:val="32"/>
          <w:shd w:val="clear" w:color="auto" w:fill="FFFFFF"/>
        </w:rPr>
        <w:t>结余分配：指事业单位按规定从非财政补助结余中分配的事业基金和职工福利基金等。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十、</w:t>
      </w:r>
      <w:r>
        <w:rPr>
          <w:rFonts w:hint="eastAsia" w:ascii="仿宋" w:hAnsi="仿宋" w:eastAsia="仿宋" w:cs="仿宋"/>
          <w:i w:val="0"/>
          <w:iCs w:val="0"/>
          <w:caps w:val="0"/>
          <w:color w:val="auto"/>
          <w:spacing w:val="0"/>
          <w:sz w:val="32"/>
          <w:szCs w:val="32"/>
          <w:shd w:val="clear" w:color="auto" w:fill="FFFFFF"/>
        </w:rPr>
        <w:t>年末结转和结余：指本年度或以前年度预算安排、因客观条件发生变化无法按原计划实施，需要延迟到以后年度按有关规定继续使用的资金。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十一、</w:t>
      </w:r>
      <w:r>
        <w:rPr>
          <w:rFonts w:hint="eastAsia" w:ascii="仿宋" w:hAnsi="仿宋" w:eastAsia="仿宋" w:cs="仿宋"/>
          <w:i w:val="0"/>
          <w:iCs w:val="0"/>
          <w:caps w:val="0"/>
          <w:color w:val="auto"/>
          <w:spacing w:val="0"/>
          <w:sz w:val="32"/>
          <w:szCs w:val="32"/>
          <w:shd w:val="clear" w:color="auto" w:fill="FFFFFF"/>
        </w:rPr>
        <w:t>基本支出：指为保障机构正常运转、完成日常工作任务而发生的人员支出和公用支出。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十二、</w:t>
      </w:r>
      <w:r>
        <w:rPr>
          <w:rFonts w:hint="eastAsia" w:ascii="仿宋" w:hAnsi="仿宋" w:eastAsia="仿宋" w:cs="仿宋"/>
          <w:i w:val="0"/>
          <w:iCs w:val="0"/>
          <w:caps w:val="0"/>
          <w:color w:val="auto"/>
          <w:spacing w:val="0"/>
          <w:sz w:val="32"/>
          <w:szCs w:val="32"/>
          <w:shd w:val="clear" w:color="auto" w:fill="FFFFFF"/>
        </w:rPr>
        <w:t>项目支出：指在基本支出之外为完成特定行政任务和事业发展目标所发生的支出。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十三、</w:t>
      </w:r>
      <w:r>
        <w:rPr>
          <w:rFonts w:hint="eastAsia" w:ascii="仿宋" w:hAnsi="仿宋" w:eastAsia="仿宋" w:cs="仿宋"/>
          <w:i w:val="0"/>
          <w:iCs w:val="0"/>
          <w:caps w:val="0"/>
          <w:color w:val="auto"/>
          <w:spacing w:val="0"/>
          <w:sz w:val="32"/>
          <w:szCs w:val="32"/>
          <w:shd w:val="clear" w:color="auto" w:fill="FFFFFF"/>
        </w:rPr>
        <w:t>经营支出：指事业单位在专业业务活动及其辅助活动之外开展非独立核算经营活动所发生的支出。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cs="黑体" w:asciiTheme="minorEastAsia" w:hAnsiTheme="minorEastAsia"/>
          <w:color w:val="000000"/>
          <w:kern w:val="0"/>
          <w:sz w:val="32"/>
          <w:szCs w:val="32"/>
          <w:lang w:val="en-US" w:eastAsia="zh-CN"/>
        </w:rPr>
        <w:t>十四、</w:t>
      </w:r>
      <w:r>
        <w:rPr>
          <w:rFonts w:hint="eastAsia" w:ascii="仿宋" w:hAnsi="仿宋" w:eastAsia="仿宋" w:cs="仿宋"/>
          <w:i w:val="0"/>
          <w:iCs w:val="0"/>
          <w:caps w:val="0"/>
          <w:color w:val="auto"/>
          <w:spacing w:val="0"/>
          <w:sz w:val="32"/>
          <w:szCs w:val="32"/>
          <w:shd w:val="clear" w:color="auto" w:fill="FFFFFF"/>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color w:val="auto"/>
          <w:sz w:val="72"/>
          <w:szCs w:val="72"/>
        </w:rPr>
      </w:pPr>
      <w:r>
        <w:rPr>
          <w:rFonts w:hint="eastAsia" w:cs="黑体" w:asciiTheme="minorEastAsia" w:hAnsiTheme="minorEastAsia"/>
          <w:color w:val="000000"/>
          <w:kern w:val="0"/>
          <w:sz w:val="32"/>
          <w:szCs w:val="32"/>
          <w:lang w:val="en-US" w:eastAsia="zh-CN"/>
        </w:rPr>
        <w:t>十五、</w:t>
      </w:r>
      <w:r>
        <w:rPr>
          <w:rFonts w:hint="eastAsia" w:ascii="仿宋" w:hAnsi="仿宋" w:eastAsia="仿宋" w:cs="仿宋"/>
          <w:i w:val="0"/>
          <w:iCs w:val="0"/>
          <w:caps w:val="0"/>
          <w:color w:val="auto"/>
          <w:spacing w:val="0"/>
          <w:sz w:val="32"/>
          <w:szCs w:val="32"/>
          <w:shd w:val="clear" w:color="auto" w:fill="FFFFFF"/>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rPr>
          <w:sz w:val="72"/>
          <w:szCs w:val="72"/>
        </w:rPr>
      </w:pPr>
      <w:r>
        <w:rPr>
          <w:sz w:val="72"/>
          <w:szCs w:val="72"/>
        </w:rPr>
        <w:br w:type="page"/>
      </w: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pPr>
        <w:pStyle w:val="13"/>
        <w:ind w:firstLine="1280" w:firstLineChars="4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pPr>
        <w:pStyle w:val="13"/>
        <w:jc w:val="center"/>
        <w:rPr>
          <w:sz w:val="72"/>
          <w:szCs w:val="72"/>
        </w:rPr>
      </w:pPr>
    </w:p>
    <w:p>
      <w:pPr>
        <w:pStyle w:val="13"/>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4ODk1NTdmMWZjMjZjMmZhNjdiZmM0MTUzM2Q5Zjk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10F1"/>
    <w:rsid w:val="00DD06FF"/>
    <w:rsid w:val="00DD5FE9"/>
    <w:rsid w:val="00E00C7A"/>
    <w:rsid w:val="00E37D6C"/>
    <w:rsid w:val="00E55B68"/>
    <w:rsid w:val="00E561AE"/>
    <w:rsid w:val="00E67BE6"/>
    <w:rsid w:val="00E8683C"/>
    <w:rsid w:val="00EA2B72"/>
    <w:rsid w:val="00F42D48"/>
    <w:rsid w:val="00F74360"/>
    <w:rsid w:val="00FB462F"/>
    <w:rsid w:val="00FE16FA"/>
    <w:rsid w:val="00FE328A"/>
    <w:rsid w:val="00FE6269"/>
    <w:rsid w:val="00FF5CD6"/>
    <w:rsid w:val="012B0079"/>
    <w:rsid w:val="02C75339"/>
    <w:rsid w:val="07293490"/>
    <w:rsid w:val="0C840C66"/>
    <w:rsid w:val="0C9F6722"/>
    <w:rsid w:val="0D5A43A4"/>
    <w:rsid w:val="0E7C4E5C"/>
    <w:rsid w:val="16111CE9"/>
    <w:rsid w:val="19CB70D4"/>
    <w:rsid w:val="1CF10900"/>
    <w:rsid w:val="1D671F4A"/>
    <w:rsid w:val="1D97DEFF"/>
    <w:rsid w:val="1DFF72E5"/>
    <w:rsid w:val="1EFC6F07"/>
    <w:rsid w:val="201263C2"/>
    <w:rsid w:val="21817CF9"/>
    <w:rsid w:val="22B10AB2"/>
    <w:rsid w:val="247955FF"/>
    <w:rsid w:val="281B7D7E"/>
    <w:rsid w:val="2FDF85B8"/>
    <w:rsid w:val="2FFFEE04"/>
    <w:rsid w:val="31B84843"/>
    <w:rsid w:val="327B641F"/>
    <w:rsid w:val="33CF0132"/>
    <w:rsid w:val="34DF85B0"/>
    <w:rsid w:val="359A38A0"/>
    <w:rsid w:val="3B8F36BC"/>
    <w:rsid w:val="3D411B6D"/>
    <w:rsid w:val="3E465190"/>
    <w:rsid w:val="3FEC7BBC"/>
    <w:rsid w:val="403221B3"/>
    <w:rsid w:val="42572C39"/>
    <w:rsid w:val="439C7F9A"/>
    <w:rsid w:val="43DD27C3"/>
    <w:rsid w:val="47DB3D58"/>
    <w:rsid w:val="490227F9"/>
    <w:rsid w:val="491FF225"/>
    <w:rsid w:val="49B5722B"/>
    <w:rsid w:val="4A3D3D4F"/>
    <w:rsid w:val="4A986F49"/>
    <w:rsid w:val="4AD309EB"/>
    <w:rsid w:val="4CA02E7A"/>
    <w:rsid w:val="4F991470"/>
    <w:rsid w:val="4FFD214C"/>
    <w:rsid w:val="50FF6417"/>
    <w:rsid w:val="531941ED"/>
    <w:rsid w:val="546B1FBF"/>
    <w:rsid w:val="548C789E"/>
    <w:rsid w:val="55C67DF5"/>
    <w:rsid w:val="5777D4F5"/>
    <w:rsid w:val="57C41E1F"/>
    <w:rsid w:val="59140E77"/>
    <w:rsid w:val="59DD8326"/>
    <w:rsid w:val="5AE82E61"/>
    <w:rsid w:val="5C403D31"/>
    <w:rsid w:val="5DEF592A"/>
    <w:rsid w:val="5FC6BB1E"/>
    <w:rsid w:val="5FF720F1"/>
    <w:rsid w:val="651305F4"/>
    <w:rsid w:val="67FF5C0B"/>
    <w:rsid w:val="69926FC5"/>
    <w:rsid w:val="6CB84D40"/>
    <w:rsid w:val="6E5722CC"/>
    <w:rsid w:val="6ED46376"/>
    <w:rsid w:val="6EFC0924"/>
    <w:rsid w:val="6F2E4256"/>
    <w:rsid w:val="6FAC7C21"/>
    <w:rsid w:val="6FB74722"/>
    <w:rsid w:val="6FEF8B7E"/>
    <w:rsid w:val="701505F0"/>
    <w:rsid w:val="707E7F1A"/>
    <w:rsid w:val="71066EA0"/>
    <w:rsid w:val="71A6591B"/>
    <w:rsid w:val="737D59BA"/>
    <w:rsid w:val="743C178F"/>
    <w:rsid w:val="765A1E10"/>
    <w:rsid w:val="77C37683"/>
    <w:rsid w:val="79FF515B"/>
    <w:rsid w:val="7A7A684D"/>
    <w:rsid w:val="7E9E1962"/>
    <w:rsid w:val="7E9F11B4"/>
    <w:rsid w:val="7EA366EB"/>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8205</Words>
  <Characters>9242</Characters>
  <Lines>63</Lines>
  <Paragraphs>18</Paragraphs>
  <TotalTime>3</TotalTime>
  <ScaleCrop>false</ScaleCrop>
  <LinksUpToDate>false</LinksUpToDate>
  <CharactersWithSpaces>10208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WPS_1676282203</cp:lastModifiedBy>
  <cp:lastPrinted>2024-08-08T10:20:00Z</cp:lastPrinted>
  <dcterms:modified xsi:type="dcterms:W3CDTF">2024-09-24T02:16:15Z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9BB365D3048C4F82AD14774259EB4CE4_12</vt:lpwstr>
  </property>
</Properties>
</file>