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1040" w:firstLineChars="200"/>
        <w:jc w:val="center"/>
        <w:rPr>
          <w:rFonts w:hint="eastAsia"/>
          <w:color w:val="auto"/>
          <w:sz w:val="52"/>
          <w:szCs w:val="52"/>
        </w:rPr>
      </w:pPr>
      <w:r>
        <w:rPr>
          <w:rFonts w:hint="eastAsia"/>
          <w:color w:val="auto"/>
          <w:sz w:val="52"/>
          <w:szCs w:val="52"/>
        </w:rPr>
        <w:t>2021年度怀化市水务投资管理中心</w:t>
      </w:r>
    </w:p>
    <w:p>
      <w:pPr>
        <w:pStyle w:val="11"/>
        <w:ind w:firstLine="1040" w:firstLineChars="200"/>
        <w:jc w:val="center"/>
        <w:rPr>
          <w:color w:val="auto"/>
          <w:sz w:val="52"/>
          <w:szCs w:val="52"/>
        </w:rPr>
      </w:pPr>
      <w:r>
        <w:rPr>
          <w:rFonts w:hint="eastAsia"/>
          <w:color w:val="auto"/>
          <w:sz w:val="52"/>
          <w:szCs w:val="52"/>
        </w:rPr>
        <w:t>部门决算</w:t>
      </w:r>
    </w:p>
    <w:p>
      <w:pPr>
        <w:pStyle w:val="11"/>
        <w:jc w:val="center"/>
        <w:rPr>
          <w:rFonts w:ascii="新宋体" w:hAnsi="新宋体" w:eastAsia="新宋体"/>
          <w:color w:val="auto"/>
          <w:sz w:val="28"/>
          <w:szCs w:val="28"/>
        </w:rPr>
      </w:pPr>
    </w:p>
    <w:p>
      <w:pPr>
        <w:pStyle w:val="11"/>
        <w:spacing w:line="500" w:lineRule="exact"/>
        <w:ind w:firstLine="883" w:firstLineChars="200"/>
        <w:jc w:val="center"/>
        <w:rPr>
          <w:rFonts w:hAnsi="黑体"/>
          <w:b/>
          <w:color w:val="auto"/>
          <w:sz w:val="44"/>
          <w:szCs w:val="44"/>
        </w:rPr>
      </w:pPr>
      <w:r>
        <w:rPr>
          <w:rFonts w:hint="eastAsia" w:hAnsi="黑体"/>
          <w:b/>
          <w:color w:val="auto"/>
          <w:sz w:val="44"/>
          <w:szCs w:val="44"/>
        </w:rPr>
        <w:t>目  录</w:t>
      </w:r>
    </w:p>
    <w:p>
      <w:pPr>
        <w:pStyle w:val="11"/>
        <w:spacing w:line="500" w:lineRule="exact"/>
        <w:rPr>
          <w:rFonts w:ascii="新宋体" w:hAnsi="新宋体" w:eastAsia="新宋体"/>
          <w:b/>
          <w:color w:val="auto"/>
          <w:sz w:val="28"/>
          <w:szCs w:val="28"/>
        </w:rPr>
      </w:pPr>
    </w:p>
    <w:p>
      <w:pPr>
        <w:pStyle w:val="11"/>
        <w:spacing w:line="500" w:lineRule="exact"/>
        <w:ind w:firstLine="562" w:firstLineChars="200"/>
        <w:rPr>
          <w:rFonts w:ascii="新宋体" w:hAnsi="新宋体" w:eastAsia="新宋体" w:cs="仿宋_GB2312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第一部分水务投资管理中心单位概况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一、部门职责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二、机构设置</w:t>
      </w:r>
    </w:p>
    <w:p>
      <w:pPr>
        <w:pStyle w:val="11"/>
        <w:spacing w:line="500" w:lineRule="exact"/>
        <w:ind w:firstLine="562" w:firstLineChars="200"/>
        <w:rPr>
          <w:rFonts w:ascii="新宋体" w:hAnsi="新宋体" w:eastAsia="新宋体" w:cs="仿宋_GB2312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第二部分</w:t>
      </w:r>
      <w:r>
        <w:rPr>
          <w:rFonts w:ascii="新宋体" w:hAnsi="新宋体" w:eastAsia="新宋体"/>
          <w:b/>
          <w:color w:val="auto"/>
          <w:sz w:val="28"/>
          <w:szCs w:val="28"/>
        </w:rPr>
        <w:t>20</w:t>
      </w:r>
      <w:r>
        <w:rPr>
          <w:rFonts w:hint="eastAsia" w:ascii="新宋体" w:hAnsi="新宋体" w:eastAsia="新宋体"/>
          <w:b/>
          <w:color w:val="auto"/>
          <w:sz w:val="28"/>
          <w:szCs w:val="28"/>
        </w:rPr>
        <w:t>21年度部门决算表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一、收入支出决算表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二、收入决算表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三、支出决算表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四、财政拨款收入支出决算表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五、一般公共预算财政拨款</w:t>
      </w:r>
      <w:r>
        <w:rPr>
          <w:rFonts w:hint="eastAsia" w:ascii="新宋体" w:hAnsi="新宋体" w:eastAsia="新宋体" w:cs="仿宋_GB2312"/>
          <w:color w:val="auto"/>
          <w:sz w:val="28"/>
          <w:szCs w:val="28"/>
        </w:rPr>
        <w:t>收入</w:t>
      </w:r>
      <w:r>
        <w:rPr>
          <w:rFonts w:ascii="新宋体" w:hAnsi="新宋体" w:eastAsia="新宋体" w:cs="仿宋_GB2312"/>
          <w:color w:val="auto"/>
          <w:sz w:val="28"/>
          <w:szCs w:val="28"/>
        </w:rPr>
        <w:t>支出决算表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六、一般公共预算财政拨款基本支出决算</w:t>
      </w:r>
      <w:r>
        <w:rPr>
          <w:rFonts w:hint="eastAsia" w:ascii="新宋体" w:hAnsi="新宋体" w:eastAsia="新宋体" w:cs="仿宋_GB2312"/>
          <w:color w:val="auto"/>
          <w:sz w:val="28"/>
          <w:szCs w:val="28"/>
        </w:rPr>
        <w:t>明细</w:t>
      </w:r>
      <w:r>
        <w:rPr>
          <w:rFonts w:ascii="新宋体" w:hAnsi="新宋体" w:eastAsia="新宋体" w:cs="仿宋_GB2312"/>
          <w:color w:val="auto"/>
          <w:sz w:val="28"/>
          <w:szCs w:val="28"/>
        </w:rPr>
        <w:t>表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sz w:val="28"/>
          <w:szCs w:val="28"/>
        </w:rPr>
        <w:t>七、一般公共预算财政拨款“三公”经费支出决算表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sz w:val="28"/>
          <w:szCs w:val="28"/>
        </w:rPr>
        <w:t>八</w:t>
      </w:r>
      <w:r>
        <w:rPr>
          <w:rFonts w:ascii="新宋体" w:hAnsi="新宋体" w:eastAsia="新宋体" w:cs="仿宋_GB2312"/>
          <w:color w:val="auto"/>
          <w:sz w:val="28"/>
          <w:szCs w:val="28"/>
        </w:rPr>
        <w:t>、政府性基金预算财政拨款收入支出决算表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sz w:val="28"/>
          <w:szCs w:val="28"/>
        </w:rPr>
        <w:t>九、国有资本经营预算财政拨款收入支出决算表</w:t>
      </w:r>
    </w:p>
    <w:p>
      <w:pPr>
        <w:pStyle w:val="11"/>
        <w:spacing w:line="500" w:lineRule="exact"/>
        <w:ind w:firstLine="562" w:firstLineChars="200"/>
        <w:rPr>
          <w:rFonts w:ascii="新宋体" w:hAnsi="新宋体" w:eastAsia="新宋体" w:cs="仿宋_GB2312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第三部分</w:t>
      </w:r>
      <w:r>
        <w:rPr>
          <w:rFonts w:ascii="新宋体" w:hAnsi="新宋体" w:eastAsia="新宋体"/>
          <w:b/>
          <w:color w:val="auto"/>
          <w:sz w:val="28"/>
          <w:szCs w:val="28"/>
        </w:rPr>
        <w:t>20</w:t>
      </w:r>
      <w:r>
        <w:rPr>
          <w:rFonts w:hint="eastAsia" w:ascii="新宋体" w:hAnsi="新宋体" w:eastAsia="新宋体"/>
          <w:b/>
          <w:color w:val="auto"/>
          <w:sz w:val="28"/>
          <w:szCs w:val="28"/>
        </w:rPr>
        <w:t>21年度部门决算情况说明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一、收入支出决算总体情况说明</w:t>
      </w:r>
    </w:p>
    <w:p>
      <w:pPr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ascii="新宋体" w:hAnsi="新宋体" w:eastAsia="新宋体" w:cs="仿宋_GB2312"/>
          <w:color w:val="auto"/>
          <w:sz w:val="28"/>
          <w:szCs w:val="28"/>
        </w:rPr>
        <w:t>二、收入决算情况说明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ascii="新宋体" w:hAnsi="新宋体" w:eastAsia="新宋体" w:cs="仿宋_GB2312"/>
          <w:color w:val="auto"/>
          <w:kern w:val="0"/>
          <w:sz w:val="28"/>
          <w:szCs w:val="28"/>
        </w:rPr>
        <w:t>三、支出决算情况说明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ascii="新宋体" w:hAnsi="新宋体" w:eastAsia="新宋体" w:cs="仿宋_GB2312"/>
          <w:color w:val="auto"/>
          <w:kern w:val="0"/>
          <w:sz w:val="28"/>
          <w:szCs w:val="28"/>
        </w:rPr>
        <w:t>四、财政拨款收入支出决算总体情况说明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ascii="新宋体" w:hAnsi="新宋体" w:eastAsia="新宋体" w:cs="仿宋_GB2312"/>
          <w:color w:val="auto"/>
          <w:kern w:val="0"/>
          <w:sz w:val="28"/>
          <w:szCs w:val="28"/>
        </w:rPr>
        <w:t>五、一般公共预算财政拨款支出决算情况说明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ascii="新宋体" w:hAnsi="新宋体" w:eastAsia="新宋体" w:cs="仿宋_GB2312"/>
          <w:color w:val="auto"/>
          <w:kern w:val="0"/>
          <w:sz w:val="28"/>
          <w:szCs w:val="28"/>
        </w:rPr>
        <w:t>六、一般公共预算财政拨款基本支出决算情况说明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ascii="新宋体" w:hAnsi="新宋体" w:eastAsia="新宋体" w:cs="仿宋_GB2312"/>
          <w:color w:val="auto"/>
          <w:kern w:val="0"/>
          <w:sz w:val="28"/>
          <w:szCs w:val="28"/>
        </w:rPr>
        <w:t>七、一般公共预算财政拨款三公经费支出决算情况说明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kern w:val="0"/>
          <w:sz w:val="28"/>
          <w:szCs w:val="28"/>
        </w:rPr>
        <w:t>八</w:t>
      </w:r>
      <w:r>
        <w:rPr>
          <w:rFonts w:ascii="新宋体" w:hAnsi="新宋体" w:eastAsia="新宋体" w:cs="仿宋_GB2312"/>
          <w:color w:val="auto"/>
          <w:kern w:val="0"/>
          <w:sz w:val="28"/>
          <w:szCs w:val="28"/>
        </w:rPr>
        <w:t>、</w:t>
      </w:r>
      <w:r>
        <w:rPr>
          <w:rFonts w:hint="eastAsia" w:ascii="新宋体" w:hAnsi="新宋体" w:eastAsia="新宋体" w:cs="仿宋_GB2312"/>
          <w:color w:val="auto"/>
          <w:kern w:val="0"/>
          <w:sz w:val="28"/>
          <w:szCs w:val="28"/>
        </w:rPr>
        <w:t>政府性基金预算收入支出决算情况说明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kern w:val="0"/>
          <w:sz w:val="28"/>
          <w:szCs w:val="28"/>
        </w:rPr>
        <w:t>九、国有资本经营预算财政拨款支出决算情况说明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kern w:val="0"/>
          <w:sz w:val="28"/>
          <w:szCs w:val="28"/>
        </w:rPr>
        <w:t>十</w:t>
      </w:r>
      <w:r>
        <w:rPr>
          <w:rFonts w:ascii="新宋体" w:hAnsi="新宋体" w:eastAsia="新宋体" w:cs="仿宋_GB2312"/>
          <w:color w:val="auto"/>
          <w:kern w:val="0"/>
          <w:sz w:val="28"/>
          <w:szCs w:val="28"/>
        </w:rPr>
        <w:t>、</w:t>
      </w:r>
      <w:r>
        <w:rPr>
          <w:rFonts w:hint="eastAsia" w:ascii="新宋体" w:hAnsi="新宋体" w:eastAsia="新宋体" w:cs="仿宋_GB2312"/>
          <w:color w:val="auto"/>
          <w:kern w:val="0"/>
          <w:sz w:val="28"/>
          <w:szCs w:val="28"/>
        </w:rPr>
        <w:t>关于机关运行经费支出说明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kern w:val="0"/>
          <w:sz w:val="28"/>
          <w:szCs w:val="28"/>
        </w:rPr>
        <w:t>十一、一般性支出情况说明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jc w:val="left"/>
        <w:rPr>
          <w:rFonts w:ascii="新宋体" w:hAnsi="新宋体" w:eastAsia="新宋体" w:cs="仿宋_GB2312"/>
          <w:color w:val="auto"/>
          <w:kern w:val="0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kern w:val="0"/>
          <w:sz w:val="28"/>
          <w:szCs w:val="28"/>
        </w:rPr>
        <w:t>十二、关于政府采购支出说明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sz w:val="28"/>
          <w:szCs w:val="28"/>
        </w:rPr>
        <w:t>十三、关于国有资产占用情况说明</w:t>
      </w:r>
    </w:p>
    <w:p>
      <w:pPr>
        <w:pStyle w:val="11"/>
        <w:spacing w:line="500" w:lineRule="exact"/>
        <w:ind w:firstLine="560" w:firstLineChars="200"/>
        <w:rPr>
          <w:rFonts w:ascii="新宋体" w:hAnsi="新宋体" w:eastAsia="新宋体" w:cs="仿宋_GB2312"/>
          <w:color w:val="auto"/>
          <w:sz w:val="28"/>
          <w:szCs w:val="28"/>
        </w:rPr>
      </w:pPr>
      <w:r>
        <w:rPr>
          <w:rFonts w:hint="eastAsia" w:ascii="新宋体" w:hAnsi="新宋体" w:eastAsia="新宋体" w:cs="仿宋_GB2312"/>
          <w:color w:val="auto"/>
          <w:sz w:val="28"/>
          <w:szCs w:val="28"/>
        </w:rPr>
        <w:t>十四、关于2021年度预算绩效情况的说明</w:t>
      </w:r>
    </w:p>
    <w:p>
      <w:pPr>
        <w:autoSpaceDE w:val="0"/>
        <w:autoSpaceDN w:val="0"/>
        <w:adjustRightInd w:val="0"/>
        <w:spacing w:line="500" w:lineRule="exact"/>
        <w:ind w:firstLine="562" w:firstLineChars="200"/>
        <w:jc w:val="left"/>
        <w:rPr>
          <w:rFonts w:ascii="新宋体" w:hAnsi="新宋体" w:eastAsia="新宋体" w:cs="黑体"/>
          <w:b/>
          <w:color w:val="auto"/>
          <w:kern w:val="0"/>
          <w:sz w:val="28"/>
          <w:szCs w:val="28"/>
        </w:rPr>
      </w:pPr>
      <w:r>
        <w:rPr>
          <w:rFonts w:ascii="新宋体" w:hAnsi="新宋体" w:eastAsia="新宋体" w:cs="黑体"/>
          <w:b/>
          <w:color w:val="auto"/>
          <w:kern w:val="0"/>
          <w:sz w:val="28"/>
          <w:szCs w:val="28"/>
        </w:rPr>
        <w:t>第四部分名词解释</w:t>
      </w:r>
    </w:p>
    <w:p>
      <w:pPr>
        <w:autoSpaceDE w:val="0"/>
        <w:autoSpaceDN w:val="0"/>
        <w:adjustRightInd w:val="0"/>
        <w:spacing w:line="500" w:lineRule="exact"/>
        <w:ind w:firstLine="562" w:firstLineChars="200"/>
        <w:jc w:val="left"/>
        <w:rPr>
          <w:rFonts w:ascii="新宋体" w:hAnsi="新宋体" w:eastAsia="新宋体" w:cs="仿宋_GB2312"/>
          <w:b/>
          <w:color w:val="auto"/>
          <w:kern w:val="0"/>
          <w:sz w:val="28"/>
          <w:szCs w:val="28"/>
        </w:rPr>
      </w:pPr>
      <w:r>
        <w:rPr>
          <w:rFonts w:hint="eastAsia" w:ascii="新宋体" w:hAnsi="新宋体" w:eastAsia="新宋体" w:cs="黑体"/>
          <w:b/>
          <w:color w:val="auto"/>
          <w:kern w:val="0"/>
          <w:sz w:val="28"/>
          <w:szCs w:val="28"/>
        </w:rPr>
        <w:t>第五部分附件</w:t>
      </w:r>
    </w:p>
    <w:p>
      <w:pPr>
        <w:jc w:val="center"/>
        <w:rPr>
          <w:rFonts w:ascii="新宋体" w:hAnsi="新宋体" w:eastAsia="新宋体"/>
          <w:color w:val="auto"/>
          <w:sz w:val="28"/>
          <w:szCs w:val="28"/>
        </w:rPr>
      </w:pPr>
    </w:p>
    <w:p>
      <w:pPr>
        <w:jc w:val="both"/>
        <w:rPr>
          <w:rFonts w:ascii="新宋体" w:hAnsi="新宋体" w:eastAsia="新宋体"/>
          <w:color w:val="auto"/>
          <w:sz w:val="28"/>
          <w:szCs w:val="28"/>
        </w:rPr>
      </w:pPr>
    </w:p>
    <w:p>
      <w:pPr>
        <w:rPr>
          <w:rFonts w:ascii="新宋体" w:hAnsi="新宋体" w:eastAsia="新宋体"/>
          <w:color w:val="auto"/>
          <w:sz w:val="28"/>
          <w:szCs w:val="28"/>
        </w:rPr>
      </w:pPr>
    </w:p>
    <w:p>
      <w:pPr>
        <w:pStyle w:val="11"/>
        <w:ind w:firstLine="880" w:firstLineChars="200"/>
        <w:jc w:val="center"/>
        <w:rPr>
          <w:rFonts w:hAnsi="黑体"/>
          <w:color w:val="auto"/>
          <w:sz w:val="44"/>
          <w:szCs w:val="44"/>
        </w:rPr>
      </w:pPr>
      <w:r>
        <w:rPr>
          <w:rFonts w:hint="eastAsia" w:hAnsi="黑体"/>
          <w:color w:val="auto"/>
          <w:sz w:val="44"/>
          <w:szCs w:val="44"/>
        </w:rPr>
        <w:t>第一部分</w:t>
      </w:r>
    </w:p>
    <w:p>
      <w:pPr>
        <w:pStyle w:val="11"/>
        <w:ind w:firstLine="880" w:firstLineChars="200"/>
        <w:jc w:val="center"/>
        <w:rPr>
          <w:rFonts w:hint="eastAsia" w:hAnsi="黑体"/>
          <w:color w:val="auto"/>
          <w:sz w:val="44"/>
          <w:szCs w:val="44"/>
        </w:rPr>
      </w:pPr>
      <w:r>
        <w:rPr>
          <w:rFonts w:hint="eastAsia" w:hAnsi="黑体"/>
          <w:color w:val="auto"/>
          <w:sz w:val="44"/>
          <w:szCs w:val="44"/>
        </w:rPr>
        <w:t>怀化市水务投资管理中心概况</w:t>
      </w:r>
    </w:p>
    <w:p>
      <w:pPr>
        <w:pStyle w:val="12"/>
        <w:numPr>
          <w:ilvl w:val="0"/>
          <w:numId w:val="0"/>
        </w:numPr>
        <w:ind w:firstLine="562" w:firstLineChars="200"/>
        <w:jc w:val="left"/>
        <w:rPr>
          <w:rFonts w:hint="eastAsia" w:ascii="新宋体" w:hAnsi="新宋体" w:eastAsia="新宋体"/>
          <w:b/>
          <w:color w:val="auto"/>
          <w:sz w:val="28"/>
          <w:szCs w:val="28"/>
          <w:lang w:val="en-US" w:eastAsia="zh-CN"/>
        </w:rPr>
      </w:pPr>
    </w:p>
    <w:p>
      <w:pPr>
        <w:pStyle w:val="12"/>
        <w:numPr>
          <w:ilvl w:val="0"/>
          <w:numId w:val="0"/>
        </w:numPr>
        <w:ind w:firstLine="562" w:firstLineChars="200"/>
        <w:jc w:val="left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  <w:lang w:val="en-US" w:eastAsia="zh-CN"/>
        </w:rPr>
        <w:t>一、</w:t>
      </w:r>
      <w:r>
        <w:rPr>
          <w:rFonts w:ascii="新宋体" w:hAnsi="新宋体" w:eastAsia="新宋体"/>
          <w:b/>
          <w:color w:val="auto"/>
          <w:sz w:val="28"/>
          <w:szCs w:val="28"/>
        </w:rPr>
        <w:t>部门职责</w:t>
      </w:r>
    </w:p>
    <w:p>
      <w:pPr>
        <w:pStyle w:val="5"/>
        <w:spacing w:before="0" w:beforeAutospacing="0" w:after="0" w:afterAutospacing="0" w:line="360" w:lineRule="auto"/>
        <w:ind w:firstLine="560" w:firstLineChars="200"/>
        <w:jc w:val="both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怀化市水务投资管理中心成立于2011年11月，归口国资委管理的全额拨款事业单位，与怀化市水务投资集团有限公司为两块牌子一套人马，主要职能是统筹城乡水务，构筑水务一体化的投融资平台，负责全市城乡涉水项目资金筹措和建设，并组织实施；按照国家水务一体化的要求，负责全市水资源管理和城市给水、排水、污水处理和涉水产业经营管理，确保国有资产保值增值。</w:t>
      </w:r>
    </w:p>
    <w:p>
      <w:pPr>
        <w:widowControl/>
        <w:spacing w:line="600" w:lineRule="exact"/>
        <w:ind w:firstLine="562" w:firstLineChars="200"/>
        <w:rPr>
          <w:rFonts w:ascii="新宋体" w:hAnsi="新宋体" w:eastAsia="新宋体"/>
          <w:b/>
          <w:bCs/>
          <w:color w:val="auto"/>
          <w:kern w:val="0"/>
          <w:sz w:val="28"/>
          <w:szCs w:val="28"/>
        </w:rPr>
      </w:pPr>
      <w:r>
        <w:rPr>
          <w:rFonts w:hint="eastAsia" w:ascii="新宋体" w:hAnsi="新宋体" w:eastAsia="新宋体"/>
          <w:b/>
          <w:bCs/>
          <w:color w:val="auto"/>
          <w:kern w:val="0"/>
          <w:sz w:val="28"/>
          <w:szCs w:val="28"/>
        </w:rPr>
        <w:t>二、机构设置及决算单位构成</w:t>
      </w:r>
    </w:p>
    <w:p>
      <w:pPr>
        <w:pStyle w:val="5"/>
        <w:spacing w:before="0" w:beforeAutospacing="0" w:after="0" w:afterAutospacing="0" w:line="360" w:lineRule="auto"/>
        <w:ind w:firstLine="560" w:firstLineChars="200"/>
        <w:jc w:val="both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（一）内设机构设置。怀化市水务投资管理中心为一级部门预算单位，内设机构包括:集团党群工作部、办公室、财务部、人力资源部、工程部、法务审计部、纪检监察室、招商运营部、经营部、工会。</w:t>
      </w:r>
    </w:p>
    <w:p>
      <w:pPr>
        <w:widowControl/>
        <w:spacing w:line="600" w:lineRule="exact"/>
        <w:ind w:firstLine="560" w:firstLineChars="200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（二）决算单位构成。怀化市水务投资管理中心2021年部门决算汇总公开单位构成包括：怀化市水务投资管理中心为市本级一级部门预算单位。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44"/>
          <w:szCs w:val="44"/>
          <w:lang w:val="en-US" w:eastAsia="zh-CN"/>
        </w:rPr>
        <w:t xml:space="preserve">第二部分 </w:t>
      </w:r>
      <w:r>
        <w:rPr>
          <w:rFonts w:hint="eastAsia" w:ascii="黑体" w:hAnsi="黑体" w:eastAsia="黑体"/>
          <w:color w:val="auto"/>
          <w:sz w:val="44"/>
          <w:szCs w:val="44"/>
        </w:rPr>
        <w:t>部门决算公开表</w:t>
      </w:r>
      <w:r>
        <w:rPr>
          <w:rFonts w:hint="eastAsia" w:ascii="黑体" w:hAnsi="黑体" w:eastAsia="黑体"/>
          <w:color w:val="auto"/>
          <w:sz w:val="44"/>
          <w:szCs w:val="44"/>
          <w:lang w:eastAsia="zh-CN"/>
        </w:rPr>
        <w:t>（</w:t>
      </w:r>
      <w:r>
        <w:rPr>
          <w:rFonts w:hint="eastAsia" w:ascii="黑体" w:hAnsi="黑体" w:eastAsia="黑体"/>
          <w:color w:val="auto"/>
          <w:sz w:val="44"/>
          <w:szCs w:val="44"/>
        </w:rPr>
        <w:t>见附件</w:t>
      </w:r>
      <w:r>
        <w:rPr>
          <w:rFonts w:hint="eastAsia" w:ascii="黑体" w:hAnsi="黑体" w:eastAsia="黑体"/>
          <w:color w:val="auto"/>
          <w:sz w:val="44"/>
          <w:szCs w:val="44"/>
          <w:lang w:eastAsia="zh-CN"/>
        </w:rPr>
        <w:t>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6"/>
          <w:szCs w:val="36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pStyle w:val="11"/>
        <w:ind w:firstLine="880" w:firstLineChars="200"/>
        <w:jc w:val="center"/>
        <w:rPr>
          <w:rFonts w:hAnsi="黑体"/>
          <w:color w:val="auto"/>
          <w:sz w:val="44"/>
          <w:szCs w:val="44"/>
        </w:rPr>
      </w:pPr>
      <w:r>
        <w:rPr>
          <w:rFonts w:hint="eastAsia" w:hAnsi="黑体"/>
          <w:color w:val="auto"/>
          <w:sz w:val="44"/>
          <w:szCs w:val="44"/>
        </w:rPr>
        <w:t>第三部分</w:t>
      </w:r>
      <w:r>
        <w:rPr>
          <w:rFonts w:hAnsi="黑体"/>
          <w:color w:val="auto"/>
          <w:sz w:val="44"/>
          <w:szCs w:val="44"/>
        </w:rPr>
        <w:t>20</w:t>
      </w:r>
      <w:r>
        <w:rPr>
          <w:rFonts w:hint="eastAsia" w:hAnsi="黑体"/>
          <w:color w:val="auto"/>
          <w:sz w:val="44"/>
          <w:szCs w:val="44"/>
        </w:rPr>
        <w:t>21年度部门决算情况说明</w:t>
      </w:r>
    </w:p>
    <w:p>
      <w:pPr>
        <w:widowControl/>
        <w:ind w:firstLine="560" w:firstLineChars="200"/>
        <w:jc w:val="left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一、收入支出决算总体情况说明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2021年度收、支总计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各35.77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万元。与上年相比，减少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38.5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万元，减少107.63%，主要是因为机构编制改革，本管理中心人员从9月开始取消财政全额拨款。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二、收入决算情况说明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本年收入合计35.77万元，其中：财政拨款收入35.77万元，占100%；上级补助收入0万元，占0%；事业收入0万元，占0%；经营收入0万元，占0%；附属单位上缴收入0万元，占0%；其他收入0万元，占0%。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三、支出决算情况说明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本年支出合计35.77万元，其中：基本支出35.77万元，占100%；项目支出0万元，占0%；上缴上级支出0万元，占0%；经营支出0万元，占0%；对附属单位补助支出0万元，占0%。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四、财政拨款收入支出决算总体情况说明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2021年度财政拨款收、支总计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各35.77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万元，与上年相比，减少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38.5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万元,减少107.63%，主要是因为机构编制改革，本管理中心人员从9月开始取消财政全额拨款。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五、一般公共预算财政拨款支出决算情况说明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（一）财政拨款支出决算总体情况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2021年度财政拨款支出35.77万元，占本年支出合计的100%，与上年相比，财政拨款支出减少37.35万元，减少104.42%，主要是因为机构编制改革，本管理中心人员从9月开始取消财政全额拨款。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（二）财政拨款支出决算结构情况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2021年度财政拨款支出35.77万元，主要用于以下方面：社会保障和就业（类）支出3.48万元，占9.73%；卫生健康（类）支出1.74万元，占4.86%；农林水支出</w:t>
      </w:r>
      <w:r>
        <w:rPr>
          <w:rFonts w:hint="eastAsia" w:ascii="新宋体" w:hAnsi="新宋体" w:eastAsia="新宋体"/>
          <w:color w:val="auto"/>
          <w:sz w:val="28"/>
          <w:szCs w:val="28"/>
          <w:lang w:eastAsia="zh-CN"/>
        </w:rPr>
        <w:t>（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类</w:t>
      </w:r>
      <w:r>
        <w:rPr>
          <w:rFonts w:hint="eastAsia" w:ascii="新宋体" w:hAnsi="新宋体" w:eastAsia="新宋体"/>
          <w:color w:val="auto"/>
          <w:sz w:val="28"/>
          <w:szCs w:val="28"/>
          <w:lang w:eastAsia="zh-CN"/>
        </w:rPr>
        <w:t>）</w:t>
      </w:r>
      <w:r>
        <w:rPr>
          <w:rFonts w:hint="eastAsia" w:ascii="新宋体" w:hAnsi="新宋体" w:eastAsia="新宋体"/>
          <w:color w:val="auto"/>
          <w:sz w:val="28"/>
          <w:szCs w:val="28"/>
        </w:rPr>
        <w:t>30.56万元，占85.41%。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（三）财政拨款支出决算具体情况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2021年度财政拨款支出年初预算数为34.25万元，支出决算数为35.77万元，完成年初预算的104.44%，其中：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560" w:firstLineChars="200"/>
        <w:jc w:val="both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1、社会保障和就业支出（类）行政事业单位养老支出（款）机关事业单位基本养老保险缴费支出（项）。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560" w:firstLineChars="200"/>
        <w:jc w:val="both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年初预算为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0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万元，支出决算为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3.48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万元，决算数大于年初预算数的主要原因是：养老及医疗等社会保障费用财政全额拨付单位支付。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560" w:firstLineChars="200"/>
        <w:jc w:val="both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新宋体" w:hAnsi="新宋体" w:eastAsia="新宋体"/>
          <w:color w:val="auto"/>
          <w:sz w:val="28"/>
          <w:szCs w:val="28"/>
        </w:rPr>
        <w:t>卫生健康支出（类）行政事业单位医疗（款）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行政单位医疗</w:t>
      </w:r>
      <w:r>
        <w:rPr>
          <w:rFonts w:hint="eastAsia" w:ascii="新宋体" w:hAnsi="新宋体" w:eastAsia="新宋体"/>
          <w:color w:val="auto"/>
          <w:sz w:val="28"/>
          <w:szCs w:val="28"/>
        </w:rPr>
        <w:t>（项）。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560" w:firstLineChars="200"/>
        <w:jc w:val="both"/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年初预算为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0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万元，支出决算为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1.74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万元，决算数大于年初预算数的主要原因是：养老及医疗等社会保障费用财政全额拨付单位支付。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560" w:firstLineChars="200"/>
        <w:jc w:val="both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3、</w:t>
      </w:r>
      <w:r>
        <w:rPr>
          <w:rFonts w:hint="eastAsia" w:ascii="新宋体" w:hAnsi="新宋体" w:eastAsia="新宋体"/>
          <w:color w:val="auto"/>
          <w:sz w:val="28"/>
          <w:szCs w:val="28"/>
        </w:rPr>
        <w:t>农林水支出（类）水利（款）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其他水利支出</w:t>
      </w:r>
      <w:r>
        <w:rPr>
          <w:rFonts w:hint="eastAsia" w:ascii="新宋体" w:hAnsi="新宋体" w:eastAsia="新宋体"/>
          <w:color w:val="auto"/>
          <w:sz w:val="28"/>
          <w:szCs w:val="28"/>
        </w:rPr>
        <w:t>（项）。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560" w:firstLineChars="200"/>
        <w:jc w:val="both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年初预算为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34.25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万元，支出决算为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30.56</w:t>
      </w:r>
      <w:r>
        <w:rPr>
          <w:rFonts w:hint="eastAsia" w:ascii="新宋体" w:hAnsi="新宋体" w:eastAsia="新宋体"/>
          <w:color w:val="auto"/>
          <w:sz w:val="28"/>
          <w:szCs w:val="28"/>
        </w:rPr>
        <w:t>万元，决算数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小</w:t>
      </w:r>
      <w:r>
        <w:rPr>
          <w:rFonts w:hint="eastAsia" w:ascii="新宋体" w:hAnsi="新宋体" w:eastAsia="新宋体"/>
          <w:color w:val="auto"/>
          <w:sz w:val="28"/>
          <w:szCs w:val="28"/>
        </w:rPr>
        <w:t>年初预算数的主要原因是：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厉行节约减少开支</w:t>
      </w:r>
      <w:r>
        <w:rPr>
          <w:rFonts w:hint="eastAsia" w:ascii="新宋体" w:hAnsi="新宋体" w:eastAsia="新宋体"/>
          <w:color w:val="auto"/>
          <w:sz w:val="28"/>
          <w:szCs w:val="28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560" w:firstLineChars="200"/>
        <w:jc w:val="both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六、一般公共预算财政拨款基本支出决算情况说明</w:t>
      </w:r>
    </w:p>
    <w:p>
      <w:pPr>
        <w:pStyle w:val="11"/>
        <w:ind w:firstLine="560" w:firstLineChars="200"/>
        <w:rPr>
          <w:rFonts w:hint="default" w:ascii="新宋体" w:hAnsi="新宋体" w:eastAsia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2021年度财政拨款基本支出35.77万元，其中：人员经费35.77万元，占基本支出的100%,主要包括基本工资、津贴补贴、奖金、机关事业单位基本养老保险缴费、职工基本医疗保险缴费</w:t>
      </w:r>
      <w:r>
        <w:rPr>
          <w:rFonts w:hint="eastAsia" w:ascii="新宋体" w:hAnsi="新宋体" w:eastAsia="新宋体"/>
          <w:color w:val="auto"/>
          <w:sz w:val="28"/>
          <w:szCs w:val="28"/>
          <w:lang w:eastAsia="zh-CN"/>
        </w:rPr>
        <w:t>；</w:t>
      </w:r>
      <w:r>
        <w:rPr>
          <w:rFonts w:hint="eastAsia" w:ascii="新宋体" w:hAnsi="新宋体" w:eastAsia="新宋体"/>
          <w:color w:val="auto"/>
          <w:sz w:val="28"/>
          <w:szCs w:val="28"/>
          <w:lang w:val="en-US" w:eastAsia="zh-CN"/>
        </w:rPr>
        <w:t>公用经费0万元。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七、一般公共预算财政拨款三公经费支出决算情况说明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（一）“三公”经费财政拨款支出决算总体情况说明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“三公”经费财政拨款支出预算为0万元，支出决算为0万元，其中：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1、因公出国（境）费支出预算为0万元，支出决算为0万元，决算数与年初预算数持平，主要原因按预算执行，与上年数持平，主要原因本年度未安排因公出国（境）。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2、公务接待费支出预算0万元，支出决算为0万元，决算数与年初预算数持平，主要原因是按预算执行，与上年数持平，主要原因是厉行节约，减少开支。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3、公务用车购置费及运行维护费支出预算为0万元，支出决算为0万元，决算数与年初预算数持平主要原因按预算执行，与上年数持平，主要原因是厉行节约，减少开支。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（二）“三公”经费财政拨款支出决算具体情况说明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 xml:space="preserve"> 2021年度“三公”经费财政拨款支出决算中，公务接待费支出决算0.00万元，因公出国（境）费支出决算0.00万元，公务用车购置费及运行维护费支出决算0.00万元。（由于“三公”经费财政拨款支出决算为0，无法计算百分比）具体情况如下：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1、因公出国（境）费支出决算为0万元，全年安排因公出国（境）团组0个，累计0人次。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2、公务接待费支出决算为0万元，全年共接待来访团组0个、来宾0人次。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3、公务用车购置费及运行维护费支出决算为0万元，其中：公务用车购置费0万元，更新公务用车0辆。公务用车运行维护费0万元，截止2021年12月31日，我单位开支财政拨款的公务用车保有量为0辆。</w:t>
      </w:r>
    </w:p>
    <w:p>
      <w:pPr>
        <w:pStyle w:val="11"/>
        <w:ind w:firstLine="560" w:firstLineChars="200"/>
        <w:rPr>
          <w:rFonts w:hint="eastAsia"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八、政府性基金预算收入支出决算情况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2021年本单位无政府性基金收支。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九、国有资本经营预算财政拨款支出决算情况说明</w:t>
      </w:r>
    </w:p>
    <w:p>
      <w:pPr>
        <w:pStyle w:val="11"/>
        <w:ind w:firstLine="560" w:firstLineChars="200"/>
        <w:rPr>
          <w:rFonts w:ascii="新宋体" w:hAnsi="新宋体" w:eastAsia="新宋体"/>
          <w:i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2021年本单位无国有资本经营预算财政拨款支出。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十、关于机关运行经费支出说明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2021年度本单位无机关运行经费支出。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十一、一般性支出情况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2021年本部门开支会议费0万元，开支培训费0万元，举办节庆、晚会、论坛、赛事等活动开支0万元。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十二、关于政府采购支出说明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本部门2021年度政府采购支出总额0万元，其中：政府采购货物支出0万元、政府采购工程支出0万元、政府采购服务支出0万元。授予中小企业合同金额0万元，占政府采购支出总额的百分比无法计算，其中：授予小微企业合同金额0万元，占政府采购支出总额的百分比无法计算；货物采购授予中小企业合同金额占货物支出金额的百分比无法计算，工程采购授予中小企业合同金额占工程支出金额的百分比无法计算，服务采购授予中小企业合同金额占服务支出金额的百分比无法计算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十三、关于国有资产占用情况说明</w:t>
      </w:r>
    </w:p>
    <w:p>
      <w:pPr>
        <w:pStyle w:val="11"/>
        <w:ind w:firstLine="560" w:firstLineChars="200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截至2021年12月31日，本单位共有车辆0辆，其中，主要领导干部用车0辆，机要通信用车0辆、应急保障用车0辆、执法执勤用车0辆、特种专业技术用车0辆、其他用车0辆；单位价值50万元以上通用设备0台（套）；单位价值100万元以上专用设备0台（套）。</w:t>
      </w:r>
    </w:p>
    <w:p>
      <w:pPr>
        <w:pStyle w:val="11"/>
        <w:ind w:firstLine="560" w:firstLineChars="200"/>
        <w:rPr>
          <w:rFonts w:ascii="新宋体" w:hAnsi="新宋体" w:eastAsia="新宋体"/>
          <w:b/>
          <w:color w:val="auto"/>
          <w:sz w:val="28"/>
          <w:szCs w:val="28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</w:rPr>
        <w:t>十四、关于2021年度预算绩效情况的说明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本部门预算绩效管理开展情况、绩效目标和绩效评价报告已按照财政绩效部门要求已公开。（2021年绩效情况报告附后）</w:t>
      </w:r>
    </w:p>
    <w:p>
      <w:pPr>
        <w:pStyle w:val="11"/>
        <w:ind w:firstLine="560" w:firstLineChars="200"/>
        <w:rPr>
          <w:rFonts w:hint="eastAsia"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本单位无重点项目，因此无重点项目绩效报告。</w:t>
      </w:r>
      <w:bookmarkStart w:id="0" w:name="_GoBack"/>
      <w:bookmarkEnd w:id="0"/>
    </w:p>
    <w:p>
      <w:pPr>
        <w:pStyle w:val="11"/>
        <w:rPr>
          <w:rFonts w:ascii="新宋体" w:hAnsi="新宋体" w:eastAsia="新宋体"/>
          <w:b/>
          <w:color w:val="auto"/>
          <w:sz w:val="28"/>
          <w:szCs w:val="28"/>
        </w:rPr>
      </w:pPr>
    </w:p>
    <w:p>
      <w:pPr>
        <w:pStyle w:val="11"/>
        <w:jc w:val="center"/>
        <w:rPr>
          <w:rFonts w:ascii="黑体" w:hAnsi="黑体" w:eastAsia="黑体" w:cs="黑体"/>
          <w:color w:val="auto"/>
          <w:kern w:val="0"/>
          <w:sz w:val="44"/>
          <w:szCs w:val="44"/>
        </w:rPr>
      </w:pPr>
      <w:r>
        <w:rPr>
          <w:rFonts w:hint="eastAsia" w:hAnsi="黑体"/>
          <w:color w:val="auto"/>
          <w:sz w:val="44"/>
          <w:szCs w:val="44"/>
        </w:rPr>
        <w:t>第四部分</w:t>
      </w:r>
      <w:r>
        <w:rPr>
          <w:rFonts w:hint="eastAsia" w:hAnsi="黑体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kern w:val="0"/>
          <w:sz w:val="44"/>
          <w:szCs w:val="44"/>
        </w:rPr>
        <w:t>名词解释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560" w:firstLineChars="200"/>
        <w:jc w:val="both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一、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pStyle w:val="11"/>
        <w:ind w:firstLine="560" w:firstLineChars="200"/>
        <w:jc w:val="center"/>
        <w:rPr>
          <w:rFonts w:ascii="新宋体" w:hAnsi="新宋体" w:eastAsia="新宋体"/>
          <w:color w:val="auto"/>
          <w:sz w:val="28"/>
          <w:szCs w:val="28"/>
        </w:rPr>
      </w:pPr>
      <w:r>
        <w:rPr>
          <w:rFonts w:hint="eastAsia" w:ascii="新宋体" w:hAnsi="新宋体" w:eastAsia="新宋体"/>
          <w:color w:val="auto"/>
          <w:sz w:val="28"/>
          <w:szCs w:val="28"/>
        </w:rPr>
        <w:t>二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国际旅费、国外城市间交通费、食宿费等支出。</w:t>
      </w:r>
    </w:p>
    <w:p>
      <w:pPr>
        <w:pStyle w:val="11"/>
        <w:jc w:val="both"/>
        <w:rPr>
          <w:color w:val="auto"/>
          <w:sz w:val="72"/>
          <w:szCs w:val="72"/>
        </w:rPr>
      </w:pPr>
    </w:p>
    <w:p>
      <w:pPr>
        <w:pStyle w:val="11"/>
        <w:jc w:val="center"/>
        <w:rPr>
          <w:color w:val="auto"/>
          <w:sz w:val="72"/>
          <w:szCs w:val="72"/>
        </w:rPr>
      </w:pPr>
    </w:p>
    <w:p>
      <w:pPr>
        <w:pStyle w:val="11"/>
        <w:ind w:firstLine="880" w:firstLineChars="200"/>
        <w:jc w:val="center"/>
        <w:rPr>
          <w:rFonts w:cs="黑体" w:asciiTheme="minorEastAsia" w:hAnsiTheme="minorEastAsia"/>
          <w:color w:val="auto"/>
          <w:kern w:val="0"/>
          <w:sz w:val="32"/>
          <w:szCs w:val="32"/>
        </w:rPr>
      </w:pPr>
      <w:r>
        <w:rPr>
          <w:rFonts w:hint="eastAsia"/>
          <w:color w:val="auto"/>
          <w:sz w:val="44"/>
          <w:szCs w:val="44"/>
        </w:rPr>
        <w:t>第五部分</w:t>
      </w:r>
      <w:r>
        <w:rPr>
          <w:rFonts w:hint="eastAsia"/>
          <w:color w:val="auto"/>
          <w:sz w:val="44"/>
          <w:szCs w:val="44"/>
          <w:lang w:val="en-US" w:eastAsia="zh-CN"/>
        </w:rPr>
        <w:t xml:space="preserve"> 附件</w:t>
      </w: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k4MjM4OGRjMjA1YmIwNDg3YWY0MmMwNWU4YTAwYjIifQ=="/>
  </w:docVars>
  <w:rsids>
    <w:rsidRoot w:val="004506F9"/>
    <w:rsid w:val="000073C1"/>
    <w:rsid w:val="0001634A"/>
    <w:rsid w:val="0002229B"/>
    <w:rsid w:val="000273BD"/>
    <w:rsid w:val="00033996"/>
    <w:rsid w:val="000415B7"/>
    <w:rsid w:val="00041E3F"/>
    <w:rsid w:val="00055DAA"/>
    <w:rsid w:val="00061F7B"/>
    <w:rsid w:val="000658A3"/>
    <w:rsid w:val="00074155"/>
    <w:rsid w:val="000A0F55"/>
    <w:rsid w:val="000A2EC8"/>
    <w:rsid w:val="000A3F69"/>
    <w:rsid w:val="000F43D4"/>
    <w:rsid w:val="00103395"/>
    <w:rsid w:val="00103957"/>
    <w:rsid w:val="00133C08"/>
    <w:rsid w:val="00152C6D"/>
    <w:rsid w:val="00162D39"/>
    <w:rsid w:val="001678BD"/>
    <w:rsid w:val="0017563F"/>
    <w:rsid w:val="00182AA3"/>
    <w:rsid w:val="001A2A24"/>
    <w:rsid w:val="001A67DB"/>
    <w:rsid w:val="001C3C29"/>
    <w:rsid w:val="001D51E5"/>
    <w:rsid w:val="001E080D"/>
    <w:rsid w:val="001E53D0"/>
    <w:rsid w:val="001F0C3B"/>
    <w:rsid w:val="00202BD6"/>
    <w:rsid w:val="00202C82"/>
    <w:rsid w:val="00214427"/>
    <w:rsid w:val="00226CB7"/>
    <w:rsid w:val="002519AE"/>
    <w:rsid w:val="00264552"/>
    <w:rsid w:val="00264EF9"/>
    <w:rsid w:val="00265724"/>
    <w:rsid w:val="0027426B"/>
    <w:rsid w:val="002C57F9"/>
    <w:rsid w:val="002E0A30"/>
    <w:rsid w:val="002F4337"/>
    <w:rsid w:val="003130C4"/>
    <w:rsid w:val="00316C4B"/>
    <w:rsid w:val="0032192B"/>
    <w:rsid w:val="003424AE"/>
    <w:rsid w:val="0034376C"/>
    <w:rsid w:val="003479BD"/>
    <w:rsid w:val="0037197D"/>
    <w:rsid w:val="00371A4A"/>
    <w:rsid w:val="003768D5"/>
    <w:rsid w:val="00387848"/>
    <w:rsid w:val="003918E1"/>
    <w:rsid w:val="003C47E6"/>
    <w:rsid w:val="003C4FC2"/>
    <w:rsid w:val="003D1CD8"/>
    <w:rsid w:val="003F449F"/>
    <w:rsid w:val="00404412"/>
    <w:rsid w:val="00404C49"/>
    <w:rsid w:val="00416E61"/>
    <w:rsid w:val="0042790C"/>
    <w:rsid w:val="004506F9"/>
    <w:rsid w:val="004717A2"/>
    <w:rsid w:val="00473DF3"/>
    <w:rsid w:val="00487911"/>
    <w:rsid w:val="00491741"/>
    <w:rsid w:val="004A2C91"/>
    <w:rsid w:val="004A3476"/>
    <w:rsid w:val="004A3BE4"/>
    <w:rsid w:val="004E0259"/>
    <w:rsid w:val="004E726D"/>
    <w:rsid w:val="00500E5F"/>
    <w:rsid w:val="00503FF5"/>
    <w:rsid w:val="005122EF"/>
    <w:rsid w:val="0051441A"/>
    <w:rsid w:val="00517C33"/>
    <w:rsid w:val="00523644"/>
    <w:rsid w:val="0054069E"/>
    <w:rsid w:val="00544866"/>
    <w:rsid w:val="00567563"/>
    <w:rsid w:val="005731C9"/>
    <w:rsid w:val="005767CC"/>
    <w:rsid w:val="0058448A"/>
    <w:rsid w:val="00590D9F"/>
    <w:rsid w:val="00595D26"/>
    <w:rsid w:val="005A74E6"/>
    <w:rsid w:val="005B404E"/>
    <w:rsid w:val="005C5AD2"/>
    <w:rsid w:val="005D4D55"/>
    <w:rsid w:val="005E2CFB"/>
    <w:rsid w:val="005F3D1C"/>
    <w:rsid w:val="00603344"/>
    <w:rsid w:val="00611E56"/>
    <w:rsid w:val="0062378F"/>
    <w:rsid w:val="00641842"/>
    <w:rsid w:val="00644728"/>
    <w:rsid w:val="00651EEC"/>
    <w:rsid w:val="006724C5"/>
    <w:rsid w:val="00691E8C"/>
    <w:rsid w:val="006928A6"/>
    <w:rsid w:val="006A22C4"/>
    <w:rsid w:val="006A351B"/>
    <w:rsid w:val="006B032B"/>
    <w:rsid w:val="006B0422"/>
    <w:rsid w:val="006C1B53"/>
    <w:rsid w:val="006D7730"/>
    <w:rsid w:val="006D7A47"/>
    <w:rsid w:val="006E5284"/>
    <w:rsid w:val="006F3EB5"/>
    <w:rsid w:val="00702E34"/>
    <w:rsid w:val="0070390B"/>
    <w:rsid w:val="00704395"/>
    <w:rsid w:val="00717621"/>
    <w:rsid w:val="00720FF1"/>
    <w:rsid w:val="00727A53"/>
    <w:rsid w:val="00745866"/>
    <w:rsid w:val="00754479"/>
    <w:rsid w:val="00764580"/>
    <w:rsid w:val="00764DFA"/>
    <w:rsid w:val="00787B42"/>
    <w:rsid w:val="007C4539"/>
    <w:rsid w:val="007F3657"/>
    <w:rsid w:val="00800D92"/>
    <w:rsid w:val="00812ED5"/>
    <w:rsid w:val="0082572E"/>
    <w:rsid w:val="008277D9"/>
    <w:rsid w:val="00837358"/>
    <w:rsid w:val="0084478C"/>
    <w:rsid w:val="00844FE7"/>
    <w:rsid w:val="00854E5B"/>
    <w:rsid w:val="00856DDB"/>
    <w:rsid w:val="0086638C"/>
    <w:rsid w:val="008A217B"/>
    <w:rsid w:val="008A3E8D"/>
    <w:rsid w:val="008C7A6A"/>
    <w:rsid w:val="008D0009"/>
    <w:rsid w:val="009237C4"/>
    <w:rsid w:val="00944C48"/>
    <w:rsid w:val="00950252"/>
    <w:rsid w:val="00967F5D"/>
    <w:rsid w:val="009A0F95"/>
    <w:rsid w:val="009A1ED1"/>
    <w:rsid w:val="009B3ADF"/>
    <w:rsid w:val="009C1A3C"/>
    <w:rsid w:val="009C3B52"/>
    <w:rsid w:val="009D5BEA"/>
    <w:rsid w:val="009E6817"/>
    <w:rsid w:val="009E6E9A"/>
    <w:rsid w:val="00A01D2B"/>
    <w:rsid w:val="00A42218"/>
    <w:rsid w:val="00A70249"/>
    <w:rsid w:val="00A70B02"/>
    <w:rsid w:val="00A71D9F"/>
    <w:rsid w:val="00A74F0A"/>
    <w:rsid w:val="00A92E9F"/>
    <w:rsid w:val="00AA7F6C"/>
    <w:rsid w:val="00B10D44"/>
    <w:rsid w:val="00B16515"/>
    <w:rsid w:val="00B33BEA"/>
    <w:rsid w:val="00B57C9F"/>
    <w:rsid w:val="00B63572"/>
    <w:rsid w:val="00B73046"/>
    <w:rsid w:val="00B845B3"/>
    <w:rsid w:val="00B85D8B"/>
    <w:rsid w:val="00B86CDB"/>
    <w:rsid w:val="00BA2C52"/>
    <w:rsid w:val="00BB4A40"/>
    <w:rsid w:val="00BD35E9"/>
    <w:rsid w:val="00BD6C3E"/>
    <w:rsid w:val="00BE3674"/>
    <w:rsid w:val="00C10681"/>
    <w:rsid w:val="00C17344"/>
    <w:rsid w:val="00C3049A"/>
    <w:rsid w:val="00C31B1E"/>
    <w:rsid w:val="00C77645"/>
    <w:rsid w:val="00C879E1"/>
    <w:rsid w:val="00CA5AC7"/>
    <w:rsid w:val="00CE04C3"/>
    <w:rsid w:val="00CE76A0"/>
    <w:rsid w:val="00CF3B18"/>
    <w:rsid w:val="00D02BCC"/>
    <w:rsid w:val="00D02D28"/>
    <w:rsid w:val="00D11589"/>
    <w:rsid w:val="00D148C6"/>
    <w:rsid w:val="00D17A8A"/>
    <w:rsid w:val="00D316DE"/>
    <w:rsid w:val="00D415BA"/>
    <w:rsid w:val="00D644EE"/>
    <w:rsid w:val="00DC6878"/>
    <w:rsid w:val="00DD06FF"/>
    <w:rsid w:val="00DD5FE9"/>
    <w:rsid w:val="00DF097B"/>
    <w:rsid w:val="00DF3E05"/>
    <w:rsid w:val="00E00C7A"/>
    <w:rsid w:val="00E05500"/>
    <w:rsid w:val="00E16741"/>
    <w:rsid w:val="00E35015"/>
    <w:rsid w:val="00E37D6C"/>
    <w:rsid w:val="00E55B68"/>
    <w:rsid w:val="00E56A5A"/>
    <w:rsid w:val="00E56FF4"/>
    <w:rsid w:val="00E668BD"/>
    <w:rsid w:val="00E67BE6"/>
    <w:rsid w:val="00E8683C"/>
    <w:rsid w:val="00EA0D63"/>
    <w:rsid w:val="00EA1388"/>
    <w:rsid w:val="00EA2B72"/>
    <w:rsid w:val="00EA6780"/>
    <w:rsid w:val="00EB7B54"/>
    <w:rsid w:val="00EE3CEC"/>
    <w:rsid w:val="00EF4E1B"/>
    <w:rsid w:val="00F11BDB"/>
    <w:rsid w:val="00F21437"/>
    <w:rsid w:val="00F74360"/>
    <w:rsid w:val="00F822FB"/>
    <w:rsid w:val="00FB462F"/>
    <w:rsid w:val="00FC16F2"/>
    <w:rsid w:val="00FC6503"/>
    <w:rsid w:val="00FD14CD"/>
    <w:rsid w:val="00FE16FA"/>
    <w:rsid w:val="00FE328A"/>
    <w:rsid w:val="00FE5FEE"/>
    <w:rsid w:val="00FE6269"/>
    <w:rsid w:val="00FF346D"/>
    <w:rsid w:val="00FF7D2F"/>
    <w:rsid w:val="0D5159C9"/>
    <w:rsid w:val="19C46A61"/>
    <w:rsid w:val="1BC3025B"/>
    <w:rsid w:val="1D1D4CC9"/>
    <w:rsid w:val="22472F7B"/>
    <w:rsid w:val="228F6A0D"/>
    <w:rsid w:val="30701EBE"/>
    <w:rsid w:val="35271B61"/>
    <w:rsid w:val="403D5AA9"/>
    <w:rsid w:val="4F764366"/>
    <w:rsid w:val="521B0908"/>
    <w:rsid w:val="5A166CB1"/>
    <w:rsid w:val="5EB32EE1"/>
    <w:rsid w:val="627B5AC3"/>
    <w:rsid w:val="7E7D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3F95-2CC1-47E4-85FF-E140D8A589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4146</Words>
  <Characters>4435</Characters>
  <Lines>32</Lines>
  <Paragraphs>9</Paragraphs>
  <TotalTime>22</TotalTime>
  <ScaleCrop>false</ScaleCrop>
  <LinksUpToDate>false</LinksUpToDate>
  <CharactersWithSpaces>4451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2020-07-02T02:32:00Z</dcterms:created>
  <dc:creator>李航 null</dc:creator>
  <cp:lastModifiedBy>非鱼</cp:lastModifiedBy>
  <cp:lastPrinted>2021-07-28T00:12:00Z</cp:lastPrinted>
  <dcterms:modified xsi:type="dcterms:W3CDTF">2023-10-06T09:12:04Z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E165F38F636949D9AB9152271EE1D5A6</vt:lpwstr>
  </property>
</Properties>
</file>