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4B05B">
      <w:pPr>
        <w:pStyle w:val="19"/>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FE0421">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CCE8CF [3201]" filled="t" stroked="f" coordsize="21600,21600" o:gfxdata="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kr&#10;AujaAAAACgEAAA8AAAAAAAAAAQAgAAAAIgAAAGRycy9kb3ducmV2LnhtbFBLAQIUABQAAAAIAIdO&#10;4kAmfjPiWgIAAJoEAAAOAAAAAAAAAAEAIAAAACkBAABkcnMvZTJvRG9jLnhtbFBLBQYAAAAABgAG&#10;AFkBAAD1BQAAAAA=&#10;">
                <v:fill on="t" focussize="0,0"/>
                <v:stroke on="f" weight="0.5pt"/>
                <v:imagedata o:title=""/>
                <o:lock v:ext="edit" aspectratio="f"/>
                <v:textbox>
                  <w:txbxContent>
                    <w:p w14:paraId="67FE0421">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25D2D82">
      <w:pPr>
        <w:pStyle w:val="19"/>
        <w:jc w:val="center"/>
        <w:rPr>
          <w:sz w:val="56"/>
          <w:szCs w:val="56"/>
        </w:rPr>
      </w:pPr>
    </w:p>
    <w:p w14:paraId="6B619069">
      <w:pPr>
        <w:pStyle w:val="19"/>
        <w:jc w:val="center"/>
        <w:rPr>
          <w:sz w:val="84"/>
          <w:szCs w:val="84"/>
        </w:rPr>
      </w:pPr>
    </w:p>
    <w:p w14:paraId="126AC011">
      <w:pPr>
        <w:pStyle w:val="19"/>
        <w:jc w:val="center"/>
        <w:rPr>
          <w:sz w:val="84"/>
          <w:szCs w:val="84"/>
        </w:rPr>
      </w:pPr>
    </w:p>
    <w:p w14:paraId="5C43EB9A">
      <w:pPr>
        <w:pStyle w:val="19"/>
        <w:jc w:val="center"/>
        <w:rPr>
          <w:rFonts w:hint="eastAsia" w:ascii="黑体" w:hAnsi="黑体" w:eastAsia="黑体" w:cs="黑体"/>
          <w:sz w:val="84"/>
          <w:szCs w:val="84"/>
        </w:rPr>
      </w:pPr>
      <w:r>
        <w:rPr>
          <w:rFonts w:hint="eastAsia" w:ascii="黑体" w:hAnsi="黑体" w:eastAsia="黑体" w:cs="黑体"/>
          <w:sz w:val="84"/>
          <w:szCs w:val="84"/>
        </w:rPr>
        <w:t>202</w:t>
      </w:r>
      <w:r>
        <w:rPr>
          <w:rFonts w:hint="eastAsia" w:hAnsi="黑体" w:cs="黑体"/>
          <w:sz w:val="84"/>
          <w:szCs w:val="84"/>
          <w:lang w:val="en-US" w:eastAsia="zh-CN"/>
        </w:rPr>
        <w:t>4</w:t>
      </w:r>
      <w:r>
        <w:rPr>
          <w:rFonts w:hint="eastAsia" w:ascii="黑体" w:hAnsi="黑体" w:eastAsia="黑体" w:cs="黑体"/>
          <w:sz w:val="84"/>
          <w:szCs w:val="84"/>
        </w:rPr>
        <w:t>年度</w:t>
      </w:r>
    </w:p>
    <w:p w14:paraId="04AA7DF4">
      <w:pPr>
        <w:pStyle w:val="19"/>
        <w:jc w:val="center"/>
        <w:rPr>
          <w:rFonts w:hint="eastAsia" w:ascii="黑体" w:hAnsi="黑体" w:eastAsia="黑体" w:cs="黑体"/>
          <w:sz w:val="84"/>
          <w:szCs w:val="84"/>
        </w:rPr>
      </w:pPr>
      <w:r>
        <w:rPr>
          <w:rFonts w:hint="eastAsia" w:ascii="黑体" w:hAnsi="黑体" w:eastAsia="黑体" w:cs="黑体"/>
          <w:sz w:val="84"/>
          <w:szCs w:val="84"/>
          <w:lang w:eastAsia="zh-CN"/>
        </w:rPr>
        <w:t>市就业服务中心</w:t>
      </w:r>
      <w:r>
        <w:rPr>
          <w:rFonts w:hint="eastAsia" w:ascii="黑体" w:hAnsi="黑体" w:eastAsia="黑体" w:cs="黑体"/>
          <w:sz w:val="84"/>
          <w:szCs w:val="84"/>
        </w:rPr>
        <w:t>部门决算</w:t>
      </w:r>
    </w:p>
    <w:p w14:paraId="2EF98A52">
      <w:pPr>
        <w:pStyle w:val="19"/>
        <w:jc w:val="center"/>
        <w:rPr>
          <w:rFonts w:hint="eastAsia" w:ascii="方正小标宋_GBK" w:hAnsi="方正小标宋_GBK" w:eastAsia="方正小标宋_GBK" w:cs="方正小标宋_GBK"/>
          <w:sz w:val="56"/>
          <w:szCs w:val="56"/>
        </w:rPr>
      </w:pPr>
    </w:p>
    <w:p w14:paraId="0E994BC2">
      <w:pPr>
        <w:pStyle w:val="19"/>
        <w:jc w:val="center"/>
        <w:rPr>
          <w:sz w:val="56"/>
          <w:szCs w:val="56"/>
        </w:rPr>
      </w:pPr>
    </w:p>
    <w:p w14:paraId="2E5DC9A7">
      <w:pPr>
        <w:pStyle w:val="19"/>
        <w:jc w:val="center"/>
        <w:rPr>
          <w:sz w:val="56"/>
          <w:szCs w:val="56"/>
        </w:rPr>
      </w:pPr>
    </w:p>
    <w:p w14:paraId="0403AD61">
      <w:pPr>
        <w:pStyle w:val="19"/>
        <w:jc w:val="center"/>
        <w:rPr>
          <w:sz w:val="56"/>
          <w:szCs w:val="56"/>
        </w:rPr>
      </w:pPr>
    </w:p>
    <w:p w14:paraId="00E0C5DF">
      <w:pPr>
        <w:pStyle w:val="19"/>
        <w:jc w:val="center"/>
        <w:rPr>
          <w:sz w:val="32"/>
          <w:szCs w:val="32"/>
        </w:rPr>
      </w:pPr>
    </w:p>
    <w:p w14:paraId="7DB8E7F9">
      <w:pPr>
        <w:pStyle w:val="19"/>
        <w:jc w:val="center"/>
        <w:rPr>
          <w:sz w:val="32"/>
          <w:szCs w:val="32"/>
        </w:rPr>
      </w:pPr>
    </w:p>
    <w:p w14:paraId="77CA09E0">
      <w:pPr>
        <w:pStyle w:val="19"/>
        <w:jc w:val="center"/>
        <w:rPr>
          <w:sz w:val="32"/>
          <w:szCs w:val="32"/>
        </w:rPr>
      </w:pPr>
    </w:p>
    <w:p w14:paraId="73AA0D21">
      <w:pPr>
        <w:pStyle w:val="19"/>
        <w:jc w:val="center"/>
        <w:rPr>
          <w:sz w:val="32"/>
          <w:szCs w:val="32"/>
        </w:rPr>
      </w:pPr>
    </w:p>
    <w:p w14:paraId="0A198541">
      <w:pPr>
        <w:pStyle w:val="19"/>
        <w:jc w:val="center"/>
        <w:rPr>
          <w:sz w:val="32"/>
          <w:szCs w:val="32"/>
        </w:rPr>
      </w:pPr>
    </w:p>
    <w:p w14:paraId="5081DE98">
      <w:pPr>
        <w:pStyle w:val="19"/>
        <w:spacing w:line="540" w:lineRule="exact"/>
        <w:jc w:val="center"/>
        <w:rPr>
          <w:sz w:val="56"/>
          <w:szCs w:val="56"/>
        </w:rPr>
      </w:pPr>
    </w:p>
    <w:p w14:paraId="6A72F7D0">
      <w:pPr>
        <w:pStyle w:val="19"/>
        <w:spacing w:line="540" w:lineRule="exact"/>
        <w:jc w:val="center"/>
        <w:rPr>
          <w:sz w:val="56"/>
          <w:szCs w:val="56"/>
        </w:rPr>
      </w:pPr>
    </w:p>
    <w:p w14:paraId="13F24880">
      <w:pPr>
        <w:pStyle w:val="19"/>
        <w:spacing w:line="500" w:lineRule="exact"/>
        <w:jc w:val="both"/>
        <w:rPr>
          <w:b/>
          <w:sz w:val="36"/>
          <w:szCs w:val="28"/>
        </w:rPr>
      </w:pPr>
    </w:p>
    <w:p w14:paraId="28B19C19">
      <w:pPr>
        <w:pStyle w:val="19"/>
        <w:spacing w:line="500" w:lineRule="exact"/>
        <w:jc w:val="center"/>
        <w:rPr>
          <w:b/>
          <w:sz w:val="36"/>
          <w:szCs w:val="28"/>
        </w:rPr>
      </w:pPr>
      <w:r>
        <w:rPr>
          <w:rFonts w:hint="eastAsia"/>
          <w:b/>
          <w:sz w:val="36"/>
          <w:szCs w:val="28"/>
        </w:rPr>
        <w:t>目录</w:t>
      </w:r>
    </w:p>
    <w:p w14:paraId="219E4D9C">
      <w:pPr>
        <w:pStyle w:val="1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市就业服务中心</w:t>
      </w:r>
      <w:r>
        <w:rPr>
          <w:rFonts w:hint="eastAsia" w:ascii="黑体" w:hAnsi="黑体" w:eastAsia="黑体" w:cs="黑体"/>
          <w:b w:val="0"/>
          <w:bCs/>
          <w:sz w:val="28"/>
          <w:szCs w:val="28"/>
        </w:rPr>
        <w:t>概况</w:t>
      </w:r>
    </w:p>
    <w:p w14:paraId="0583FE48">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一、部门职责</w:t>
      </w:r>
    </w:p>
    <w:p w14:paraId="36BF8F91">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二、机构设置</w:t>
      </w:r>
    </w:p>
    <w:p w14:paraId="705E96E5">
      <w:pPr>
        <w:pStyle w:val="1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63C9520">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一、收入支出决算总表</w:t>
      </w:r>
    </w:p>
    <w:p w14:paraId="534F8F16">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二、收入决算表</w:t>
      </w:r>
    </w:p>
    <w:p w14:paraId="21410240">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三、支出决算表</w:t>
      </w:r>
    </w:p>
    <w:p w14:paraId="2DE286DD">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四、财政拨款收入支出决算总表</w:t>
      </w:r>
    </w:p>
    <w:p w14:paraId="75A43F64">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五、一般公共预算财政拨款支出决算表</w:t>
      </w:r>
    </w:p>
    <w:p w14:paraId="1582C94A">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六、一般公共预算财政拨款基本支出决算明细表</w:t>
      </w:r>
    </w:p>
    <w:p w14:paraId="693D88F7">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七、政府性基金预算财政拨款收入支出决算表</w:t>
      </w:r>
    </w:p>
    <w:p w14:paraId="7963E12C">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八、国有资本经营预算财政拨款支出决算表</w:t>
      </w:r>
    </w:p>
    <w:p w14:paraId="24D88541">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九、财政拨款“三公”经费支出决算表</w:t>
      </w:r>
    </w:p>
    <w:p w14:paraId="6BBBCD0B">
      <w:pPr>
        <w:pStyle w:val="1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9503543">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一、收入支出决算总体情况说明</w:t>
      </w:r>
    </w:p>
    <w:p w14:paraId="35841838">
      <w:pPr>
        <w:spacing w:line="500" w:lineRule="exact"/>
        <w:ind w:firstLine="700" w:firstLineChars="25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二、收入决算情况说明</w:t>
      </w:r>
    </w:p>
    <w:p w14:paraId="7FC164A8">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三、支出决算情况说明</w:t>
      </w:r>
    </w:p>
    <w:p w14:paraId="643DA811">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四、财政拨款收入支出决算总体情况说明</w:t>
      </w:r>
    </w:p>
    <w:p w14:paraId="5371EA95">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五、一般公共预算财政拨款支出决算情况说明</w:t>
      </w:r>
    </w:p>
    <w:p w14:paraId="1570A9E3">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六、一般公共预算财政拨款基本支出决算情况说明</w:t>
      </w:r>
    </w:p>
    <w:p w14:paraId="7039C099">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七、财政拨款三公经费支出决算情况说明</w:t>
      </w:r>
    </w:p>
    <w:p w14:paraId="3BC8B3E0">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八、政府性基金预算收入支出决算情况</w:t>
      </w:r>
    </w:p>
    <w:p w14:paraId="73F76DA6">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九、国有资本经营预算</w:t>
      </w:r>
      <w:r>
        <w:rPr>
          <w:rFonts w:hint="eastAsia" w:ascii="方正仿宋_GB2312" w:hAnsi="方正仿宋_GB2312" w:eastAsia="方正仿宋_GB2312" w:cs="方正仿宋_GB2312"/>
          <w:color w:val="000000"/>
          <w:kern w:val="0"/>
          <w:sz w:val="28"/>
          <w:szCs w:val="28"/>
          <w:lang w:eastAsia="zh-CN"/>
        </w:rPr>
        <w:t>收入</w:t>
      </w:r>
      <w:r>
        <w:rPr>
          <w:rFonts w:hint="eastAsia" w:ascii="方正仿宋_GB2312" w:hAnsi="方正仿宋_GB2312" w:eastAsia="方正仿宋_GB2312" w:cs="方正仿宋_GB2312"/>
          <w:color w:val="000000"/>
          <w:kern w:val="0"/>
          <w:sz w:val="28"/>
          <w:szCs w:val="28"/>
        </w:rPr>
        <w:t>支出决算情况说明</w:t>
      </w:r>
    </w:p>
    <w:p w14:paraId="08888028">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lang w:eastAsia="zh-CN"/>
        </w:rPr>
        <w:t>十、</w:t>
      </w:r>
      <w:r>
        <w:rPr>
          <w:rFonts w:hint="eastAsia" w:ascii="方正仿宋_GB2312" w:hAnsi="方正仿宋_GB2312" w:eastAsia="方正仿宋_GB2312" w:cs="方正仿宋_GB2312"/>
          <w:color w:val="000000"/>
          <w:kern w:val="0"/>
          <w:sz w:val="28"/>
          <w:szCs w:val="28"/>
        </w:rPr>
        <w:t>关于机关运行经费支出说明</w:t>
      </w:r>
    </w:p>
    <w:p w14:paraId="6CCBECAB">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十</w:t>
      </w:r>
      <w:r>
        <w:rPr>
          <w:rFonts w:hint="eastAsia" w:ascii="方正仿宋_GB2312" w:hAnsi="方正仿宋_GB2312" w:eastAsia="方正仿宋_GB2312" w:cs="方正仿宋_GB2312"/>
          <w:color w:val="000000"/>
          <w:kern w:val="0"/>
          <w:sz w:val="28"/>
          <w:szCs w:val="28"/>
          <w:lang w:eastAsia="zh-CN"/>
        </w:rPr>
        <w:t>一</w:t>
      </w:r>
      <w:r>
        <w:rPr>
          <w:rFonts w:hint="eastAsia" w:ascii="方正仿宋_GB2312" w:hAnsi="方正仿宋_GB2312" w:eastAsia="方正仿宋_GB2312" w:cs="方正仿宋_GB2312"/>
          <w:color w:val="000000"/>
          <w:kern w:val="0"/>
          <w:sz w:val="28"/>
          <w:szCs w:val="28"/>
        </w:rPr>
        <w:t>、一般性支出情况说明</w:t>
      </w:r>
    </w:p>
    <w:p w14:paraId="419D0CE5">
      <w:pPr>
        <w:autoSpaceDE w:val="0"/>
        <w:autoSpaceDN w:val="0"/>
        <w:adjustRightInd w:val="0"/>
        <w:spacing w:line="500" w:lineRule="exact"/>
        <w:ind w:firstLine="700" w:firstLineChars="250"/>
        <w:jc w:val="left"/>
        <w:rPr>
          <w:rFonts w:hint="eastAsia" w:ascii="方正仿宋_GB2312" w:hAnsi="方正仿宋_GB2312" w:eastAsia="方正仿宋_GB2312" w:cs="方正仿宋_GB2312"/>
          <w:color w:val="000000"/>
          <w:kern w:val="0"/>
          <w:sz w:val="28"/>
          <w:szCs w:val="28"/>
        </w:rPr>
      </w:pPr>
      <w:r>
        <w:rPr>
          <w:rFonts w:hint="eastAsia" w:ascii="方正仿宋_GB2312" w:hAnsi="方正仿宋_GB2312" w:eastAsia="方正仿宋_GB2312" w:cs="方正仿宋_GB2312"/>
          <w:color w:val="000000"/>
          <w:kern w:val="0"/>
          <w:sz w:val="28"/>
          <w:szCs w:val="28"/>
        </w:rPr>
        <w:t>十</w:t>
      </w:r>
      <w:r>
        <w:rPr>
          <w:rFonts w:hint="eastAsia" w:ascii="方正仿宋_GB2312" w:hAnsi="方正仿宋_GB2312" w:eastAsia="方正仿宋_GB2312" w:cs="方正仿宋_GB2312"/>
          <w:color w:val="000000"/>
          <w:kern w:val="0"/>
          <w:sz w:val="28"/>
          <w:szCs w:val="28"/>
          <w:lang w:eastAsia="zh-CN"/>
        </w:rPr>
        <w:t>二</w:t>
      </w:r>
      <w:r>
        <w:rPr>
          <w:rFonts w:hint="eastAsia" w:ascii="方正仿宋_GB2312" w:hAnsi="方正仿宋_GB2312" w:eastAsia="方正仿宋_GB2312" w:cs="方正仿宋_GB2312"/>
          <w:color w:val="000000"/>
          <w:kern w:val="0"/>
          <w:sz w:val="28"/>
          <w:szCs w:val="28"/>
        </w:rPr>
        <w:t>、关于政府采购支出说明</w:t>
      </w:r>
    </w:p>
    <w:p w14:paraId="20B3B71A">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十</w:t>
      </w:r>
      <w:r>
        <w:rPr>
          <w:rFonts w:hint="eastAsia" w:ascii="方正仿宋_GB2312" w:hAnsi="方正仿宋_GB2312" w:eastAsia="方正仿宋_GB2312" w:cs="方正仿宋_GB2312"/>
          <w:sz w:val="28"/>
          <w:szCs w:val="28"/>
          <w:lang w:eastAsia="zh-CN"/>
        </w:rPr>
        <w:t>三</w:t>
      </w:r>
      <w:r>
        <w:rPr>
          <w:rFonts w:hint="eastAsia" w:ascii="方正仿宋_GB2312" w:hAnsi="方正仿宋_GB2312" w:eastAsia="方正仿宋_GB2312" w:cs="方正仿宋_GB2312"/>
          <w:sz w:val="28"/>
          <w:szCs w:val="28"/>
        </w:rPr>
        <w:t>、关于国有资产占用情况说明</w:t>
      </w:r>
    </w:p>
    <w:p w14:paraId="32965409">
      <w:pPr>
        <w:pStyle w:val="19"/>
        <w:spacing w:line="500" w:lineRule="exact"/>
        <w:ind w:firstLine="700" w:firstLineChars="25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十</w:t>
      </w:r>
      <w:r>
        <w:rPr>
          <w:rFonts w:hint="eastAsia" w:ascii="方正仿宋_GB2312" w:hAnsi="方正仿宋_GB2312" w:eastAsia="方正仿宋_GB2312" w:cs="方正仿宋_GB2312"/>
          <w:sz w:val="28"/>
          <w:szCs w:val="28"/>
          <w:lang w:eastAsia="zh-CN"/>
        </w:rPr>
        <w:t>四</w:t>
      </w:r>
      <w:r>
        <w:rPr>
          <w:rFonts w:hint="eastAsia" w:ascii="方正仿宋_GB2312" w:hAnsi="方正仿宋_GB2312" w:eastAsia="方正仿宋_GB2312" w:cs="方正仿宋_GB2312"/>
          <w:sz w:val="28"/>
          <w:szCs w:val="28"/>
        </w:rPr>
        <w:t>、关于202</w:t>
      </w:r>
      <w:r>
        <w:rPr>
          <w:rFonts w:hint="eastAsia" w:ascii="方正仿宋_GB2312" w:hAnsi="方正仿宋_GB2312" w:eastAsia="方正仿宋_GB2312" w:cs="方正仿宋_GB2312"/>
          <w:sz w:val="28"/>
          <w:szCs w:val="28"/>
          <w:lang w:val="en-US" w:eastAsia="zh-CN"/>
        </w:rPr>
        <w:t>4</w:t>
      </w:r>
      <w:r>
        <w:rPr>
          <w:rFonts w:hint="eastAsia" w:ascii="方正仿宋_GB2312" w:hAnsi="方正仿宋_GB2312" w:eastAsia="方正仿宋_GB2312" w:cs="方正仿宋_GB2312"/>
          <w:sz w:val="28"/>
          <w:szCs w:val="28"/>
        </w:rPr>
        <w:t>年度</w:t>
      </w:r>
      <w:r>
        <w:rPr>
          <w:rFonts w:hint="eastAsia" w:ascii="方正仿宋_GB2312" w:hAnsi="方正仿宋_GB2312" w:eastAsia="方正仿宋_GB2312" w:cs="方正仿宋_GB2312"/>
          <w:sz w:val="28"/>
          <w:szCs w:val="28"/>
          <w:lang w:eastAsia="zh-CN"/>
        </w:rPr>
        <w:t>预算</w:t>
      </w:r>
      <w:r>
        <w:rPr>
          <w:rFonts w:hint="eastAsia" w:ascii="方正仿宋_GB2312" w:hAnsi="方正仿宋_GB2312" w:eastAsia="方正仿宋_GB2312" w:cs="方正仿宋_GB2312"/>
          <w:sz w:val="28"/>
          <w:szCs w:val="28"/>
        </w:rPr>
        <w:t>绩效情况的说明</w:t>
      </w:r>
    </w:p>
    <w:p w14:paraId="5253BAEE">
      <w:pPr>
        <w:pStyle w:val="1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56077A9">
      <w:pPr>
        <w:pStyle w:val="19"/>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A8DF9B4">
      <w:pPr>
        <w:pStyle w:val="19"/>
        <w:spacing w:line="500" w:lineRule="exact"/>
        <w:rPr>
          <w:rFonts w:hint="eastAsia" w:ascii="黑体" w:hAnsi="黑体" w:eastAsia="黑体" w:cs="黑体"/>
          <w:b w:val="0"/>
          <w:bCs/>
          <w:sz w:val="28"/>
          <w:szCs w:val="28"/>
        </w:rPr>
      </w:pPr>
    </w:p>
    <w:p w14:paraId="491DAC02">
      <w:pPr>
        <w:jc w:val="center"/>
        <w:rPr>
          <w:sz w:val="72"/>
          <w:szCs w:val="72"/>
        </w:rPr>
      </w:pPr>
    </w:p>
    <w:p w14:paraId="5F238E85">
      <w:pPr>
        <w:jc w:val="center"/>
        <w:rPr>
          <w:sz w:val="72"/>
          <w:szCs w:val="72"/>
        </w:rPr>
      </w:pPr>
    </w:p>
    <w:p w14:paraId="5AD83397">
      <w:pPr>
        <w:jc w:val="center"/>
        <w:rPr>
          <w:sz w:val="72"/>
          <w:szCs w:val="72"/>
        </w:rPr>
      </w:pPr>
    </w:p>
    <w:p w14:paraId="71C1F9C3">
      <w:pPr>
        <w:jc w:val="center"/>
        <w:rPr>
          <w:sz w:val="72"/>
          <w:szCs w:val="72"/>
        </w:rPr>
      </w:pPr>
    </w:p>
    <w:p w14:paraId="090EAB07">
      <w:pPr>
        <w:rPr>
          <w:rFonts w:hint="eastAsia" w:ascii="方正小标宋_GBK" w:hAnsi="方正小标宋_GBK" w:eastAsia="方正小标宋_GBK" w:cs="方正小标宋_GBK"/>
          <w:sz w:val="72"/>
          <w:szCs w:val="72"/>
        </w:rPr>
      </w:pPr>
    </w:p>
    <w:p w14:paraId="5F8527CC">
      <w:pPr>
        <w:pStyle w:val="19"/>
        <w:jc w:val="center"/>
        <w:rPr>
          <w:rFonts w:hint="eastAsia" w:ascii="黑体" w:hAnsi="黑体" w:eastAsia="黑体" w:cs="黑体"/>
          <w:sz w:val="84"/>
          <w:szCs w:val="84"/>
        </w:rPr>
      </w:pPr>
      <w:r>
        <w:rPr>
          <w:rFonts w:hint="eastAsia" w:ascii="黑体" w:hAnsi="黑体" w:eastAsia="黑体" w:cs="黑体"/>
          <w:sz w:val="84"/>
          <w:szCs w:val="84"/>
        </w:rPr>
        <w:t xml:space="preserve">第一部分 </w:t>
      </w:r>
    </w:p>
    <w:p w14:paraId="6F68B5E4">
      <w:pPr>
        <w:pStyle w:val="19"/>
        <w:jc w:val="center"/>
        <w:rPr>
          <w:rFonts w:hint="eastAsia" w:ascii="黑体" w:hAnsi="黑体" w:eastAsia="黑体" w:cs="黑体"/>
          <w:sz w:val="84"/>
          <w:szCs w:val="84"/>
        </w:rPr>
      </w:pPr>
    </w:p>
    <w:p w14:paraId="615D42E7">
      <w:pPr>
        <w:pStyle w:val="19"/>
        <w:jc w:val="center"/>
        <w:rPr>
          <w:rFonts w:hint="eastAsia" w:ascii="方正小标宋_GBK" w:hAnsi="方正小标宋_GBK" w:eastAsia="方正小标宋_GBK" w:cs="方正小标宋_GBK"/>
          <w:sz w:val="84"/>
          <w:szCs w:val="84"/>
        </w:rPr>
      </w:pPr>
      <w:r>
        <w:rPr>
          <w:rFonts w:hint="eastAsia" w:ascii="黑体" w:hAnsi="黑体" w:eastAsia="黑体" w:cs="黑体"/>
          <w:sz w:val="84"/>
          <w:szCs w:val="84"/>
          <w:lang w:eastAsia="zh-CN"/>
        </w:rPr>
        <w:t>市就业服务中心</w:t>
      </w:r>
      <w:r>
        <w:rPr>
          <w:rFonts w:hint="eastAsia" w:ascii="黑体" w:hAnsi="黑体" w:eastAsia="黑体" w:cs="黑体"/>
          <w:sz w:val="84"/>
          <w:szCs w:val="84"/>
        </w:rPr>
        <w:t>概况</w:t>
      </w:r>
    </w:p>
    <w:p w14:paraId="65543DEF">
      <w:pPr>
        <w:jc w:val="center"/>
        <w:rPr>
          <w:rFonts w:hint="eastAsia" w:ascii="方正小标宋_GBK" w:hAnsi="方正小标宋_GBK" w:eastAsia="方正小标宋_GBK" w:cs="方正小标宋_GBK"/>
          <w:sz w:val="72"/>
          <w:szCs w:val="72"/>
        </w:rPr>
      </w:pPr>
    </w:p>
    <w:p w14:paraId="2EE350B0">
      <w:pPr>
        <w:jc w:val="center"/>
        <w:rPr>
          <w:rFonts w:hint="eastAsia" w:ascii="方正小标宋_GBK" w:hAnsi="方正小标宋_GBK" w:eastAsia="方正小标宋_GBK" w:cs="方正小标宋_GBK"/>
          <w:sz w:val="72"/>
          <w:szCs w:val="72"/>
        </w:rPr>
      </w:pPr>
    </w:p>
    <w:p w14:paraId="5E138865">
      <w:pPr>
        <w:jc w:val="center"/>
        <w:rPr>
          <w:sz w:val="72"/>
          <w:szCs w:val="72"/>
        </w:rPr>
      </w:pPr>
    </w:p>
    <w:p w14:paraId="1D4FB4C2">
      <w:pPr>
        <w:jc w:val="center"/>
        <w:rPr>
          <w:sz w:val="72"/>
          <w:szCs w:val="72"/>
        </w:rPr>
      </w:pPr>
    </w:p>
    <w:p w14:paraId="4D023A56">
      <w:pPr>
        <w:jc w:val="center"/>
        <w:rPr>
          <w:sz w:val="72"/>
          <w:szCs w:val="72"/>
        </w:rPr>
      </w:pPr>
    </w:p>
    <w:p w14:paraId="697B3387">
      <w:pPr>
        <w:jc w:val="center"/>
        <w:rPr>
          <w:sz w:val="72"/>
          <w:szCs w:val="72"/>
        </w:rPr>
      </w:pPr>
    </w:p>
    <w:p w14:paraId="69CB1192">
      <w:pPr>
        <w:pStyle w:val="2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17CCAA4">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怀化市就业服务中心贯彻落实党中央和省委、市委关于就业服务工作的方针政策和决策部署。主要职责是：</w:t>
      </w:r>
    </w:p>
    <w:p w14:paraId="32C40F9E">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（一）参与制订促进就业、人才强市和失业保险发展规划及年度计划，为指导推进全市公共就业服务体系建设提供服务。</w:t>
      </w:r>
    </w:p>
    <w:p w14:paraId="44EDBDFE">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承担组织落实促进就业各项政策措施的相关事务性工作，为高校毕业生、登记失业人员、农村劳动力、脱贫人口、退捕渔民及就业困难人员等群体提供政策咨询、职业指导、岗位信息、就业失业与求职登记、职业培训、就业援助等公共就业服务。</w:t>
      </w:r>
    </w:p>
    <w:p w14:paraId="51F08BFC">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（三）承担组织落实创业带动就业政策措施的相关事务性工作，为各类群体开展创新创业活动提供创业培训、创业指导、创业载体和创业担保贷款等创业服务。</w:t>
      </w:r>
    </w:p>
    <w:p w14:paraId="663DDA48">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（四）承担组织落实职业技能培训和创业培训相关工作。</w:t>
      </w:r>
    </w:p>
    <w:p w14:paraId="746C8FD2">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（五）承担组织落实失业保险各项政策的相关事务性工作；承担市直企事业等单位失业保险经办服务工作。</w:t>
      </w:r>
    </w:p>
    <w:p w14:paraId="32FC362A">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（六）承担人力资源开发与服务工作；承担企业高层次人才引进相关工作；承担流动人员人事档案管理相关事务性工作。</w:t>
      </w:r>
    </w:p>
    <w:p w14:paraId="445B2F97">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（七）为公共就业服务信息化建设提供技术支持和服务保障；承担就业失业相关统计分析、就业失业信息监测工作。</w:t>
      </w:r>
    </w:p>
    <w:p w14:paraId="730CE2B8">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（八）承担市委人才工作领导小组、市就业和农民工工作暨根治拖欠农民工工资工作领导小组涉及就业的日常事务性、服务性工作。</w:t>
      </w:r>
    </w:p>
    <w:p w14:paraId="295FCF19">
      <w:pPr>
        <w:widowControl/>
        <w:spacing w:line="600" w:lineRule="exact"/>
        <w:ind w:left="0" w:leftChars="0" w:firstLine="640" w:firstLineChars="20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（九）完成市人力资源和社会保障局交办的其他任务</w:t>
      </w:r>
      <w:r>
        <w:rPr>
          <w:rFonts w:hint="eastAsia" w:ascii="方正仿宋_GB2312" w:hAnsi="方正仿宋_GB2312" w:eastAsia="方正仿宋_GB2312" w:cs="方正仿宋_GB2312"/>
          <w:sz w:val="32"/>
          <w:szCs w:val="32"/>
          <w:lang w:eastAsia="zh-CN"/>
        </w:rPr>
        <w:t>。</w:t>
      </w:r>
    </w:p>
    <w:p w14:paraId="3C327D75">
      <w:pPr>
        <w:widowControl/>
        <w:spacing w:line="600" w:lineRule="exact"/>
        <w:rPr>
          <w:rFonts w:hint="eastAsia" w:ascii="方正仿宋_GB2312" w:hAnsi="方正仿宋_GB2312" w:eastAsia="方正仿宋_GB2312" w:cs="方正仿宋_GB2312"/>
          <w:sz w:val="32"/>
          <w:szCs w:val="32"/>
          <w:lang w:eastAsia="zh-CN"/>
        </w:rPr>
      </w:pPr>
    </w:p>
    <w:p w14:paraId="1ABB90AF">
      <w:pPr>
        <w:widowControl/>
        <w:spacing w:line="600" w:lineRule="exact"/>
        <w:rPr>
          <w:rFonts w:hint="eastAsia" w:ascii="方正仿宋_GB2312" w:hAnsi="方正仿宋_GB2312" w:eastAsia="方正仿宋_GB2312" w:cs="方正仿宋_GB2312"/>
          <w:sz w:val="32"/>
          <w:szCs w:val="32"/>
          <w:lang w:eastAsia="zh-CN"/>
        </w:rPr>
      </w:pPr>
    </w:p>
    <w:p w14:paraId="38B525AD">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03C28B4">
      <w:pPr>
        <w:spacing w:line="360" w:lineRule="auto"/>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4212D138">
      <w:pPr>
        <w:spacing w:line="360" w:lineRule="auto"/>
        <w:ind w:firstLine="640" w:firstLineChars="200"/>
        <w:rPr>
          <w:rFonts w:hint="eastAsia" w:ascii="方正仿宋_GB2312" w:hAnsi="方正仿宋_GB2312" w:eastAsia="方正仿宋_GB2312" w:cs="方正仿宋_GB2312"/>
          <w:bCs/>
          <w:kern w:val="0"/>
          <w:sz w:val="32"/>
          <w:szCs w:val="32"/>
        </w:rPr>
      </w:pPr>
      <w:r>
        <w:rPr>
          <w:rFonts w:hint="eastAsia" w:ascii="方正仿宋_GB2312" w:hAnsi="方正仿宋_GB2312" w:eastAsia="方正仿宋_GB2312" w:cs="方正仿宋_GB2312"/>
          <w:bCs/>
          <w:kern w:val="0"/>
          <w:sz w:val="32"/>
          <w:szCs w:val="32"/>
          <w:lang w:eastAsia="zh-CN"/>
        </w:rPr>
        <w:t>市就业服务中心</w:t>
      </w:r>
      <w:r>
        <w:rPr>
          <w:rFonts w:hint="eastAsia" w:ascii="方正仿宋_GB2312" w:hAnsi="方正仿宋_GB2312" w:eastAsia="方正仿宋_GB2312" w:cs="方正仿宋_GB2312"/>
          <w:bCs/>
          <w:kern w:val="0"/>
          <w:sz w:val="32"/>
          <w:szCs w:val="32"/>
        </w:rPr>
        <w:t>内设机构包括：</w:t>
      </w: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综合部、财务和内控稽核部、城乡就业部、创业指导服务部、就业技能服务部、失业保险部、人事档案服务部和市企业用工服务中心。</w:t>
      </w:r>
    </w:p>
    <w:p w14:paraId="4609208E">
      <w:pPr>
        <w:widowControl/>
        <w:numPr>
          <w:ilvl w:val="0"/>
          <w:numId w:val="2"/>
        </w:numPr>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决算单位构成。</w:t>
      </w:r>
    </w:p>
    <w:p w14:paraId="0DB28A19">
      <w:pPr>
        <w:widowControl/>
        <w:numPr>
          <w:ilvl w:val="0"/>
          <w:numId w:val="0"/>
        </w:numPr>
        <w:spacing w:line="600" w:lineRule="exact"/>
        <w:ind w:firstLine="640" w:firstLineChars="200"/>
        <w:rPr>
          <w:rFonts w:hint="eastAsia" w:ascii="方正仿宋_GB2312" w:hAnsi="方正仿宋_GB2312" w:eastAsia="方正仿宋_GB2312" w:cs="方正仿宋_GB2312"/>
          <w:bCs/>
          <w:kern w:val="0"/>
          <w:sz w:val="32"/>
          <w:szCs w:val="32"/>
          <w:lang w:eastAsia="zh-CN"/>
        </w:rPr>
      </w:pPr>
      <w:r>
        <w:rPr>
          <w:rFonts w:hint="eastAsia" w:ascii="方正仿宋_GB2312" w:hAnsi="方正仿宋_GB2312" w:eastAsia="方正仿宋_GB2312" w:cs="方正仿宋_GB2312"/>
          <w:bCs/>
          <w:kern w:val="0"/>
          <w:sz w:val="32"/>
          <w:szCs w:val="32"/>
        </w:rPr>
        <w:t>202</w:t>
      </w:r>
      <w:r>
        <w:rPr>
          <w:rFonts w:hint="eastAsia" w:ascii="方正仿宋_GB2312" w:hAnsi="方正仿宋_GB2312" w:eastAsia="方正仿宋_GB2312" w:cs="方正仿宋_GB2312"/>
          <w:bCs/>
          <w:kern w:val="0"/>
          <w:sz w:val="32"/>
          <w:szCs w:val="32"/>
          <w:lang w:val="en-US" w:eastAsia="zh-CN"/>
        </w:rPr>
        <w:t>4</w:t>
      </w:r>
      <w:r>
        <w:rPr>
          <w:rFonts w:hint="eastAsia" w:ascii="方正仿宋_GB2312" w:hAnsi="方正仿宋_GB2312" w:eastAsia="方正仿宋_GB2312" w:cs="方正仿宋_GB2312"/>
          <w:bCs/>
          <w:kern w:val="0"/>
          <w:sz w:val="32"/>
          <w:szCs w:val="32"/>
        </w:rPr>
        <w:t>年部门决算汇总公开单位构成包括：</w:t>
      </w:r>
      <w:r>
        <w:rPr>
          <w:rFonts w:hint="eastAsia" w:ascii="方正仿宋_GB2312" w:hAnsi="方正仿宋_GB2312" w:eastAsia="方正仿宋_GB2312" w:cs="方正仿宋_GB2312"/>
          <w:bCs/>
          <w:kern w:val="0"/>
          <w:sz w:val="32"/>
          <w:szCs w:val="32"/>
          <w:lang w:eastAsia="zh-CN"/>
        </w:rPr>
        <w:t>就业服务中心</w:t>
      </w:r>
      <w:r>
        <w:rPr>
          <w:rFonts w:hint="eastAsia" w:ascii="方正仿宋_GB2312" w:hAnsi="方正仿宋_GB2312" w:eastAsia="方正仿宋_GB2312" w:cs="方正仿宋_GB2312"/>
          <w:bCs/>
          <w:kern w:val="0"/>
          <w:sz w:val="32"/>
          <w:szCs w:val="32"/>
        </w:rPr>
        <w:t>单位本级</w:t>
      </w:r>
      <w:r>
        <w:rPr>
          <w:rFonts w:hint="eastAsia" w:ascii="方正仿宋_GB2312" w:hAnsi="方正仿宋_GB2312" w:eastAsia="方正仿宋_GB2312" w:cs="方正仿宋_GB2312"/>
          <w:bCs/>
          <w:kern w:val="0"/>
          <w:sz w:val="32"/>
          <w:szCs w:val="32"/>
          <w:lang w:eastAsia="zh-CN"/>
        </w:rPr>
        <w:t>。</w:t>
      </w:r>
    </w:p>
    <w:p w14:paraId="7F3A8373">
      <w:pPr>
        <w:widowControl/>
        <w:spacing w:line="600" w:lineRule="exact"/>
        <w:rPr>
          <w:rFonts w:hint="eastAsia" w:ascii="方正仿宋_GB2312" w:hAnsi="方正仿宋_GB2312" w:eastAsia="方正仿宋_GB2312" w:cs="方正仿宋_GB2312"/>
          <w:bCs/>
          <w:kern w:val="0"/>
          <w:sz w:val="32"/>
          <w:szCs w:val="32"/>
        </w:rPr>
      </w:pPr>
    </w:p>
    <w:p w14:paraId="2927C427">
      <w:pPr>
        <w:jc w:val="left"/>
        <w:rPr>
          <w:rFonts w:ascii="仿宋_GB2312" w:eastAsia="仿宋_GB2312" w:hAnsiTheme="minorEastAsia"/>
          <w:sz w:val="28"/>
          <w:szCs w:val="32"/>
        </w:rPr>
      </w:pPr>
    </w:p>
    <w:p w14:paraId="350CECE3">
      <w:pPr>
        <w:jc w:val="center"/>
        <w:rPr>
          <w:rFonts w:ascii="黑体" w:hAnsi="黑体" w:eastAsia="黑体"/>
          <w:sz w:val="28"/>
          <w:szCs w:val="28"/>
        </w:rPr>
      </w:pPr>
    </w:p>
    <w:p w14:paraId="2629ACB0">
      <w:pPr>
        <w:jc w:val="center"/>
        <w:rPr>
          <w:rFonts w:ascii="黑体" w:hAnsi="黑体" w:eastAsia="黑体"/>
          <w:sz w:val="28"/>
          <w:szCs w:val="28"/>
        </w:rPr>
      </w:pPr>
    </w:p>
    <w:p w14:paraId="1E1D6B3C">
      <w:pPr>
        <w:jc w:val="center"/>
        <w:rPr>
          <w:rFonts w:ascii="黑体" w:hAnsi="黑体" w:eastAsia="黑体"/>
          <w:sz w:val="28"/>
          <w:szCs w:val="28"/>
        </w:rPr>
      </w:pPr>
    </w:p>
    <w:p w14:paraId="16F089EE">
      <w:pPr>
        <w:jc w:val="center"/>
        <w:rPr>
          <w:rFonts w:ascii="黑体" w:hAnsi="黑体" w:eastAsia="黑体"/>
          <w:sz w:val="28"/>
          <w:szCs w:val="28"/>
        </w:rPr>
      </w:pPr>
    </w:p>
    <w:p w14:paraId="53AEC77A">
      <w:pPr>
        <w:jc w:val="center"/>
        <w:rPr>
          <w:rFonts w:ascii="黑体" w:hAnsi="黑体" w:eastAsia="黑体"/>
          <w:sz w:val="28"/>
          <w:szCs w:val="28"/>
        </w:rPr>
      </w:pPr>
    </w:p>
    <w:p w14:paraId="25834306">
      <w:pPr>
        <w:jc w:val="center"/>
        <w:rPr>
          <w:rFonts w:ascii="黑体" w:hAnsi="黑体" w:eastAsia="黑体"/>
          <w:sz w:val="28"/>
          <w:szCs w:val="28"/>
        </w:rPr>
      </w:pPr>
    </w:p>
    <w:p w14:paraId="3A1A2A7F">
      <w:pPr>
        <w:jc w:val="center"/>
        <w:rPr>
          <w:rFonts w:ascii="黑体" w:hAnsi="黑体" w:eastAsia="黑体"/>
          <w:sz w:val="28"/>
          <w:szCs w:val="28"/>
        </w:rPr>
      </w:pPr>
    </w:p>
    <w:p w14:paraId="77E6E864">
      <w:pPr>
        <w:jc w:val="center"/>
        <w:rPr>
          <w:rFonts w:ascii="黑体" w:hAnsi="黑体" w:eastAsia="黑体"/>
          <w:sz w:val="28"/>
          <w:szCs w:val="28"/>
        </w:rPr>
      </w:pPr>
    </w:p>
    <w:p w14:paraId="2623082B">
      <w:pPr>
        <w:jc w:val="center"/>
        <w:rPr>
          <w:rFonts w:ascii="黑体" w:hAnsi="黑体" w:eastAsia="黑体"/>
          <w:sz w:val="28"/>
          <w:szCs w:val="28"/>
        </w:rPr>
      </w:pPr>
    </w:p>
    <w:p w14:paraId="2CFEF3A4">
      <w:pPr>
        <w:jc w:val="center"/>
        <w:rPr>
          <w:rFonts w:ascii="黑体" w:hAnsi="黑体" w:eastAsia="黑体"/>
          <w:sz w:val="28"/>
          <w:szCs w:val="28"/>
        </w:rPr>
      </w:pPr>
    </w:p>
    <w:p w14:paraId="52296B89">
      <w:pPr>
        <w:jc w:val="center"/>
        <w:rPr>
          <w:rFonts w:ascii="黑体" w:hAnsi="黑体" w:eastAsia="黑体"/>
          <w:sz w:val="28"/>
          <w:szCs w:val="28"/>
        </w:rPr>
      </w:pPr>
    </w:p>
    <w:p w14:paraId="2D24FFAF">
      <w:pPr>
        <w:jc w:val="center"/>
        <w:rPr>
          <w:rFonts w:ascii="黑体" w:hAnsi="黑体" w:eastAsia="黑体"/>
          <w:sz w:val="28"/>
          <w:szCs w:val="28"/>
        </w:rPr>
      </w:pPr>
    </w:p>
    <w:p w14:paraId="4E46248F">
      <w:pPr>
        <w:pStyle w:val="19"/>
        <w:jc w:val="both"/>
        <w:rPr>
          <w:rFonts w:hint="eastAsia" w:ascii="方正小标宋_GBK" w:hAnsi="方正小标宋_GBK" w:eastAsia="方正小标宋_GBK" w:cs="方正小标宋_GBK"/>
          <w:sz w:val="84"/>
          <w:szCs w:val="84"/>
        </w:rPr>
      </w:pPr>
    </w:p>
    <w:p w14:paraId="35B6634C">
      <w:pPr>
        <w:pStyle w:val="19"/>
        <w:jc w:val="center"/>
        <w:rPr>
          <w:rFonts w:hint="eastAsia" w:ascii="黑体" w:hAnsi="黑体" w:eastAsia="黑体" w:cs="黑体"/>
          <w:sz w:val="84"/>
          <w:szCs w:val="84"/>
        </w:rPr>
      </w:pPr>
    </w:p>
    <w:p w14:paraId="4B1E2FAA">
      <w:pPr>
        <w:pStyle w:val="19"/>
        <w:jc w:val="center"/>
        <w:rPr>
          <w:rFonts w:hint="eastAsia" w:ascii="黑体" w:hAnsi="黑体" w:eastAsia="黑体" w:cs="黑体"/>
          <w:sz w:val="84"/>
          <w:szCs w:val="84"/>
        </w:rPr>
      </w:pPr>
    </w:p>
    <w:p w14:paraId="4CC73AF5">
      <w:pPr>
        <w:pStyle w:val="19"/>
        <w:jc w:val="center"/>
        <w:rPr>
          <w:rFonts w:hint="eastAsia" w:ascii="黑体" w:hAnsi="黑体" w:eastAsia="黑体" w:cs="黑体"/>
          <w:sz w:val="84"/>
          <w:szCs w:val="84"/>
        </w:rPr>
      </w:pPr>
      <w:r>
        <w:rPr>
          <w:rFonts w:hint="eastAsia" w:ascii="黑体" w:hAnsi="黑体" w:eastAsia="黑体" w:cs="黑体"/>
          <w:sz w:val="84"/>
          <w:szCs w:val="84"/>
        </w:rPr>
        <w:t>第二部分</w:t>
      </w:r>
    </w:p>
    <w:p w14:paraId="58442950">
      <w:pPr>
        <w:pStyle w:val="19"/>
        <w:jc w:val="center"/>
        <w:rPr>
          <w:rFonts w:hint="eastAsia" w:ascii="黑体" w:hAnsi="黑体" w:eastAsia="黑体" w:cs="黑体"/>
          <w:sz w:val="84"/>
          <w:szCs w:val="84"/>
        </w:rPr>
      </w:pPr>
    </w:p>
    <w:p w14:paraId="169E9541">
      <w:pPr>
        <w:pStyle w:val="19"/>
        <w:jc w:val="center"/>
        <w:rPr>
          <w:rFonts w:hint="eastAsia" w:ascii="黑体" w:hAnsi="黑体" w:eastAsia="黑体" w:cs="黑体"/>
          <w:sz w:val="84"/>
          <w:szCs w:val="84"/>
        </w:rPr>
      </w:pPr>
      <w:r>
        <w:rPr>
          <w:rFonts w:hint="eastAsia" w:ascii="黑体" w:hAnsi="黑体" w:eastAsia="黑体" w:cs="黑体"/>
          <w:sz w:val="84"/>
          <w:szCs w:val="84"/>
        </w:rPr>
        <w:t>部门决算表</w:t>
      </w:r>
    </w:p>
    <w:p w14:paraId="0F3E11D5">
      <w:pPr>
        <w:jc w:val="center"/>
        <w:rPr>
          <w:sz w:val="72"/>
          <w:szCs w:val="72"/>
        </w:rPr>
      </w:pPr>
    </w:p>
    <w:p w14:paraId="133924CA">
      <w:pPr>
        <w:jc w:val="center"/>
        <w:rPr>
          <w:rFonts w:hint="eastAsia" w:eastAsiaTheme="minorEastAsia"/>
          <w:sz w:val="72"/>
          <w:szCs w:val="72"/>
          <w:lang w:eastAsia="zh-CN"/>
        </w:rPr>
      </w:pPr>
      <w:r>
        <w:rPr>
          <w:rFonts w:hint="eastAsia"/>
          <w:sz w:val="72"/>
          <w:szCs w:val="72"/>
          <w:lang w:eastAsia="zh-CN"/>
        </w:rPr>
        <w:t>（见附件）</w:t>
      </w:r>
    </w:p>
    <w:p w14:paraId="4D6E5B49">
      <w:pPr>
        <w:autoSpaceDE w:val="0"/>
        <w:autoSpaceDN w:val="0"/>
        <w:adjustRightInd w:val="0"/>
        <w:ind w:left="315" w:leftChars="150"/>
        <w:jc w:val="left"/>
        <w:rPr>
          <w:rFonts w:ascii="宋体" w:eastAsia="宋体" w:cs="宋体"/>
          <w:kern w:val="0"/>
          <w:sz w:val="24"/>
          <w:szCs w:val="24"/>
        </w:rPr>
      </w:pPr>
    </w:p>
    <w:p w14:paraId="3FD6D086">
      <w:pPr>
        <w:widowControl/>
        <w:jc w:val="both"/>
        <w:rPr>
          <w:sz w:val="72"/>
          <w:szCs w:val="72"/>
        </w:rPr>
        <w:sectPr>
          <w:pgSz w:w="11906" w:h="16838"/>
          <w:pgMar w:top="720" w:right="1086" w:bottom="720" w:left="940" w:header="851" w:footer="992" w:gutter="0"/>
          <w:cols w:space="425" w:num="1"/>
          <w:docGrid w:type="lines" w:linePitch="312" w:charSpace="0"/>
        </w:sectPr>
      </w:pPr>
      <w:r>
        <w:rPr>
          <w:rFonts w:ascii="黑体" w:hAnsi="黑体" w:eastAsia="黑体"/>
          <w:szCs w:val="21"/>
        </w:rPr>
        <w:br w:type="page"/>
      </w:r>
    </w:p>
    <w:p w14:paraId="4CC6FE3E">
      <w:pPr>
        <w:pStyle w:val="19"/>
        <w:rPr>
          <w:sz w:val="72"/>
          <w:szCs w:val="72"/>
        </w:rPr>
      </w:pPr>
    </w:p>
    <w:p w14:paraId="158F9C98">
      <w:pPr>
        <w:pStyle w:val="19"/>
        <w:rPr>
          <w:sz w:val="72"/>
          <w:szCs w:val="72"/>
        </w:rPr>
      </w:pPr>
    </w:p>
    <w:p w14:paraId="3A892B9C">
      <w:pPr>
        <w:pStyle w:val="19"/>
        <w:rPr>
          <w:sz w:val="72"/>
          <w:szCs w:val="72"/>
        </w:rPr>
      </w:pPr>
    </w:p>
    <w:p w14:paraId="7FD6DEA8">
      <w:pPr>
        <w:pStyle w:val="19"/>
        <w:ind w:left="0" w:leftChars="0" w:firstLine="0" w:firstLineChars="0"/>
        <w:jc w:val="center"/>
        <w:rPr>
          <w:rFonts w:hint="eastAsia" w:ascii="方正小标宋_GBK" w:hAnsi="方正小标宋_GBK" w:eastAsia="方正小标宋_GBK" w:cs="方正小标宋_GBK"/>
          <w:sz w:val="72"/>
          <w:szCs w:val="72"/>
        </w:rPr>
      </w:pPr>
    </w:p>
    <w:p w14:paraId="2F0A2385">
      <w:pPr>
        <w:pStyle w:val="19"/>
        <w:jc w:val="center"/>
        <w:rPr>
          <w:rFonts w:hint="eastAsia" w:ascii="黑体" w:hAnsi="黑体" w:eastAsia="黑体" w:cs="黑体"/>
          <w:sz w:val="84"/>
          <w:szCs w:val="84"/>
        </w:rPr>
      </w:pPr>
      <w:r>
        <w:rPr>
          <w:rFonts w:hint="eastAsia" w:ascii="黑体" w:hAnsi="黑体" w:eastAsia="黑体" w:cs="黑体"/>
          <w:sz w:val="84"/>
          <w:szCs w:val="84"/>
        </w:rPr>
        <w:t>第三部分</w:t>
      </w:r>
    </w:p>
    <w:p w14:paraId="41C15510">
      <w:pPr>
        <w:pStyle w:val="19"/>
        <w:jc w:val="center"/>
        <w:rPr>
          <w:rFonts w:hint="eastAsia" w:ascii="黑体" w:hAnsi="黑体" w:eastAsia="黑体" w:cs="黑体"/>
          <w:sz w:val="70"/>
          <w:szCs w:val="70"/>
        </w:rPr>
      </w:pPr>
    </w:p>
    <w:p w14:paraId="62898446">
      <w:pPr>
        <w:pStyle w:val="19"/>
        <w:jc w:val="center"/>
        <w:rPr>
          <w:rFonts w:hint="eastAsia" w:ascii="黑体" w:hAnsi="黑体" w:eastAsia="黑体" w:cs="黑体"/>
          <w:sz w:val="70"/>
          <w:szCs w:val="70"/>
        </w:rPr>
      </w:pPr>
      <w:r>
        <w:rPr>
          <w:rFonts w:hint="eastAsia" w:ascii="黑体" w:hAnsi="黑体" w:eastAsia="黑体" w:cs="黑体"/>
          <w:sz w:val="70"/>
          <w:szCs w:val="70"/>
        </w:rPr>
        <w:t>202</w:t>
      </w:r>
      <w:r>
        <w:rPr>
          <w:rFonts w:hint="eastAsia" w:hAnsi="黑体" w:cs="黑体"/>
          <w:sz w:val="70"/>
          <w:szCs w:val="70"/>
          <w:lang w:val="en-US" w:eastAsia="zh-CN"/>
        </w:rPr>
        <w:t>4</w:t>
      </w:r>
      <w:r>
        <w:rPr>
          <w:rFonts w:hint="eastAsia" w:ascii="黑体" w:hAnsi="黑体" w:eastAsia="黑体" w:cs="黑体"/>
          <w:sz w:val="70"/>
          <w:szCs w:val="70"/>
        </w:rPr>
        <w:t>年度部门决算情况说明</w:t>
      </w:r>
    </w:p>
    <w:p w14:paraId="6B7D00C3">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75FEEEC2">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3968618">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年度收、支总计</w:t>
      </w:r>
      <w:r>
        <w:rPr>
          <w:rFonts w:hint="eastAsia" w:ascii="方正仿宋_GB2312" w:hAnsi="方正仿宋_GB2312" w:eastAsia="方正仿宋_GB2312" w:cs="方正仿宋_GB2312"/>
          <w:sz w:val="32"/>
          <w:szCs w:val="32"/>
          <w:lang w:val="en-US" w:eastAsia="zh-CN"/>
        </w:rPr>
        <w:t>892.89</w:t>
      </w:r>
      <w:r>
        <w:rPr>
          <w:rFonts w:hint="eastAsia" w:ascii="方正仿宋_GB2312" w:hAnsi="方正仿宋_GB2312" w:eastAsia="方正仿宋_GB2312" w:cs="方正仿宋_GB2312"/>
          <w:sz w:val="32"/>
          <w:szCs w:val="32"/>
        </w:rPr>
        <w:t>万元。与上年相比，</w:t>
      </w:r>
      <w:r>
        <w:rPr>
          <w:rFonts w:hint="eastAsia" w:ascii="方正仿宋_GB2312" w:hAnsi="方正仿宋_GB2312" w:eastAsia="方正仿宋_GB2312" w:cs="方正仿宋_GB2312"/>
          <w:sz w:val="32"/>
          <w:szCs w:val="32"/>
          <w:lang w:eastAsia="zh-CN"/>
        </w:rPr>
        <w:t>增加</w:t>
      </w:r>
      <w:r>
        <w:rPr>
          <w:rFonts w:hint="eastAsia" w:ascii="方正仿宋_GB2312" w:hAnsi="方正仿宋_GB2312" w:eastAsia="方正仿宋_GB2312" w:cs="方正仿宋_GB2312"/>
          <w:sz w:val="32"/>
          <w:szCs w:val="32"/>
          <w:lang w:val="en-US" w:eastAsia="zh-CN"/>
        </w:rPr>
        <w:t>15.12</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sz w:val="32"/>
          <w:szCs w:val="32"/>
          <w:lang w:eastAsia="zh-CN"/>
        </w:rPr>
        <w:t>增加</w:t>
      </w:r>
      <w:r>
        <w:rPr>
          <w:rFonts w:hint="eastAsia" w:ascii="方正仿宋_GB2312" w:hAnsi="方正仿宋_GB2312" w:eastAsia="方正仿宋_GB2312" w:cs="方正仿宋_GB2312"/>
          <w:color w:val="auto"/>
          <w:sz w:val="32"/>
          <w:szCs w:val="32"/>
          <w:lang w:val="en-US" w:eastAsia="zh-CN"/>
        </w:rPr>
        <w:t>1.72%</w:t>
      </w:r>
      <w:r>
        <w:rPr>
          <w:rFonts w:hint="eastAsia" w:ascii="方正仿宋_GB2312" w:hAnsi="方正仿宋_GB2312" w:eastAsia="方正仿宋_GB2312" w:cs="方正仿宋_GB2312"/>
          <w:sz w:val="32"/>
          <w:szCs w:val="32"/>
        </w:rPr>
        <w:t>，主要是</w:t>
      </w:r>
      <w:r>
        <w:rPr>
          <w:rFonts w:hint="eastAsia" w:ascii="方正仿宋_GB2312" w:hAnsi="方正仿宋_GB2312" w:eastAsia="方正仿宋_GB2312" w:cs="方正仿宋_GB2312"/>
          <w:sz w:val="32"/>
          <w:szCs w:val="32"/>
          <w:lang w:eastAsia="zh-CN"/>
        </w:rPr>
        <w:t>本年有新增在职人员。</w:t>
      </w:r>
    </w:p>
    <w:p w14:paraId="181EC286">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2B28C3C">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年度收入合计</w:t>
      </w:r>
      <w:r>
        <w:rPr>
          <w:rFonts w:hint="eastAsia" w:ascii="方正仿宋_GB2312" w:hAnsi="方正仿宋_GB2312" w:eastAsia="方正仿宋_GB2312" w:cs="方正仿宋_GB2312"/>
          <w:sz w:val="32"/>
          <w:szCs w:val="32"/>
          <w:lang w:val="en-US" w:eastAsia="zh-CN"/>
        </w:rPr>
        <w:t>892.89</w:t>
      </w:r>
      <w:r>
        <w:rPr>
          <w:rFonts w:hint="eastAsia" w:ascii="方正仿宋_GB2312" w:hAnsi="方正仿宋_GB2312" w:eastAsia="方正仿宋_GB2312" w:cs="方正仿宋_GB2312"/>
          <w:sz w:val="32"/>
          <w:szCs w:val="32"/>
        </w:rPr>
        <w:t>万元，其中：财政拨款收入</w:t>
      </w:r>
      <w:r>
        <w:rPr>
          <w:rFonts w:hint="eastAsia" w:ascii="方正仿宋_GB2312" w:hAnsi="方正仿宋_GB2312" w:eastAsia="方正仿宋_GB2312" w:cs="方正仿宋_GB2312"/>
          <w:sz w:val="32"/>
          <w:szCs w:val="32"/>
          <w:lang w:val="en-US" w:eastAsia="zh-CN"/>
        </w:rPr>
        <w:t>891.52</w:t>
      </w:r>
      <w:r>
        <w:rPr>
          <w:rFonts w:hint="eastAsia" w:ascii="方正仿宋_GB2312" w:hAnsi="方正仿宋_GB2312" w:eastAsia="方正仿宋_GB2312" w:cs="方正仿宋_GB2312"/>
          <w:sz w:val="32"/>
          <w:szCs w:val="32"/>
        </w:rPr>
        <w:t>万元，占</w:t>
      </w:r>
      <w:r>
        <w:rPr>
          <w:rFonts w:hint="eastAsia" w:ascii="方正仿宋_GB2312" w:hAnsi="方正仿宋_GB2312" w:eastAsia="方正仿宋_GB2312" w:cs="方正仿宋_GB2312"/>
          <w:sz w:val="32"/>
          <w:szCs w:val="32"/>
          <w:lang w:val="en-US" w:eastAsia="zh-CN"/>
        </w:rPr>
        <w:t>99.8</w:t>
      </w:r>
      <w:r>
        <w:rPr>
          <w:rFonts w:hint="eastAsia" w:ascii="方正仿宋_GB2312" w:hAnsi="方正仿宋_GB2312" w:eastAsia="方正仿宋_GB2312" w:cs="方正仿宋_GB2312"/>
          <w:sz w:val="32"/>
          <w:szCs w:val="32"/>
        </w:rPr>
        <w:t>%；其他收入</w:t>
      </w:r>
      <w:r>
        <w:rPr>
          <w:rFonts w:hint="eastAsia" w:ascii="方正仿宋_GB2312" w:hAnsi="方正仿宋_GB2312" w:eastAsia="方正仿宋_GB2312" w:cs="方正仿宋_GB2312"/>
          <w:sz w:val="32"/>
          <w:szCs w:val="32"/>
          <w:lang w:val="en-US" w:eastAsia="zh-CN"/>
        </w:rPr>
        <w:t>1.37</w:t>
      </w:r>
      <w:r>
        <w:rPr>
          <w:rFonts w:hint="eastAsia" w:ascii="方正仿宋_GB2312" w:hAnsi="方正仿宋_GB2312" w:eastAsia="方正仿宋_GB2312" w:cs="方正仿宋_GB2312"/>
          <w:sz w:val="32"/>
          <w:szCs w:val="32"/>
        </w:rPr>
        <w:t>万元，占</w:t>
      </w:r>
      <w:r>
        <w:rPr>
          <w:rFonts w:hint="eastAsia" w:ascii="方正仿宋_GB2312" w:hAnsi="方正仿宋_GB2312" w:eastAsia="方正仿宋_GB2312" w:cs="方正仿宋_GB2312"/>
          <w:sz w:val="32"/>
          <w:szCs w:val="32"/>
          <w:lang w:val="en-US" w:eastAsia="zh-CN"/>
        </w:rPr>
        <w:t>0.2</w:t>
      </w:r>
      <w:r>
        <w:rPr>
          <w:rFonts w:hint="eastAsia" w:ascii="方正仿宋_GB2312" w:hAnsi="方正仿宋_GB2312" w:eastAsia="方正仿宋_GB2312" w:cs="方正仿宋_GB2312"/>
          <w:sz w:val="32"/>
          <w:szCs w:val="32"/>
        </w:rPr>
        <w:t>%。</w:t>
      </w:r>
    </w:p>
    <w:p w14:paraId="4AE4649D">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D7BDC27">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年度支出合计</w:t>
      </w:r>
      <w:r>
        <w:rPr>
          <w:rFonts w:hint="eastAsia" w:ascii="方正仿宋_GB2312" w:hAnsi="方正仿宋_GB2312" w:eastAsia="方正仿宋_GB2312" w:cs="方正仿宋_GB2312"/>
          <w:sz w:val="32"/>
          <w:szCs w:val="32"/>
          <w:lang w:val="en-US" w:eastAsia="zh-CN"/>
        </w:rPr>
        <w:t>892.89</w:t>
      </w:r>
      <w:r>
        <w:rPr>
          <w:rFonts w:hint="eastAsia" w:ascii="方正仿宋_GB2312" w:hAnsi="方正仿宋_GB2312" w:eastAsia="方正仿宋_GB2312" w:cs="方正仿宋_GB2312"/>
          <w:sz w:val="32"/>
          <w:szCs w:val="32"/>
        </w:rPr>
        <w:t>万元，其中：基本支出</w:t>
      </w:r>
      <w:r>
        <w:rPr>
          <w:rFonts w:hint="eastAsia" w:ascii="方正仿宋_GB2312" w:hAnsi="方正仿宋_GB2312" w:eastAsia="方正仿宋_GB2312" w:cs="方正仿宋_GB2312"/>
          <w:sz w:val="32"/>
          <w:szCs w:val="32"/>
          <w:lang w:val="en-US" w:eastAsia="zh-CN"/>
        </w:rPr>
        <w:t>772.5</w:t>
      </w:r>
      <w:r>
        <w:rPr>
          <w:rFonts w:hint="eastAsia" w:ascii="方正仿宋_GB2312" w:hAnsi="方正仿宋_GB2312" w:eastAsia="方正仿宋_GB2312" w:cs="方正仿宋_GB2312"/>
          <w:sz w:val="32"/>
          <w:szCs w:val="32"/>
        </w:rPr>
        <w:t>万元，占</w:t>
      </w:r>
      <w:r>
        <w:rPr>
          <w:rFonts w:hint="eastAsia" w:ascii="方正仿宋_GB2312" w:hAnsi="方正仿宋_GB2312" w:eastAsia="方正仿宋_GB2312" w:cs="方正仿宋_GB2312"/>
          <w:sz w:val="32"/>
          <w:szCs w:val="32"/>
          <w:lang w:val="en-US" w:eastAsia="zh-CN"/>
        </w:rPr>
        <w:t>86.52</w:t>
      </w:r>
      <w:r>
        <w:rPr>
          <w:rFonts w:hint="eastAsia" w:ascii="方正仿宋_GB2312" w:hAnsi="方正仿宋_GB2312" w:eastAsia="方正仿宋_GB2312" w:cs="方正仿宋_GB2312"/>
          <w:sz w:val="32"/>
          <w:szCs w:val="32"/>
        </w:rPr>
        <w:t>%；项目支出</w:t>
      </w:r>
      <w:r>
        <w:rPr>
          <w:rFonts w:hint="eastAsia" w:ascii="方正仿宋_GB2312" w:hAnsi="方正仿宋_GB2312" w:eastAsia="方正仿宋_GB2312" w:cs="方正仿宋_GB2312"/>
          <w:sz w:val="32"/>
          <w:szCs w:val="32"/>
          <w:lang w:val="en-US" w:eastAsia="zh-CN"/>
        </w:rPr>
        <w:t>120.39</w:t>
      </w:r>
      <w:r>
        <w:rPr>
          <w:rFonts w:hint="eastAsia" w:ascii="方正仿宋_GB2312" w:hAnsi="方正仿宋_GB2312" w:eastAsia="方正仿宋_GB2312" w:cs="方正仿宋_GB2312"/>
          <w:sz w:val="32"/>
          <w:szCs w:val="32"/>
        </w:rPr>
        <w:t>万元，占</w:t>
      </w:r>
      <w:r>
        <w:rPr>
          <w:rFonts w:hint="eastAsia" w:ascii="方正仿宋_GB2312" w:hAnsi="方正仿宋_GB2312" w:eastAsia="方正仿宋_GB2312" w:cs="方正仿宋_GB2312"/>
          <w:sz w:val="32"/>
          <w:szCs w:val="32"/>
          <w:lang w:val="en-US" w:eastAsia="zh-CN"/>
        </w:rPr>
        <w:t>13.48</w:t>
      </w:r>
      <w:r>
        <w:rPr>
          <w:rFonts w:hint="eastAsia" w:ascii="方正仿宋_GB2312" w:hAnsi="方正仿宋_GB2312" w:eastAsia="方正仿宋_GB2312" w:cs="方正仿宋_GB2312"/>
          <w:sz w:val="32"/>
          <w:szCs w:val="32"/>
        </w:rPr>
        <w:t>%。</w:t>
      </w:r>
    </w:p>
    <w:p w14:paraId="45D4476B">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555DBF6E">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方正仿宋_GB2312" w:hAnsi="方正仿宋_GB2312" w:eastAsia="方正仿宋_GB2312" w:cs="方正仿宋_GB2312"/>
          <w:sz w:val="32"/>
          <w:szCs w:val="32"/>
        </w:rPr>
        <w:t xml:space="preserve"> 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年度财政拨款收、支总计</w:t>
      </w:r>
      <w:r>
        <w:rPr>
          <w:rFonts w:hint="eastAsia" w:ascii="方正仿宋_GB2312" w:hAnsi="方正仿宋_GB2312" w:eastAsia="方正仿宋_GB2312" w:cs="方正仿宋_GB2312"/>
          <w:sz w:val="32"/>
          <w:szCs w:val="32"/>
          <w:lang w:val="en-US" w:eastAsia="zh-CN"/>
        </w:rPr>
        <w:t>891.52</w:t>
      </w:r>
      <w:r>
        <w:rPr>
          <w:rFonts w:hint="eastAsia" w:ascii="方正仿宋_GB2312" w:hAnsi="方正仿宋_GB2312" w:eastAsia="方正仿宋_GB2312" w:cs="方正仿宋_GB2312"/>
          <w:sz w:val="32"/>
          <w:szCs w:val="32"/>
        </w:rPr>
        <w:t>万元，与上年相比，</w:t>
      </w:r>
      <w:r>
        <w:rPr>
          <w:rFonts w:hint="eastAsia" w:ascii="方正仿宋_GB2312" w:hAnsi="方正仿宋_GB2312" w:eastAsia="方正仿宋_GB2312" w:cs="方正仿宋_GB2312"/>
          <w:sz w:val="32"/>
          <w:szCs w:val="32"/>
          <w:lang w:eastAsia="zh-CN"/>
        </w:rPr>
        <w:t>增加</w:t>
      </w:r>
      <w:r>
        <w:rPr>
          <w:rFonts w:hint="eastAsia" w:ascii="方正仿宋_GB2312" w:hAnsi="方正仿宋_GB2312" w:eastAsia="方正仿宋_GB2312" w:cs="方正仿宋_GB2312"/>
          <w:sz w:val="32"/>
          <w:szCs w:val="32"/>
          <w:lang w:val="en-US" w:eastAsia="zh-CN"/>
        </w:rPr>
        <w:t>50.75</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sz w:val="32"/>
          <w:szCs w:val="32"/>
          <w:lang w:eastAsia="zh-CN"/>
        </w:rPr>
        <w:t>增加</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%，主要是因为</w:t>
      </w:r>
      <w:r>
        <w:rPr>
          <w:rFonts w:hint="eastAsia" w:ascii="方正仿宋_GB2312" w:hAnsi="方正仿宋_GB2312" w:eastAsia="方正仿宋_GB2312" w:cs="方正仿宋_GB2312"/>
          <w:sz w:val="32"/>
          <w:szCs w:val="32"/>
          <w:lang w:eastAsia="zh-CN"/>
        </w:rPr>
        <w:t>本年有新增在职人员。</w:t>
      </w:r>
    </w:p>
    <w:p w14:paraId="54F6EC6B">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5EF2F6F1">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color w:val="auto"/>
          <w:sz w:val="32"/>
          <w:szCs w:val="32"/>
        </w:rPr>
        <w:t>（一）</w:t>
      </w:r>
      <w:r>
        <w:rPr>
          <w:rFonts w:hint="eastAsia" w:ascii="楷体" w:hAnsi="楷体" w:eastAsia="楷体" w:cs="楷体"/>
          <w:b w:val="0"/>
          <w:bCs/>
          <w:sz w:val="32"/>
          <w:szCs w:val="32"/>
        </w:rPr>
        <w:t>一般公共预算财政拨款支出决算总体情况</w:t>
      </w:r>
    </w:p>
    <w:p w14:paraId="612C31D2">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年度财政拨款支出</w:t>
      </w:r>
      <w:r>
        <w:rPr>
          <w:rFonts w:hint="eastAsia" w:ascii="方正仿宋_GB2312" w:hAnsi="方正仿宋_GB2312" w:eastAsia="方正仿宋_GB2312" w:cs="方正仿宋_GB2312"/>
          <w:sz w:val="32"/>
          <w:szCs w:val="32"/>
          <w:lang w:val="en-US" w:eastAsia="zh-CN"/>
        </w:rPr>
        <w:t>891.52</w:t>
      </w:r>
      <w:r>
        <w:rPr>
          <w:rFonts w:hint="eastAsia" w:ascii="方正仿宋_GB2312" w:hAnsi="方正仿宋_GB2312" w:eastAsia="方正仿宋_GB2312" w:cs="方正仿宋_GB2312"/>
          <w:sz w:val="32"/>
          <w:szCs w:val="32"/>
        </w:rPr>
        <w:t>万元，占本年支出合计的</w:t>
      </w:r>
      <w:r>
        <w:rPr>
          <w:rFonts w:hint="eastAsia" w:ascii="方正仿宋_GB2312" w:hAnsi="方正仿宋_GB2312" w:eastAsia="方正仿宋_GB2312" w:cs="方正仿宋_GB2312"/>
          <w:sz w:val="32"/>
          <w:szCs w:val="32"/>
          <w:lang w:val="en-US" w:eastAsia="zh-CN"/>
        </w:rPr>
        <w:t>99.85</w:t>
      </w:r>
      <w:r>
        <w:rPr>
          <w:rFonts w:hint="eastAsia" w:ascii="方正仿宋_GB2312" w:hAnsi="方正仿宋_GB2312" w:eastAsia="方正仿宋_GB2312" w:cs="方正仿宋_GB2312"/>
          <w:sz w:val="32"/>
          <w:szCs w:val="32"/>
        </w:rPr>
        <w:t>%，与上年相比，财政拨款支出</w:t>
      </w:r>
      <w:r>
        <w:rPr>
          <w:rFonts w:hint="eastAsia" w:ascii="方正仿宋_GB2312" w:hAnsi="方正仿宋_GB2312" w:eastAsia="方正仿宋_GB2312" w:cs="方正仿宋_GB2312"/>
          <w:sz w:val="32"/>
          <w:szCs w:val="32"/>
          <w:lang w:val="en-US" w:eastAsia="zh-CN"/>
        </w:rPr>
        <w:t>50.75</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sz w:val="32"/>
          <w:szCs w:val="32"/>
          <w:lang w:eastAsia="zh-CN"/>
        </w:rPr>
        <w:t>增加</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%，主要是</w:t>
      </w:r>
      <w:r>
        <w:rPr>
          <w:rFonts w:hint="eastAsia" w:ascii="方正仿宋_GB2312" w:hAnsi="方正仿宋_GB2312" w:eastAsia="方正仿宋_GB2312" w:cs="方正仿宋_GB2312"/>
          <w:sz w:val="32"/>
          <w:szCs w:val="32"/>
          <w:lang w:eastAsia="zh-CN"/>
        </w:rPr>
        <w:t>本</w:t>
      </w:r>
      <w:r>
        <w:rPr>
          <w:rFonts w:hint="eastAsia" w:ascii="方正仿宋_GB2312" w:hAnsi="方正仿宋_GB2312" w:eastAsia="方正仿宋_GB2312" w:cs="方正仿宋_GB2312"/>
          <w:sz w:val="32"/>
          <w:szCs w:val="32"/>
          <w:highlight w:val="none"/>
          <w:lang w:eastAsia="zh-CN"/>
        </w:rPr>
        <w:t>年有新增在职人员。</w:t>
      </w:r>
    </w:p>
    <w:p w14:paraId="3C06389E">
      <w:pPr>
        <w:pStyle w:val="1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2BB27C70">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年度财政拨款支出</w:t>
      </w:r>
      <w:r>
        <w:rPr>
          <w:rFonts w:hint="eastAsia" w:ascii="方正仿宋_GB2312" w:hAnsi="方正仿宋_GB2312" w:eastAsia="方正仿宋_GB2312" w:cs="方正仿宋_GB2312"/>
          <w:sz w:val="32"/>
          <w:szCs w:val="32"/>
          <w:lang w:val="en-US" w:eastAsia="zh-CN"/>
        </w:rPr>
        <w:t>891.52</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color w:val="auto"/>
          <w:sz w:val="32"/>
          <w:szCs w:val="32"/>
        </w:rPr>
        <w:t>，主要用于以下方面</w:t>
      </w:r>
      <w:r>
        <w:rPr>
          <w:rFonts w:hint="eastAsia" w:ascii="方正仿宋_GB2312" w:hAnsi="方正仿宋_GB2312" w:eastAsia="方正仿宋_GB2312" w:cs="方正仿宋_GB2312"/>
          <w:sz w:val="32"/>
          <w:szCs w:val="32"/>
        </w:rPr>
        <w:t>：社会保障和就业支出</w:t>
      </w:r>
      <w:r>
        <w:rPr>
          <w:rFonts w:hint="eastAsia" w:ascii="方正仿宋_GB2312" w:hAnsi="方正仿宋_GB2312" w:eastAsia="方正仿宋_GB2312" w:cs="方正仿宋_GB2312"/>
          <w:sz w:val="32"/>
          <w:szCs w:val="32"/>
          <w:lang w:val="en-US" w:eastAsia="zh-CN"/>
        </w:rPr>
        <w:t>793.76万元，占89.03%；卫生健康支出30.05，占3.37%；农林水支出8万元，占0.9%；住房保障支出58.71万元，占6.59%；科学技术支出1万元，占0.11%。</w:t>
      </w:r>
    </w:p>
    <w:p w14:paraId="3FFBB8DC">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59007ECC">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年度财政拨款支出</w:t>
      </w:r>
      <w:r>
        <w:rPr>
          <w:rFonts w:hint="eastAsia" w:ascii="方正仿宋_GB2312" w:hAnsi="方正仿宋_GB2312" w:eastAsia="方正仿宋_GB2312" w:cs="方正仿宋_GB2312"/>
          <w:color w:val="auto"/>
          <w:sz w:val="32"/>
          <w:szCs w:val="32"/>
        </w:rPr>
        <w:t>年初预算数为</w:t>
      </w:r>
      <w:r>
        <w:rPr>
          <w:rFonts w:hint="eastAsia" w:ascii="方正仿宋_GB2312" w:hAnsi="方正仿宋_GB2312" w:eastAsia="方正仿宋_GB2312" w:cs="方正仿宋_GB2312"/>
          <w:color w:val="auto"/>
          <w:sz w:val="32"/>
          <w:szCs w:val="32"/>
          <w:lang w:val="en-US" w:eastAsia="zh-CN"/>
        </w:rPr>
        <w:t>842.08</w:t>
      </w:r>
      <w:r>
        <w:rPr>
          <w:rFonts w:hint="eastAsia" w:ascii="方正仿宋_GB2312" w:hAnsi="方正仿宋_GB2312" w:eastAsia="方正仿宋_GB2312" w:cs="方正仿宋_GB2312"/>
          <w:color w:val="auto"/>
          <w:sz w:val="32"/>
          <w:szCs w:val="32"/>
        </w:rPr>
        <w:t>万</w:t>
      </w:r>
      <w:r>
        <w:rPr>
          <w:rFonts w:hint="eastAsia" w:ascii="方正仿宋_GB2312" w:hAnsi="方正仿宋_GB2312" w:eastAsia="方正仿宋_GB2312" w:cs="方正仿宋_GB2312"/>
          <w:sz w:val="32"/>
          <w:szCs w:val="32"/>
        </w:rPr>
        <w:t>元，支出决算数为</w:t>
      </w:r>
      <w:r>
        <w:rPr>
          <w:rFonts w:hint="eastAsia" w:ascii="方正仿宋_GB2312" w:hAnsi="方正仿宋_GB2312" w:eastAsia="方正仿宋_GB2312" w:cs="方正仿宋_GB2312"/>
          <w:sz w:val="32"/>
          <w:szCs w:val="32"/>
          <w:lang w:val="en-US" w:eastAsia="zh-CN"/>
        </w:rPr>
        <w:t>891.52</w:t>
      </w:r>
      <w:r>
        <w:rPr>
          <w:rFonts w:hint="eastAsia" w:ascii="方正仿宋_GB2312" w:hAnsi="方正仿宋_GB2312" w:eastAsia="方正仿宋_GB2312" w:cs="方正仿宋_GB2312"/>
          <w:sz w:val="32"/>
          <w:szCs w:val="32"/>
        </w:rPr>
        <w:t>万元，完成年初预算的</w:t>
      </w:r>
      <w:r>
        <w:rPr>
          <w:rFonts w:hint="eastAsia" w:ascii="方正仿宋_GB2312" w:hAnsi="方正仿宋_GB2312" w:eastAsia="方正仿宋_GB2312" w:cs="方正仿宋_GB2312"/>
          <w:color w:val="auto"/>
          <w:sz w:val="32"/>
          <w:szCs w:val="32"/>
          <w:lang w:val="en-US" w:eastAsia="zh-CN"/>
        </w:rPr>
        <w:t>105.87%</w:t>
      </w:r>
      <w:r>
        <w:rPr>
          <w:rFonts w:hint="eastAsia" w:ascii="方正仿宋_GB2312" w:hAnsi="方正仿宋_GB2312" w:eastAsia="方正仿宋_GB2312" w:cs="方正仿宋_GB2312"/>
          <w:sz w:val="32"/>
          <w:szCs w:val="32"/>
        </w:rPr>
        <w:t>，其中：</w:t>
      </w:r>
    </w:p>
    <w:p w14:paraId="42CF2234">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1、社会保障和就业支出（类）人力资源和社会保障管理事务（款）社会保险经办机构（项）</w:t>
      </w:r>
      <w:r>
        <w:rPr>
          <w:rFonts w:hint="eastAsia" w:ascii="方正仿宋_GB2312" w:hAnsi="方正仿宋_GB2312" w:eastAsia="方正仿宋_GB2312" w:cs="方正仿宋_GB2312"/>
          <w:sz w:val="32"/>
          <w:szCs w:val="32"/>
          <w:lang w:val="en-US" w:eastAsia="zh-CN"/>
        </w:rPr>
        <w:t>2080109</w:t>
      </w:r>
    </w:p>
    <w:p w14:paraId="225287EB">
      <w:pPr>
        <w:pStyle w:val="19"/>
        <w:numPr>
          <w:ilvl w:val="0"/>
          <w:numId w:val="0"/>
        </w:numPr>
        <w:ind w:left="5" w:leftChars="0" w:firstLine="518" w:firstLineChars="162"/>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color w:val="auto"/>
          <w:sz w:val="32"/>
          <w:szCs w:val="32"/>
        </w:rPr>
        <w:t>年初预算为</w:t>
      </w:r>
      <w:r>
        <w:rPr>
          <w:rFonts w:hint="eastAsia" w:ascii="方正仿宋_GB2312" w:hAnsi="方正仿宋_GB2312" w:eastAsia="方正仿宋_GB2312" w:cs="方正仿宋_GB2312"/>
          <w:color w:val="auto"/>
          <w:sz w:val="32"/>
          <w:szCs w:val="32"/>
          <w:lang w:val="en-US" w:eastAsia="zh-CN"/>
        </w:rPr>
        <w:t>558.99</w:t>
      </w:r>
      <w:r>
        <w:rPr>
          <w:rFonts w:hint="eastAsia" w:ascii="方正仿宋_GB2312" w:hAnsi="方正仿宋_GB2312" w:eastAsia="方正仿宋_GB2312" w:cs="方正仿宋_GB2312"/>
          <w:color w:val="auto"/>
          <w:sz w:val="32"/>
          <w:szCs w:val="32"/>
        </w:rPr>
        <w:t>万元，支出决算为</w:t>
      </w:r>
      <w:r>
        <w:rPr>
          <w:rFonts w:hint="eastAsia" w:ascii="方正仿宋_GB2312" w:hAnsi="方正仿宋_GB2312" w:eastAsia="方正仿宋_GB2312" w:cs="方正仿宋_GB2312"/>
          <w:sz w:val="32"/>
          <w:szCs w:val="32"/>
          <w:lang w:val="en-US" w:eastAsia="zh-CN"/>
        </w:rPr>
        <w:t>575.63</w:t>
      </w:r>
      <w:r>
        <w:rPr>
          <w:rFonts w:hint="eastAsia" w:ascii="方正仿宋_GB2312" w:hAnsi="方正仿宋_GB2312" w:eastAsia="方正仿宋_GB2312" w:cs="方正仿宋_GB2312"/>
          <w:sz w:val="32"/>
          <w:szCs w:val="32"/>
        </w:rPr>
        <w:t>万元，完成年初预算的</w:t>
      </w:r>
      <w:r>
        <w:rPr>
          <w:rFonts w:hint="eastAsia" w:ascii="方正仿宋_GB2312" w:hAnsi="方正仿宋_GB2312" w:eastAsia="方正仿宋_GB2312" w:cs="方正仿宋_GB2312"/>
          <w:sz w:val="32"/>
          <w:szCs w:val="32"/>
          <w:lang w:val="en-US" w:eastAsia="zh-CN"/>
        </w:rPr>
        <w:t xml:space="preserve">102.98 </w:t>
      </w:r>
      <w:r>
        <w:rPr>
          <w:rFonts w:hint="eastAsia" w:ascii="方正仿宋_GB2312" w:hAnsi="方正仿宋_GB2312" w:eastAsia="方正仿宋_GB2312" w:cs="方正仿宋_GB2312"/>
          <w:sz w:val="32"/>
          <w:szCs w:val="32"/>
        </w:rPr>
        <w:t>%，决算数</w:t>
      </w:r>
      <w:r>
        <w:rPr>
          <w:rFonts w:hint="eastAsia" w:ascii="方正仿宋_GB2312" w:hAnsi="方正仿宋_GB2312" w:eastAsia="方正仿宋_GB2312" w:cs="方正仿宋_GB2312"/>
          <w:sz w:val="32"/>
          <w:szCs w:val="32"/>
          <w:lang w:eastAsia="zh-CN"/>
        </w:rPr>
        <w:t>大</w:t>
      </w:r>
      <w:r>
        <w:rPr>
          <w:rFonts w:hint="eastAsia" w:ascii="方正仿宋_GB2312" w:hAnsi="方正仿宋_GB2312" w:eastAsia="方正仿宋_GB2312" w:cs="方正仿宋_GB2312"/>
          <w:sz w:val="32"/>
          <w:szCs w:val="32"/>
        </w:rPr>
        <w:t>于年初预算数的主要原因是：</w:t>
      </w:r>
      <w:r>
        <w:rPr>
          <w:rFonts w:hint="eastAsia" w:ascii="方正仿宋_GB2312" w:hAnsi="方正仿宋_GB2312" w:eastAsia="方正仿宋_GB2312" w:cs="方正仿宋_GB2312"/>
          <w:sz w:val="32"/>
          <w:szCs w:val="32"/>
          <w:lang w:val="en-US" w:eastAsia="zh-CN"/>
        </w:rPr>
        <w:t>本年有新增在职人员，</w:t>
      </w:r>
      <w:r>
        <w:rPr>
          <w:rFonts w:hint="eastAsia" w:ascii="方正仿宋_GB2312" w:hAnsi="方正仿宋_GB2312" w:eastAsia="方正仿宋_GB2312" w:cs="方正仿宋_GB2312"/>
          <w:sz w:val="32"/>
          <w:szCs w:val="32"/>
        </w:rPr>
        <w:t>对应的薪酬、社保及办公</w:t>
      </w:r>
      <w:r>
        <w:rPr>
          <w:rFonts w:hint="eastAsia" w:ascii="方正仿宋_GB2312" w:hAnsi="方正仿宋_GB2312" w:eastAsia="方正仿宋_GB2312" w:cs="方正仿宋_GB2312"/>
          <w:sz w:val="32"/>
          <w:szCs w:val="32"/>
          <w:lang w:eastAsia="zh-CN"/>
        </w:rPr>
        <w:t>相关</w:t>
      </w:r>
      <w:r>
        <w:rPr>
          <w:rFonts w:hint="eastAsia" w:ascii="方正仿宋_GB2312" w:hAnsi="方正仿宋_GB2312" w:eastAsia="方正仿宋_GB2312" w:cs="方正仿宋_GB2312"/>
          <w:sz w:val="32"/>
          <w:szCs w:val="32"/>
        </w:rPr>
        <w:t>费用</w:t>
      </w:r>
      <w:r>
        <w:rPr>
          <w:rFonts w:hint="eastAsia" w:ascii="方正仿宋_GB2312" w:hAnsi="方正仿宋_GB2312" w:eastAsia="方正仿宋_GB2312" w:cs="方正仿宋_GB2312"/>
          <w:sz w:val="32"/>
          <w:szCs w:val="32"/>
          <w:lang w:eastAsia="zh-CN"/>
        </w:rPr>
        <w:t>增加</w:t>
      </w:r>
      <w:r>
        <w:rPr>
          <w:rFonts w:hint="eastAsia" w:ascii="方正仿宋_GB2312" w:hAnsi="方正仿宋_GB2312" w:eastAsia="方正仿宋_GB2312" w:cs="方正仿宋_GB2312"/>
          <w:sz w:val="32"/>
          <w:szCs w:val="32"/>
        </w:rPr>
        <w:t>。</w:t>
      </w:r>
    </w:p>
    <w:p w14:paraId="0A9BE678">
      <w:pPr>
        <w:pStyle w:val="19"/>
        <w:keepNext w:val="0"/>
        <w:keepLines w:val="0"/>
        <w:pageBreakBefore w:val="0"/>
        <w:widowControl w:val="0"/>
        <w:numPr>
          <w:ilvl w:val="0"/>
          <w:numId w:val="3"/>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社会保障和就业支出（类）</w:t>
      </w:r>
      <w:r>
        <w:rPr>
          <w:rFonts w:hint="eastAsia" w:ascii="方正仿宋_GB2312" w:hAnsi="方正仿宋_GB2312" w:eastAsia="方正仿宋_GB2312" w:cs="方正仿宋_GB2312"/>
          <w:sz w:val="32"/>
          <w:szCs w:val="32"/>
          <w:lang w:eastAsia="zh-CN"/>
        </w:rPr>
        <w:t>行政事业单位养老支出</w:t>
      </w:r>
      <w:r>
        <w:rPr>
          <w:rFonts w:hint="eastAsia" w:ascii="方正仿宋_GB2312" w:hAnsi="方正仿宋_GB2312" w:eastAsia="方正仿宋_GB2312" w:cs="方正仿宋_GB2312"/>
          <w:sz w:val="32"/>
          <w:szCs w:val="32"/>
        </w:rPr>
        <w:t>（款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highlight w:val="none"/>
          <w:lang w:eastAsia="zh-CN"/>
        </w:rPr>
        <w:t>机关事业单位基本养老保险缴费支出</w:t>
      </w:r>
      <w:r>
        <w:rPr>
          <w:rFonts w:hint="eastAsia" w:ascii="方正仿宋_GB2312" w:hAnsi="方正仿宋_GB2312" w:eastAsia="方正仿宋_GB2312" w:cs="方正仿宋_GB2312"/>
          <w:sz w:val="32"/>
          <w:szCs w:val="32"/>
          <w:lang w:eastAsia="zh-CN"/>
        </w:rPr>
        <w:t>（项）</w:t>
      </w:r>
      <w:r>
        <w:rPr>
          <w:rFonts w:hint="eastAsia" w:ascii="方正仿宋_GB2312" w:hAnsi="方正仿宋_GB2312" w:eastAsia="方正仿宋_GB2312" w:cs="方正仿宋_GB2312"/>
          <w:sz w:val="32"/>
          <w:szCs w:val="32"/>
          <w:lang w:val="en-US" w:eastAsia="zh-CN"/>
        </w:rPr>
        <w:t>2080505</w:t>
      </w:r>
    </w:p>
    <w:p w14:paraId="28375BE6">
      <w:pPr>
        <w:pStyle w:val="19"/>
        <w:keepNext w:val="0"/>
        <w:keepLines w:val="0"/>
        <w:pageBreakBefore w:val="0"/>
        <w:widowControl w:val="0"/>
        <w:numPr>
          <w:ilvl w:val="0"/>
          <w:numId w:val="0"/>
        </w:numPr>
        <w:kinsoku/>
        <w:wordWrap/>
        <w:overflowPunct/>
        <w:topLinePunct w:val="0"/>
        <w:bidi w:val="0"/>
        <w:snapToGrid/>
        <w:spacing w:line="600" w:lineRule="exact"/>
        <w:ind w:left="10" w:leftChars="0" w:firstLine="537" w:firstLineChars="168"/>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年初预算为</w:t>
      </w:r>
      <w:r>
        <w:rPr>
          <w:rFonts w:hint="eastAsia" w:ascii="方正仿宋_GB2312" w:hAnsi="方正仿宋_GB2312" w:eastAsia="方正仿宋_GB2312" w:cs="方正仿宋_GB2312"/>
          <w:sz w:val="32"/>
          <w:szCs w:val="32"/>
          <w:lang w:val="en-US" w:eastAsia="zh-CN"/>
        </w:rPr>
        <w:t>67.13</w:t>
      </w:r>
      <w:r>
        <w:rPr>
          <w:rFonts w:hint="eastAsia" w:ascii="方正仿宋_GB2312" w:hAnsi="方正仿宋_GB2312" w:eastAsia="方正仿宋_GB2312" w:cs="方正仿宋_GB2312"/>
          <w:sz w:val="32"/>
          <w:szCs w:val="32"/>
        </w:rPr>
        <w:t>万元，支出决算为</w:t>
      </w:r>
      <w:r>
        <w:rPr>
          <w:rFonts w:hint="eastAsia" w:ascii="方正仿宋_GB2312" w:hAnsi="方正仿宋_GB2312" w:eastAsia="方正仿宋_GB2312" w:cs="方正仿宋_GB2312"/>
          <w:sz w:val="32"/>
          <w:szCs w:val="32"/>
          <w:lang w:val="en-US" w:eastAsia="zh-CN"/>
        </w:rPr>
        <w:t>69.84</w:t>
      </w:r>
      <w:r>
        <w:rPr>
          <w:rFonts w:hint="eastAsia" w:ascii="方正仿宋_GB2312" w:hAnsi="方正仿宋_GB2312" w:eastAsia="方正仿宋_GB2312" w:cs="方正仿宋_GB2312"/>
          <w:sz w:val="32"/>
          <w:szCs w:val="32"/>
        </w:rPr>
        <w:t>万元，完成年初预算的</w:t>
      </w:r>
      <w:r>
        <w:rPr>
          <w:rFonts w:hint="eastAsia" w:ascii="方正仿宋_GB2312" w:hAnsi="方正仿宋_GB2312" w:eastAsia="方正仿宋_GB2312" w:cs="方正仿宋_GB2312"/>
          <w:sz w:val="32"/>
          <w:szCs w:val="32"/>
          <w:lang w:val="en-US" w:eastAsia="zh-CN"/>
        </w:rPr>
        <w:t>104.04</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决算数</w:t>
      </w:r>
      <w:r>
        <w:rPr>
          <w:rFonts w:hint="eastAsia" w:ascii="方正仿宋_GB2312" w:hAnsi="方正仿宋_GB2312" w:eastAsia="方正仿宋_GB2312" w:cs="方正仿宋_GB2312"/>
          <w:sz w:val="32"/>
          <w:szCs w:val="32"/>
          <w:lang w:eastAsia="zh-CN"/>
        </w:rPr>
        <w:t>大</w:t>
      </w:r>
      <w:r>
        <w:rPr>
          <w:rFonts w:hint="eastAsia" w:ascii="方正仿宋_GB2312" w:hAnsi="方正仿宋_GB2312" w:eastAsia="方正仿宋_GB2312" w:cs="方正仿宋_GB2312"/>
          <w:sz w:val="32"/>
          <w:szCs w:val="32"/>
        </w:rPr>
        <w:t>于年初预算数的主要原因是：</w:t>
      </w:r>
      <w:r>
        <w:rPr>
          <w:rFonts w:hint="eastAsia" w:ascii="方正仿宋_GB2312" w:hAnsi="方正仿宋_GB2312" w:eastAsia="方正仿宋_GB2312" w:cs="方正仿宋_GB2312"/>
          <w:sz w:val="32"/>
          <w:szCs w:val="32"/>
          <w:lang w:eastAsia="zh-CN"/>
        </w:rPr>
        <w:t>本</w:t>
      </w:r>
      <w:r>
        <w:rPr>
          <w:rFonts w:hint="eastAsia" w:ascii="方正仿宋_GB2312" w:hAnsi="方正仿宋_GB2312" w:eastAsia="方正仿宋_GB2312" w:cs="方正仿宋_GB2312"/>
          <w:sz w:val="32"/>
          <w:szCs w:val="32"/>
        </w:rPr>
        <w:t>年度内新增</w:t>
      </w:r>
      <w:r>
        <w:rPr>
          <w:rFonts w:hint="eastAsia" w:ascii="方正仿宋_GB2312" w:hAnsi="方正仿宋_GB2312" w:eastAsia="方正仿宋_GB2312" w:cs="方正仿宋_GB2312"/>
          <w:sz w:val="32"/>
          <w:szCs w:val="32"/>
          <w:lang w:eastAsia="zh-CN"/>
        </w:rPr>
        <w:t>在职</w:t>
      </w:r>
      <w:r>
        <w:rPr>
          <w:rFonts w:hint="eastAsia" w:ascii="方正仿宋_GB2312" w:hAnsi="方正仿宋_GB2312" w:eastAsia="方正仿宋_GB2312" w:cs="方正仿宋_GB2312"/>
          <w:sz w:val="32"/>
          <w:szCs w:val="32"/>
        </w:rPr>
        <w:t>人员，</w:t>
      </w:r>
      <w:r>
        <w:rPr>
          <w:rFonts w:hint="eastAsia" w:ascii="方正仿宋_GB2312" w:hAnsi="方正仿宋_GB2312" w:eastAsia="方正仿宋_GB2312" w:cs="方正仿宋_GB2312"/>
          <w:sz w:val="32"/>
          <w:szCs w:val="32"/>
          <w:lang w:eastAsia="zh-CN"/>
        </w:rPr>
        <w:t>所以</w:t>
      </w:r>
      <w:r>
        <w:rPr>
          <w:rFonts w:hint="eastAsia" w:ascii="方正仿宋_GB2312" w:hAnsi="方正仿宋_GB2312" w:eastAsia="方正仿宋_GB2312" w:cs="方正仿宋_GB2312"/>
          <w:sz w:val="32"/>
          <w:szCs w:val="32"/>
        </w:rPr>
        <w:t>缴费基数总额</w:t>
      </w:r>
      <w:r>
        <w:rPr>
          <w:rFonts w:hint="eastAsia" w:ascii="方正仿宋_GB2312" w:hAnsi="方正仿宋_GB2312" w:eastAsia="方正仿宋_GB2312" w:cs="方正仿宋_GB2312"/>
          <w:sz w:val="32"/>
          <w:szCs w:val="32"/>
          <w:lang w:eastAsia="zh-CN"/>
        </w:rPr>
        <w:t>有</w:t>
      </w:r>
      <w:r>
        <w:rPr>
          <w:rFonts w:hint="eastAsia" w:ascii="方正仿宋_GB2312" w:hAnsi="方正仿宋_GB2312" w:eastAsia="方正仿宋_GB2312" w:cs="方正仿宋_GB2312"/>
          <w:sz w:val="32"/>
          <w:szCs w:val="32"/>
        </w:rPr>
        <w:t>增加，相应</w:t>
      </w:r>
      <w:r>
        <w:rPr>
          <w:rFonts w:hint="eastAsia" w:ascii="方正仿宋_GB2312" w:hAnsi="方正仿宋_GB2312" w:eastAsia="方正仿宋_GB2312" w:cs="方正仿宋_GB2312"/>
          <w:sz w:val="32"/>
          <w:szCs w:val="32"/>
          <w:lang w:eastAsia="zh-CN"/>
        </w:rPr>
        <w:t>养老</w:t>
      </w:r>
      <w:r>
        <w:rPr>
          <w:rFonts w:hint="eastAsia" w:ascii="方正仿宋_GB2312" w:hAnsi="方正仿宋_GB2312" w:eastAsia="方正仿宋_GB2312" w:cs="方正仿宋_GB2312"/>
          <w:sz w:val="32"/>
          <w:szCs w:val="32"/>
        </w:rPr>
        <w:t>保险支出</w:t>
      </w:r>
      <w:r>
        <w:rPr>
          <w:rFonts w:hint="eastAsia" w:ascii="方正仿宋_GB2312" w:hAnsi="方正仿宋_GB2312" w:eastAsia="方正仿宋_GB2312" w:cs="方正仿宋_GB2312"/>
          <w:sz w:val="32"/>
          <w:szCs w:val="32"/>
          <w:lang w:eastAsia="zh-CN"/>
        </w:rPr>
        <w:t>也有增加</w:t>
      </w:r>
      <w:r>
        <w:rPr>
          <w:rFonts w:hint="eastAsia" w:ascii="方正仿宋_GB2312" w:hAnsi="方正仿宋_GB2312" w:eastAsia="方正仿宋_GB2312" w:cs="方正仿宋_GB2312"/>
          <w:sz w:val="32"/>
          <w:szCs w:val="32"/>
        </w:rPr>
        <w:t>。</w:t>
      </w:r>
    </w:p>
    <w:p w14:paraId="43291870">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社会保障和就业支出（类）</w:t>
      </w:r>
      <w:r>
        <w:rPr>
          <w:rFonts w:hint="eastAsia" w:ascii="方正仿宋_GB2312" w:hAnsi="方正仿宋_GB2312" w:eastAsia="方正仿宋_GB2312" w:cs="方正仿宋_GB2312"/>
          <w:sz w:val="32"/>
          <w:szCs w:val="32"/>
          <w:lang w:eastAsia="zh-CN"/>
        </w:rPr>
        <w:t>行政事业单位养老支出</w:t>
      </w:r>
      <w:r>
        <w:rPr>
          <w:rFonts w:hint="eastAsia" w:ascii="方正仿宋_GB2312" w:hAnsi="方正仿宋_GB2312" w:eastAsia="方正仿宋_GB2312" w:cs="方正仿宋_GB2312"/>
          <w:sz w:val="32"/>
          <w:szCs w:val="32"/>
        </w:rPr>
        <w:t>（款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highlight w:val="none"/>
          <w:lang w:eastAsia="zh-CN"/>
        </w:rPr>
        <w:t>其他行政事业单位养老支出</w:t>
      </w:r>
      <w:r>
        <w:rPr>
          <w:rFonts w:hint="eastAsia" w:ascii="方正仿宋_GB2312" w:hAnsi="方正仿宋_GB2312" w:eastAsia="方正仿宋_GB2312" w:cs="方正仿宋_GB2312"/>
          <w:sz w:val="32"/>
          <w:szCs w:val="32"/>
          <w:lang w:eastAsia="zh-CN"/>
        </w:rPr>
        <w:t>（项）</w:t>
      </w:r>
      <w:r>
        <w:rPr>
          <w:rFonts w:hint="eastAsia" w:ascii="方正仿宋_GB2312" w:hAnsi="方正仿宋_GB2312" w:eastAsia="方正仿宋_GB2312" w:cs="方正仿宋_GB2312"/>
          <w:sz w:val="32"/>
          <w:szCs w:val="32"/>
          <w:lang w:val="en-US" w:eastAsia="zh-CN"/>
        </w:rPr>
        <w:t>2080599</w:t>
      </w:r>
    </w:p>
    <w:p w14:paraId="1818DADF">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年初预算为</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万元，支出决算为</w:t>
      </w:r>
      <w:r>
        <w:rPr>
          <w:rFonts w:hint="eastAsia" w:ascii="方正仿宋_GB2312" w:hAnsi="方正仿宋_GB2312" w:eastAsia="方正仿宋_GB2312" w:cs="方正仿宋_GB2312"/>
          <w:sz w:val="32"/>
          <w:szCs w:val="32"/>
          <w:lang w:val="en-US" w:eastAsia="zh-CN"/>
        </w:rPr>
        <w:t>0.87</w:t>
      </w:r>
      <w:r>
        <w:rPr>
          <w:rFonts w:hint="eastAsia" w:ascii="方正仿宋_GB2312" w:hAnsi="方正仿宋_GB2312" w:eastAsia="方正仿宋_GB2312" w:cs="方正仿宋_GB2312"/>
          <w:sz w:val="32"/>
          <w:szCs w:val="32"/>
        </w:rPr>
        <w:t>万元，决算数</w:t>
      </w:r>
      <w:r>
        <w:rPr>
          <w:rFonts w:hint="eastAsia" w:ascii="方正仿宋_GB2312" w:hAnsi="方正仿宋_GB2312" w:eastAsia="方正仿宋_GB2312" w:cs="方正仿宋_GB2312"/>
          <w:sz w:val="32"/>
          <w:szCs w:val="32"/>
          <w:lang w:eastAsia="zh-CN"/>
        </w:rPr>
        <w:t>大</w:t>
      </w:r>
      <w:r>
        <w:rPr>
          <w:rFonts w:hint="eastAsia" w:ascii="方正仿宋_GB2312" w:hAnsi="方正仿宋_GB2312" w:eastAsia="方正仿宋_GB2312" w:cs="方正仿宋_GB2312"/>
          <w:sz w:val="32"/>
          <w:szCs w:val="32"/>
        </w:rPr>
        <w:t>于年初预算数的主要原因是：年初未</w:t>
      </w:r>
      <w:r>
        <w:rPr>
          <w:rFonts w:hint="eastAsia" w:ascii="方正仿宋_GB2312" w:hAnsi="方正仿宋_GB2312" w:eastAsia="方正仿宋_GB2312" w:cs="方正仿宋_GB2312"/>
          <w:sz w:val="32"/>
          <w:szCs w:val="32"/>
          <w:lang w:eastAsia="zh-CN"/>
        </w:rPr>
        <w:t>包含</w:t>
      </w:r>
      <w:r>
        <w:rPr>
          <w:rFonts w:hint="eastAsia" w:ascii="方正仿宋_GB2312" w:hAnsi="方正仿宋_GB2312" w:eastAsia="方正仿宋_GB2312" w:cs="方正仿宋_GB2312"/>
          <w:sz w:val="32"/>
          <w:szCs w:val="32"/>
        </w:rPr>
        <w:t>该项预算</w:t>
      </w:r>
      <w:r>
        <w:rPr>
          <w:rFonts w:hint="eastAsia" w:ascii="方正仿宋_GB2312" w:hAnsi="方正仿宋_GB2312" w:eastAsia="方正仿宋_GB2312" w:cs="方正仿宋_GB2312"/>
          <w:sz w:val="32"/>
          <w:szCs w:val="32"/>
          <w:lang w:eastAsia="zh-CN"/>
        </w:rPr>
        <w:t>，是为退休人员发放的一部分春节生活补助。</w:t>
      </w:r>
    </w:p>
    <w:p w14:paraId="61311632">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社会保障和就业支出（类）</w:t>
      </w:r>
      <w:r>
        <w:rPr>
          <w:rFonts w:hint="eastAsia" w:ascii="方正仿宋_GB2312" w:hAnsi="方正仿宋_GB2312" w:eastAsia="方正仿宋_GB2312" w:cs="方正仿宋_GB2312"/>
          <w:sz w:val="32"/>
          <w:szCs w:val="32"/>
          <w:lang w:val="en-US" w:eastAsia="zh-CN"/>
        </w:rPr>
        <w:t>其他社会保障和就业支出</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款</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highlight w:val="none"/>
          <w:lang w:val="en-US" w:eastAsia="zh-CN"/>
        </w:rPr>
        <w:t>其他社会保障和就业支出</w:t>
      </w:r>
      <w:r>
        <w:rPr>
          <w:rFonts w:hint="eastAsia" w:ascii="方正仿宋_GB2312" w:hAnsi="方正仿宋_GB2312" w:eastAsia="方正仿宋_GB2312" w:cs="方正仿宋_GB2312"/>
          <w:sz w:val="32"/>
          <w:szCs w:val="32"/>
          <w:lang w:eastAsia="zh-CN"/>
        </w:rPr>
        <w:t>（项）</w:t>
      </w:r>
      <w:r>
        <w:rPr>
          <w:rFonts w:hint="eastAsia" w:ascii="方正仿宋_GB2312" w:hAnsi="方正仿宋_GB2312" w:eastAsia="方正仿宋_GB2312" w:cs="方正仿宋_GB2312"/>
          <w:sz w:val="32"/>
          <w:szCs w:val="32"/>
          <w:lang w:val="en-US" w:eastAsia="zh-CN"/>
        </w:rPr>
        <w:t>2089999</w:t>
      </w:r>
    </w:p>
    <w:p w14:paraId="5B945566">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年初预算为</w:t>
      </w:r>
      <w:r>
        <w:rPr>
          <w:rFonts w:hint="eastAsia" w:ascii="方正仿宋_GB2312" w:hAnsi="方正仿宋_GB2312" w:eastAsia="方正仿宋_GB2312" w:cs="方正仿宋_GB2312"/>
          <w:sz w:val="32"/>
          <w:szCs w:val="32"/>
          <w:lang w:val="en-US" w:eastAsia="zh-CN"/>
        </w:rPr>
        <w:t>131.88</w:t>
      </w:r>
      <w:r>
        <w:rPr>
          <w:rFonts w:hint="eastAsia" w:ascii="方正仿宋_GB2312" w:hAnsi="方正仿宋_GB2312" w:eastAsia="方正仿宋_GB2312" w:cs="方正仿宋_GB2312"/>
          <w:sz w:val="32"/>
          <w:szCs w:val="32"/>
        </w:rPr>
        <w:t>万元，支出决算为</w:t>
      </w:r>
      <w:r>
        <w:rPr>
          <w:rFonts w:hint="eastAsia" w:ascii="方正仿宋_GB2312" w:hAnsi="方正仿宋_GB2312" w:eastAsia="方正仿宋_GB2312" w:cs="方正仿宋_GB2312"/>
          <w:sz w:val="32"/>
          <w:szCs w:val="32"/>
          <w:lang w:val="en-US" w:eastAsia="zh-CN"/>
        </w:rPr>
        <w:t>131.64</w:t>
      </w:r>
      <w:r>
        <w:rPr>
          <w:rFonts w:hint="eastAsia" w:ascii="方正仿宋_GB2312" w:hAnsi="方正仿宋_GB2312" w:eastAsia="方正仿宋_GB2312" w:cs="方正仿宋_GB2312"/>
          <w:sz w:val="32"/>
          <w:szCs w:val="32"/>
        </w:rPr>
        <w:t>万元，完成年初预算的</w:t>
      </w:r>
      <w:r>
        <w:rPr>
          <w:rFonts w:hint="eastAsia" w:ascii="方正仿宋_GB2312" w:hAnsi="方正仿宋_GB2312" w:eastAsia="方正仿宋_GB2312" w:cs="方正仿宋_GB2312"/>
          <w:sz w:val="32"/>
          <w:szCs w:val="32"/>
          <w:lang w:val="en-US" w:eastAsia="zh-CN"/>
        </w:rPr>
        <w:t>99.82</w:t>
      </w:r>
      <w:r>
        <w:rPr>
          <w:rFonts w:hint="eastAsia" w:ascii="方正仿宋_GB2312" w:hAnsi="方正仿宋_GB2312" w:eastAsia="方正仿宋_GB2312" w:cs="方正仿宋_GB2312"/>
          <w:sz w:val="32"/>
          <w:szCs w:val="32"/>
        </w:rPr>
        <w:t>%，决算数</w:t>
      </w:r>
      <w:r>
        <w:rPr>
          <w:rFonts w:hint="eastAsia" w:ascii="方正仿宋_GB2312" w:hAnsi="方正仿宋_GB2312" w:eastAsia="方正仿宋_GB2312" w:cs="方正仿宋_GB2312"/>
          <w:sz w:val="32"/>
          <w:szCs w:val="32"/>
          <w:lang w:eastAsia="zh-CN"/>
        </w:rPr>
        <w:t>小</w:t>
      </w:r>
      <w:r>
        <w:rPr>
          <w:rFonts w:hint="eastAsia" w:ascii="方正仿宋_GB2312" w:hAnsi="方正仿宋_GB2312" w:eastAsia="方正仿宋_GB2312" w:cs="方正仿宋_GB2312"/>
          <w:sz w:val="32"/>
          <w:szCs w:val="32"/>
        </w:rPr>
        <w:t>于年初预算数的主要原因</w:t>
      </w:r>
      <w:r>
        <w:rPr>
          <w:rFonts w:hint="eastAsia" w:ascii="方正仿宋_GB2312" w:hAnsi="方正仿宋_GB2312" w:eastAsia="方正仿宋_GB2312" w:cs="方正仿宋_GB2312"/>
          <w:sz w:val="32"/>
          <w:szCs w:val="32"/>
          <w:highlight w:val="none"/>
        </w:rPr>
        <w:t>是：</w:t>
      </w:r>
      <w:r>
        <w:rPr>
          <w:rFonts w:hint="eastAsia" w:ascii="方正仿宋_GB2312" w:hAnsi="方正仿宋_GB2312" w:eastAsia="方正仿宋_GB2312" w:cs="方正仿宋_GB2312"/>
          <w:sz w:val="32"/>
          <w:szCs w:val="32"/>
        </w:rPr>
        <w:t>本年度非税收入实际完成额低于预算，相应支出规模</w:t>
      </w:r>
      <w:r>
        <w:rPr>
          <w:rFonts w:hint="eastAsia" w:ascii="方正仿宋_GB2312" w:hAnsi="方正仿宋_GB2312" w:eastAsia="方正仿宋_GB2312" w:cs="方正仿宋_GB2312"/>
          <w:sz w:val="32"/>
          <w:szCs w:val="32"/>
          <w:lang w:eastAsia="zh-CN"/>
        </w:rPr>
        <w:t>也相应</w:t>
      </w:r>
      <w:r>
        <w:rPr>
          <w:rFonts w:hint="eastAsia" w:ascii="方正仿宋_GB2312" w:hAnsi="方正仿宋_GB2312" w:eastAsia="方正仿宋_GB2312" w:cs="方正仿宋_GB2312"/>
          <w:sz w:val="32"/>
          <w:szCs w:val="32"/>
        </w:rPr>
        <w:t>缩减，</w:t>
      </w:r>
      <w:r>
        <w:rPr>
          <w:rFonts w:hint="eastAsia" w:ascii="方正仿宋_GB2312" w:hAnsi="方正仿宋_GB2312" w:eastAsia="方正仿宋_GB2312" w:cs="方正仿宋_GB2312"/>
          <w:sz w:val="32"/>
          <w:szCs w:val="32"/>
          <w:lang w:eastAsia="zh-CN"/>
        </w:rPr>
        <w:t>因而</w:t>
      </w:r>
      <w:r>
        <w:rPr>
          <w:rFonts w:hint="eastAsia" w:ascii="方正仿宋_GB2312" w:hAnsi="方正仿宋_GB2312" w:eastAsia="方正仿宋_GB2312" w:cs="方正仿宋_GB2312"/>
          <w:sz w:val="32"/>
          <w:szCs w:val="32"/>
        </w:rPr>
        <w:t>支出决算数低于年初预算</w:t>
      </w:r>
      <w:r>
        <w:rPr>
          <w:rFonts w:hint="eastAsia" w:ascii="方正仿宋_GB2312" w:hAnsi="方正仿宋_GB2312" w:eastAsia="方正仿宋_GB2312" w:cs="方正仿宋_GB2312"/>
          <w:sz w:val="32"/>
          <w:szCs w:val="32"/>
          <w:lang w:eastAsia="zh-CN"/>
        </w:rPr>
        <w:t>数</w:t>
      </w:r>
      <w:r>
        <w:rPr>
          <w:rFonts w:hint="eastAsia" w:ascii="方正仿宋_GB2312" w:hAnsi="方正仿宋_GB2312" w:eastAsia="方正仿宋_GB2312" w:cs="方正仿宋_GB2312"/>
          <w:sz w:val="32"/>
          <w:szCs w:val="32"/>
        </w:rPr>
        <w:t>。</w:t>
      </w:r>
    </w:p>
    <w:p w14:paraId="2E5EFF46">
      <w:pPr>
        <w:pStyle w:val="19"/>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方正仿宋_GB2312" w:hAnsi="方正仿宋_GB2312" w:eastAsia="方正仿宋_GB2312" w:cs="方正仿宋_GB2312"/>
          <w:sz w:val="32"/>
          <w:szCs w:val="32"/>
          <w:lang w:val="en-US" w:eastAsia="zh-CN"/>
        </w:rPr>
      </w:pPr>
    </w:p>
    <w:p w14:paraId="4E51908B">
      <w:pPr>
        <w:pStyle w:val="19"/>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default" w:ascii="方正仿宋_GB2312" w:hAnsi="方正仿宋_GB2312" w:eastAsia="方正仿宋_GB2312" w:cs="方正仿宋_GB2312"/>
          <w:sz w:val="32"/>
          <w:szCs w:val="32"/>
          <w:lang w:val="en-US" w:eastAsia="zh-CN"/>
        </w:rPr>
      </w:pPr>
      <w:bookmarkStart w:id="23" w:name="_GoBack"/>
      <w:bookmarkEnd w:id="23"/>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社会保障和就业支出（类）</w:t>
      </w:r>
      <w:r>
        <w:rPr>
          <w:rFonts w:hint="eastAsia" w:ascii="方正仿宋_GB2312" w:hAnsi="方正仿宋_GB2312" w:eastAsia="方正仿宋_GB2312" w:cs="方正仿宋_GB2312"/>
          <w:sz w:val="32"/>
          <w:szCs w:val="32"/>
          <w:lang w:eastAsia="zh-CN"/>
        </w:rPr>
        <w:t>就业补助（款）其他就业补助支出（项）</w:t>
      </w:r>
      <w:r>
        <w:rPr>
          <w:rFonts w:hint="eastAsia" w:ascii="方正仿宋_GB2312" w:hAnsi="方正仿宋_GB2312" w:eastAsia="方正仿宋_GB2312" w:cs="方正仿宋_GB2312"/>
          <w:sz w:val="32"/>
          <w:szCs w:val="32"/>
          <w:lang w:val="en-US" w:eastAsia="zh-CN"/>
        </w:rPr>
        <w:t>2080799</w:t>
      </w:r>
    </w:p>
    <w:p w14:paraId="7BE5CE54">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年初预算为</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万元，支出决算为</w:t>
      </w:r>
      <w:r>
        <w:rPr>
          <w:rFonts w:hint="eastAsia" w:ascii="方正仿宋_GB2312" w:hAnsi="方正仿宋_GB2312" w:eastAsia="方正仿宋_GB2312" w:cs="方正仿宋_GB2312"/>
          <w:sz w:val="32"/>
          <w:szCs w:val="32"/>
          <w:lang w:val="en-US" w:eastAsia="zh-CN"/>
        </w:rPr>
        <w:t>15.78</w:t>
      </w:r>
      <w:r>
        <w:rPr>
          <w:rFonts w:hint="eastAsia" w:ascii="方正仿宋_GB2312" w:hAnsi="方正仿宋_GB2312" w:eastAsia="方正仿宋_GB2312" w:cs="方正仿宋_GB2312"/>
          <w:sz w:val="32"/>
          <w:szCs w:val="32"/>
        </w:rPr>
        <w:t>万元，决算数</w:t>
      </w:r>
      <w:r>
        <w:rPr>
          <w:rFonts w:hint="eastAsia" w:ascii="方正仿宋_GB2312" w:hAnsi="方正仿宋_GB2312" w:eastAsia="方正仿宋_GB2312" w:cs="方正仿宋_GB2312"/>
          <w:sz w:val="32"/>
          <w:szCs w:val="32"/>
          <w:lang w:eastAsia="zh-CN"/>
        </w:rPr>
        <w:t>大</w:t>
      </w:r>
      <w:r>
        <w:rPr>
          <w:rFonts w:hint="eastAsia" w:ascii="方正仿宋_GB2312" w:hAnsi="方正仿宋_GB2312" w:eastAsia="方正仿宋_GB2312" w:cs="方正仿宋_GB2312"/>
          <w:sz w:val="32"/>
          <w:szCs w:val="32"/>
        </w:rPr>
        <w:t>于年初预算数的主要原因是：年初未</w:t>
      </w:r>
      <w:r>
        <w:rPr>
          <w:rFonts w:hint="eastAsia" w:ascii="方正仿宋_GB2312" w:hAnsi="方正仿宋_GB2312" w:eastAsia="方正仿宋_GB2312" w:cs="方正仿宋_GB2312"/>
          <w:sz w:val="32"/>
          <w:szCs w:val="32"/>
          <w:lang w:eastAsia="zh-CN"/>
        </w:rPr>
        <w:t>包含</w:t>
      </w:r>
      <w:r>
        <w:rPr>
          <w:rFonts w:hint="eastAsia" w:ascii="方正仿宋_GB2312" w:hAnsi="方正仿宋_GB2312" w:eastAsia="方正仿宋_GB2312" w:cs="方正仿宋_GB2312"/>
          <w:sz w:val="32"/>
          <w:szCs w:val="32"/>
        </w:rPr>
        <w:t>该项预算</w:t>
      </w:r>
      <w:r>
        <w:rPr>
          <w:rFonts w:hint="eastAsia" w:ascii="方正仿宋_GB2312" w:hAnsi="方正仿宋_GB2312" w:eastAsia="方正仿宋_GB2312" w:cs="方正仿宋_GB2312"/>
          <w:sz w:val="32"/>
          <w:szCs w:val="32"/>
          <w:lang w:eastAsia="zh-CN"/>
        </w:rPr>
        <w:t>，为公益性岗位补贴和就业见习补贴。</w:t>
      </w:r>
    </w:p>
    <w:p w14:paraId="7A92B2FF">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6、卫生健康支出（类）行政事业单位医疗（款）行政单位医疗（项）2101101</w:t>
      </w:r>
    </w:p>
    <w:p w14:paraId="26E00B24">
      <w:pPr>
        <w:pStyle w:val="19"/>
        <w:keepNext w:val="0"/>
        <w:keepLines w:val="0"/>
        <w:pageBreakBefore w:val="0"/>
        <w:widowControl w:val="0"/>
        <w:numPr>
          <w:ilvl w:val="0"/>
          <w:numId w:val="0"/>
        </w:numPr>
        <w:kinsoku/>
        <w:wordWrap/>
        <w:overflowPunct/>
        <w:topLinePunct w:val="0"/>
        <w:bidi w:val="0"/>
        <w:snapToGrid/>
        <w:spacing w:line="600" w:lineRule="exact"/>
        <w:ind w:left="10" w:leftChars="0" w:firstLine="537" w:firstLineChars="168"/>
        <w:textAlignment w:val="auto"/>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年初预算为</w:t>
      </w:r>
      <w:r>
        <w:rPr>
          <w:rFonts w:hint="eastAsia" w:ascii="方正仿宋_GB2312" w:hAnsi="方正仿宋_GB2312" w:eastAsia="方正仿宋_GB2312" w:cs="方正仿宋_GB2312"/>
          <w:sz w:val="32"/>
          <w:szCs w:val="32"/>
          <w:highlight w:val="none"/>
          <w:lang w:val="en-US" w:eastAsia="zh-CN"/>
        </w:rPr>
        <w:t>28.22</w:t>
      </w:r>
      <w:r>
        <w:rPr>
          <w:rFonts w:hint="eastAsia" w:ascii="方正仿宋_GB2312" w:hAnsi="方正仿宋_GB2312" w:eastAsia="方正仿宋_GB2312" w:cs="方正仿宋_GB2312"/>
          <w:sz w:val="32"/>
          <w:szCs w:val="32"/>
          <w:highlight w:val="none"/>
        </w:rPr>
        <w:t>万元，支出决算为</w:t>
      </w:r>
      <w:r>
        <w:rPr>
          <w:rFonts w:hint="eastAsia" w:ascii="方正仿宋_GB2312" w:hAnsi="方正仿宋_GB2312" w:eastAsia="方正仿宋_GB2312" w:cs="方正仿宋_GB2312"/>
          <w:sz w:val="32"/>
          <w:szCs w:val="32"/>
          <w:highlight w:val="none"/>
          <w:lang w:val="en-US" w:eastAsia="zh-CN"/>
        </w:rPr>
        <w:t>30.05</w:t>
      </w:r>
      <w:r>
        <w:rPr>
          <w:rFonts w:hint="eastAsia" w:ascii="方正仿宋_GB2312" w:hAnsi="方正仿宋_GB2312" w:eastAsia="方正仿宋_GB2312" w:cs="方正仿宋_GB2312"/>
          <w:sz w:val="32"/>
          <w:szCs w:val="32"/>
          <w:highlight w:val="none"/>
        </w:rPr>
        <w:t>万元，决算数</w:t>
      </w:r>
      <w:r>
        <w:rPr>
          <w:rFonts w:hint="eastAsia" w:ascii="方正仿宋_GB2312" w:hAnsi="方正仿宋_GB2312" w:eastAsia="方正仿宋_GB2312" w:cs="方正仿宋_GB2312"/>
          <w:sz w:val="32"/>
          <w:szCs w:val="32"/>
          <w:highlight w:val="none"/>
          <w:lang w:eastAsia="zh-CN"/>
        </w:rPr>
        <w:t>大</w:t>
      </w:r>
      <w:r>
        <w:rPr>
          <w:rFonts w:hint="eastAsia" w:ascii="方正仿宋_GB2312" w:hAnsi="方正仿宋_GB2312" w:eastAsia="方正仿宋_GB2312" w:cs="方正仿宋_GB2312"/>
          <w:sz w:val="32"/>
          <w:szCs w:val="32"/>
          <w:highlight w:val="none"/>
        </w:rPr>
        <w:t>于年初预算数的主要原因是：</w:t>
      </w:r>
      <w:r>
        <w:rPr>
          <w:rFonts w:hint="eastAsia" w:ascii="方正仿宋_GB2312" w:hAnsi="方正仿宋_GB2312" w:eastAsia="方正仿宋_GB2312" w:cs="方正仿宋_GB2312"/>
          <w:sz w:val="32"/>
          <w:szCs w:val="32"/>
          <w:highlight w:val="none"/>
          <w:lang w:eastAsia="zh-CN"/>
        </w:rPr>
        <w:t>本</w:t>
      </w:r>
      <w:r>
        <w:rPr>
          <w:rFonts w:hint="eastAsia" w:ascii="方正仿宋_GB2312" w:hAnsi="方正仿宋_GB2312" w:eastAsia="方正仿宋_GB2312" w:cs="方正仿宋_GB2312"/>
          <w:sz w:val="32"/>
          <w:szCs w:val="32"/>
          <w:highlight w:val="none"/>
        </w:rPr>
        <w:t>年度内新增</w:t>
      </w:r>
      <w:r>
        <w:rPr>
          <w:rFonts w:hint="eastAsia" w:ascii="方正仿宋_GB2312" w:hAnsi="方正仿宋_GB2312" w:eastAsia="方正仿宋_GB2312" w:cs="方正仿宋_GB2312"/>
          <w:sz w:val="32"/>
          <w:szCs w:val="32"/>
          <w:highlight w:val="none"/>
          <w:lang w:eastAsia="zh-CN"/>
        </w:rPr>
        <w:t>在职</w:t>
      </w:r>
      <w:r>
        <w:rPr>
          <w:rFonts w:hint="eastAsia" w:ascii="方正仿宋_GB2312" w:hAnsi="方正仿宋_GB2312" w:eastAsia="方正仿宋_GB2312" w:cs="方正仿宋_GB2312"/>
          <w:sz w:val="32"/>
          <w:szCs w:val="32"/>
          <w:highlight w:val="none"/>
        </w:rPr>
        <w:t>人员，</w:t>
      </w:r>
      <w:r>
        <w:rPr>
          <w:rFonts w:hint="eastAsia" w:ascii="方正仿宋_GB2312" w:hAnsi="方正仿宋_GB2312" w:eastAsia="方正仿宋_GB2312" w:cs="方正仿宋_GB2312"/>
          <w:sz w:val="32"/>
          <w:szCs w:val="32"/>
          <w:highlight w:val="none"/>
          <w:lang w:eastAsia="zh-CN"/>
        </w:rPr>
        <w:t>所以医疗保险</w:t>
      </w:r>
      <w:r>
        <w:rPr>
          <w:rFonts w:hint="eastAsia" w:ascii="方正仿宋_GB2312" w:hAnsi="方正仿宋_GB2312" w:eastAsia="方正仿宋_GB2312" w:cs="方正仿宋_GB2312"/>
          <w:sz w:val="32"/>
          <w:szCs w:val="32"/>
          <w:highlight w:val="none"/>
        </w:rPr>
        <w:t>缴费基数总额</w:t>
      </w:r>
      <w:r>
        <w:rPr>
          <w:rFonts w:hint="eastAsia" w:ascii="方正仿宋_GB2312" w:hAnsi="方正仿宋_GB2312" w:eastAsia="方正仿宋_GB2312" w:cs="方正仿宋_GB2312"/>
          <w:sz w:val="32"/>
          <w:szCs w:val="32"/>
          <w:highlight w:val="none"/>
          <w:lang w:eastAsia="zh-CN"/>
        </w:rPr>
        <w:t>有</w:t>
      </w:r>
      <w:r>
        <w:rPr>
          <w:rFonts w:hint="eastAsia" w:ascii="方正仿宋_GB2312" w:hAnsi="方正仿宋_GB2312" w:eastAsia="方正仿宋_GB2312" w:cs="方正仿宋_GB2312"/>
          <w:sz w:val="32"/>
          <w:szCs w:val="32"/>
          <w:highlight w:val="none"/>
        </w:rPr>
        <w:t>增加，相应</w:t>
      </w:r>
      <w:r>
        <w:rPr>
          <w:rFonts w:hint="eastAsia" w:ascii="方正仿宋_GB2312" w:hAnsi="方正仿宋_GB2312" w:eastAsia="方正仿宋_GB2312" w:cs="方正仿宋_GB2312"/>
          <w:sz w:val="32"/>
          <w:szCs w:val="32"/>
          <w:highlight w:val="none"/>
          <w:lang w:eastAsia="zh-CN"/>
        </w:rPr>
        <w:t>医疗</w:t>
      </w:r>
      <w:r>
        <w:rPr>
          <w:rFonts w:hint="eastAsia" w:ascii="方正仿宋_GB2312" w:hAnsi="方正仿宋_GB2312" w:eastAsia="方正仿宋_GB2312" w:cs="方正仿宋_GB2312"/>
          <w:sz w:val="32"/>
          <w:szCs w:val="32"/>
          <w:highlight w:val="none"/>
        </w:rPr>
        <w:t>保险支出</w:t>
      </w:r>
      <w:r>
        <w:rPr>
          <w:rFonts w:hint="eastAsia" w:ascii="方正仿宋_GB2312" w:hAnsi="方正仿宋_GB2312" w:eastAsia="方正仿宋_GB2312" w:cs="方正仿宋_GB2312"/>
          <w:sz w:val="32"/>
          <w:szCs w:val="32"/>
          <w:highlight w:val="none"/>
          <w:lang w:eastAsia="zh-CN"/>
        </w:rPr>
        <w:t>也有增加</w:t>
      </w:r>
      <w:r>
        <w:rPr>
          <w:rFonts w:hint="eastAsia" w:ascii="方正仿宋_GB2312" w:hAnsi="方正仿宋_GB2312" w:eastAsia="方正仿宋_GB2312" w:cs="方正仿宋_GB2312"/>
          <w:sz w:val="32"/>
          <w:szCs w:val="32"/>
          <w:highlight w:val="none"/>
        </w:rPr>
        <w:t>。</w:t>
      </w:r>
    </w:p>
    <w:p w14:paraId="57FAD03F">
      <w:pPr>
        <w:pStyle w:val="19"/>
        <w:keepNext w:val="0"/>
        <w:keepLines w:val="0"/>
        <w:pageBreakBefore w:val="0"/>
        <w:widowControl w:val="0"/>
        <w:numPr>
          <w:ilvl w:val="0"/>
          <w:numId w:val="4"/>
        </w:numPr>
        <w:kinsoku/>
        <w:wordWrap/>
        <w:overflowPunct/>
        <w:topLinePunct w:val="0"/>
        <w:bidi w:val="0"/>
        <w:snapToGrid/>
        <w:spacing w:line="600" w:lineRule="exact"/>
        <w:ind w:left="0" w:leftChars="0" w:firstLine="838" w:firstLineChars="262"/>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农林水支出（类）惠普金融发展支出（款）创业担保贷款贴息及奖补（项）2130804</w:t>
      </w:r>
    </w:p>
    <w:p w14:paraId="3EEDA68F">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年初预算为</w:t>
      </w:r>
      <w:r>
        <w:rPr>
          <w:rFonts w:hint="eastAsia" w:ascii="方正仿宋_GB2312" w:hAnsi="方正仿宋_GB2312" w:eastAsia="方正仿宋_GB2312" w:cs="方正仿宋_GB2312"/>
          <w:sz w:val="32"/>
          <w:szCs w:val="32"/>
          <w:highlight w:val="none"/>
          <w:lang w:val="en-US" w:eastAsia="zh-CN"/>
        </w:rPr>
        <w:t>0</w:t>
      </w:r>
      <w:r>
        <w:rPr>
          <w:rFonts w:hint="eastAsia" w:ascii="方正仿宋_GB2312" w:hAnsi="方正仿宋_GB2312" w:eastAsia="方正仿宋_GB2312" w:cs="方正仿宋_GB2312"/>
          <w:sz w:val="32"/>
          <w:szCs w:val="32"/>
          <w:highlight w:val="none"/>
        </w:rPr>
        <w:t>万元，支出决算为</w:t>
      </w:r>
      <w:r>
        <w:rPr>
          <w:rFonts w:hint="eastAsia" w:ascii="方正仿宋_GB2312" w:hAnsi="方正仿宋_GB2312" w:eastAsia="方正仿宋_GB2312" w:cs="方正仿宋_GB2312"/>
          <w:sz w:val="32"/>
          <w:szCs w:val="32"/>
          <w:highlight w:val="none"/>
          <w:lang w:val="en-US" w:eastAsia="zh-CN"/>
        </w:rPr>
        <w:t>8</w:t>
      </w:r>
      <w:r>
        <w:rPr>
          <w:rFonts w:hint="eastAsia" w:ascii="方正仿宋_GB2312" w:hAnsi="方正仿宋_GB2312" w:eastAsia="方正仿宋_GB2312" w:cs="方正仿宋_GB2312"/>
          <w:sz w:val="32"/>
          <w:szCs w:val="32"/>
          <w:highlight w:val="none"/>
        </w:rPr>
        <w:t>万元，决算数</w:t>
      </w:r>
      <w:r>
        <w:rPr>
          <w:rFonts w:hint="eastAsia" w:ascii="方正仿宋_GB2312" w:hAnsi="方正仿宋_GB2312" w:eastAsia="方正仿宋_GB2312" w:cs="方正仿宋_GB2312"/>
          <w:sz w:val="32"/>
          <w:szCs w:val="32"/>
          <w:highlight w:val="none"/>
          <w:lang w:eastAsia="zh-CN"/>
        </w:rPr>
        <w:t>小</w:t>
      </w:r>
      <w:r>
        <w:rPr>
          <w:rFonts w:hint="eastAsia" w:ascii="方正仿宋_GB2312" w:hAnsi="方正仿宋_GB2312" w:eastAsia="方正仿宋_GB2312" w:cs="方正仿宋_GB2312"/>
          <w:sz w:val="32"/>
          <w:szCs w:val="32"/>
          <w:highlight w:val="none"/>
        </w:rPr>
        <w:t>于年初预算数的主要原因是：年初未</w:t>
      </w:r>
      <w:r>
        <w:rPr>
          <w:rFonts w:hint="eastAsia" w:ascii="方正仿宋_GB2312" w:hAnsi="方正仿宋_GB2312" w:eastAsia="方正仿宋_GB2312" w:cs="方正仿宋_GB2312"/>
          <w:sz w:val="32"/>
          <w:szCs w:val="32"/>
          <w:highlight w:val="none"/>
          <w:lang w:eastAsia="zh-CN"/>
        </w:rPr>
        <w:t>包含</w:t>
      </w:r>
      <w:r>
        <w:rPr>
          <w:rFonts w:hint="eastAsia" w:ascii="方正仿宋_GB2312" w:hAnsi="方正仿宋_GB2312" w:eastAsia="方正仿宋_GB2312" w:cs="方正仿宋_GB2312"/>
          <w:sz w:val="32"/>
          <w:szCs w:val="32"/>
          <w:highlight w:val="none"/>
        </w:rPr>
        <w:t>该项预算</w:t>
      </w:r>
      <w:r>
        <w:rPr>
          <w:rFonts w:hint="eastAsia" w:ascii="方正仿宋_GB2312" w:hAnsi="方正仿宋_GB2312" w:eastAsia="方正仿宋_GB2312" w:cs="方正仿宋_GB2312"/>
          <w:sz w:val="32"/>
          <w:szCs w:val="32"/>
          <w:highlight w:val="none"/>
          <w:lang w:eastAsia="zh-CN"/>
        </w:rPr>
        <w:t>，为下达的</w:t>
      </w:r>
      <w:r>
        <w:rPr>
          <w:rFonts w:hint="eastAsia" w:ascii="方正仿宋_GB2312" w:hAnsi="方正仿宋_GB2312" w:eastAsia="方正仿宋_GB2312" w:cs="方正仿宋_GB2312"/>
          <w:sz w:val="32"/>
          <w:szCs w:val="32"/>
          <w:highlight w:val="none"/>
          <w:lang w:val="en-US" w:eastAsia="zh-CN"/>
        </w:rPr>
        <w:t>2023年创业担保贷款贴息及奖补资金</w:t>
      </w:r>
      <w:r>
        <w:rPr>
          <w:rFonts w:hint="eastAsia" w:ascii="方正仿宋_GB2312" w:hAnsi="方正仿宋_GB2312" w:eastAsia="方正仿宋_GB2312" w:cs="方正仿宋_GB2312"/>
          <w:sz w:val="32"/>
          <w:szCs w:val="32"/>
          <w:highlight w:val="none"/>
          <w:lang w:eastAsia="zh-CN"/>
        </w:rPr>
        <w:t>。</w:t>
      </w:r>
    </w:p>
    <w:p w14:paraId="29CFFEA5">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00" w:firstLineChars="25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color w:val="000000"/>
          <w:kern w:val="0"/>
          <w:sz w:val="32"/>
          <w:szCs w:val="32"/>
          <w:highlight w:val="none"/>
          <w:lang w:val="en-US" w:eastAsia="zh-CN" w:bidi="ar-SA"/>
        </w:rPr>
        <w:t>8、</w:t>
      </w:r>
      <w:r>
        <w:rPr>
          <w:rFonts w:hint="eastAsia" w:ascii="方正仿宋_GB2312" w:hAnsi="方正仿宋_GB2312" w:eastAsia="方正仿宋_GB2312" w:cs="方正仿宋_GB2312"/>
          <w:sz w:val="32"/>
          <w:szCs w:val="32"/>
          <w:highlight w:val="none"/>
          <w:lang w:val="en-US" w:eastAsia="zh-CN"/>
        </w:rPr>
        <w:t>科学技术支出（类）科学技术普及（款）科普活动（项）2060702</w:t>
      </w:r>
    </w:p>
    <w:p w14:paraId="0C037EF7">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年初预算为</w:t>
      </w:r>
      <w:r>
        <w:rPr>
          <w:rFonts w:hint="eastAsia" w:ascii="方正仿宋_GB2312" w:hAnsi="方正仿宋_GB2312" w:eastAsia="方正仿宋_GB2312" w:cs="方正仿宋_GB2312"/>
          <w:sz w:val="32"/>
          <w:szCs w:val="32"/>
          <w:highlight w:val="none"/>
          <w:lang w:val="en-US" w:eastAsia="zh-CN"/>
        </w:rPr>
        <w:t>0</w:t>
      </w:r>
      <w:r>
        <w:rPr>
          <w:rFonts w:hint="eastAsia" w:ascii="方正仿宋_GB2312" w:hAnsi="方正仿宋_GB2312" w:eastAsia="方正仿宋_GB2312" w:cs="方正仿宋_GB2312"/>
          <w:sz w:val="32"/>
          <w:szCs w:val="32"/>
          <w:highlight w:val="none"/>
        </w:rPr>
        <w:t>万元，支出决算为</w:t>
      </w:r>
      <w:r>
        <w:rPr>
          <w:rFonts w:hint="eastAsia" w:ascii="方正仿宋_GB2312" w:hAnsi="方正仿宋_GB2312" w:eastAsia="方正仿宋_GB2312" w:cs="方正仿宋_GB2312"/>
          <w:sz w:val="32"/>
          <w:szCs w:val="32"/>
          <w:highlight w:val="none"/>
          <w:lang w:val="en-US" w:eastAsia="zh-CN"/>
        </w:rPr>
        <w:t>1</w:t>
      </w:r>
      <w:r>
        <w:rPr>
          <w:rFonts w:hint="eastAsia" w:ascii="方正仿宋_GB2312" w:hAnsi="方正仿宋_GB2312" w:eastAsia="方正仿宋_GB2312" w:cs="方正仿宋_GB2312"/>
          <w:sz w:val="32"/>
          <w:szCs w:val="32"/>
          <w:highlight w:val="none"/>
        </w:rPr>
        <w:t>万元，决算数</w:t>
      </w:r>
      <w:r>
        <w:rPr>
          <w:rFonts w:hint="eastAsia" w:ascii="方正仿宋_GB2312" w:hAnsi="方正仿宋_GB2312" w:eastAsia="方正仿宋_GB2312" w:cs="方正仿宋_GB2312"/>
          <w:sz w:val="32"/>
          <w:szCs w:val="32"/>
          <w:highlight w:val="none"/>
          <w:lang w:eastAsia="zh-CN"/>
        </w:rPr>
        <w:t>大</w:t>
      </w:r>
      <w:r>
        <w:rPr>
          <w:rFonts w:hint="eastAsia" w:ascii="方正仿宋_GB2312" w:hAnsi="方正仿宋_GB2312" w:eastAsia="方正仿宋_GB2312" w:cs="方正仿宋_GB2312"/>
          <w:sz w:val="32"/>
          <w:szCs w:val="32"/>
          <w:highlight w:val="none"/>
        </w:rPr>
        <w:t>于年初预算数的主要原因是：年初未</w:t>
      </w:r>
      <w:r>
        <w:rPr>
          <w:rFonts w:hint="eastAsia" w:ascii="方正仿宋_GB2312" w:hAnsi="方正仿宋_GB2312" w:eastAsia="方正仿宋_GB2312" w:cs="方正仿宋_GB2312"/>
          <w:sz w:val="32"/>
          <w:szCs w:val="32"/>
          <w:highlight w:val="none"/>
          <w:lang w:eastAsia="zh-CN"/>
        </w:rPr>
        <w:t>包含</w:t>
      </w:r>
      <w:r>
        <w:rPr>
          <w:rFonts w:hint="eastAsia" w:ascii="方正仿宋_GB2312" w:hAnsi="方正仿宋_GB2312" w:eastAsia="方正仿宋_GB2312" w:cs="方正仿宋_GB2312"/>
          <w:sz w:val="32"/>
          <w:szCs w:val="32"/>
          <w:highlight w:val="none"/>
        </w:rPr>
        <w:t>该项预算</w:t>
      </w:r>
      <w:r>
        <w:rPr>
          <w:rFonts w:hint="eastAsia" w:ascii="方正仿宋_GB2312" w:hAnsi="方正仿宋_GB2312" w:eastAsia="方正仿宋_GB2312" w:cs="方正仿宋_GB2312"/>
          <w:sz w:val="32"/>
          <w:szCs w:val="32"/>
          <w:highlight w:val="none"/>
          <w:lang w:eastAsia="zh-CN"/>
        </w:rPr>
        <w:t>，为下达的</w:t>
      </w:r>
      <w:r>
        <w:rPr>
          <w:rFonts w:hint="eastAsia" w:ascii="方正仿宋_GB2312" w:hAnsi="方正仿宋_GB2312" w:eastAsia="方正仿宋_GB2312" w:cs="方正仿宋_GB2312"/>
          <w:sz w:val="32"/>
          <w:szCs w:val="32"/>
          <w:highlight w:val="none"/>
          <w:lang w:val="en-US" w:eastAsia="zh-CN"/>
        </w:rPr>
        <w:t>2024年科普活动工作经费</w:t>
      </w:r>
      <w:r>
        <w:rPr>
          <w:rFonts w:hint="eastAsia" w:ascii="方正仿宋_GB2312" w:hAnsi="方正仿宋_GB2312" w:eastAsia="方正仿宋_GB2312" w:cs="方正仿宋_GB2312"/>
          <w:sz w:val="32"/>
          <w:szCs w:val="32"/>
          <w:highlight w:val="none"/>
          <w:lang w:eastAsia="zh-CN"/>
        </w:rPr>
        <w:t>。</w:t>
      </w:r>
    </w:p>
    <w:p w14:paraId="2B927DE1">
      <w:pPr>
        <w:pStyle w:val="19"/>
        <w:keepNext w:val="0"/>
        <w:keepLines w:val="0"/>
        <w:pageBreakBefore w:val="0"/>
        <w:widowControl w:val="0"/>
        <w:numPr>
          <w:ilvl w:val="0"/>
          <w:numId w:val="5"/>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住房保障支出（类）住房改革支出（款）住房公积金（项）2210201</w:t>
      </w:r>
    </w:p>
    <w:p w14:paraId="1246F695">
      <w:pPr>
        <w:pStyle w:val="19"/>
        <w:keepNext w:val="0"/>
        <w:keepLines w:val="0"/>
        <w:pageBreakBefore w:val="0"/>
        <w:widowControl w:val="0"/>
        <w:numPr>
          <w:ilvl w:val="0"/>
          <w:numId w:val="0"/>
        </w:numPr>
        <w:kinsoku/>
        <w:wordWrap/>
        <w:overflowPunct/>
        <w:topLinePunct w:val="0"/>
        <w:bidi w:val="0"/>
        <w:snapToGrid/>
        <w:spacing w:line="600" w:lineRule="exact"/>
        <w:ind w:left="10" w:leftChars="0" w:firstLine="537" w:firstLineChars="168"/>
        <w:textAlignment w:val="auto"/>
        <w:rPr>
          <w:rFonts w:hint="eastAsia" w:ascii="方正仿宋_GB2312" w:hAnsi="方正仿宋_GB2312" w:eastAsia="方正仿宋_GB2312" w:cs="方正仿宋_GB2312"/>
          <w:sz w:val="32"/>
          <w:szCs w:val="32"/>
          <w:highlight w:val="none"/>
          <w:lang w:eastAsia="zh-CN"/>
        </w:rPr>
      </w:pPr>
      <w:r>
        <w:rPr>
          <w:rFonts w:hint="eastAsia" w:ascii="方正仿宋_GB2312" w:hAnsi="方正仿宋_GB2312" w:eastAsia="方正仿宋_GB2312" w:cs="方正仿宋_GB2312"/>
          <w:sz w:val="32"/>
          <w:szCs w:val="32"/>
          <w:highlight w:val="none"/>
        </w:rPr>
        <w:t>年初预算为</w:t>
      </w:r>
      <w:r>
        <w:rPr>
          <w:rFonts w:hint="eastAsia" w:ascii="方正仿宋_GB2312" w:hAnsi="方正仿宋_GB2312" w:eastAsia="方正仿宋_GB2312" w:cs="方正仿宋_GB2312"/>
          <w:sz w:val="32"/>
          <w:szCs w:val="32"/>
          <w:highlight w:val="none"/>
          <w:lang w:val="en-US" w:eastAsia="zh-CN"/>
        </w:rPr>
        <w:t>55.87</w:t>
      </w:r>
      <w:r>
        <w:rPr>
          <w:rFonts w:hint="eastAsia" w:ascii="方正仿宋_GB2312" w:hAnsi="方正仿宋_GB2312" w:eastAsia="方正仿宋_GB2312" w:cs="方正仿宋_GB2312"/>
          <w:sz w:val="32"/>
          <w:szCs w:val="32"/>
          <w:highlight w:val="none"/>
        </w:rPr>
        <w:t>万元，支出决算为</w:t>
      </w:r>
      <w:r>
        <w:rPr>
          <w:rFonts w:hint="eastAsia" w:ascii="方正仿宋_GB2312" w:hAnsi="方正仿宋_GB2312" w:eastAsia="方正仿宋_GB2312" w:cs="方正仿宋_GB2312"/>
          <w:sz w:val="32"/>
          <w:szCs w:val="32"/>
          <w:highlight w:val="none"/>
          <w:lang w:val="en-US" w:eastAsia="zh-CN"/>
        </w:rPr>
        <w:t>58.71</w:t>
      </w:r>
      <w:r>
        <w:rPr>
          <w:rFonts w:hint="eastAsia" w:ascii="方正仿宋_GB2312" w:hAnsi="方正仿宋_GB2312" w:eastAsia="方正仿宋_GB2312" w:cs="方正仿宋_GB2312"/>
          <w:sz w:val="32"/>
          <w:szCs w:val="32"/>
          <w:highlight w:val="none"/>
        </w:rPr>
        <w:t>万元，决算数</w:t>
      </w:r>
      <w:r>
        <w:rPr>
          <w:rFonts w:hint="eastAsia" w:ascii="方正仿宋_GB2312" w:hAnsi="方正仿宋_GB2312" w:eastAsia="方正仿宋_GB2312" w:cs="方正仿宋_GB2312"/>
          <w:sz w:val="32"/>
          <w:szCs w:val="32"/>
          <w:highlight w:val="none"/>
          <w:lang w:eastAsia="zh-CN"/>
        </w:rPr>
        <w:t>大</w:t>
      </w:r>
      <w:r>
        <w:rPr>
          <w:rFonts w:hint="eastAsia" w:ascii="方正仿宋_GB2312" w:hAnsi="方正仿宋_GB2312" w:eastAsia="方正仿宋_GB2312" w:cs="方正仿宋_GB2312"/>
          <w:sz w:val="32"/>
          <w:szCs w:val="32"/>
          <w:highlight w:val="none"/>
        </w:rPr>
        <w:t>于年初预算数的主要原因是：</w:t>
      </w:r>
      <w:r>
        <w:rPr>
          <w:rFonts w:hint="eastAsia" w:ascii="方正仿宋_GB2312" w:hAnsi="方正仿宋_GB2312" w:eastAsia="方正仿宋_GB2312" w:cs="方正仿宋_GB2312"/>
          <w:sz w:val="32"/>
          <w:szCs w:val="32"/>
          <w:lang w:eastAsia="zh-CN"/>
        </w:rPr>
        <w:t>本</w:t>
      </w:r>
      <w:r>
        <w:rPr>
          <w:rFonts w:hint="eastAsia" w:ascii="方正仿宋_GB2312" w:hAnsi="方正仿宋_GB2312" w:eastAsia="方正仿宋_GB2312" w:cs="方正仿宋_GB2312"/>
          <w:sz w:val="32"/>
          <w:szCs w:val="32"/>
        </w:rPr>
        <w:t>年度内新增</w:t>
      </w:r>
      <w:r>
        <w:rPr>
          <w:rFonts w:hint="eastAsia" w:ascii="方正仿宋_GB2312" w:hAnsi="方正仿宋_GB2312" w:eastAsia="方正仿宋_GB2312" w:cs="方正仿宋_GB2312"/>
          <w:sz w:val="32"/>
          <w:szCs w:val="32"/>
          <w:lang w:eastAsia="zh-CN"/>
        </w:rPr>
        <w:t>在职</w:t>
      </w:r>
      <w:r>
        <w:rPr>
          <w:rFonts w:hint="eastAsia" w:ascii="方正仿宋_GB2312" w:hAnsi="方正仿宋_GB2312" w:eastAsia="方正仿宋_GB2312" w:cs="方正仿宋_GB2312"/>
          <w:sz w:val="32"/>
          <w:szCs w:val="32"/>
        </w:rPr>
        <w:t>人员，</w:t>
      </w:r>
      <w:r>
        <w:rPr>
          <w:rFonts w:hint="eastAsia" w:ascii="方正仿宋_GB2312" w:hAnsi="方正仿宋_GB2312" w:eastAsia="方正仿宋_GB2312" w:cs="方正仿宋_GB2312"/>
          <w:sz w:val="32"/>
          <w:szCs w:val="32"/>
          <w:lang w:eastAsia="zh-CN"/>
        </w:rPr>
        <w:t>所以公积金</w:t>
      </w:r>
      <w:r>
        <w:rPr>
          <w:rFonts w:hint="eastAsia" w:ascii="方正仿宋_GB2312" w:hAnsi="方正仿宋_GB2312" w:eastAsia="方正仿宋_GB2312" w:cs="方正仿宋_GB2312"/>
          <w:sz w:val="32"/>
          <w:szCs w:val="32"/>
        </w:rPr>
        <w:t>缴费基数总额</w:t>
      </w:r>
      <w:r>
        <w:rPr>
          <w:rFonts w:hint="eastAsia" w:ascii="方正仿宋_GB2312" w:hAnsi="方正仿宋_GB2312" w:eastAsia="方正仿宋_GB2312" w:cs="方正仿宋_GB2312"/>
          <w:sz w:val="32"/>
          <w:szCs w:val="32"/>
          <w:lang w:eastAsia="zh-CN"/>
        </w:rPr>
        <w:t>有</w:t>
      </w:r>
      <w:r>
        <w:rPr>
          <w:rFonts w:hint="eastAsia" w:ascii="方正仿宋_GB2312" w:hAnsi="方正仿宋_GB2312" w:eastAsia="方正仿宋_GB2312" w:cs="方正仿宋_GB2312"/>
          <w:sz w:val="32"/>
          <w:szCs w:val="32"/>
        </w:rPr>
        <w:t>增加，相</w:t>
      </w:r>
      <w:r>
        <w:rPr>
          <w:rFonts w:hint="eastAsia" w:ascii="方正仿宋_GB2312" w:hAnsi="方正仿宋_GB2312" w:eastAsia="方正仿宋_GB2312" w:cs="方正仿宋_GB2312"/>
          <w:sz w:val="32"/>
          <w:szCs w:val="32"/>
          <w:lang w:eastAsia="zh-CN"/>
        </w:rPr>
        <w:t>应住房公积金的</w:t>
      </w:r>
      <w:r>
        <w:rPr>
          <w:rFonts w:hint="eastAsia" w:ascii="方正仿宋_GB2312" w:hAnsi="方正仿宋_GB2312" w:eastAsia="方正仿宋_GB2312" w:cs="方正仿宋_GB2312"/>
          <w:sz w:val="32"/>
          <w:szCs w:val="32"/>
        </w:rPr>
        <w:t>支出</w:t>
      </w:r>
      <w:r>
        <w:rPr>
          <w:rFonts w:hint="eastAsia" w:ascii="方正仿宋_GB2312" w:hAnsi="方正仿宋_GB2312" w:eastAsia="方正仿宋_GB2312" w:cs="方正仿宋_GB2312"/>
          <w:sz w:val="32"/>
          <w:szCs w:val="32"/>
          <w:lang w:eastAsia="zh-CN"/>
        </w:rPr>
        <w:t>也有增加</w:t>
      </w:r>
      <w:r>
        <w:rPr>
          <w:rFonts w:hint="eastAsia" w:ascii="方正仿宋_GB2312" w:hAnsi="方正仿宋_GB2312" w:eastAsia="方正仿宋_GB2312" w:cs="方正仿宋_GB2312"/>
          <w:sz w:val="32"/>
          <w:szCs w:val="32"/>
        </w:rPr>
        <w:t>。</w:t>
      </w:r>
    </w:p>
    <w:p w14:paraId="78BBA625">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highlight w:val="none"/>
          <w:lang w:eastAsia="zh-CN"/>
        </w:rPr>
      </w:pPr>
    </w:p>
    <w:p w14:paraId="008D5CD8">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方正仿宋_GB2312" w:hAnsi="方正仿宋_GB2312" w:eastAsia="方正仿宋_GB2312" w:cs="方正仿宋_GB2312"/>
          <w:sz w:val="32"/>
          <w:szCs w:val="32"/>
          <w:lang w:eastAsia="zh-CN"/>
        </w:rPr>
      </w:pPr>
    </w:p>
    <w:p w14:paraId="276E3DC2">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yellow"/>
        </w:rPr>
      </w:pPr>
      <w:r>
        <w:rPr>
          <w:rFonts w:hint="eastAsia" w:ascii="黑体" w:hAnsi="黑体" w:eastAsia="黑体" w:cs="黑体"/>
          <w:b w:val="0"/>
          <w:bCs/>
          <w:sz w:val="32"/>
          <w:szCs w:val="32"/>
          <w:highlight w:val="none"/>
        </w:rPr>
        <w:t>六、一般公共预算财政拨款基本支出决算情况说明</w:t>
      </w:r>
    </w:p>
    <w:p w14:paraId="702A28EB">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年度财政拨款基本支出</w:t>
      </w:r>
      <w:r>
        <w:rPr>
          <w:rFonts w:hint="eastAsia" w:ascii="方正仿宋_GB2312" w:hAnsi="方正仿宋_GB2312" w:eastAsia="方正仿宋_GB2312" w:cs="方正仿宋_GB2312"/>
          <w:sz w:val="32"/>
          <w:szCs w:val="32"/>
          <w:lang w:val="en-US" w:eastAsia="zh-CN"/>
        </w:rPr>
        <w:t>771.13</w:t>
      </w:r>
      <w:r>
        <w:rPr>
          <w:rFonts w:hint="eastAsia" w:ascii="方正仿宋_GB2312" w:hAnsi="方正仿宋_GB2312" w:eastAsia="方正仿宋_GB2312" w:cs="方正仿宋_GB2312"/>
          <w:sz w:val="32"/>
          <w:szCs w:val="32"/>
        </w:rPr>
        <w:t>万元，其中：</w:t>
      </w:r>
    </w:p>
    <w:p w14:paraId="73528D52">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rPr>
        <w:t>人员经费</w:t>
      </w:r>
      <w:r>
        <w:rPr>
          <w:rFonts w:hint="eastAsia" w:ascii="方正仿宋_GB2312" w:hAnsi="方正仿宋_GB2312" w:eastAsia="方正仿宋_GB2312" w:cs="方正仿宋_GB2312"/>
          <w:sz w:val="32"/>
          <w:szCs w:val="32"/>
          <w:lang w:val="en-US" w:eastAsia="zh-CN"/>
        </w:rPr>
        <w:t>713.68</w:t>
      </w:r>
      <w:r>
        <w:rPr>
          <w:rFonts w:hint="eastAsia" w:ascii="方正仿宋_GB2312" w:hAnsi="方正仿宋_GB2312" w:eastAsia="方正仿宋_GB2312" w:cs="方正仿宋_GB2312"/>
          <w:sz w:val="32"/>
          <w:szCs w:val="32"/>
        </w:rPr>
        <w:t>万元，占基本支出的</w:t>
      </w:r>
      <w:r>
        <w:rPr>
          <w:rFonts w:hint="eastAsia" w:ascii="方正仿宋_GB2312" w:hAnsi="方正仿宋_GB2312" w:eastAsia="方正仿宋_GB2312" w:cs="方正仿宋_GB2312"/>
          <w:sz w:val="32"/>
          <w:szCs w:val="32"/>
          <w:lang w:val="en-US" w:eastAsia="zh-CN"/>
        </w:rPr>
        <w:t>92.55</w:t>
      </w:r>
      <w:r>
        <w:rPr>
          <w:rFonts w:hint="eastAsia" w:ascii="方正仿宋_GB2312" w:hAnsi="方正仿宋_GB2312" w:eastAsia="方正仿宋_GB2312" w:cs="方正仿宋_GB2312"/>
          <w:sz w:val="32"/>
          <w:szCs w:val="32"/>
        </w:rPr>
        <w:t>%,主要包括基本工资、津贴补贴、奖金、</w:t>
      </w:r>
      <w:r>
        <w:rPr>
          <w:rFonts w:hint="eastAsia" w:ascii="方正仿宋_GB2312" w:hAnsi="方正仿宋_GB2312" w:eastAsia="方正仿宋_GB2312" w:cs="方正仿宋_GB2312"/>
          <w:sz w:val="32"/>
          <w:szCs w:val="32"/>
          <w:lang w:eastAsia="zh-CN"/>
        </w:rPr>
        <w:t>社会保险缴费等。</w:t>
      </w:r>
    </w:p>
    <w:p w14:paraId="17E81CBA">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公用经费</w:t>
      </w:r>
      <w:r>
        <w:rPr>
          <w:rFonts w:hint="eastAsia" w:ascii="方正仿宋_GB2312" w:hAnsi="方正仿宋_GB2312" w:eastAsia="方正仿宋_GB2312" w:cs="方正仿宋_GB2312"/>
          <w:b w:val="0"/>
          <w:bCs w:val="0"/>
          <w:sz w:val="32"/>
          <w:szCs w:val="32"/>
          <w:lang w:val="en-US" w:eastAsia="zh-CN"/>
        </w:rPr>
        <w:t>57.45</w:t>
      </w:r>
      <w:r>
        <w:rPr>
          <w:rFonts w:hint="eastAsia" w:ascii="方正仿宋_GB2312" w:hAnsi="方正仿宋_GB2312" w:eastAsia="方正仿宋_GB2312" w:cs="方正仿宋_GB2312"/>
          <w:sz w:val="32"/>
          <w:szCs w:val="32"/>
        </w:rPr>
        <w:t>万元，占基本支出的</w:t>
      </w:r>
      <w:r>
        <w:rPr>
          <w:rFonts w:hint="eastAsia" w:ascii="方正仿宋_GB2312" w:hAnsi="方正仿宋_GB2312" w:eastAsia="方正仿宋_GB2312" w:cs="方正仿宋_GB2312"/>
          <w:sz w:val="32"/>
          <w:szCs w:val="32"/>
          <w:lang w:val="en-US" w:eastAsia="zh-CN"/>
        </w:rPr>
        <w:t>7.45</w:t>
      </w:r>
      <w:r>
        <w:rPr>
          <w:rFonts w:hint="eastAsia" w:ascii="方正仿宋_GB2312" w:hAnsi="方正仿宋_GB2312" w:eastAsia="方正仿宋_GB2312" w:cs="方正仿宋_GB2312"/>
          <w:sz w:val="32"/>
          <w:szCs w:val="32"/>
        </w:rPr>
        <w:t>%，主要包括办公费、</w:t>
      </w:r>
      <w:r>
        <w:rPr>
          <w:rFonts w:hint="eastAsia" w:ascii="方正仿宋_GB2312" w:hAnsi="方正仿宋_GB2312" w:eastAsia="方正仿宋_GB2312" w:cs="方正仿宋_GB2312"/>
          <w:sz w:val="32"/>
          <w:szCs w:val="32"/>
          <w:lang w:eastAsia="zh-CN"/>
        </w:rPr>
        <w:t>邮电费</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差旅</w:t>
      </w:r>
      <w:r>
        <w:rPr>
          <w:rFonts w:hint="eastAsia" w:ascii="方正仿宋_GB2312" w:hAnsi="方正仿宋_GB2312" w:eastAsia="方正仿宋_GB2312" w:cs="方正仿宋_GB2312"/>
          <w:sz w:val="32"/>
          <w:szCs w:val="32"/>
        </w:rPr>
        <w:t>费</w:t>
      </w:r>
      <w:r>
        <w:rPr>
          <w:rFonts w:hint="eastAsia" w:ascii="方正仿宋_GB2312" w:hAnsi="方正仿宋_GB2312" w:eastAsia="方正仿宋_GB2312" w:cs="方正仿宋_GB2312"/>
          <w:sz w:val="32"/>
          <w:szCs w:val="32"/>
          <w:lang w:eastAsia="zh-CN"/>
        </w:rPr>
        <w:t>、公务接待费等</w:t>
      </w:r>
      <w:r>
        <w:rPr>
          <w:rFonts w:hint="eastAsia" w:ascii="方正仿宋_GB2312" w:hAnsi="方正仿宋_GB2312" w:eastAsia="方正仿宋_GB2312" w:cs="方正仿宋_GB2312"/>
          <w:sz w:val="32"/>
          <w:szCs w:val="32"/>
        </w:rPr>
        <w:t>。</w:t>
      </w:r>
    </w:p>
    <w:p w14:paraId="0F439A03">
      <w:pPr>
        <w:pStyle w:val="19"/>
        <w:keepNext w:val="0"/>
        <w:keepLines w:val="0"/>
        <w:pageBreakBefore w:val="0"/>
        <w:widowControl w:val="0"/>
        <w:numPr>
          <w:ilvl w:val="0"/>
          <w:numId w:val="6"/>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财政拨款三公经费支出决算情况说明</w:t>
      </w:r>
    </w:p>
    <w:p w14:paraId="5E340AE5">
      <w:pPr>
        <w:pStyle w:val="19"/>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w:t>
      </w:r>
      <w:r>
        <w:rPr>
          <w:rFonts w:hint="eastAsia" w:ascii="楷体" w:hAnsi="楷体" w:eastAsia="楷体" w:cs="楷体"/>
          <w:b/>
          <w:bCs w:val="0"/>
          <w:sz w:val="32"/>
          <w:szCs w:val="32"/>
          <w:highlight w:val="none"/>
        </w:rPr>
        <w:t>“三公”经费财政拨款支出决算</w:t>
      </w:r>
      <w:r>
        <w:rPr>
          <w:rFonts w:hint="eastAsia" w:ascii="楷体" w:hAnsi="楷体" w:eastAsia="楷体" w:cs="楷体"/>
          <w:b/>
          <w:bCs w:val="0"/>
          <w:sz w:val="32"/>
          <w:szCs w:val="32"/>
        </w:rPr>
        <w:t>总体情况说明</w:t>
      </w:r>
    </w:p>
    <w:p w14:paraId="7CA15FE6">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“三公”经费财政拨款支出预算为</w:t>
      </w:r>
      <w:r>
        <w:rPr>
          <w:rFonts w:hint="eastAsia" w:ascii="方正仿宋_GB2312" w:hAnsi="方正仿宋_GB2312" w:eastAsia="方正仿宋_GB2312" w:cs="方正仿宋_GB2312"/>
          <w:color w:val="auto"/>
          <w:sz w:val="32"/>
          <w:szCs w:val="32"/>
          <w:lang w:val="en-US" w:eastAsia="zh-CN"/>
        </w:rPr>
        <w:t>1.45</w:t>
      </w:r>
      <w:r>
        <w:rPr>
          <w:rFonts w:hint="eastAsia" w:ascii="方正仿宋_GB2312" w:hAnsi="方正仿宋_GB2312" w:eastAsia="方正仿宋_GB2312" w:cs="方正仿宋_GB2312"/>
          <w:color w:val="auto"/>
          <w:sz w:val="32"/>
          <w:szCs w:val="32"/>
        </w:rPr>
        <w:t>万元，支出决算为</w:t>
      </w:r>
      <w:r>
        <w:rPr>
          <w:rFonts w:hint="eastAsia" w:ascii="方正仿宋_GB2312" w:hAnsi="方正仿宋_GB2312" w:eastAsia="方正仿宋_GB2312" w:cs="方正仿宋_GB2312"/>
          <w:color w:val="auto"/>
          <w:sz w:val="32"/>
          <w:szCs w:val="32"/>
          <w:lang w:val="en-US" w:eastAsia="zh-CN"/>
        </w:rPr>
        <w:t>1.45</w:t>
      </w:r>
      <w:r>
        <w:rPr>
          <w:rFonts w:hint="eastAsia" w:ascii="方正仿宋_GB2312" w:hAnsi="方正仿宋_GB2312" w:eastAsia="方正仿宋_GB2312" w:cs="方正仿宋_GB2312"/>
          <w:color w:val="auto"/>
          <w:sz w:val="32"/>
          <w:szCs w:val="32"/>
        </w:rPr>
        <w:t>万元，完成预算的</w:t>
      </w:r>
      <w:r>
        <w:rPr>
          <w:rFonts w:hint="eastAsia" w:ascii="方正仿宋_GB2312" w:hAnsi="方正仿宋_GB2312" w:eastAsia="方正仿宋_GB2312" w:cs="方正仿宋_GB2312"/>
          <w:color w:val="auto"/>
          <w:sz w:val="32"/>
          <w:szCs w:val="32"/>
          <w:lang w:val="en-US" w:eastAsia="zh-CN"/>
        </w:rPr>
        <w:t>100</w:t>
      </w:r>
      <w:r>
        <w:rPr>
          <w:rFonts w:hint="eastAsia" w:ascii="方正仿宋_GB2312" w:hAnsi="方正仿宋_GB2312" w:eastAsia="方正仿宋_GB2312" w:cs="方正仿宋_GB2312"/>
          <w:color w:val="auto"/>
          <w:sz w:val="32"/>
          <w:szCs w:val="32"/>
        </w:rPr>
        <w:t>%。与上年相比</w:t>
      </w:r>
      <w:r>
        <w:rPr>
          <w:rFonts w:hint="eastAsia" w:ascii="方正仿宋_GB2312" w:hAnsi="方正仿宋_GB2312" w:eastAsia="方正仿宋_GB2312" w:cs="方正仿宋_GB2312"/>
          <w:color w:val="auto"/>
          <w:sz w:val="32"/>
          <w:szCs w:val="32"/>
          <w:lang w:eastAsia="zh-CN"/>
        </w:rPr>
        <w:t>增加</w:t>
      </w:r>
      <w:r>
        <w:rPr>
          <w:rFonts w:hint="eastAsia" w:ascii="方正仿宋_GB2312" w:hAnsi="方正仿宋_GB2312" w:eastAsia="方正仿宋_GB2312" w:cs="方正仿宋_GB2312"/>
          <w:color w:val="auto"/>
          <w:sz w:val="32"/>
          <w:szCs w:val="32"/>
          <w:lang w:val="en-US" w:eastAsia="zh-CN"/>
        </w:rPr>
        <w:t>0.29</w:t>
      </w:r>
      <w:r>
        <w:rPr>
          <w:rFonts w:hint="eastAsia" w:ascii="方正仿宋_GB2312" w:hAnsi="方正仿宋_GB2312" w:eastAsia="方正仿宋_GB2312" w:cs="方正仿宋_GB2312"/>
          <w:color w:val="auto"/>
          <w:sz w:val="32"/>
          <w:szCs w:val="32"/>
        </w:rPr>
        <w:t>万元，</w:t>
      </w:r>
      <w:r>
        <w:rPr>
          <w:rFonts w:hint="eastAsia" w:ascii="方正仿宋_GB2312" w:hAnsi="方正仿宋_GB2312" w:eastAsia="方正仿宋_GB2312" w:cs="方正仿宋_GB2312"/>
          <w:color w:val="auto"/>
          <w:sz w:val="32"/>
          <w:szCs w:val="32"/>
          <w:lang w:eastAsia="zh-CN"/>
        </w:rPr>
        <w:t>增加</w:t>
      </w:r>
      <w:r>
        <w:rPr>
          <w:rFonts w:hint="eastAsia" w:ascii="方正仿宋_GB2312" w:hAnsi="方正仿宋_GB2312" w:eastAsia="方正仿宋_GB2312" w:cs="方正仿宋_GB2312"/>
          <w:color w:val="auto"/>
          <w:sz w:val="32"/>
          <w:szCs w:val="32"/>
          <w:lang w:val="en-US" w:eastAsia="zh-CN"/>
        </w:rPr>
        <w:t>25</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val="en-US" w:eastAsia="zh-CN"/>
        </w:rPr>
        <w:t xml:space="preserve"> 增加</w:t>
      </w:r>
      <w:r>
        <w:rPr>
          <w:rFonts w:hint="eastAsia" w:ascii="方正仿宋_GB2312" w:hAnsi="方正仿宋_GB2312" w:eastAsia="方正仿宋_GB2312" w:cs="方正仿宋_GB2312"/>
          <w:color w:val="auto"/>
          <w:sz w:val="32"/>
          <w:szCs w:val="32"/>
        </w:rPr>
        <w:t>的主要原因是本年人社局划拨一台公务用车到本中心</w:t>
      </w:r>
      <w:r>
        <w:rPr>
          <w:rFonts w:hint="eastAsia" w:ascii="方正仿宋_GB2312" w:hAnsi="方正仿宋_GB2312" w:eastAsia="方正仿宋_GB2312" w:cs="方正仿宋_GB2312"/>
          <w:color w:val="auto"/>
          <w:sz w:val="32"/>
          <w:szCs w:val="32"/>
          <w:lang w:eastAsia="zh-CN"/>
        </w:rPr>
        <w:t>，因此三公经费决算数相比上年度增加。</w:t>
      </w:r>
      <w:r>
        <w:rPr>
          <w:rFonts w:hint="eastAsia" w:ascii="方正仿宋_GB2312" w:hAnsi="方正仿宋_GB2312" w:eastAsia="方正仿宋_GB2312" w:cs="方正仿宋_GB2312"/>
          <w:color w:val="auto"/>
          <w:sz w:val="32"/>
          <w:szCs w:val="32"/>
        </w:rPr>
        <w:t>其中：</w:t>
      </w:r>
    </w:p>
    <w:p w14:paraId="35765344">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color w:val="002060"/>
          <w:sz w:val="32"/>
          <w:szCs w:val="32"/>
          <w:lang w:eastAsia="zh-CN"/>
        </w:rPr>
      </w:pPr>
      <w:r>
        <w:rPr>
          <w:rFonts w:hint="eastAsia" w:ascii="方正仿宋_GB2312" w:hAnsi="方正仿宋_GB2312" w:eastAsia="方正仿宋_GB2312" w:cs="方正仿宋_GB2312"/>
          <w:color w:val="auto"/>
          <w:sz w:val="32"/>
          <w:szCs w:val="32"/>
        </w:rPr>
        <w:t>因公出国（境）费支出预算为</w:t>
      </w:r>
      <w:r>
        <w:rPr>
          <w:rFonts w:hint="eastAsia" w:ascii="方正仿宋_GB2312" w:hAnsi="方正仿宋_GB2312" w:eastAsia="方正仿宋_GB2312" w:cs="方正仿宋_GB2312"/>
          <w:color w:val="auto"/>
          <w:sz w:val="32"/>
          <w:szCs w:val="32"/>
          <w:lang w:val="en-US" w:eastAsia="zh-CN"/>
        </w:rPr>
        <w:t>0</w:t>
      </w:r>
      <w:r>
        <w:rPr>
          <w:rFonts w:hint="eastAsia" w:ascii="方正仿宋_GB2312" w:hAnsi="方正仿宋_GB2312" w:eastAsia="方正仿宋_GB2312" w:cs="方正仿宋_GB2312"/>
          <w:color w:val="auto"/>
          <w:sz w:val="32"/>
          <w:szCs w:val="32"/>
        </w:rPr>
        <w:t>万元，支出决算为</w:t>
      </w:r>
      <w:r>
        <w:rPr>
          <w:rFonts w:hint="eastAsia" w:ascii="方正仿宋_GB2312" w:hAnsi="方正仿宋_GB2312" w:eastAsia="方正仿宋_GB2312" w:cs="方正仿宋_GB2312"/>
          <w:color w:val="auto"/>
          <w:sz w:val="32"/>
          <w:szCs w:val="32"/>
          <w:lang w:val="en-US" w:eastAsia="zh-CN"/>
        </w:rPr>
        <w:t>0</w:t>
      </w:r>
      <w:r>
        <w:rPr>
          <w:rFonts w:hint="eastAsia" w:ascii="方正仿宋_GB2312" w:hAnsi="方正仿宋_GB2312" w:eastAsia="方正仿宋_GB2312" w:cs="方正仿宋_GB2312"/>
          <w:color w:val="auto"/>
          <w:sz w:val="32"/>
          <w:szCs w:val="32"/>
        </w:rPr>
        <w:t>万元</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公务用车购置费支出预算为</w:t>
      </w:r>
      <w:r>
        <w:rPr>
          <w:rFonts w:hint="eastAsia" w:ascii="方正仿宋_GB2312" w:hAnsi="方正仿宋_GB2312" w:eastAsia="方正仿宋_GB2312" w:cs="方正仿宋_GB2312"/>
          <w:color w:val="auto"/>
          <w:sz w:val="32"/>
          <w:szCs w:val="32"/>
          <w:lang w:val="en-US" w:eastAsia="zh-CN"/>
        </w:rPr>
        <w:t>0</w:t>
      </w:r>
      <w:r>
        <w:rPr>
          <w:rFonts w:hint="eastAsia" w:ascii="方正仿宋_GB2312" w:hAnsi="方正仿宋_GB2312" w:eastAsia="方正仿宋_GB2312" w:cs="方正仿宋_GB2312"/>
          <w:color w:val="auto"/>
          <w:sz w:val="32"/>
          <w:szCs w:val="32"/>
        </w:rPr>
        <w:t>万元，支出决算为</w:t>
      </w:r>
      <w:r>
        <w:rPr>
          <w:rFonts w:hint="eastAsia" w:ascii="方正仿宋_GB2312" w:hAnsi="方正仿宋_GB2312" w:eastAsia="方正仿宋_GB2312" w:cs="方正仿宋_GB2312"/>
          <w:color w:val="auto"/>
          <w:sz w:val="32"/>
          <w:szCs w:val="32"/>
          <w:lang w:val="en-US" w:eastAsia="zh-CN"/>
        </w:rPr>
        <w:t>0</w:t>
      </w:r>
      <w:r>
        <w:rPr>
          <w:rFonts w:hint="eastAsia" w:ascii="方正仿宋_GB2312" w:hAnsi="方正仿宋_GB2312" w:eastAsia="方正仿宋_GB2312" w:cs="方正仿宋_GB2312"/>
          <w:color w:val="auto"/>
          <w:sz w:val="32"/>
          <w:szCs w:val="32"/>
        </w:rPr>
        <w:t>万元</w:t>
      </w:r>
      <w:r>
        <w:rPr>
          <w:rFonts w:hint="eastAsia" w:ascii="方正仿宋_GB2312" w:hAnsi="方正仿宋_GB2312" w:eastAsia="方正仿宋_GB2312" w:cs="方正仿宋_GB2312"/>
          <w:color w:val="002060"/>
          <w:sz w:val="32"/>
          <w:szCs w:val="32"/>
        </w:rPr>
        <w:t>。</w:t>
      </w:r>
    </w:p>
    <w:p w14:paraId="3355D011">
      <w:pPr>
        <w:pStyle w:val="19"/>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方正仿宋_GB2312" w:hAnsi="方正仿宋_GB2312" w:eastAsia="方正仿宋_GB2312" w:cs="方正仿宋_GB2312"/>
          <w:color w:val="002060"/>
          <w:sz w:val="32"/>
          <w:szCs w:val="32"/>
        </w:rPr>
      </w:pPr>
      <w:r>
        <w:rPr>
          <w:rFonts w:hint="eastAsia" w:ascii="方正仿宋_GB2312" w:hAnsi="方正仿宋_GB2312" w:eastAsia="方正仿宋_GB2312" w:cs="方正仿宋_GB2312"/>
          <w:color w:val="auto"/>
          <w:sz w:val="32"/>
          <w:szCs w:val="32"/>
        </w:rPr>
        <w:t>公务接待费支出预算为</w:t>
      </w:r>
      <w:r>
        <w:rPr>
          <w:rFonts w:hint="eastAsia" w:ascii="方正仿宋_GB2312" w:hAnsi="方正仿宋_GB2312" w:eastAsia="方正仿宋_GB2312" w:cs="方正仿宋_GB2312"/>
          <w:color w:val="auto"/>
          <w:sz w:val="32"/>
          <w:szCs w:val="32"/>
          <w:lang w:val="en-US" w:eastAsia="zh-CN"/>
        </w:rPr>
        <w:t>0.15</w:t>
      </w:r>
      <w:r>
        <w:rPr>
          <w:rFonts w:hint="eastAsia" w:ascii="方正仿宋_GB2312" w:hAnsi="方正仿宋_GB2312" w:eastAsia="方正仿宋_GB2312" w:cs="方正仿宋_GB2312"/>
          <w:color w:val="auto"/>
          <w:sz w:val="32"/>
          <w:szCs w:val="32"/>
        </w:rPr>
        <w:t>万元，支出决算为</w:t>
      </w:r>
      <w:r>
        <w:rPr>
          <w:rFonts w:hint="eastAsia" w:ascii="方正仿宋_GB2312" w:hAnsi="方正仿宋_GB2312" w:eastAsia="方正仿宋_GB2312" w:cs="方正仿宋_GB2312"/>
          <w:color w:val="auto"/>
          <w:sz w:val="32"/>
          <w:szCs w:val="32"/>
          <w:lang w:val="en-US" w:eastAsia="zh-CN"/>
        </w:rPr>
        <w:t>0.15</w:t>
      </w:r>
      <w:r>
        <w:rPr>
          <w:rFonts w:hint="eastAsia" w:ascii="方正仿宋_GB2312" w:hAnsi="方正仿宋_GB2312" w:eastAsia="方正仿宋_GB2312" w:cs="方正仿宋_GB2312"/>
          <w:color w:val="auto"/>
          <w:sz w:val="32"/>
          <w:szCs w:val="32"/>
        </w:rPr>
        <w:t>万元，完成预算的</w:t>
      </w:r>
      <w:r>
        <w:rPr>
          <w:rFonts w:hint="eastAsia" w:ascii="方正仿宋_GB2312" w:hAnsi="方正仿宋_GB2312" w:eastAsia="方正仿宋_GB2312" w:cs="方正仿宋_GB2312"/>
          <w:color w:val="auto"/>
          <w:sz w:val="32"/>
          <w:szCs w:val="32"/>
          <w:lang w:val="en-US" w:eastAsia="zh-CN"/>
        </w:rPr>
        <w:t>100</w:t>
      </w:r>
      <w:r>
        <w:rPr>
          <w:rFonts w:hint="eastAsia" w:ascii="方正仿宋_GB2312" w:hAnsi="方正仿宋_GB2312" w:eastAsia="方正仿宋_GB2312" w:cs="方正仿宋_GB2312"/>
          <w:color w:val="auto"/>
          <w:sz w:val="32"/>
          <w:szCs w:val="32"/>
        </w:rPr>
        <w:t>%。与上年相比减少</w:t>
      </w:r>
      <w:r>
        <w:rPr>
          <w:rFonts w:hint="eastAsia" w:ascii="方正仿宋_GB2312" w:hAnsi="方正仿宋_GB2312" w:eastAsia="方正仿宋_GB2312" w:cs="方正仿宋_GB2312"/>
          <w:color w:val="auto"/>
          <w:sz w:val="32"/>
          <w:szCs w:val="32"/>
          <w:lang w:val="en-US" w:eastAsia="zh-CN"/>
        </w:rPr>
        <w:t>1.01</w:t>
      </w:r>
      <w:r>
        <w:rPr>
          <w:rFonts w:hint="eastAsia" w:ascii="方正仿宋_GB2312" w:hAnsi="方正仿宋_GB2312" w:eastAsia="方正仿宋_GB2312" w:cs="方正仿宋_GB2312"/>
          <w:color w:val="auto"/>
          <w:sz w:val="32"/>
          <w:szCs w:val="32"/>
        </w:rPr>
        <w:t>万元，减少</w:t>
      </w:r>
      <w:r>
        <w:rPr>
          <w:rFonts w:hint="eastAsia" w:ascii="方正仿宋_GB2312" w:hAnsi="方正仿宋_GB2312" w:eastAsia="方正仿宋_GB2312" w:cs="方正仿宋_GB2312"/>
          <w:color w:val="auto"/>
          <w:sz w:val="32"/>
          <w:szCs w:val="32"/>
          <w:lang w:val="en-US" w:eastAsia="zh-CN"/>
        </w:rPr>
        <w:t>87.07</w:t>
      </w:r>
      <w:r>
        <w:rPr>
          <w:rFonts w:hint="eastAsia" w:ascii="方正仿宋_GB2312" w:hAnsi="方正仿宋_GB2312" w:eastAsia="方正仿宋_GB2312" w:cs="方正仿宋_GB2312"/>
          <w:color w:val="auto"/>
          <w:sz w:val="32"/>
          <w:szCs w:val="32"/>
        </w:rPr>
        <w:t>%,减少的主要原因是</w:t>
      </w:r>
      <w:r>
        <w:rPr>
          <w:rFonts w:hint="eastAsia" w:ascii="方正仿宋_GB2312" w:hAnsi="方正仿宋_GB2312" w:eastAsia="方正仿宋_GB2312" w:cs="方正仿宋_GB2312"/>
          <w:color w:val="auto"/>
          <w:sz w:val="32"/>
          <w:szCs w:val="32"/>
          <w:lang w:eastAsia="zh-CN"/>
        </w:rPr>
        <w:t>严格按照八项规定和厉行节约的各项要求，从严控制公务接待费支出</w:t>
      </w:r>
      <w:r>
        <w:rPr>
          <w:rFonts w:hint="eastAsia" w:ascii="方正仿宋_GB2312" w:hAnsi="方正仿宋_GB2312" w:eastAsia="方正仿宋_GB2312" w:cs="方正仿宋_GB2312"/>
          <w:color w:val="002060"/>
          <w:sz w:val="32"/>
          <w:szCs w:val="32"/>
        </w:rPr>
        <w:t>。</w:t>
      </w:r>
    </w:p>
    <w:p w14:paraId="13B86713">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公务用车运行维护费支出预算为</w:t>
      </w:r>
      <w:r>
        <w:rPr>
          <w:rFonts w:hint="eastAsia" w:ascii="方正仿宋_GB2312" w:hAnsi="方正仿宋_GB2312" w:eastAsia="方正仿宋_GB2312" w:cs="方正仿宋_GB2312"/>
          <w:color w:val="auto"/>
          <w:sz w:val="32"/>
          <w:szCs w:val="32"/>
          <w:lang w:val="en-US" w:eastAsia="zh-CN"/>
        </w:rPr>
        <w:t>1.3</w:t>
      </w:r>
      <w:r>
        <w:rPr>
          <w:rFonts w:hint="eastAsia" w:ascii="方正仿宋_GB2312" w:hAnsi="方正仿宋_GB2312" w:eastAsia="方正仿宋_GB2312" w:cs="方正仿宋_GB2312"/>
          <w:color w:val="auto"/>
          <w:sz w:val="32"/>
          <w:szCs w:val="32"/>
        </w:rPr>
        <w:t>万元，支出决算为</w:t>
      </w:r>
      <w:r>
        <w:rPr>
          <w:rFonts w:hint="eastAsia" w:ascii="方正仿宋_GB2312" w:hAnsi="方正仿宋_GB2312" w:eastAsia="方正仿宋_GB2312" w:cs="方正仿宋_GB2312"/>
          <w:color w:val="auto"/>
          <w:sz w:val="32"/>
          <w:szCs w:val="32"/>
          <w:lang w:val="en-US" w:eastAsia="zh-CN"/>
        </w:rPr>
        <w:t>1.3</w:t>
      </w:r>
      <w:r>
        <w:rPr>
          <w:rFonts w:hint="eastAsia" w:ascii="方正仿宋_GB2312" w:hAnsi="方正仿宋_GB2312" w:eastAsia="方正仿宋_GB2312" w:cs="方正仿宋_GB2312"/>
          <w:color w:val="auto"/>
          <w:sz w:val="32"/>
          <w:szCs w:val="32"/>
        </w:rPr>
        <w:t>万元</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完成预算的</w:t>
      </w:r>
      <w:r>
        <w:rPr>
          <w:rFonts w:hint="eastAsia" w:ascii="方正仿宋_GB2312" w:hAnsi="方正仿宋_GB2312" w:eastAsia="方正仿宋_GB2312" w:cs="方正仿宋_GB2312"/>
          <w:color w:val="auto"/>
          <w:sz w:val="32"/>
          <w:szCs w:val="32"/>
          <w:lang w:val="en-US" w:eastAsia="zh-CN"/>
        </w:rPr>
        <w:t>100</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与上年相比增加</w:t>
      </w:r>
      <w:r>
        <w:rPr>
          <w:rFonts w:hint="eastAsia" w:ascii="方正仿宋_GB2312" w:hAnsi="方正仿宋_GB2312" w:eastAsia="方正仿宋_GB2312" w:cs="方正仿宋_GB2312"/>
          <w:color w:val="auto"/>
          <w:sz w:val="32"/>
          <w:szCs w:val="32"/>
          <w:lang w:val="en-US" w:eastAsia="zh-CN"/>
        </w:rPr>
        <w:t>1.3</w:t>
      </w:r>
      <w:r>
        <w:rPr>
          <w:rFonts w:hint="eastAsia" w:ascii="方正仿宋_GB2312" w:hAnsi="方正仿宋_GB2312" w:eastAsia="方正仿宋_GB2312" w:cs="方正仿宋_GB2312"/>
          <w:color w:val="auto"/>
          <w:sz w:val="32"/>
          <w:szCs w:val="32"/>
        </w:rPr>
        <w:t>万元，增长</w:t>
      </w:r>
      <w:r>
        <w:rPr>
          <w:rFonts w:hint="eastAsia" w:ascii="方正仿宋_GB2312" w:hAnsi="方正仿宋_GB2312" w:eastAsia="方正仿宋_GB2312" w:cs="方正仿宋_GB2312"/>
          <w:color w:val="auto"/>
          <w:sz w:val="32"/>
          <w:szCs w:val="32"/>
          <w:lang w:val="en-US" w:eastAsia="zh-CN"/>
        </w:rPr>
        <w:t>100</w:t>
      </w:r>
      <w:r>
        <w:rPr>
          <w:rFonts w:hint="eastAsia" w:ascii="方正仿宋_GB2312" w:hAnsi="方正仿宋_GB2312" w:eastAsia="方正仿宋_GB2312" w:cs="方正仿宋_GB2312"/>
          <w:color w:val="auto"/>
          <w:sz w:val="32"/>
          <w:szCs w:val="32"/>
        </w:rPr>
        <w:t>%,增长</w:t>
      </w:r>
      <w:r>
        <w:rPr>
          <w:rFonts w:hint="eastAsia" w:ascii="方正仿宋_GB2312" w:hAnsi="方正仿宋_GB2312" w:eastAsia="方正仿宋_GB2312" w:cs="方正仿宋_GB2312"/>
          <w:color w:val="auto"/>
          <w:sz w:val="32"/>
          <w:szCs w:val="32"/>
          <w:lang w:eastAsia="zh-CN"/>
        </w:rPr>
        <w:t>的</w:t>
      </w:r>
      <w:r>
        <w:rPr>
          <w:rFonts w:hint="eastAsia" w:ascii="方正仿宋_GB2312" w:hAnsi="方正仿宋_GB2312" w:eastAsia="方正仿宋_GB2312" w:cs="方正仿宋_GB2312"/>
          <w:color w:val="auto"/>
          <w:sz w:val="32"/>
          <w:szCs w:val="32"/>
        </w:rPr>
        <w:t>主要原因是</w:t>
      </w:r>
      <w:r>
        <w:rPr>
          <w:rFonts w:hint="eastAsia" w:ascii="方正仿宋_GB2312" w:hAnsi="方正仿宋_GB2312" w:eastAsia="方正仿宋_GB2312" w:cs="方正仿宋_GB2312"/>
          <w:color w:val="auto"/>
          <w:sz w:val="32"/>
          <w:szCs w:val="32"/>
          <w:lang w:eastAsia="zh-CN"/>
        </w:rPr>
        <w:t>本年度</w:t>
      </w:r>
      <w:r>
        <w:rPr>
          <w:rFonts w:hint="eastAsia" w:ascii="方正仿宋_GB2312" w:hAnsi="方正仿宋_GB2312" w:eastAsia="方正仿宋_GB2312" w:cs="方正仿宋_GB2312"/>
          <w:color w:val="auto"/>
          <w:sz w:val="32"/>
          <w:szCs w:val="32"/>
        </w:rPr>
        <w:t>人社局划拨一台公务用车到本中心，因此公务用车运行维护费较上年度增加。</w:t>
      </w:r>
    </w:p>
    <w:p w14:paraId="54FBBE0B">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606CA89">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年度“三公”经费财政拨款支出决算中，公务接待费支出决算</w:t>
      </w:r>
      <w:r>
        <w:rPr>
          <w:rFonts w:hint="eastAsia" w:ascii="方正仿宋_GB2312" w:hAnsi="方正仿宋_GB2312" w:eastAsia="方正仿宋_GB2312" w:cs="方正仿宋_GB2312"/>
          <w:sz w:val="32"/>
          <w:szCs w:val="32"/>
          <w:lang w:val="en-US" w:eastAsia="zh-CN"/>
        </w:rPr>
        <w:t>0.15</w:t>
      </w:r>
      <w:r>
        <w:rPr>
          <w:rFonts w:hint="eastAsia" w:ascii="方正仿宋_GB2312" w:hAnsi="方正仿宋_GB2312" w:eastAsia="方正仿宋_GB2312" w:cs="方正仿宋_GB2312"/>
          <w:sz w:val="32"/>
          <w:szCs w:val="32"/>
        </w:rPr>
        <w:t>万元，占</w:t>
      </w:r>
      <w:r>
        <w:rPr>
          <w:rFonts w:hint="eastAsia" w:ascii="方正仿宋_GB2312" w:hAnsi="方正仿宋_GB2312" w:eastAsia="方正仿宋_GB2312" w:cs="方正仿宋_GB2312"/>
          <w:sz w:val="32"/>
          <w:szCs w:val="32"/>
          <w:lang w:val="en-US" w:eastAsia="zh-CN"/>
        </w:rPr>
        <w:t>10.34</w:t>
      </w:r>
      <w:r>
        <w:rPr>
          <w:rFonts w:hint="eastAsia" w:ascii="方正仿宋_GB2312" w:hAnsi="方正仿宋_GB2312" w:eastAsia="方正仿宋_GB2312" w:cs="方正仿宋_GB2312"/>
          <w:sz w:val="32"/>
          <w:szCs w:val="32"/>
        </w:rPr>
        <w:t>%,因公出国（境）费支出决算</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万元,公务用车购置费支出决算</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sz w:val="32"/>
          <w:szCs w:val="32"/>
          <w:lang w:eastAsia="zh-CN"/>
        </w:rPr>
        <w:t>，公务用车</w:t>
      </w:r>
      <w:r>
        <w:rPr>
          <w:rFonts w:hint="eastAsia" w:ascii="方正仿宋_GB2312" w:hAnsi="方正仿宋_GB2312" w:eastAsia="方正仿宋_GB2312" w:cs="方正仿宋_GB2312"/>
          <w:sz w:val="32"/>
          <w:szCs w:val="32"/>
        </w:rPr>
        <w:t>运行维护费支出决算</w:t>
      </w:r>
      <w:r>
        <w:rPr>
          <w:rFonts w:hint="eastAsia" w:ascii="方正仿宋_GB2312" w:hAnsi="方正仿宋_GB2312" w:eastAsia="方正仿宋_GB2312" w:cs="方正仿宋_GB2312"/>
          <w:sz w:val="32"/>
          <w:szCs w:val="32"/>
          <w:lang w:val="en-US" w:eastAsia="zh-CN"/>
        </w:rPr>
        <w:t>1.3</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占</w:t>
      </w:r>
      <w:r>
        <w:rPr>
          <w:rFonts w:hint="eastAsia" w:ascii="方正仿宋_GB2312" w:hAnsi="方正仿宋_GB2312" w:eastAsia="方正仿宋_GB2312" w:cs="方正仿宋_GB2312"/>
          <w:sz w:val="32"/>
          <w:szCs w:val="32"/>
          <w:lang w:val="en-US" w:eastAsia="zh-CN"/>
        </w:rPr>
        <w:t>89.66</w:t>
      </w:r>
      <w:r>
        <w:rPr>
          <w:rFonts w:hint="eastAsia" w:ascii="方正仿宋_GB2312" w:hAnsi="方正仿宋_GB2312" w:eastAsia="方正仿宋_GB2312" w:cs="方正仿宋_GB2312"/>
          <w:sz w:val="32"/>
          <w:szCs w:val="32"/>
        </w:rPr>
        <w:t>%。其中：</w:t>
      </w:r>
    </w:p>
    <w:p w14:paraId="0DAF99E3">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b/>
          <w:bCs/>
          <w:i/>
          <w:color w:val="auto"/>
          <w:sz w:val="32"/>
          <w:szCs w:val="32"/>
          <w:lang w:eastAsia="zh-CN"/>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因公出国（境）费支出决算为</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万元，全年安排因公出国（境）团组</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个，累计</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人次</w:t>
      </w:r>
      <w:r>
        <w:rPr>
          <w:rFonts w:hint="eastAsia" w:ascii="方正仿宋_GB2312" w:hAnsi="方正仿宋_GB2312" w:eastAsia="方正仿宋_GB2312" w:cs="方正仿宋_GB2312"/>
          <w:sz w:val="32"/>
          <w:szCs w:val="32"/>
          <w:lang w:eastAsia="zh-CN"/>
        </w:rPr>
        <w:t>。</w:t>
      </w:r>
    </w:p>
    <w:p w14:paraId="0279F419">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sz w:val="32"/>
          <w:szCs w:val="32"/>
        </w:rPr>
        <w:t>2、公务接待费支出决算为</w:t>
      </w:r>
      <w:r>
        <w:rPr>
          <w:rFonts w:hint="eastAsia" w:ascii="方正仿宋_GB2312" w:hAnsi="方正仿宋_GB2312" w:eastAsia="方正仿宋_GB2312" w:cs="方正仿宋_GB2312"/>
          <w:sz w:val="32"/>
          <w:szCs w:val="32"/>
          <w:lang w:val="en-US" w:eastAsia="zh-CN"/>
        </w:rPr>
        <w:t>0.15</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color w:val="auto"/>
          <w:sz w:val="32"/>
          <w:szCs w:val="32"/>
        </w:rPr>
        <w:t>全年共接待来访团组</w:t>
      </w:r>
      <w:r>
        <w:rPr>
          <w:rFonts w:hint="eastAsia" w:ascii="方正仿宋_GB2312" w:hAnsi="方正仿宋_GB2312" w:eastAsia="方正仿宋_GB2312" w:cs="方正仿宋_GB2312"/>
          <w:color w:val="auto"/>
          <w:sz w:val="32"/>
          <w:szCs w:val="32"/>
          <w:lang w:val="en-US" w:eastAsia="zh-CN"/>
        </w:rPr>
        <w:t>1</w:t>
      </w:r>
    </w:p>
    <w:p w14:paraId="6BA770FB">
      <w:pPr>
        <w:pStyle w:val="19"/>
        <w:keepNext w:val="0"/>
        <w:keepLines w:val="0"/>
        <w:pageBreakBefore w:val="0"/>
        <w:widowControl w:val="0"/>
        <w:tabs>
          <w:tab w:val="left" w:pos="0"/>
        </w:tabs>
        <w:kinsoku/>
        <w:wordWrap/>
        <w:overflowPunct/>
        <w:topLinePunct w:val="0"/>
        <w:bidi w:val="0"/>
        <w:snapToGrid/>
        <w:spacing w:line="600" w:lineRule="exact"/>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rPr>
        <w:t>个、来宾</w:t>
      </w:r>
      <w:r>
        <w:rPr>
          <w:rFonts w:hint="eastAsia" w:ascii="方正仿宋_GB2312" w:hAnsi="方正仿宋_GB2312" w:eastAsia="方正仿宋_GB2312" w:cs="方正仿宋_GB2312"/>
          <w:color w:val="auto"/>
          <w:sz w:val="32"/>
          <w:szCs w:val="32"/>
          <w:lang w:val="en-US" w:eastAsia="zh-CN"/>
        </w:rPr>
        <w:t>11</w:t>
      </w:r>
      <w:r>
        <w:rPr>
          <w:rFonts w:hint="eastAsia" w:ascii="方正仿宋_GB2312" w:hAnsi="方正仿宋_GB2312" w:eastAsia="方正仿宋_GB2312" w:cs="方正仿宋_GB2312"/>
          <w:color w:val="auto"/>
          <w:sz w:val="32"/>
          <w:szCs w:val="32"/>
        </w:rPr>
        <w:t>人次，主要是</w:t>
      </w:r>
      <w:r>
        <w:rPr>
          <w:rFonts w:hint="eastAsia" w:ascii="方正仿宋_GB2312" w:hAnsi="方正仿宋_GB2312" w:eastAsia="方正仿宋_GB2312" w:cs="方正仿宋_GB2312"/>
          <w:color w:val="auto"/>
          <w:sz w:val="32"/>
          <w:szCs w:val="32"/>
          <w:lang w:eastAsia="zh-CN"/>
        </w:rPr>
        <w:t>工作交流汇报</w:t>
      </w:r>
      <w:r>
        <w:rPr>
          <w:rFonts w:hint="eastAsia" w:ascii="方正仿宋_GB2312" w:hAnsi="方正仿宋_GB2312" w:eastAsia="方正仿宋_GB2312" w:cs="方正仿宋_GB2312"/>
          <w:color w:val="auto"/>
          <w:sz w:val="32"/>
          <w:szCs w:val="32"/>
          <w:highlight w:val="none"/>
        </w:rPr>
        <w:t>。</w:t>
      </w:r>
    </w:p>
    <w:p w14:paraId="19F68B40">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方正仿宋_GB2312" w:hAnsi="方正仿宋_GB2312" w:eastAsia="方正仿宋_GB2312" w:cs="方正仿宋_GB2312"/>
          <w:b/>
          <w:bCs/>
          <w:i/>
          <w:color w:val="auto"/>
          <w:kern w:val="0"/>
          <w:sz w:val="32"/>
          <w:szCs w:val="32"/>
          <w:lang w:val="en-US" w:eastAsia="zh-CN" w:bidi="ar-SA"/>
        </w:rPr>
      </w:pPr>
      <w:r>
        <w:rPr>
          <w:rFonts w:hint="eastAsia" w:ascii="方正仿宋_GB2312" w:hAnsi="方正仿宋_GB2312" w:eastAsia="方正仿宋_GB2312" w:cs="方正仿宋_GB2312"/>
          <w:sz w:val="32"/>
          <w:szCs w:val="32"/>
        </w:rPr>
        <w:t>3、公务用车购置费及运行维护费支出决算为</w:t>
      </w:r>
      <w:r>
        <w:rPr>
          <w:rFonts w:hint="eastAsia" w:ascii="方正仿宋_GB2312" w:hAnsi="方正仿宋_GB2312" w:eastAsia="方正仿宋_GB2312" w:cs="方正仿宋_GB2312"/>
          <w:sz w:val="32"/>
          <w:szCs w:val="32"/>
          <w:lang w:val="en-US" w:eastAsia="zh-CN"/>
        </w:rPr>
        <w:t>1.3</w:t>
      </w:r>
      <w:r>
        <w:rPr>
          <w:rFonts w:hint="eastAsia" w:ascii="方正仿宋_GB2312" w:hAnsi="方正仿宋_GB2312" w:eastAsia="方正仿宋_GB2312" w:cs="方正仿宋_GB2312"/>
          <w:sz w:val="32"/>
          <w:szCs w:val="32"/>
        </w:rPr>
        <w:t>万元，其中：公务用车购置费</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万元，公务用车运行维护费</w:t>
      </w:r>
      <w:r>
        <w:rPr>
          <w:rFonts w:hint="eastAsia" w:ascii="方正仿宋_GB2312" w:hAnsi="方正仿宋_GB2312" w:eastAsia="方正仿宋_GB2312" w:cs="方正仿宋_GB2312"/>
          <w:sz w:val="32"/>
          <w:szCs w:val="32"/>
          <w:lang w:val="en-US" w:eastAsia="zh-CN"/>
        </w:rPr>
        <w:t>1.3</w:t>
      </w:r>
      <w:r>
        <w:rPr>
          <w:rFonts w:hint="eastAsia" w:ascii="方正仿宋_GB2312" w:hAnsi="方正仿宋_GB2312" w:eastAsia="方正仿宋_GB2312" w:cs="方正仿宋_GB2312"/>
          <w:sz w:val="32"/>
          <w:szCs w:val="32"/>
        </w:rPr>
        <w:t>万元，截止202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年12月31日，我单位开支财政拨款的公务用车保有量为</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辆。</w:t>
      </w:r>
    </w:p>
    <w:p w14:paraId="7C770EF1">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5AA93D6">
      <w:pPr>
        <w:pStyle w:val="19"/>
        <w:keepNext w:val="0"/>
        <w:keepLines w:val="0"/>
        <w:pageBreakBefore w:val="0"/>
        <w:widowControl w:val="0"/>
        <w:kinsoku/>
        <w:wordWrap/>
        <w:overflowPunct/>
        <w:topLinePunct w:val="0"/>
        <w:bidi w:val="0"/>
        <w:snapToGrid/>
        <w:spacing w:line="600" w:lineRule="exact"/>
        <w:textAlignment w:val="auto"/>
        <w:rPr>
          <w:rFonts w:hint="eastAsia" w:ascii="方正仿宋_GB2312" w:hAnsi="方正仿宋_GB2312" w:eastAsia="方正仿宋_GB2312" w:cs="方正仿宋_GB2312"/>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方正仿宋_GB2312" w:hAnsi="方正仿宋_GB2312" w:eastAsia="方正仿宋_GB2312" w:cs="方正仿宋_GB2312"/>
          <w:sz w:val="32"/>
          <w:szCs w:val="32"/>
        </w:rPr>
        <w:t xml:space="preserve"> 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度本单位无政府性基金收支。</w:t>
      </w:r>
    </w:p>
    <w:p w14:paraId="559045DC">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b/>
          <w:color w:val="auto"/>
          <w:sz w:val="32"/>
          <w:szCs w:val="32"/>
        </w:rPr>
        <w:t>九、</w:t>
      </w:r>
      <w:r>
        <w:rPr>
          <w:rFonts w:hint="eastAsia" w:ascii="黑体" w:hAnsi="黑体" w:eastAsia="黑体" w:cs="黑体"/>
          <w:b w:val="0"/>
          <w:bCs/>
          <w:sz w:val="32"/>
          <w:szCs w:val="32"/>
        </w:rPr>
        <w:t>国有资本经营预算</w:t>
      </w:r>
      <w:r>
        <w:rPr>
          <w:rFonts w:hint="eastAsia" w:ascii="黑体" w:hAnsi="黑体" w:eastAsia="黑体" w:cs="黑体"/>
          <w:b w:val="0"/>
          <w:bCs/>
          <w:sz w:val="32"/>
          <w:szCs w:val="32"/>
          <w:lang w:eastAsia="zh-CN"/>
        </w:rPr>
        <w:t>收入</w:t>
      </w:r>
      <w:r>
        <w:rPr>
          <w:rFonts w:hint="eastAsia" w:ascii="黑体" w:hAnsi="黑体" w:eastAsia="黑体" w:cs="黑体"/>
          <w:b w:val="0"/>
          <w:bCs/>
          <w:sz w:val="32"/>
          <w:szCs w:val="32"/>
        </w:rPr>
        <w:t>支出决算情况说明</w:t>
      </w:r>
    </w:p>
    <w:p w14:paraId="6337CB9A">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 xml:space="preserve"> 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度本单位无国有资本经营预算收入支出。</w:t>
      </w:r>
    </w:p>
    <w:p w14:paraId="6D1649E1">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40FD052F">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本部门202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年度</w:t>
      </w:r>
      <w:r>
        <w:rPr>
          <w:rFonts w:hint="eastAsia" w:ascii="方正仿宋_GB2312" w:hAnsi="方正仿宋_GB2312" w:eastAsia="方正仿宋_GB2312" w:cs="方正仿宋_GB2312"/>
          <w:color w:val="auto"/>
          <w:sz w:val="32"/>
          <w:szCs w:val="32"/>
          <w:highlight w:val="none"/>
        </w:rPr>
        <w:t>机关运行经费支出</w:t>
      </w:r>
      <w:r>
        <w:rPr>
          <w:rFonts w:hint="eastAsia" w:ascii="方正仿宋_GB2312" w:hAnsi="方正仿宋_GB2312" w:eastAsia="方正仿宋_GB2312" w:cs="方正仿宋_GB2312"/>
          <w:color w:val="auto"/>
          <w:sz w:val="32"/>
          <w:szCs w:val="32"/>
          <w:highlight w:val="none"/>
          <w:lang w:val="en-US" w:eastAsia="zh-CN"/>
        </w:rPr>
        <w:t>57.45</w:t>
      </w:r>
      <w:r>
        <w:rPr>
          <w:rFonts w:hint="eastAsia" w:ascii="方正仿宋_GB2312" w:hAnsi="方正仿宋_GB2312" w:eastAsia="方正仿宋_GB2312" w:cs="方正仿宋_GB2312"/>
          <w:sz w:val="32"/>
          <w:szCs w:val="32"/>
        </w:rPr>
        <w:t>万元，比上年决算数</w:t>
      </w:r>
      <w:r>
        <w:rPr>
          <w:rFonts w:hint="eastAsia" w:ascii="方正仿宋_GB2312" w:hAnsi="方正仿宋_GB2312" w:eastAsia="方正仿宋_GB2312" w:cs="方正仿宋_GB2312"/>
          <w:sz w:val="32"/>
          <w:szCs w:val="32"/>
          <w:lang w:eastAsia="zh-CN"/>
        </w:rPr>
        <w:t>减少</w:t>
      </w:r>
      <w:r>
        <w:rPr>
          <w:rFonts w:hint="eastAsia" w:ascii="方正仿宋_GB2312" w:hAnsi="方正仿宋_GB2312" w:eastAsia="方正仿宋_GB2312" w:cs="方正仿宋_GB2312"/>
          <w:sz w:val="32"/>
          <w:szCs w:val="32"/>
          <w:lang w:val="en-US" w:eastAsia="zh-CN"/>
        </w:rPr>
        <w:t>2.42</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sz w:val="32"/>
          <w:szCs w:val="32"/>
          <w:lang w:eastAsia="zh-CN"/>
        </w:rPr>
        <w:t>减少</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%。主要原因是：</w:t>
      </w:r>
      <w:r>
        <w:rPr>
          <w:rFonts w:hint="eastAsia" w:ascii="方正仿宋_GB2312" w:hAnsi="方正仿宋_GB2312" w:eastAsia="方正仿宋_GB2312" w:cs="方正仿宋_GB2312"/>
          <w:sz w:val="32"/>
          <w:szCs w:val="32"/>
          <w:lang w:eastAsia="zh-CN"/>
        </w:rPr>
        <w:t>我中心严格按照八项规定和厉行节约的各项要求，从严控制各项费用开支</w:t>
      </w:r>
      <w:r>
        <w:rPr>
          <w:rFonts w:hint="eastAsia" w:ascii="方正仿宋_GB2312" w:hAnsi="方正仿宋_GB2312" w:eastAsia="方正仿宋_GB2312" w:cs="方正仿宋_GB2312"/>
          <w:sz w:val="32"/>
          <w:szCs w:val="32"/>
        </w:rPr>
        <w:t>。</w:t>
      </w:r>
    </w:p>
    <w:p w14:paraId="52DA1CAA">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23716219">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年本部门开支会议费</w:t>
      </w:r>
      <w:r>
        <w:rPr>
          <w:rFonts w:hint="eastAsia" w:ascii="方正仿宋_GB2312" w:hAnsi="方正仿宋_GB2312" w:eastAsia="方正仿宋_GB2312" w:cs="方正仿宋_GB2312"/>
          <w:sz w:val="32"/>
          <w:szCs w:val="32"/>
          <w:lang w:val="en-US" w:eastAsia="zh-CN"/>
        </w:rPr>
        <w:t>0.39万</w:t>
      </w:r>
      <w:r>
        <w:rPr>
          <w:rFonts w:hint="eastAsia" w:ascii="方正仿宋_GB2312" w:hAnsi="方正仿宋_GB2312" w:eastAsia="方正仿宋_GB2312" w:cs="方正仿宋_GB2312"/>
          <w:sz w:val="32"/>
          <w:szCs w:val="32"/>
        </w:rPr>
        <w:t>元，</w:t>
      </w:r>
      <w:r>
        <w:rPr>
          <w:rFonts w:hint="eastAsia" w:ascii="方正仿宋_GB2312" w:hAnsi="方正仿宋_GB2312" w:eastAsia="方正仿宋_GB2312" w:cs="方正仿宋_GB2312"/>
          <w:sz w:val="32"/>
          <w:szCs w:val="32"/>
          <w:lang w:eastAsia="zh-CN"/>
        </w:rPr>
        <w:t>其中就业中心主任及劳动力调查业务骨干工作会议开支会议费</w:t>
      </w:r>
      <w:r>
        <w:rPr>
          <w:rFonts w:hint="eastAsia" w:ascii="方正仿宋_GB2312" w:hAnsi="方正仿宋_GB2312" w:eastAsia="方正仿宋_GB2312" w:cs="方正仿宋_GB2312"/>
          <w:sz w:val="32"/>
          <w:szCs w:val="32"/>
          <w:lang w:val="en-US" w:eastAsia="zh-CN"/>
        </w:rPr>
        <w:t>0.19万元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用于召开</w:t>
      </w:r>
      <w:r>
        <w:rPr>
          <w:rFonts w:hint="eastAsia" w:ascii="方正仿宋_GB2312" w:hAnsi="方正仿宋_GB2312" w:eastAsia="方正仿宋_GB2312" w:cs="方正仿宋_GB2312"/>
          <w:sz w:val="32"/>
          <w:szCs w:val="32"/>
          <w:lang w:eastAsia="zh-CN"/>
        </w:rPr>
        <w:t>全市就业中心主任座谈</w:t>
      </w:r>
      <w:r>
        <w:rPr>
          <w:rFonts w:hint="eastAsia" w:ascii="方正仿宋_GB2312" w:hAnsi="方正仿宋_GB2312" w:eastAsia="方正仿宋_GB2312" w:cs="方正仿宋_GB2312"/>
          <w:sz w:val="32"/>
          <w:szCs w:val="32"/>
        </w:rPr>
        <w:t>会议，人数</w:t>
      </w:r>
      <w:r>
        <w:rPr>
          <w:rFonts w:hint="eastAsia" w:ascii="方正仿宋_GB2312" w:hAnsi="方正仿宋_GB2312" w:eastAsia="方正仿宋_GB2312" w:cs="方正仿宋_GB2312"/>
          <w:sz w:val="32"/>
          <w:szCs w:val="32"/>
          <w:lang w:val="en-US" w:eastAsia="zh-CN"/>
        </w:rPr>
        <w:t>40</w:t>
      </w:r>
      <w:r>
        <w:rPr>
          <w:rFonts w:hint="eastAsia" w:ascii="方正仿宋_GB2312" w:hAnsi="方正仿宋_GB2312" w:eastAsia="方正仿宋_GB2312" w:cs="方正仿宋_GB2312"/>
          <w:sz w:val="32"/>
          <w:szCs w:val="32"/>
        </w:rPr>
        <w:t>人，内容为</w:t>
      </w:r>
      <w:r>
        <w:rPr>
          <w:rFonts w:hint="eastAsia" w:ascii="方正仿宋_GB2312" w:hAnsi="方正仿宋_GB2312" w:eastAsia="方正仿宋_GB2312" w:cs="方正仿宋_GB2312"/>
          <w:sz w:val="32"/>
          <w:szCs w:val="32"/>
          <w:lang w:eastAsia="zh-CN"/>
        </w:rPr>
        <w:t>总结交流</w:t>
      </w:r>
      <w:r>
        <w:rPr>
          <w:rFonts w:hint="eastAsia" w:ascii="方正仿宋_GB2312" w:hAnsi="方正仿宋_GB2312" w:eastAsia="方正仿宋_GB2312" w:cs="方正仿宋_GB2312"/>
          <w:sz w:val="32"/>
          <w:szCs w:val="32"/>
          <w:lang w:val="en-US" w:eastAsia="zh-CN"/>
        </w:rPr>
        <w:t>2024年上半年全市就业服务工作，分析</w:t>
      </w:r>
      <w:r>
        <w:rPr>
          <w:rFonts w:hint="eastAsia" w:ascii="方正仿宋_GB2312" w:hAnsi="方正仿宋_GB2312" w:eastAsia="方正仿宋_GB2312" w:cs="方正仿宋_GB2312"/>
          <w:sz w:val="32"/>
          <w:szCs w:val="32"/>
          <w:lang w:eastAsia="zh-CN"/>
        </w:rPr>
        <w:t>形势，安排部署</w:t>
      </w:r>
      <w:r>
        <w:rPr>
          <w:rFonts w:hint="eastAsia" w:ascii="方正仿宋_GB2312" w:hAnsi="方正仿宋_GB2312" w:eastAsia="方正仿宋_GB2312" w:cs="方正仿宋_GB2312"/>
          <w:sz w:val="32"/>
          <w:szCs w:val="32"/>
          <w:lang w:val="en-US" w:eastAsia="zh-CN"/>
        </w:rPr>
        <w:t>下半年就业工作；就业工作现场会筹备会议，用于召开全省人社系统就业工作现场会的筹备工作</w:t>
      </w:r>
      <w:r>
        <w:rPr>
          <w:rFonts w:hint="eastAsia" w:ascii="方正仿宋_GB2312" w:hAnsi="方正仿宋_GB2312" w:eastAsia="方正仿宋_GB2312" w:cs="方正仿宋_GB2312"/>
          <w:sz w:val="32"/>
          <w:szCs w:val="32"/>
          <w:lang w:eastAsia="zh-CN"/>
        </w:rPr>
        <w:t>会议开支会议费</w:t>
      </w:r>
      <w:r>
        <w:rPr>
          <w:rFonts w:hint="eastAsia" w:ascii="方正仿宋_GB2312" w:hAnsi="方正仿宋_GB2312" w:eastAsia="方正仿宋_GB2312" w:cs="方正仿宋_GB2312"/>
          <w:sz w:val="32"/>
          <w:szCs w:val="32"/>
          <w:lang w:val="en-US" w:eastAsia="zh-CN"/>
        </w:rPr>
        <w:t>0.2万元，人数39人，</w:t>
      </w:r>
      <w:r>
        <w:rPr>
          <w:rFonts w:hint="eastAsia" w:ascii="方正仿宋_GB2312" w:hAnsi="方正仿宋_GB2312" w:eastAsia="方正仿宋_GB2312" w:cs="方正仿宋_GB2312"/>
          <w:sz w:val="32"/>
          <w:szCs w:val="32"/>
        </w:rPr>
        <w:t>内容为</w:t>
      </w:r>
      <w:r>
        <w:rPr>
          <w:rFonts w:hint="eastAsia" w:ascii="方正仿宋_GB2312" w:hAnsi="方正仿宋_GB2312" w:eastAsia="方正仿宋_GB2312" w:cs="方正仿宋_GB2312"/>
          <w:sz w:val="32"/>
          <w:szCs w:val="32"/>
          <w:lang w:eastAsia="zh-CN"/>
        </w:rPr>
        <w:t>筹备</w:t>
      </w:r>
      <w:r>
        <w:rPr>
          <w:rFonts w:hint="eastAsia" w:ascii="方正仿宋_GB2312" w:hAnsi="方正仿宋_GB2312" w:eastAsia="方正仿宋_GB2312" w:cs="方正仿宋_GB2312"/>
          <w:sz w:val="32"/>
          <w:szCs w:val="32"/>
          <w:lang w:val="en-US" w:eastAsia="zh-CN"/>
        </w:rPr>
        <w:t>全省人社系统就业工作现场会议。</w:t>
      </w:r>
    </w:p>
    <w:p w14:paraId="3320BD7C">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2312" w:hAnsi="方正仿宋_GB2312" w:eastAsia="方正仿宋_GB2312" w:cs="方正仿宋_GB2312"/>
          <w:b/>
          <w:bCs/>
          <w:i/>
          <w:color w:val="auto"/>
          <w:kern w:val="0"/>
          <w:sz w:val="32"/>
          <w:szCs w:val="32"/>
          <w:lang w:val="en-US" w:eastAsia="zh-CN" w:bidi="ar-SA"/>
        </w:rPr>
      </w:pP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年本部门开支培训费</w:t>
      </w:r>
      <w:r>
        <w:rPr>
          <w:rFonts w:hint="eastAsia" w:ascii="方正仿宋_GB2312" w:hAnsi="方正仿宋_GB2312" w:eastAsia="方正仿宋_GB2312" w:cs="方正仿宋_GB2312"/>
          <w:sz w:val="32"/>
          <w:szCs w:val="32"/>
          <w:lang w:val="en-US" w:eastAsia="zh-CN"/>
        </w:rPr>
        <w:t>0.25万元，</w:t>
      </w:r>
      <w:r>
        <w:rPr>
          <w:rFonts w:hint="eastAsia" w:ascii="方正仿宋_GB2312" w:hAnsi="方正仿宋_GB2312" w:eastAsia="方正仿宋_GB2312" w:cs="方正仿宋_GB2312"/>
          <w:sz w:val="32"/>
          <w:szCs w:val="32"/>
          <w:lang w:eastAsia="zh-CN"/>
        </w:rPr>
        <w:t>用于参加全省流动人员人事档案管理业务培训，人数</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人，内容为流动人员人事档案服务相关政策、经办服务规程解读。未</w:t>
      </w:r>
      <w:r>
        <w:rPr>
          <w:rFonts w:hint="eastAsia" w:ascii="方正仿宋_GB2312" w:hAnsi="方正仿宋_GB2312" w:eastAsia="方正仿宋_GB2312" w:cs="方正仿宋_GB2312"/>
          <w:sz w:val="32"/>
          <w:szCs w:val="32"/>
        </w:rPr>
        <w:t>举办节庆、晚会、论坛、赛事活动</w:t>
      </w:r>
      <w:r>
        <w:rPr>
          <w:rFonts w:hint="eastAsia" w:ascii="方正仿宋_GB2312" w:hAnsi="方正仿宋_GB2312" w:eastAsia="方正仿宋_GB2312" w:cs="方正仿宋_GB2312"/>
          <w:sz w:val="32"/>
          <w:szCs w:val="32"/>
          <w:lang w:eastAsia="zh-CN"/>
        </w:rPr>
        <w:t>。</w:t>
      </w:r>
    </w:p>
    <w:p w14:paraId="2906EB00">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w:t>
      </w:r>
      <w:r>
        <w:rPr>
          <w:rFonts w:hint="eastAsia" w:ascii="黑体" w:hAnsi="黑体" w:eastAsia="黑体" w:cs="黑体"/>
          <w:b w:val="0"/>
          <w:bCs/>
          <w:color w:val="auto"/>
          <w:sz w:val="32"/>
          <w:szCs w:val="32"/>
          <w:highlight w:val="none"/>
        </w:rPr>
        <w:t>政府采购支出说明</w:t>
      </w:r>
    </w:p>
    <w:p w14:paraId="604C4774">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本部门2024年度政府采购支出总额11万元，其中：政府采购货物支出11 万元、政府采购工程支出0万元、政府采购服务支出0万元。授予中小企业合同金额11万元，占政府采购支出总额的100%，其中：授予小微企业合同金额11万元，占政府采购支出总额的100%。货物采购授予中小企业合同金额占货物支出金额的100%，工程采购授予中小企业合同金额占工程支出金额的0%，服务采购授予中小企业合同金额占服务支出金额的0%。</w:t>
      </w:r>
    </w:p>
    <w:p w14:paraId="4A069FBE">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17C0D9C7">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rPr>
        <w:t>截至202</w:t>
      </w:r>
      <w:r>
        <w:rPr>
          <w:rFonts w:hint="eastAsia" w:ascii="方正仿宋_GB2312" w:hAnsi="方正仿宋_GB2312" w:eastAsia="方正仿宋_GB2312" w:cs="方正仿宋_GB2312"/>
          <w:color w:val="auto"/>
          <w:sz w:val="32"/>
          <w:szCs w:val="32"/>
          <w:lang w:val="en-US" w:eastAsia="zh-CN"/>
        </w:rPr>
        <w:t>4</w:t>
      </w:r>
      <w:r>
        <w:rPr>
          <w:rFonts w:hint="eastAsia" w:ascii="方正仿宋_GB2312" w:hAnsi="方正仿宋_GB2312" w:eastAsia="方正仿宋_GB2312" w:cs="方正仿宋_GB2312"/>
          <w:color w:val="auto"/>
          <w:sz w:val="32"/>
          <w:szCs w:val="32"/>
        </w:rPr>
        <w:t>年12月31日，</w:t>
      </w:r>
      <w:r>
        <w:rPr>
          <w:rFonts w:hint="eastAsia" w:ascii="Times New Roman" w:hAnsi="Times New Roman" w:eastAsia="仿宋_GB2312"/>
          <w:sz w:val="32"/>
          <w:szCs w:val="32"/>
        </w:rPr>
        <w:t>本单</w:t>
      </w:r>
      <w:r>
        <w:rPr>
          <w:rFonts w:hint="eastAsia" w:ascii="方正仿宋_GB2312" w:hAnsi="方正仿宋_GB2312" w:eastAsia="方正仿宋_GB2312" w:cs="方正仿宋_GB2312"/>
          <w:color w:val="auto"/>
          <w:sz w:val="32"/>
          <w:szCs w:val="32"/>
        </w:rPr>
        <w:t>位共有车辆</w:t>
      </w:r>
      <w:r>
        <w:rPr>
          <w:rFonts w:hint="eastAsia" w:ascii="方正仿宋_GB2312" w:hAnsi="方正仿宋_GB2312" w:eastAsia="方正仿宋_GB2312" w:cs="方正仿宋_GB2312"/>
          <w:color w:val="auto"/>
          <w:sz w:val="32"/>
          <w:szCs w:val="32"/>
          <w:lang w:val="en-US" w:eastAsia="zh-CN"/>
        </w:rPr>
        <w:t>1</w:t>
      </w:r>
      <w:r>
        <w:rPr>
          <w:rFonts w:hint="eastAsia" w:ascii="方正仿宋_GB2312" w:hAnsi="方正仿宋_GB2312" w:eastAsia="方正仿宋_GB2312" w:cs="方正仿宋_GB2312"/>
          <w:color w:val="auto"/>
          <w:sz w:val="32"/>
          <w:szCs w:val="32"/>
        </w:rPr>
        <w:t>辆，其中，其他用车</w:t>
      </w:r>
      <w:r>
        <w:rPr>
          <w:rFonts w:hint="eastAsia" w:ascii="方正仿宋_GB2312" w:hAnsi="方正仿宋_GB2312" w:eastAsia="方正仿宋_GB2312" w:cs="方正仿宋_GB2312"/>
          <w:color w:val="auto"/>
          <w:sz w:val="32"/>
          <w:szCs w:val="32"/>
          <w:lang w:val="en-US" w:eastAsia="zh-CN"/>
        </w:rPr>
        <w:t>1</w:t>
      </w:r>
      <w:r>
        <w:rPr>
          <w:rFonts w:hint="eastAsia" w:ascii="方正仿宋_GB2312" w:hAnsi="方正仿宋_GB2312" w:eastAsia="方正仿宋_GB2312" w:cs="方正仿宋_GB2312"/>
          <w:color w:val="auto"/>
          <w:sz w:val="32"/>
          <w:szCs w:val="32"/>
        </w:rPr>
        <w:t>辆，其他用车主要是</w:t>
      </w:r>
      <w:r>
        <w:rPr>
          <w:rFonts w:hint="eastAsia" w:ascii="方正仿宋_GB2312" w:hAnsi="方正仿宋_GB2312" w:eastAsia="方正仿宋_GB2312" w:cs="方正仿宋_GB2312"/>
          <w:color w:val="auto"/>
          <w:sz w:val="32"/>
          <w:szCs w:val="32"/>
          <w:lang w:eastAsia="zh-CN"/>
        </w:rPr>
        <w:t>公务出行用车</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highlight w:val="none"/>
        </w:rPr>
        <w:t>单位价值50万元以上通用设备</w:t>
      </w:r>
      <w:r>
        <w:rPr>
          <w:rFonts w:hint="eastAsia" w:ascii="方正仿宋_GB2312" w:hAnsi="方正仿宋_GB2312" w:eastAsia="方正仿宋_GB2312" w:cs="方正仿宋_GB2312"/>
          <w:color w:val="auto"/>
          <w:sz w:val="32"/>
          <w:szCs w:val="32"/>
          <w:highlight w:val="none"/>
          <w:lang w:val="en-US" w:eastAsia="zh-CN"/>
        </w:rPr>
        <w:t>0</w:t>
      </w:r>
      <w:r>
        <w:rPr>
          <w:rFonts w:hint="eastAsia" w:ascii="方正仿宋_GB2312" w:hAnsi="方正仿宋_GB2312" w:eastAsia="方正仿宋_GB2312" w:cs="方正仿宋_GB2312"/>
          <w:color w:val="auto"/>
          <w:sz w:val="32"/>
          <w:szCs w:val="32"/>
          <w:highlight w:val="none"/>
        </w:rPr>
        <w:t>台（套）；单位价值100万元以上专用设备</w:t>
      </w:r>
      <w:r>
        <w:rPr>
          <w:rFonts w:hint="eastAsia" w:ascii="方正仿宋_GB2312" w:hAnsi="方正仿宋_GB2312" w:eastAsia="方正仿宋_GB2312" w:cs="方正仿宋_GB2312"/>
          <w:color w:val="auto"/>
          <w:sz w:val="32"/>
          <w:szCs w:val="32"/>
          <w:highlight w:val="none"/>
          <w:lang w:val="en-US" w:eastAsia="zh-CN"/>
        </w:rPr>
        <w:t>0</w:t>
      </w:r>
      <w:r>
        <w:rPr>
          <w:rFonts w:hint="eastAsia" w:ascii="方正仿宋_GB2312" w:hAnsi="方正仿宋_GB2312" w:eastAsia="方正仿宋_GB2312" w:cs="方正仿宋_GB2312"/>
          <w:color w:val="auto"/>
          <w:sz w:val="32"/>
          <w:szCs w:val="32"/>
          <w:highlight w:val="none"/>
        </w:rPr>
        <w:t>台（套）。</w:t>
      </w:r>
    </w:p>
    <w:p w14:paraId="737D2DC8">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p>
    <w:p w14:paraId="76A0D1E3">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36779292">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E386525">
      <w:pPr>
        <w:spacing w:line="360" w:lineRule="auto"/>
        <w:ind w:left="0" w:leftChars="0" w:firstLine="640" w:firstLineChars="200"/>
        <w:jc w:val="left"/>
        <w:rPr>
          <w:rFonts w:hint="eastAsia"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部门整体支出绩效目标与实际完成率均达 100%，履职及综合效益表现良好：经济性上年度开支严格控制在财政局预算范围内，勤俭办事意识贯穿始终；效率性上各部门按计划时间推进工作，兼顾质量与进度；有效性上专项工作按制度和目标落实，专项资金作用充分发挥；可持续性上后续政策、配套资金、人员机构保持稳定，管理制度随需完善。</w:t>
      </w:r>
    </w:p>
    <w:p w14:paraId="005C6DF9">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320EE7C8">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楷体_GB2312" w:hAnsi="方正楷体_GB2312" w:eastAsia="方正楷体_GB2312" w:cs="方正楷体_GB2312"/>
          <w:sz w:val="32"/>
          <w:szCs w:val="32"/>
        </w:rPr>
        <w:t>可以从预算和预算绩效管理，部门履职效能，资金分配、使用和管理，资产和财务管理、政府采购等方面归纳存在的问题；反映各种预算支出执行偏离绩效目标的情况，并分析其原因。</w:t>
      </w:r>
    </w:p>
    <w:p w14:paraId="15AE6776">
      <w:pPr>
        <w:spacing w:line="360" w:lineRule="auto"/>
        <w:ind w:left="0" w:leftChars="0" w:firstLine="200" w:firstLineChars="200"/>
        <w:jc w:val="left"/>
        <w:rPr>
          <w:rFonts w:hint="default" w:ascii="方正仿宋_GB2312" w:hAnsi="方正仿宋_GB2312" w:eastAsia="方正仿宋_GB2312" w:cs="方正仿宋_GB2312"/>
          <w:i w:val="0"/>
          <w:iCs w:val="0"/>
          <w:caps w:val="0"/>
          <w:color w:val="000000"/>
          <w:spacing w:val="0"/>
          <w:kern w:val="0"/>
          <w:sz w:val="10"/>
          <w:szCs w:val="10"/>
          <w:shd w:val="clear" w:color="auto" w:fill="FFFFFF"/>
          <w:lang w:val="en-US" w:eastAsia="zh-CN" w:bidi="ar"/>
        </w:rPr>
      </w:pPr>
    </w:p>
    <w:p w14:paraId="06D47044">
      <w:pPr>
        <w:spacing w:line="360" w:lineRule="auto"/>
        <w:ind w:left="0" w:leftChars="0" w:firstLine="640" w:firstLineChars="200"/>
        <w:jc w:val="left"/>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对工作任务预测不全面，预算安排</w:t>
      </w:r>
      <w:r>
        <w:rPr>
          <w:rFonts w:hint="eastAsia"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覆盖不全</w:t>
      </w:r>
      <w:r>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，经费缺口较大，</w:t>
      </w:r>
      <w:r>
        <w:rPr>
          <w:rFonts w:hint="eastAsia"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且</w:t>
      </w:r>
      <w:r>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专项工作任务重、事务杂，</w:t>
      </w:r>
      <w:r>
        <w:rPr>
          <w:rFonts w:hint="eastAsia"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时间紧，</w:t>
      </w:r>
      <w:r>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但经费</w:t>
      </w:r>
      <w:r>
        <w:rPr>
          <w:rFonts w:hint="eastAsia"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下达滞后</w:t>
      </w:r>
      <w:r>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t>，缺乏动态统筹调配机制。</w:t>
      </w:r>
    </w:p>
    <w:p w14:paraId="759EEA0C">
      <w:pPr>
        <w:spacing w:line="360" w:lineRule="auto"/>
        <w:ind w:left="0" w:leftChars="0" w:firstLine="640" w:firstLineChars="200"/>
        <w:jc w:val="left"/>
        <w:rPr>
          <w:rFonts w:hint="default" w:ascii="方正仿宋_GB2312" w:hAnsi="方正仿宋_GB2312" w:eastAsia="方正仿宋_GB2312" w:cs="方正仿宋_GB2312"/>
          <w:i w:val="0"/>
          <w:iCs w:val="0"/>
          <w:caps w:val="0"/>
          <w:color w:val="000000"/>
          <w:spacing w:val="0"/>
          <w:kern w:val="0"/>
          <w:sz w:val="32"/>
          <w:szCs w:val="32"/>
          <w:shd w:val="clear" w:color="auto" w:fill="FFFFFF"/>
          <w:lang w:val="en-US" w:eastAsia="zh-CN" w:bidi="ar"/>
        </w:rPr>
      </w:pPr>
    </w:p>
    <w:p w14:paraId="3C799642">
      <w:pPr>
        <w:pStyle w:val="19"/>
        <w:jc w:val="center"/>
        <w:rPr>
          <w:rFonts w:hint="eastAsia" w:ascii="黑体" w:hAnsi="黑体" w:eastAsia="黑体" w:cs="黑体"/>
          <w:sz w:val="72"/>
          <w:szCs w:val="72"/>
        </w:rPr>
      </w:pPr>
    </w:p>
    <w:p w14:paraId="6500F891">
      <w:pPr>
        <w:pStyle w:val="19"/>
        <w:jc w:val="center"/>
        <w:rPr>
          <w:rFonts w:hint="eastAsia" w:ascii="黑体" w:hAnsi="黑体" w:eastAsia="黑体" w:cs="黑体"/>
          <w:sz w:val="72"/>
          <w:szCs w:val="72"/>
        </w:rPr>
      </w:pPr>
    </w:p>
    <w:p w14:paraId="2388361A">
      <w:pPr>
        <w:pStyle w:val="19"/>
        <w:jc w:val="center"/>
        <w:rPr>
          <w:rFonts w:hint="eastAsia" w:ascii="黑体" w:hAnsi="黑体" w:eastAsia="黑体" w:cs="黑体"/>
          <w:sz w:val="72"/>
          <w:szCs w:val="72"/>
        </w:rPr>
      </w:pPr>
    </w:p>
    <w:p w14:paraId="4010A8ED">
      <w:pPr>
        <w:pStyle w:val="19"/>
        <w:jc w:val="center"/>
        <w:rPr>
          <w:rFonts w:hint="eastAsia" w:ascii="黑体" w:hAnsi="黑体" w:eastAsia="黑体" w:cs="黑体"/>
          <w:sz w:val="72"/>
          <w:szCs w:val="72"/>
        </w:rPr>
      </w:pPr>
    </w:p>
    <w:p w14:paraId="77FDCE79">
      <w:pPr>
        <w:pStyle w:val="19"/>
        <w:jc w:val="center"/>
        <w:rPr>
          <w:rFonts w:hint="eastAsia" w:ascii="黑体" w:hAnsi="黑体" w:eastAsia="黑体" w:cs="黑体"/>
          <w:sz w:val="72"/>
          <w:szCs w:val="72"/>
        </w:rPr>
      </w:pPr>
    </w:p>
    <w:p w14:paraId="74D03C85">
      <w:pPr>
        <w:pStyle w:val="19"/>
        <w:jc w:val="center"/>
        <w:rPr>
          <w:rFonts w:hint="eastAsia" w:ascii="黑体" w:hAnsi="黑体" w:eastAsia="黑体" w:cs="黑体"/>
          <w:sz w:val="72"/>
          <w:szCs w:val="72"/>
        </w:rPr>
      </w:pPr>
    </w:p>
    <w:p w14:paraId="6164154A">
      <w:pPr>
        <w:pStyle w:val="19"/>
        <w:jc w:val="center"/>
        <w:rPr>
          <w:rFonts w:hint="eastAsia" w:ascii="黑体" w:hAnsi="黑体" w:eastAsia="黑体" w:cs="黑体"/>
          <w:sz w:val="72"/>
          <w:szCs w:val="72"/>
        </w:rPr>
      </w:pPr>
    </w:p>
    <w:p w14:paraId="6FC1CEA0">
      <w:pPr>
        <w:pStyle w:val="19"/>
        <w:jc w:val="center"/>
        <w:rPr>
          <w:rFonts w:hint="eastAsia" w:ascii="黑体" w:hAnsi="黑体" w:eastAsia="黑体" w:cs="黑体"/>
          <w:sz w:val="72"/>
          <w:szCs w:val="72"/>
        </w:rPr>
      </w:pPr>
    </w:p>
    <w:p w14:paraId="73A0605F">
      <w:pPr>
        <w:pStyle w:val="19"/>
        <w:jc w:val="center"/>
        <w:rPr>
          <w:rFonts w:hint="eastAsia" w:ascii="黑体" w:hAnsi="黑体" w:eastAsia="黑体" w:cs="黑体"/>
          <w:sz w:val="72"/>
          <w:szCs w:val="72"/>
        </w:rPr>
      </w:pPr>
    </w:p>
    <w:p w14:paraId="58F88ECB">
      <w:pPr>
        <w:pStyle w:val="19"/>
        <w:jc w:val="center"/>
        <w:rPr>
          <w:rFonts w:hint="eastAsia" w:ascii="黑体" w:hAnsi="黑体" w:eastAsia="黑体" w:cs="黑体"/>
          <w:sz w:val="72"/>
          <w:szCs w:val="72"/>
        </w:rPr>
      </w:pPr>
    </w:p>
    <w:p w14:paraId="5C5DE2A1">
      <w:pPr>
        <w:pStyle w:val="19"/>
        <w:jc w:val="center"/>
        <w:rPr>
          <w:rFonts w:hint="eastAsia" w:ascii="黑体" w:hAnsi="黑体" w:eastAsia="黑体" w:cs="黑体"/>
          <w:sz w:val="70"/>
          <w:szCs w:val="70"/>
        </w:rPr>
      </w:pPr>
    </w:p>
    <w:p w14:paraId="7BD70F7F">
      <w:pPr>
        <w:pStyle w:val="19"/>
        <w:jc w:val="center"/>
        <w:rPr>
          <w:rFonts w:hint="eastAsia" w:ascii="黑体" w:hAnsi="黑体" w:eastAsia="黑体" w:cs="黑体"/>
          <w:sz w:val="70"/>
          <w:szCs w:val="70"/>
        </w:rPr>
      </w:pPr>
    </w:p>
    <w:p w14:paraId="086B20DC">
      <w:pPr>
        <w:pStyle w:val="19"/>
        <w:jc w:val="center"/>
        <w:rPr>
          <w:rFonts w:hint="eastAsia" w:ascii="黑体" w:hAnsi="黑体" w:eastAsia="黑体" w:cs="黑体"/>
          <w:sz w:val="70"/>
          <w:szCs w:val="70"/>
        </w:rPr>
      </w:pPr>
      <w:r>
        <w:rPr>
          <w:rFonts w:hint="eastAsia" w:ascii="黑体" w:hAnsi="黑体" w:eastAsia="黑体" w:cs="黑体"/>
          <w:sz w:val="70"/>
          <w:szCs w:val="70"/>
        </w:rPr>
        <w:t>第四部分</w:t>
      </w:r>
    </w:p>
    <w:p w14:paraId="2C40004A">
      <w:pPr>
        <w:pStyle w:val="19"/>
        <w:jc w:val="center"/>
        <w:rPr>
          <w:rFonts w:hint="eastAsia" w:ascii="黑体" w:hAnsi="黑体" w:eastAsia="黑体" w:cs="黑体"/>
          <w:sz w:val="70"/>
          <w:szCs w:val="70"/>
        </w:rPr>
      </w:pPr>
    </w:p>
    <w:p w14:paraId="638EF682">
      <w:pPr>
        <w:pStyle w:val="19"/>
        <w:jc w:val="center"/>
        <w:rPr>
          <w:rFonts w:hint="eastAsia" w:ascii="黑体" w:hAnsi="黑体" w:eastAsia="黑体" w:cs="黑体"/>
          <w:sz w:val="70"/>
          <w:szCs w:val="70"/>
        </w:rPr>
      </w:pPr>
      <w:r>
        <w:rPr>
          <w:rFonts w:hint="eastAsia" w:ascii="黑体" w:hAnsi="黑体" w:eastAsia="黑体" w:cs="黑体"/>
          <w:sz w:val="70"/>
          <w:szCs w:val="70"/>
        </w:rPr>
        <w:t>名词解释</w:t>
      </w:r>
    </w:p>
    <w:p w14:paraId="60E8B1CF">
      <w:pPr>
        <w:pStyle w:val="19"/>
        <w:jc w:val="center"/>
        <w:rPr>
          <w:rFonts w:hint="eastAsia" w:ascii="黑体" w:hAnsi="黑体" w:eastAsia="黑体" w:cs="黑体"/>
          <w:sz w:val="70"/>
          <w:szCs w:val="70"/>
        </w:rPr>
      </w:pPr>
      <w:r>
        <w:rPr>
          <w:rFonts w:hint="eastAsia" w:ascii="黑体" w:hAnsi="黑体" w:eastAsia="黑体" w:cs="黑体"/>
          <w:sz w:val="70"/>
          <w:szCs w:val="70"/>
        </w:rPr>
        <w:br w:type="page"/>
      </w:r>
    </w:p>
    <w:p w14:paraId="0538A6A3">
      <w:pPr>
        <w:widowControl/>
        <w:ind w:firstLine="640" w:firstLineChars="200"/>
        <w:jc w:val="left"/>
        <w:rPr>
          <w:rFonts w:hint="eastAsia" w:cs="黑体" w:asciiTheme="minorEastAsia" w:hAnsiTheme="minorEastAsia"/>
          <w:color w:val="auto"/>
          <w:kern w:val="0"/>
          <w:sz w:val="32"/>
          <w:szCs w:val="32"/>
        </w:rPr>
      </w:pPr>
    </w:p>
    <w:p w14:paraId="35B9A024">
      <w:pPr>
        <w:widowControl/>
        <w:ind w:firstLine="640" w:firstLineChars="200"/>
        <w:jc w:val="left"/>
        <w:rPr>
          <w:rFonts w:hint="eastAsia" w:cs="黑体" w:asciiTheme="minorEastAsia" w:hAnsiTheme="minorEastAsia"/>
          <w:color w:val="auto"/>
          <w:kern w:val="0"/>
          <w:sz w:val="32"/>
          <w:szCs w:val="32"/>
        </w:rPr>
      </w:pPr>
    </w:p>
    <w:p w14:paraId="0A8C5CC1">
      <w:pPr>
        <w:widowControl/>
        <w:ind w:firstLine="640" w:firstLineChars="200"/>
        <w:jc w:val="left"/>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一、</w:t>
      </w:r>
      <w:r>
        <w:rPr>
          <w:rFonts w:hint="eastAsia" w:ascii="方正仿宋_GB2312" w:hAnsi="方正仿宋_GB2312" w:eastAsia="方正仿宋_GB2312" w:cs="方正仿宋_GB2312"/>
          <w:color w:val="auto"/>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w:t>
      </w:r>
      <w:r>
        <w:rPr>
          <w:rFonts w:hint="eastAsia" w:ascii="方正仿宋_GB2312" w:hAnsi="方正仿宋_GB2312" w:eastAsia="方正仿宋_GB2312" w:cs="方正仿宋_GB2312"/>
          <w:color w:val="auto"/>
          <w:kern w:val="0"/>
          <w:sz w:val="32"/>
          <w:szCs w:val="32"/>
        </w:rPr>
        <w:t>办公用房物业管理费、公务用车运行维护费以及其他费用。</w:t>
      </w:r>
    </w:p>
    <w:p w14:paraId="3E023682">
      <w:pPr>
        <w:widowControl/>
        <w:ind w:firstLine="640" w:firstLineChars="200"/>
        <w:jc w:val="left"/>
        <w:rPr>
          <w:rFonts w:hint="eastAsia" w:ascii="方正仿宋_GB2312" w:hAnsi="方正仿宋_GB2312" w:eastAsia="方正仿宋_GB2312" w:cs="方正仿宋_GB2312"/>
          <w:color w:val="auto"/>
          <w:kern w:val="0"/>
          <w:sz w:val="32"/>
          <w:szCs w:val="32"/>
          <w:lang w:eastAsia="zh-CN"/>
        </w:rPr>
      </w:pPr>
    </w:p>
    <w:p w14:paraId="56B30310">
      <w:pPr>
        <w:widowControl/>
        <w:ind w:firstLine="640" w:firstLineChars="200"/>
        <w:jc w:val="left"/>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lang w:eastAsia="zh-CN"/>
        </w:rPr>
        <w:t>二、</w:t>
      </w:r>
      <w:r>
        <w:rPr>
          <w:rFonts w:hint="eastAsia" w:ascii="方正仿宋_GB2312" w:hAnsi="方正仿宋_GB2312" w:eastAsia="方正仿宋_GB2312" w:cs="方正仿宋_GB2312"/>
          <w:color w:val="auto"/>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 </w:t>
      </w:r>
    </w:p>
    <w:p w14:paraId="41A8F3ED">
      <w:pPr>
        <w:widowControl/>
        <w:ind w:firstLine="640" w:firstLineChars="200"/>
        <w:jc w:val="left"/>
        <w:rPr>
          <w:rFonts w:hint="eastAsia" w:ascii="方正仿宋_GB2312" w:hAnsi="方正仿宋_GB2312" w:eastAsia="方正仿宋_GB2312" w:cs="方正仿宋_GB2312"/>
          <w:color w:val="auto"/>
          <w:kern w:val="0"/>
          <w:sz w:val="32"/>
          <w:szCs w:val="32"/>
        </w:rPr>
      </w:pPr>
    </w:p>
    <w:p w14:paraId="723F2F8D">
      <w:pPr>
        <w:widowControl/>
        <w:ind w:firstLine="640" w:firstLineChars="200"/>
        <w:jc w:val="left"/>
        <w:rPr>
          <w:rFonts w:hint="eastAsia" w:ascii="方正仿宋_GB2312" w:hAnsi="方正仿宋_GB2312" w:eastAsia="方正仿宋_GB2312" w:cs="方正仿宋_GB2312"/>
          <w:color w:val="auto"/>
          <w:kern w:val="0"/>
          <w:sz w:val="32"/>
          <w:szCs w:val="32"/>
        </w:rPr>
      </w:pPr>
    </w:p>
    <w:p w14:paraId="18DCCFFA">
      <w:pPr>
        <w:pStyle w:val="19"/>
        <w:jc w:val="center"/>
        <w:rPr>
          <w:color w:val="auto"/>
          <w:sz w:val="72"/>
          <w:szCs w:val="72"/>
        </w:rPr>
      </w:pPr>
    </w:p>
    <w:p w14:paraId="0209402D">
      <w:pPr>
        <w:pStyle w:val="19"/>
        <w:jc w:val="center"/>
        <w:rPr>
          <w:color w:val="auto"/>
          <w:sz w:val="72"/>
          <w:szCs w:val="72"/>
        </w:rPr>
      </w:pPr>
    </w:p>
    <w:p w14:paraId="72D1B463">
      <w:pPr>
        <w:pStyle w:val="19"/>
        <w:jc w:val="center"/>
        <w:rPr>
          <w:color w:val="auto"/>
          <w:sz w:val="72"/>
          <w:szCs w:val="72"/>
        </w:rPr>
      </w:pPr>
    </w:p>
    <w:p w14:paraId="2927205E">
      <w:pPr>
        <w:rPr>
          <w:color w:val="auto"/>
          <w:sz w:val="72"/>
          <w:szCs w:val="72"/>
        </w:rPr>
      </w:pPr>
      <w:r>
        <w:rPr>
          <w:color w:val="auto"/>
          <w:sz w:val="72"/>
          <w:szCs w:val="72"/>
        </w:rPr>
        <w:br w:type="page"/>
      </w:r>
    </w:p>
    <w:p w14:paraId="3A18254B">
      <w:pPr>
        <w:pStyle w:val="19"/>
        <w:jc w:val="center"/>
        <w:rPr>
          <w:rFonts w:hint="eastAsia" w:ascii="方正小标宋_GBK" w:hAnsi="方正小标宋_GBK" w:eastAsia="方正小标宋_GBK" w:cs="方正小标宋_GBK"/>
          <w:color w:val="auto"/>
          <w:sz w:val="72"/>
          <w:szCs w:val="72"/>
        </w:rPr>
      </w:pPr>
    </w:p>
    <w:p w14:paraId="760AC3D5">
      <w:pPr>
        <w:pStyle w:val="19"/>
        <w:jc w:val="center"/>
        <w:rPr>
          <w:rFonts w:hint="eastAsia" w:ascii="方正小标宋_GBK" w:hAnsi="方正小标宋_GBK" w:eastAsia="方正小标宋_GBK" w:cs="方正小标宋_GBK"/>
          <w:color w:val="auto"/>
          <w:sz w:val="72"/>
          <w:szCs w:val="72"/>
        </w:rPr>
      </w:pPr>
    </w:p>
    <w:p w14:paraId="77664625">
      <w:pPr>
        <w:pStyle w:val="19"/>
        <w:jc w:val="center"/>
        <w:rPr>
          <w:rFonts w:hint="eastAsia" w:ascii="方正小标宋_GBK" w:hAnsi="方正小标宋_GBK" w:eastAsia="方正小标宋_GBK" w:cs="方正小标宋_GBK"/>
          <w:color w:val="auto"/>
          <w:sz w:val="72"/>
          <w:szCs w:val="72"/>
        </w:rPr>
      </w:pPr>
    </w:p>
    <w:p w14:paraId="720791A6">
      <w:pPr>
        <w:pStyle w:val="19"/>
        <w:jc w:val="center"/>
        <w:rPr>
          <w:rFonts w:hint="eastAsia" w:ascii="方正小标宋_GBK" w:hAnsi="方正小标宋_GBK" w:eastAsia="方正小标宋_GBK" w:cs="方正小标宋_GBK"/>
          <w:color w:val="auto"/>
          <w:sz w:val="72"/>
          <w:szCs w:val="72"/>
        </w:rPr>
      </w:pPr>
    </w:p>
    <w:p w14:paraId="3AE6A906">
      <w:pPr>
        <w:pStyle w:val="19"/>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w:t>
      </w:r>
      <w:r>
        <w:rPr>
          <w:rFonts w:hint="eastAsia" w:ascii="方正小标宋_GBK" w:hAnsi="方正小标宋_GBK" w:eastAsia="方正小标宋_GBK" w:cs="方正小标宋_GBK"/>
          <w:color w:val="auto"/>
          <w:sz w:val="72"/>
          <w:szCs w:val="72"/>
          <w:lang w:eastAsia="zh-CN"/>
        </w:rPr>
        <w:t>五</w:t>
      </w:r>
      <w:r>
        <w:rPr>
          <w:rFonts w:hint="eastAsia" w:ascii="方正小标宋_GBK" w:hAnsi="方正小标宋_GBK" w:eastAsia="方正小标宋_GBK" w:cs="方正小标宋_GBK"/>
          <w:color w:val="auto"/>
          <w:sz w:val="72"/>
          <w:szCs w:val="72"/>
        </w:rPr>
        <w:t>部分</w:t>
      </w:r>
    </w:p>
    <w:p w14:paraId="443781EC">
      <w:pPr>
        <w:pStyle w:val="19"/>
        <w:jc w:val="center"/>
        <w:rPr>
          <w:rFonts w:hint="eastAsia" w:ascii="方正小标宋_GBK" w:hAnsi="方正小标宋_GBK" w:eastAsia="方正小标宋_GBK" w:cs="方正小标宋_GBK"/>
          <w:color w:val="auto"/>
          <w:sz w:val="70"/>
          <w:szCs w:val="70"/>
        </w:rPr>
      </w:pPr>
    </w:p>
    <w:p w14:paraId="57EEC4F2">
      <w:pPr>
        <w:pStyle w:val="19"/>
        <w:jc w:val="center"/>
        <w:rPr>
          <w:rFonts w:hint="eastAsia" w:eastAsia="黑体"/>
          <w:color w:val="auto"/>
          <w:sz w:val="72"/>
          <w:szCs w:val="72"/>
          <w:lang w:eastAsia="zh-CN"/>
        </w:rPr>
      </w:pPr>
      <w:r>
        <w:rPr>
          <w:rFonts w:hint="eastAsia" w:ascii="方正小标宋_GBK" w:hAnsi="方正小标宋_GBK" w:eastAsia="方正小标宋_GBK" w:cs="方正小标宋_GBK"/>
          <w:color w:val="auto"/>
          <w:sz w:val="70"/>
          <w:szCs w:val="70"/>
          <w:lang w:eastAsia="zh-CN"/>
        </w:rPr>
        <w:t>附</w:t>
      </w:r>
      <w:r>
        <w:rPr>
          <w:rFonts w:hint="eastAsia" w:ascii="方正小标宋_GBK" w:hAnsi="方正小标宋_GBK" w:eastAsia="方正小标宋_GBK" w:cs="方正小标宋_GBK"/>
          <w:color w:val="auto"/>
          <w:sz w:val="70"/>
          <w:szCs w:val="70"/>
          <w:lang w:val="en-US" w:eastAsia="zh-CN"/>
        </w:rPr>
        <w:t xml:space="preserve"> </w:t>
      </w:r>
      <w:r>
        <w:rPr>
          <w:rFonts w:hint="eastAsia" w:ascii="方正小标宋_GBK" w:hAnsi="方正小标宋_GBK" w:eastAsia="方正小标宋_GBK" w:cs="方正小标宋_GBK"/>
          <w:color w:val="auto"/>
          <w:sz w:val="70"/>
          <w:szCs w:val="70"/>
          <w:lang w:eastAsia="zh-CN"/>
        </w:rPr>
        <w:t>件</w:t>
      </w:r>
    </w:p>
    <w:p w14:paraId="037FCD6E">
      <w:pPr>
        <w:pStyle w:val="13"/>
        <w:bidi w:val="0"/>
        <w:rPr>
          <w:color w:val="auto"/>
        </w:rPr>
      </w:pPr>
      <w:r>
        <w:rPr>
          <w:color w:val="auto"/>
        </w:rPr>
        <w:br w:type="page"/>
      </w:r>
    </w:p>
    <w:p w14:paraId="6D0B3CDB">
      <w:pPr>
        <w:pStyle w:val="2"/>
        <w:bidi w:val="0"/>
        <w:jc w:val="center"/>
        <w:rPr>
          <w:rFonts w:hint="eastAsia" w:ascii="黑体" w:hAnsi="黑体" w:eastAsia="黑体" w:cs="黑体"/>
          <w:color w:val="auto"/>
          <w:sz w:val="48"/>
          <w:szCs w:val="48"/>
          <w:lang w:val="en-US" w:eastAsia="zh-CN"/>
        </w:rPr>
      </w:pPr>
      <w:r>
        <w:rPr>
          <w:rFonts w:hint="eastAsia" w:ascii="楷体" w:hAnsi="楷体" w:eastAsia="楷体" w:cs="楷体"/>
          <w:b/>
          <w:bCs/>
          <w:color w:val="auto"/>
          <w:szCs w:val="32"/>
          <w:lang w:eastAsia="zh-CN"/>
        </w:rPr>
        <w:t>一、</w:t>
      </w:r>
      <w:r>
        <w:rPr>
          <w:rFonts w:hint="eastAsia" w:ascii="Times New Roman" w:hAnsi="Times New Roman" w:eastAsia="仿宋_GB2312"/>
          <w:color w:val="auto"/>
          <w:szCs w:val="32"/>
          <w:lang w:val="en-US" w:eastAsia="zh-CN"/>
        </w:rPr>
        <w:t>2024年度部门(单位)整体支出绩效自评报告。</w:t>
      </w:r>
    </w:p>
    <w:p w14:paraId="456D2337">
      <w:pPr>
        <w:pStyle w:val="2"/>
        <w:bidi w:val="0"/>
        <w:jc w:val="center"/>
        <w:rPr>
          <w:rFonts w:hint="eastAsia" w:ascii="黑体" w:hAnsi="黑体" w:eastAsia="黑体" w:cs="黑体"/>
          <w:color w:val="auto"/>
          <w:sz w:val="48"/>
          <w:szCs w:val="48"/>
        </w:rPr>
      </w:pPr>
      <w:r>
        <w:rPr>
          <w:rFonts w:hint="eastAsia" w:ascii="黑体" w:hAnsi="黑体" w:eastAsia="黑体" w:cs="黑体"/>
          <w:color w:val="auto"/>
          <w:sz w:val="48"/>
          <w:szCs w:val="48"/>
        </w:rPr>
        <w:t>部门整体支出绩效自评报告</w:t>
      </w:r>
    </w:p>
    <w:p w14:paraId="2F10891E">
      <w:pPr>
        <w:bidi w:val="0"/>
        <w:rPr>
          <w:rFonts w:hint="eastAsia" w:ascii="黑体" w:hAnsi="黑体" w:eastAsia="黑体" w:cs="黑体"/>
          <w:color w:val="auto"/>
          <w:sz w:val="32"/>
          <w:szCs w:val="32"/>
        </w:rPr>
      </w:pPr>
    </w:p>
    <w:p w14:paraId="2D2F79B3">
      <w:pPr>
        <w:bidi w:val="0"/>
        <w:rPr>
          <w:rFonts w:hint="eastAsia" w:ascii="黑体" w:hAnsi="黑体" w:eastAsia="黑体" w:cs="黑体"/>
          <w:color w:val="auto"/>
          <w:sz w:val="32"/>
          <w:szCs w:val="32"/>
        </w:rPr>
      </w:pPr>
      <w:r>
        <w:rPr>
          <w:rFonts w:hint="eastAsia" w:ascii="黑体" w:hAnsi="黑体" w:eastAsia="黑体" w:cs="黑体"/>
          <w:color w:val="auto"/>
          <w:sz w:val="32"/>
          <w:szCs w:val="32"/>
        </w:rPr>
        <w:t>一、部门、单位基本情况</w:t>
      </w:r>
    </w:p>
    <w:p w14:paraId="38FF1599">
      <w:pPr>
        <w:bidi w:val="0"/>
        <w:rPr>
          <w:rFonts w:hint="eastAsia" w:ascii="方正楷体_GB2312" w:hAnsi="方正楷体_GB2312" w:eastAsia="方正楷体_GB2312" w:cs="方正楷体_GB2312"/>
          <w:color w:val="auto"/>
          <w:sz w:val="32"/>
          <w:szCs w:val="32"/>
        </w:rPr>
      </w:pPr>
      <w:r>
        <w:rPr>
          <w:rFonts w:hint="eastAsia" w:ascii="方正楷体_GB2312" w:hAnsi="方正楷体_GB2312" w:eastAsia="方正楷体_GB2312" w:cs="方正楷体_GB2312"/>
          <w:color w:val="auto"/>
          <w:sz w:val="32"/>
          <w:szCs w:val="32"/>
        </w:rPr>
        <w:t>（一）机构设置情况</w:t>
      </w:r>
    </w:p>
    <w:p w14:paraId="41C0443F">
      <w:pPr>
        <w:spacing w:line="360" w:lineRule="auto"/>
        <w:ind w:firstLine="640" w:firstLineChars="200"/>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市就业服务中心作为市人力资源和社会保障局的二级机构，肩负着促进就业、推动创业、管理失业保险以及服务流动人员档案等重要职责。中心内设综合部、财务和内控稽核部、城乡就业部、创业指导服务部、就业技能服务部、失业保险部、人事档案服务部、企业用工服务中心等多个科室，各科室分工明确、协同合作，共同为全市就业工作的顺利开展提供保障。</w:t>
      </w:r>
    </w:p>
    <w:p w14:paraId="1172C746">
      <w:pPr>
        <w:bidi w:val="0"/>
        <w:ind w:left="0" w:leftChars="0" w:firstLine="640" w:firstLineChars="200"/>
        <w:rPr>
          <w:rFonts w:hint="default" w:ascii="方正楷体_GB2312" w:hAnsi="方正楷体_GB2312" w:eastAsia="方正楷体_GB2312" w:cs="方正楷体_GB2312"/>
          <w:color w:val="auto"/>
          <w:sz w:val="32"/>
          <w:szCs w:val="32"/>
        </w:rPr>
      </w:pPr>
      <w:r>
        <w:rPr>
          <w:rFonts w:hint="eastAsia" w:ascii="方正楷体_GB2312" w:hAnsi="方正楷体_GB2312" w:eastAsia="方正楷体_GB2312" w:cs="方正楷体_GB2312"/>
          <w:color w:val="auto"/>
          <w:sz w:val="32"/>
          <w:szCs w:val="32"/>
          <w:lang w:eastAsia="zh-CN"/>
        </w:rPr>
        <w:t>（二）</w:t>
      </w:r>
      <w:r>
        <w:rPr>
          <w:rFonts w:hint="default" w:ascii="方正楷体_GB2312" w:hAnsi="方正楷体_GB2312" w:eastAsia="方正楷体_GB2312" w:cs="方正楷体_GB2312"/>
          <w:color w:val="auto"/>
          <w:sz w:val="32"/>
          <w:szCs w:val="32"/>
        </w:rPr>
        <w:t>人员编制情况</w:t>
      </w:r>
    </w:p>
    <w:p w14:paraId="5A3F1B29">
      <w:pPr>
        <w:bidi w:val="0"/>
        <w:ind w:left="0" w:leftChars="0" w:firstLine="640" w:firstLineChars="200"/>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截止2024年末，共有在职人员52人，其中参照公务员法管理人员18人，事业管理人员和专业技术人员21人，机关和事业工人9人，其他人员4人。</w:t>
      </w:r>
    </w:p>
    <w:p w14:paraId="10FF9248">
      <w:pPr>
        <w:bidi w:val="0"/>
        <w:ind w:left="0" w:leftChars="0" w:firstLine="838" w:firstLineChars="262"/>
        <w:rPr>
          <w:rFonts w:hint="default" w:ascii="方正楷体_GB2312" w:hAnsi="方正楷体_GB2312" w:eastAsia="方正楷体_GB2312" w:cs="方正楷体_GB2312"/>
          <w:color w:val="auto"/>
          <w:sz w:val="32"/>
          <w:szCs w:val="32"/>
        </w:rPr>
      </w:pPr>
      <w:r>
        <w:rPr>
          <w:rFonts w:hint="default" w:ascii="方正楷体_GB2312" w:hAnsi="方正楷体_GB2312" w:eastAsia="方正楷体_GB2312" w:cs="方正楷体_GB2312"/>
          <w:color w:val="auto"/>
          <w:sz w:val="32"/>
          <w:szCs w:val="32"/>
        </w:rPr>
        <w:t>（三）主要职能职责</w:t>
      </w:r>
    </w:p>
    <w:p w14:paraId="697BE8E0">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（1）参与制订促进就业、人才强市和失业保险发展规划及年度计划，为指导推进全市公共就业服务体系建设提供服务。 </w:t>
      </w:r>
    </w:p>
    <w:p w14:paraId="54CEBF35">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2）承担组织落实促进就业各项政策措施的相关事务性工作，为高校毕业生、登记失业人员、农村劳动力、脱贫人口、退捕渔民及就业困难人员等群体提供政策咨询、职业指导、岗位信息、就业失业与求职登记、职业培训、就业援助等公共就业服务。 </w:t>
      </w:r>
    </w:p>
    <w:p w14:paraId="7480339E">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（3）承担组织落实创业带动就业政策措施的相关事务性工作，为各类群体开展创新创业活动提供创业培训、创业指导、创业载体和创业担保贷款等创业服务。 </w:t>
      </w:r>
    </w:p>
    <w:p w14:paraId="3F5D501A">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（4）承担组织落实职业技能培训和创业培训相关工作。 </w:t>
      </w:r>
    </w:p>
    <w:p w14:paraId="183B7100">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（5）承担组织落实失业保险各项政策的相关事务性工作；承担市直企事业等单位失业保险经办服务工作。 </w:t>
      </w:r>
    </w:p>
    <w:p w14:paraId="51E2090F">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（6）承担人力资源开发与服务工作；承担企业高层次人才引进相关工作；承担流动人员人事档案管理相关事务性工作。 </w:t>
      </w:r>
    </w:p>
    <w:p w14:paraId="513F4E8F">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（7）为公共就业服务信息化建设提供技术支持和服务保障；承担就业失业相关统计分析、就业失业信息监测工作。 </w:t>
      </w:r>
    </w:p>
    <w:p w14:paraId="2F4B64FF">
      <w:pPr>
        <w:bidi w:val="0"/>
        <w:ind w:left="0" w:leftChars="0" w:firstLine="638" w:firstLineChars="196"/>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 xml:space="preserve">（8）承担市委人才工作领导小组、市就业和农民工工作暨根治拖欠农民工工资工作领导小组涉及就业的日常事务性、服务性工作。 </w:t>
      </w:r>
    </w:p>
    <w:p w14:paraId="1C504EEA">
      <w:pPr>
        <w:bidi w:val="0"/>
        <w:ind w:left="0" w:leftChars="0" w:firstLine="0" w:firstLineChars="0"/>
        <w:rPr>
          <w:rFonts w:hint="eastAsia" w:ascii="方正仿宋_GB2312" w:hAnsi="方正仿宋_GB2312" w:eastAsia="方正仿宋_GB2312" w:cs="方正仿宋_GB2312"/>
          <w:color w:val="auto"/>
          <w:spacing w:val="8"/>
          <w:sz w:val="31"/>
          <w:szCs w:val="31"/>
        </w:rPr>
      </w:pPr>
      <w:r>
        <w:rPr>
          <w:rFonts w:hint="eastAsia" w:ascii="方正仿宋_GB2312" w:hAnsi="方正仿宋_GB2312" w:eastAsia="方正仿宋_GB2312" w:cs="方正仿宋_GB2312"/>
          <w:color w:val="auto"/>
          <w:spacing w:val="8"/>
          <w:sz w:val="31"/>
          <w:szCs w:val="31"/>
        </w:rPr>
        <w:t>（9）完成市人力资源和社会保障局交办的其他任务。</w:t>
      </w:r>
    </w:p>
    <w:p w14:paraId="24B84EAF">
      <w:pPr>
        <w:bidi w:val="0"/>
        <w:ind w:left="0" w:leftChars="0" w:firstLine="640" w:firstLineChars="200"/>
        <w:rPr>
          <w:rFonts w:hint="eastAsia" w:ascii="方正楷体_GB2312" w:hAnsi="方正楷体_GB2312" w:eastAsia="方正楷体_GB2312" w:cs="方正楷体_GB2312"/>
          <w:color w:val="auto"/>
          <w:sz w:val="32"/>
          <w:szCs w:val="32"/>
        </w:rPr>
      </w:pPr>
      <w:r>
        <w:rPr>
          <w:rFonts w:hint="eastAsia" w:ascii="方正楷体_GB2312" w:hAnsi="方正楷体_GB2312" w:eastAsia="方正楷体_GB2312" w:cs="方正楷体_GB2312"/>
          <w:color w:val="auto"/>
          <w:sz w:val="32"/>
          <w:szCs w:val="32"/>
        </w:rPr>
        <w:t>（四</w:t>
      </w:r>
      <w:r>
        <w:rPr>
          <w:rFonts w:hint="eastAsia" w:ascii="方正楷体_GB2312" w:hAnsi="方正楷体_GB2312" w:eastAsia="方正楷体_GB2312" w:cs="方正楷体_GB2312"/>
          <w:color w:val="auto"/>
          <w:sz w:val="32"/>
          <w:szCs w:val="32"/>
          <w:lang w:val="en-US" w:eastAsia="zh-CN"/>
        </w:rPr>
        <w:t>)</w:t>
      </w:r>
      <w:r>
        <w:rPr>
          <w:rFonts w:hint="eastAsia" w:ascii="方正楷体_GB2312" w:hAnsi="方正楷体_GB2312" w:eastAsia="方正楷体_GB2312" w:cs="方正楷体_GB2312"/>
          <w:color w:val="auto"/>
          <w:sz w:val="32"/>
          <w:szCs w:val="32"/>
        </w:rPr>
        <w:t>绩效目标设定情况</w:t>
      </w:r>
    </w:p>
    <w:p w14:paraId="3160E47D">
      <w:pPr>
        <w:spacing w:line="360" w:lineRule="auto"/>
        <w:ind w:firstLine="640" w:firstLineChars="200"/>
        <w:rPr>
          <w:rFonts w:hint="eastAsia"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1、充分发挥失业保险稳就业促就业的作用，确保就业率基本稳定，确保就业工作平稳进行，2024年失业保险参保总人数</w:t>
      </w:r>
      <w:r>
        <w:rPr>
          <w:rFonts w:hint="eastAsia"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t>达到33.35万人,全市城镇登记失业率继续控制在4.5%以内。</w:t>
      </w:r>
    </w:p>
    <w:p w14:paraId="61BD142F">
      <w:pPr>
        <w:spacing w:line="360" w:lineRule="auto"/>
        <w:ind w:firstLine="640" w:firstLineChars="200"/>
        <w:rPr>
          <w:rFonts w:hint="default"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2、</w:t>
      </w:r>
      <w:r>
        <w:rPr>
          <w:rFonts w:hint="default" w:ascii="方正仿宋_GB2312" w:hAnsi="方正仿宋_GB2312" w:eastAsia="方正仿宋_GB2312" w:cs="方正仿宋_GB2312"/>
          <w:i w:val="0"/>
          <w:iCs w:val="0"/>
          <w:caps w:val="0"/>
          <w:color w:val="auto"/>
          <w:spacing w:val="0"/>
          <w:kern w:val="0"/>
          <w:sz w:val="32"/>
          <w:szCs w:val="32"/>
          <w:shd w:val="clear" w:fill="FFFFFF"/>
          <w:lang w:val="en-US" w:eastAsia="zh-CN" w:bidi="ar"/>
        </w:rPr>
        <w:t>通过组织实施促进重点群体就业行动，切实做好重点群体就业创业服务</w:t>
      </w: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w:t>
      </w:r>
      <w:r>
        <w:rPr>
          <w:rFonts w:hint="default" w:ascii="方正仿宋_GB2312" w:hAnsi="方正仿宋_GB2312" w:eastAsia="方正仿宋_GB2312" w:cs="方正仿宋_GB2312"/>
          <w:i w:val="0"/>
          <w:iCs w:val="0"/>
          <w:caps w:val="0"/>
          <w:color w:val="auto"/>
          <w:spacing w:val="0"/>
          <w:kern w:val="0"/>
          <w:sz w:val="32"/>
          <w:szCs w:val="32"/>
          <w:shd w:val="clear" w:fill="FFFFFF"/>
          <w:lang w:val="en-US" w:eastAsia="zh-CN" w:bidi="ar"/>
        </w:rPr>
        <w:t>切实兜牢民生保障底线</w:t>
      </w:r>
      <w:r>
        <w:rPr>
          <w:rFonts w:hint="default"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t>。</w:t>
      </w:r>
      <w:r>
        <w:rPr>
          <w:rFonts w:hint="eastAsia"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t>本年度需完成新增农村劳动力转移就业3.9万人；实现全市城镇零就业家庭100%动态清零。</w:t>
      </w:r>
    </w:p>
    <w:p w14:paraId="0E28AE2E">
      <w:pPr>
        <w:spacing w:line="360" w:lineRule="auto"/>
        <w:ind w:firstLine="640" w:firstLineChars="200"/>
        <w:rPr>
          <w:rFonts w:hint="eastAsia"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3、职业技能培训是提升劳动者就业创业能力、促进扩大就业的重要举措，</w:t>
      </w:r>
      <w:r>
        <w:rPr>
          <w:rFonts w:hint="eastAsia"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t>全市开展补贴性职业技能培训目标人数达2.04万人。</w:t>
      </w:r>
    </w:p>
    <w:p w14:paraId="607A014C">
      <w:pPr>
        <w:spacing w:line="360" w:lineRule="auto"/>
        <w:ind w:firstLine="640" w:firstLineChars="200"/>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5、加大创业担保贷款力度，增加对创业个人和小微企业的融资支持，</w:t>
      </w:r>
      <w:r>
        <w:rPr>
          <w:rFonts w:hint="eastAsia" w:ascii="方正仿宋_GB2312" w:hAnsi="方正仿宋_GB2312" w:eastAsia="方正仿宋_GB2312" w:cs="方正仿宋_GB2312"/>
          <w:i w:val="0"/>
          <w:iCs w:val="0"/>
          <w:caps w:val="0"/>
          <w:color w:val="auto"/>
          <w:spacing w:val="0"/>
          <w:kern w:val="0"/>
          <w:sz w:val="32"/>
          <w:szCs w:val="32"/>
          <w:highlight w:val="cyan"/>
          <w:shd w:val="clear" w:fill="FFFFFF"/>
          <w:lang w:val="en-US" w:eastAsia="zh-CN" w:bidi="ar"/>
        </w:rPr>
        <w:t>2024年度发放创业担保贷款任务数为3.74亿元</w:t>
      </w:r>
      <w:r>
        <w:rPr>
          <w:rFonts w:hint="eastAsia" w:ascii="方正仿宋_GB2312" w:hAnsi="方正仿宋_GB2312" w:eastAsia="方正仿宋_GB2312" w:cs="方正仿宋_GB2312"/>
          <w:i w:val="0"/>
          <w:iCs w:val="0"/>
          <w:caps w:val="0"/>
          <w:color w:val="auto"/>
          <w:spacing w:val="0"/>
          <w:kern w:val="0"/>
          <w:sz w:val="32"/>
          <w:szCs w:val="32"/>
          <w:shd w:val="clear" w:fill="FFFFFF"/>
          <w:lang w:val="en-US" w:eastAsia="zh-CN" w:bidi="ar"/>
        </w:rPr>
        <w:t>。</w:t>
      </w:r>
    </w:p>
    <w:p w14:paraId="4A605537">
      <w:pPr>
        <w:spacing w:line="360" w:lineRule="auto"/>
        <w:ind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2A41E131">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5838CDDC">
      <w:pPr>
        <w:bidi w:val="0"/>
        <w:rPr>
          <w:rFonts w:hint="default" w:ascii="方正楷体_GB2312" w:hAnsi="方正楷体_GB2312" w:eastAsia="方正楷体_GB2312" w:cs="方正楷体_GB2312"/>
          <w:sz w:val="32"/>
          <w:szCs w:val="32"/>
          <w:lang w:eastAsia="zh-CN"/>
        </w:rPr>
      </w:pPr>
      <w:r>
        <w:rPr>
          <w:rFonts w:hint="default" w:ascii="方正楷体_GB2312" w:hAnsi="方正楷体_GB2312" w:eastAsia="方正楷体_GB2312" w:cs="方正楷体_GB2312"/>
          <w:sz w:val="32"/>
          <w:szCs w:val="32"/>
          <w:lang w:eastAsia="zh-CN"/>
        </w:rPr>
        <w:t>（一）</w:t>
      </w:r>
      <w:r>
        <w:rPr>
          <w:rFonts w:hint="eastAsia" w:ascii="方正楷体_GB2312" w:hAnsi="方正楷体_GB2312" w:eastAsia="方正楷体_GB2312" w:cs="方正楷体_GB2312"/>
          <w:sz w:val="32"/>
          <w:szCs w:val="32"/>
          <w:lang w:eastAsia="zh-CN"/>
        </w:rPr>
        <w:t>预算执行、使用、管理总体情况</w:t>
      </w:r>
    </w:p>
    <w:p w14:paraId="3C8E738B">
      <w:pPr>
        <w:spacing w:line="360" w:lineRule="auto"/>
        <w:ind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2024年中心收入预算总额为842.08万元，其中:一般公共预算经费拨款841.58万元，一般公共预算非税拨款0.5万元。</w:t>
      </w:r>
    </w:p>
    <w:p w14:paraId="33577DEC">
      <w:pPr>
        <w:spacing w:line="360" w:lineRule="auto"/>
        <w:ind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支出预算总额为842.08万元，其中：工资福利支出629.47万元，商品服务支出176.61万元，对个人和家庭的补助36万元。</w:t>
      </w:r>
    </w:p>
    <w:p w14:paraId="74301F25">
      <w:pPr>
        <w:spacing w:line="360" w:lineRule="auto"/>
        <w:ind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年末实际收入总额为892.89万元，其中：一般公共预算经费拨款891.52万元，其它收入1.37万元。</w:t>
      </w:r>
    </w:p>
    <w:p w14:paraId="4F386E56">
      <w:pPr>
        <w:spacing w:line="360" w:lineRule="auto"/>
        <w:ind w:firstLine="640" w:firstLineChars="200"/>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年末实际支出总额为892.89万元，其中：</w:t>
      </w:r>
      <w:r>
        <w:rPr>
          <w:rFonts w:hint="eastAsia" w:ascii="方正仿宋_GB2312" w:hAnsi="方正仿宋_GB2312" w:eastAsia="方正仿宋_GB2312" w:cs="方正仿宋_GB2312"/>
          <w:i w:val="0"/>
          <w:iCs w:val="0"/>
          <w:caps w:val="0"/>
          <w:color w:val="000000"/>
          <w:spacing w:val="0"/>
          <w:kern w:val="0"/>
          <w:sz w:val="32"/>
          <w:szCs w:val="32"/>
          <w:highlight w:val="none"/>
          <w:shd w:val="clear" w:fill="FFFFFF"/>
          <w:lang w:val="en-US" w:eastAsia="zh-CN" w:bidi="ar"/>
        </w:rPr>
        <w:t>工资福利支出</w:t>
      </w: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720.25万元，商品服务支出116.4万元，对个人和家庭的补助45.24万元，资本性支出11万元。</w:t>
      </w:r>
    </w:p>
    <w:p w14:paraId="4662C53A">
      <w:pPr>
        <w:bidi w:val="0"/>
        <w:rPr>
          <w:rFonts w:hint="default" w:ascii="方正楷体_GB2312" w:hAnsi="方正楷体_GB2312" w:eastAsia="方正楷体_GB2312" w:cs="方正楷体_GB2312"/>
          <w:sz w:val="32"/>
          <w:szCs w:val="32"/>
          <w:lang w:eastAsia="zh-CN"/>
        </w:rPr>
      </w:pPr>
      <w:r>
        <w:rPr>
          <w:rFonts w:hint="default" w:ascii="方正楷体_GB2312" w:hAnsi="方正楷体_GB2312" w:eastAsia="方正楷体_GB2312" w:cs="方正楷体_GB2312"/>
          <w:sz w:val="32"/>
          <w:szCs w:val="32"/>
          <w:lang w:eastAsia="zh-CN"/>
        </w:rPr>
        <w:t>（二）部门预算执行情况</w:t>
      </w:r>
    </w:p>
    <w:p w14:paraId="55F7D563">
      <w:pPr>
        <w:spacing w:line="360" w:lineRule="auto"/>
        <w:ind w:firstLine="640" w:firstLineChars="200"/>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1.基本支出情况</w:t>
      </w:r>
    </w:p>
    <w:p w14:paraId="7F4295BC">
      <w:pPr>
        <w:spacing w:line="360" w:lineRule="auto"/>
        <w:ind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基本支出为用于保障机构正常运转和完成日常工作任务而产生的支出，包括用于基本工资、津贴补贴、退休费等人员经费以及办公费、印刷费、水电费、办公设备购置等日常公用经费。</w:t>
      </w:r>
    </w:p>
    <w:p w14:paraId="29443E05">
      <w:pPr>
        <w:spacing w:line="360" w:lineRule="auto"/>
        <w:ind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2024年中心基本支出年初预算数749.08万元，其中：人员经费655.40万元，公用经费93.68万元。年末实际支出772.5万元，其中：人员经费715.05万元，公用经费57.45万元。</w:t>
      </w:r>
    </w:p>
    <w:p w14:paraId="153EC115">
      <w:pPr>
        <w:spacing w:line="360" w:lineRule="auto"/>
        <w:ind w:firstLine="640" w:firstLineChars="200"/>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2.项目支出情况</w:t>
      </w:r>
    </w:p>
    <w:p w14:paraId="7FFFE7F0">
      <w:pPr>
        <w:spacing w:line="360" w:lineRule="auto"/>
        <w:ind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2024年中心项目支出年初预算数93万元，年末实际支出120.39万元，其中：非税拨款支出0.26万元，项目支出120.13万元。</w:t>
      </w:r>
    </w:p>
    <w:p w14:paraId="07BD519D">
      <w:pPr>
        <w:bidi w:val="0"/>
        <w:rPr>
          <w:rFonts w:hint="eastAsia"/>
        </w:rPr>
      </w:pPr>
    </w:p>
    <w:p w14:paraId="1F0E7BC6">
      <w:pPr>
        <w:bidi w:val="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（三）"三公"经费使用和管理情况</w:t>
      </w:r>
    </w:p>
    <w:p w14:paraId="08F88BA2">
      <w:pPr>
        <w:widowControl/>
        <w:ind w:firstLine="755" w:firstLineChars="236"/>
        <w:jc w:val="left"/>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2024年“三公”经费预算1.40万元，实际支出1.45万元。其中：公务接待费预算1.4万元，实际支出0.15万元，接待1批次11人次，主要用于县区工作对接，严格执行接待标准，未发生公款宴请。公务用车运行维护经费预算0万元，实际支出1.3万元，因本年7月人社局划拨一台公务用车到本中心，因此产生相关的公车运行维护费。因公出国（境）费预算0万元，全年无该项支出。</w:t>
      </w:r>
    </w:p>
    <w:p w14:paraId="4D8C81D1">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三、政府性基金预算支出情况</w:t>
      </w:r>
    </w:p>
    <w:p w14:paraId="60CB1FA3">
      <w:pPr>
        <w:widowControl/>
        <w:ind w:firstLine="755" w:firstLineChars="236"/>
        <w:jc w:val="left"/>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2024年中心无政府性基金支出。</w:t>
      </w:r>
    </w:p>
    <w:p w14:paraId="5EB5F260">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四、国有资本经营预算支出情况</w:t>
      </w:r>
    </w:p>
    <w:p w14:paraId="3FF1B39B">
      <w:pPr>
        <w:numPr>
          <w:ilvl w:val="0"/>
          <w:numId w:val="0"/>
        </w:numPr>
        <w:bidi w:val="0"/>
        <w:ind w:left="0" w:leftChars="0" w:firstLine="640" w:firstLineChars="200"/>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2024年中心无国有资本经营支出。</w:t>
      </w:r>
    </w:p>
    <w:p w14:paraId="39B03087">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五、社会保险基金预算支出情况</w:t>
      </w:r>
    </w:p>
    <w:p w14:paraId="3914624A">
      <w:pPr>
        <w:numPr>
          <w:ilvl w:val="0"/>
          <w:numId w:val="0"/>
        </w:numPr>
        <w:bidi w:val="0"/>
        <w:ind w:left="0" w:leftChars="0" w:firstLine="640" w:firstLineChars="200"/>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2024年中心无社会保险基金预算支出情况.</w:t>
      </w:r>
    </w:p>
    <w:p w14:paraId="5DE5E3AE">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六、</w:t>
      </w:r>
      <w:r>
        <w:rPr>
          <w:rFonts w:hint="eastAsia" w:ascii="黑体" w:hAnsi="黑体" w:eastAsia="黑体" w:cs="黑体"/>
          <w:i w:val="0"/>
          <w:iCs w:val="0"/>
          <w:caps w:val="0"/>
          <w:color w:val="000000"/>
          <w:spacing w:val="0"/>
          <w:kern w:val="0"/>
          <w:sz w:val="32"/>
          <w:szCs w:val="32"/>
          <w:highlight w:val="none"/>
          <w:shd w:val="clear" w:fill="FFFFFF"/>
          <w:lang w:val="en-US" w:eastAsia="zh-CN" w:bidi="ar"/>
        </w:rPr>
        <w:t>部门整体支出绩效情况</w:t>
      </w:r>
    </w:p>
    <w:p w14:paraId="5BA60C68">
      <w:pPr>
        <w:bidi w:val="0"/>
        <w:rPr>
          <w:rFonts w:hint="eastAsia" w:ascii="方正楷体_GB2312" w:hAnsi="方正楷体_GB2312" w:eastAsia="方正楷体_GB2312" w:cs="方正楷体_GB2312"/>
          <w:sz w:val="32"/>
          <w:szCs w:val="32"/>
          <w:highlight w:val="none"/>
          <w:lang w:eastAsia="zh-CN"/>
        </w:rPr>
      </w:pPr>
      <w:r>
        <w:rPr>
          <w:rFonts w:hint="default" w:ascii="方正楷体_GB2312" w:hAnsi="方正楷体_GB2312" w:eastAsia="方正楷体_GB2312" w:cs="方正楷体_GB2312"/>
          <w:sz w:val="32"/>
          <w:szCs w:val="32"/>
          <w:highlight w:val="none"/>
        </w:rPr>
        <w:t>（一）综合评价结论。反映自评得分及评价等级。</w:t>
      </w:r>
    </w:p>
    <w:p w14:paraId="1BC8F55E">
      <w:pPr>
        <w:numPr>
          <w:ilvl w:val="0"/>
          <w:numId w:val="0"/>
        </w:numPr>
        <w:bidi w:val="0"/>
        <w:ind w:left="0" w:leftChars="0" w:firstLine="640" w:firstLineChars="200"/>
        <w:rPr>
          <w:rStyle w:val="16"/>
          <w:rFonts w:hint="eastAsia" w:ascii="仿宋" w:hAnsi="仿宋" w:eastAsia="仿宋" w:cs="仿宋"/>
          <w:bCs/>
          <w:i w:val="0"/>
          <w:iCs w:val="0"/>
          <w:caps w:val="0"/>
          <w:color w:val="auto"/>
          <w:spacing w:val="0"/>
          <w:kern w:val="0"/>
          <w:sz w:val="32"/>
          <w:szCs w:val="32"/>
          <w:highlight w:val="none"/>
          <w:shd w:val="clear" w:color="auto" w:fill="FFFFFF"/>
          <w:lang w:val="en-US" w:eastAsia="zh-CN" w:bidi="ar-SA"/>
        </w:rPr>
      </w:pPr>
      <w:r>
        <w:rPr>
          <w:rStyle w:val="16"/>
          <w:rFonts w:hint="eastAsia" w:ascii="仿宋" w:hAnsi="仿宋" w:eastAsia="仿宋" w:cs="仿宋"/>
          <w:bCs/>
          <w:i w:val="0"/>
          <w:iCs w:val="0"/>
          <w:caps w:val="0"/>
          <w:color w:val="auto"/>
          <w:spacing w:val="0"/>
          <w:kern w:val="0"/>
          <w:sz w:val="32"/>
          <w:szCs w:val="32"/>
          <w:highlight w:val="none"/>
          <w:shd w:val="clear" w:color="auto" w:fill="FFFFFF"/>
          <w:lang w:val="en-US" w:eastAsia="zh-CN" w:bidi="ar-SA"/>
        </w:rPr>
        <w:t>（一）凝心聚力，党的建设工作提质增效</w:t>
      </w:r>
    </w:p>
    <w:p w14:paraId="1784EA1D">
      <w:pPr>
        <w:pStyle w:val="11"/>
        <w:numPr>
          <w:ilvl w:val="0"/>
          <w:numId w:val="0"/>
        </w:numPr>
        <w:ind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i w:val="0"/>
          <w:iCs w:val="0"/>
          <w:caps w:val="0"/>
          <w:color w:val="000000"/>
          <w:spacing w:val="0"/>
          <w:kern w:val="0"/>
          <w:sz w:val="32"/>
          <w:szCs w:val="32"/>
          <w:highlight w:val="none"/>
          <w:shd w:val="clear" w:fill="FFFFFF"/>
          <w:lang w:val="en-US" w:eastAsia="zh-CN" w:bidi="ar"/>
        </w:rPr>
        <w:t>一是强化理论学习，提高思想政治素养。坚持把学习贯</w:t>
      </w:r>
      <w:r>
        <w:rPr>
          <w:rFonts w:hint="eastAsia" w:ascii="方正仿宋_GB2312" w:hAnsi="方正仿宋_GB2312" w:eastAsia="方正仿宋_GB2312" w:cs="方正仿宋_GB2312"/>
          <w:b w:val="0"/>
          <w:bCs w:val="0"/>
          <w:color w:val="auto"/>
          <w:kern w:val="2"/>
          <w:sz w:val="32"/>
          <w:szCs w:val="32"/>
          <w:highlight w:val="none"/>
          <w:lang w:val="en-US" w:eastAsia="zh-CN" w:bidi="ar-SA"/>
        </w:rPr>
        <w:t>彻新时代中国特色社会主义思想作为首要政治任务，认真组织党员干部学习党的二十届三中全会精神，深入领会进一步全面深化改革的重大意义、总体要求和重大举措。全年党总支共开展专题学习4次，组织党员干部系统学习《纪律处分条例》《关于新形势下党内政治生活的若干准则》等党内法规。积极学习习近平新时代中国特色社会主义思想，深入学习《关于进一步全面深化改革推进中国式现代化的决定》及其辅导读本，严格党内组织生活。二</w:t>
      </w:r>
      <w:r>
        <w:rPr>
          <w:rFonts w:hint="eastAsia" w:ascii="仿宋_GB2312" w:hAnsi="仿宋_GB2312" w:eastAsia="仿宋_GB2312" w:cs="仿宋_GB2312"/>
          <w:b/>
          <w:bCs/>
          <w:sz w:val="32"/>
          <w:szCs w:val="32"/>
          <w:highlight w:val="none"/>
          <w:lang w:val="en-US" w:eastAsia="zh-CN"/>
        </w:rPr>
        <w:t>是</w:t>
      </w:r>
      <w:r>
        <w:rPr>
          <w:rStyle w:val="16"/>
          <w:rFonts w:hint="eastAsia" w:ascii="仿宋" w:hAnsi="仿宋" w:eastAsia="仿宋" w:cs="仿宋"/>
          <w:b/>
          <w:bCs/>
          <w:i w:val="0"/>
          <w:iCs w:val="0"/>
          <w:caps w:val="0"/>
          <w:color w:val="auto"/>
          <w:spacing w:val="0"/>
          <w:sz w:val="32"/>
          <w:szCs w:val="32"/>
          <w:highlight w:val="none"/>
          <w:shd w:val="clear" w:color="auto" w:fill="FFFFFF"/>
        </w:rPr>
        <w:t>加强组织建设，提升党支部战斗力</w:t>
      </w:r>
      <w:r>
        <w:rPr>
          <w:rStyle w:val="16"/>
          <w:rFonts w:hint="eastAsia" w:ascii="仿宋" w:hAnsi="仿宋" w:eastAsia="仿宋" w:cs="仿宋"/>
          <w:b/>
          <w:bCs/>
          <w:i w:val="0"/>
          <w:iCs w:val="0"/>
          <w:caps w:val="0"/>
          <w:color w:val="auto"/>
          <w:spacing w:val="0"/>
          <w:sz w:val="32"/>
          <w:szCs w:val="32"/>
          <w:highlight w:val="none"/>
          <w:shd w:val="clear" w:color="auto" w:fill="FFFFFF"/>
          <w:lang w:eastAsia="zh-CN"/>
        </w:rPr>
        <w:t>。</w:t>
      </w:r>
      <w:r>
        <w:rPr>
          <w:rFonts w:hint="eastAsia" w:ascii="方正仿宋_GB2312" w:hAnsi="方正仿宋_GB2312" w:eastAsia="方正仿宋_GB2312" w:cs="方正仿宋_GB2312"/>
          <w:b w:val="0"/>
          <w:bCs w:val="0"/>
          <w:color w:val="auto"/>
          <w:kern w:val="2"/>
          <w:sz w:val="32"/>
          <w:szCs w:val="32"/>
          <w:highlight w:val="none"/>
          <w:lang w:val="en-US" w:eastAsia="zh-CN" w:bidi="ar-SA"/>
        </w:rPr>
        <w:t>认真贯彻《党支部工作条例》，制定年度组织生活计划，细化工作清单，组织召开支部党员大会2次、支部委员会4次，开展主题党日活动4次，确保各项组织生活规范有序开展。做到会前有通知、会中有记录、会后有落实。</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三是</w:t>
      </w:r>
      <w:r>
        <w:rPr>
          <w:rStyle w:val="16"/>
          <w:rFonts w:hint="eastAsia" w:ascii="仿宋" w:hAnsi="仿宋" w:eastAsia="仿宋" w:cs="仿宋"/>
          <w:b/>
          <w:bCs/>
          <w:i w:val="0"/>
          <w:iCs w:val="0"/>
          <w:caps w:val="0"/>
          <w:color w:val="auto"/>
          <w:spacing w:val="0"/>
          <w:sz w:val="32"/>
          <w:szCs w:val="32"/>
          <w:highlight w:val="none"/>
          <w:shd w:val="clear" w:color="auto" w:fill="FFFFFF"/>
        </w:rPr>
        <w:t>深化作风建设，树立干部良好形象</w:t>
      </w:r>
      <w:r>
        <w:rPr>
          <w:rStyle w:val="16"/>
          <w:rFonts w:hint="eastAsia" w:ascii="仿宋" w:hAnsi="仿宋" w:eastAsia="仿宋" w:cs="仿宋"/>
          <w:b/>
          <w:bCs/>
          <w:i w:val="0"/>
          <w:iCs w:val="0"/>
          <w:caps w:val="0"/>
          <w:color w:val="auto"/>
          <w:spacing w:val="0"/>
          <w:sz w:val="32"/>
          <w:szCs w:val="32"/>
          <w:highlight w:val="none"/>
          <w:shd w:val="clear" w:color="auto" w:fill="FFFFFF"/>
          <w:lang w:eastAsia="zh-CN"/>
        </w:rPr>
        <w:t>。</w:t>
      </w:r>
      <w:r>
        <w:rPr>
          <w:rFonts w:hint="eastAsia" w:ascii="方正仿宋_GB2312" w:hAnsi="方正仿宋_GB2312" w:eastAsia="方正仿宋_GB2312" w:cs="方正仿宋_GB2312"/>
          <w:b w:val="0"/>
          <w:bCs w:val="0"/>
          <w:color w:val="auto"/>
          <w:kern w:val="2"/>
          <w:sz w:val="32"/>
          <w:szCs w:val="32"/>
          <w:highlight w:val="none"/>
          <w:lang w:val="en-US" w:eastAsia="zh-CN" w:bidi="ar-SA"/>
        </w:rPr>
        <w:t>组织党员干部认真学习《党章》《廉洁自律准则》等党内法规，开展警示教育2次，参观廉政教育基地1次，通报违纪违法典型案例2起，引导党员干部知敬畏、存戒惧、守底线。</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四是</w:t>
      </w:r>
      <w:r>
        <w:rPr>
          <w:rStyle w:val="16"/>
          <w:rFonts w:hint="eastAsia" w:ascii="仿宋" w:hAnsi="仿宋" w:eastAsia="仿宋" w:cs="仿宋"/>
          <w:b/>
          <w:bCs/>
          <w:i w:val="0"/>
          <w:iCs w:val="0"/>
          <w:caps w:val="0"/>
          <w:color w:val="auto"/>
          <w:spacing w:val="0"/>
          <w:sz w:val="32"/>
          <w:szCs w:val="32"/>
          <w:highlight w:val="none"/>
          <w:shd w:val="clear" w:color="auto" w:fill="FFFFFF"/>
        </w:rPr>
        <w:t>加强</w:t>
      </w:r>
      <w:r>
        <w:rPr>
          <w:rStyle w:val="16"/>
          <w:rFonts w:hint="eastAsia" w:ascii="仿宋" w:hAnsi="仿宋" w:eastAsia="仿宋" w:cs="仿宋"/>
          <w:b/>
          <w:bCs/>
          <w:i w:val="0"/>
          <w:iCs w:val="0"/>
          <w:caps w:val="0"/>
          <w:color w:val="auto"/>
          <w:spacing w:val="0"/>
          <w:sz w:val="32"/>
          <w:szCs w:val="32"/>
          <w:highlight w:val="none"/>
          <w:shd w:val="clear" w:color="auto" w:fill="FFFFFF"/>
          <w:lang w:eastAsia="zh-CN"/>
        </w:rPr>
        <w:t>意识形态建设</w:t>
      </w:r>
      <w:r>
        <w:rPr>
          <w:rStyle w:val="16"/>
          <w:rFonts w:hint="eastAsia" w:ascii="仿宋" w:hAnsi="仿宋" w:eastAsia="仿宋" w:cs="仿宋"/>
          <w:b/>
          <w:bCs/>
          <w:i w:val="0"/>
          <w:iCs w:val="0"/>
          <w:caps w:val="0"/>
          <w:color w:val="auto"/>
          <w:spacing w:val="0"/>
          <w:sz w:val="32"/>
          <w:szCs w:val="32"/>
          <w:highlight w:val="none"/>
          <w:shd w:val="clear" w:color="auto" w:fill="FFFFFF"/>
        </w:rPr>
        <w:t>，凝聚党建工作之魂</w:t>
      </w:r>
      <w:r>
        <w:rPr>
          <w:rStyle w:val="16"/>
          <w:rFonts w:hint="eastAsia" w:ascii="仿宋" w:hAnsi="仿宋" w:eastAsia="仿宋" w:cs="仿宋"/>
          <w:b/>
          <w:bCs/>
          <w:i w:val="0"/>
          <w:iCs w:val="0"/>
          <w:caps w:val="0"/>
          <w:color w:val="auto"/>
          <w:spacing w:val="0"/>
          <w:sz w:val="32"/>
          <w:szCs w:val="32"/>
          <w:highlight w:val="none"/>
          <w:shd w:val="clear" w:color="auto" w:fill="FFFFFF"/>
          <w:lang w:eastAsia="zh-CN"/>
        </w:rPr>
        <w:t>。</w:t>
      </w:r>
      <w:r>
        <w:rPr>
          <w:rFonts w:hint="eastAsia" w:ascii="方正仿宋_GB2312" w:hAnsi="方正仿宋_GB2312" w:eastAsia="方正仿宋_GB2312" w:cs="方正仿宋_GB2312"/>
          <w:b w:val="0"/>
          <w:bCs w:val="0"/>
          <w:color w:val="auto"/>
          <w:kern w:val="2"/>
          <w:sz w:val="32"/>
          <w:szCs w:val="32"/>
          <w:highlight w:val="none"/>
          <w:lang w:val="en-US" w:eastAsia="zh-CN" w:bidi="ar-SA"/>
        </w:rPr>
        <w:t>加强政务服务窗口管理，优化服务环境，提高服务质量，提升服务效率。及时回复群众网上诉求。针对群众通过市长热线（12345）、红网论坛等途径反映的跟中心工作有关的诉求，都进行了及时有效的回复，群众反映很好。2024年，我中心没有出现网络舆情和群体性事件。</w:t>
      </w:r>
    </w:p>
    <w:p w14:paraId="25B66F8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eastAsia="zh-CN"/>
        </w:rPr>
        <w:t>（</w:t>
      </w:r>
      <w:r>
        <w:rPr>
          <w:rFonts w:hint="eastAsia" w:ascii="楷体" w:hAnsi="楷体" w:eastAsia="楷体" w:cs="楷体"/>
          <w:b/>
          <w:bCs/>
          <w:color w:val="auto"/>
          <w:sz w:val="32"/>
          <w:szCs w:val="32"/>
          <w:highlight w:val="none"/>
          <w:lang w:val="en-US" w:eastAsia="zh-CN"/>
        </w:rPr>
        <w:t>二</w:t>
      </w:r>
      <w:r>
        <w:rPr>
          <w:rFonts w:hint="eastAsia" w:ascii="楷体" w:hAnsi="楷体" w:eastAsia="楷体" w:cs="楷体"/>
          <w:b/>
          <w:bCs/>
          <w:color w:val="auto"/>
          <w:sz w:val="32"/>
          <w:szCs w:val="32"/>
          <w:highlight w:val="none"/>
          <w:lang w:eastAsia="zh-CN"/>
        </w:rPr>
        <w:t>）举力攻坚，</w:t>
      </w:r>
      <w:r>
        <w:rPr>
          <w:rFonts w:hint="eastAsia" w:ascii="楷体" w:hAnsi="楷体" w:eastAsia="楷体" w:cs="楷体"/>
          <w:b/>
          <w:bCs/>
          <w:color w:val="auto"/>
          <w:sz w:val="32"/>
          <w:szCs w:val="32"/>
          <w:highlight w:val="none"/>
          <w:lang w:val="en-US" w:eastAsia="zh-CN"/>
        </w:rPr>
        <w:t>用工保障</w:t>
      </w:r>
      <w:r>
        <w:rPr>
          <w:rFonts w:hint="eastAsia" w:ascii="楷体" w:hAnsi="楷体" w:eastAsia="楷体" w:cs="楷体"/>
          <w:b/>
          <w:bCs/>
          <w:color w:val="auto"/>
          <w:sz w:val="32"/>
          <w:szCs w:val="32"/>
          <w:highlight w:val="none"/>
          <w:lang w:eastAsia="zh-CN"/>
        </w:rPr>
        <w:t>工作成效明显</w:t>
      </w:r>
    </w:p>
    <w:p w14:paraId="5AAA0153">
      <w:pPr>
        <w:pStyle w:val="11"/>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0"/>
        <w:jc w:val="both"/>
        <w:textAlignment w:val="auto"/>
        <w:rPr>
          <w:rFonts w:hint="default" w:ascii="方正仿宋_GB2312" w:hAnsi="方正仿宋_GB2312" w:eastAsia="方正仿宋_GB2312" w:cs="方正仿宋_GB2312"/>
          <w:b w:val="0"/>
          <w:bCs w:val="0"/>
          <w:color w:val="auto"/>
          <w:kern w:val="2"/>
          <w:sz w:val="32"/>
          <w:szCs w:val="32"/>
          <w:highlight w:val="none"/>
          <w:lang w:val="en-US" w:eastAsia="zh-CN" w:bidi="ar-SA"/>
        </w:rPr>
      </w:pP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一是发挥就业促产业发展“三围绕三提升”机制作用。</w:t>
      </w:r>
      <w:r>
        <w:rPr>
          <w:rFonts w:hint="eastAsia" w:ascii="方正仿宋_GB2312" w:hAnsi="方正仿宋_GB2312" w:eastAsia="方正仿宋_GB2312" w:cs="方正仿宋_GB2312"/>
          <w:b w:val="0"/>
          <w:bCs w:val="0"/>
          <w:color w:val="auto"/>
          <w:kern w:val="2"/>
          <w:sz w:val="32"/>
          <w:szCs w:val="32"/>
          <w:highlight w:val="none"/>
          <w:lang w:val="en-US" w:eastAsia="zh-CN" w:bidi="ar-SA"/>
        </w:rPr>
        <w:t>积极围绕重点产业、重点项目、重点群体，强化机制建设、有效精准施策，全力以赴保障用工。充分发挥就业资金的撬动作用，全力促进产业发展，增加就业岗位，扩大就业容量，满足城乡劳动力就业需求，保障企业用工。</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二是开展专项行动支持企业用工。</w:t>
      </w:r>
      <w:r>
        <w:rPr>
          <w:rFonts w:hint="eastAsia" w:ascii="方正仿宋_GB2312" w:hAnsi="方正仿宋_GB2312" w:eastAsia="方正仿宋_GB2312" w:cs="方正仿宋_GB2312"/>
          <w:b w:val="0"/>
          <w:bCs w:val="0"/>
          <w:color w:val="auto"/>
          <w:kern w:val="2"/>
          <w:sz w:val="32"/>
          <w:szCs w:val="32"/>
          <w:highlight w:val="none"/>
          <w:lang w:val="en-US" w:eastAsia="zh-CN" w:bidi="ar-SA"/>
        </w:rPr>
        <w:t>今年“春风行动”期间，为提升用工对接成效，市、县人社部门部署了一系列专项招聘活动。在线下招聘方面，各县（市、区）充分利用春节前后乡镇赶集人员比较密集的有利时机，集中在辖区公共人力资源市场、零工市场、人社驿站，分类推出“大而全”、“专而精”、“小而美”的线下招聘活动。线上招工方面，“直播带岗”“直播探厂”等新形式新场景招聘得到广泛应用。怀化市本级创新打造的陆港“职”播间，邀请人社业务骨干、返乡创业典型和企业招聘主管等做客嘉宾，向广大观众详细介绍“5+10”现代产业链、就业创业优惠政策和返乡就业创业故事，高效、直观、生动的招聘形式深受劳动者欢迎。其中，怀化市箱包企业举办专场招聘会12场次，线上线下累计吸引2560人报名，助力527人达成就业意向。据统计：春风行动期间，全市累计举办各类招聘会384场次，开展直播带岗73场次，发放宣传资料52.86万份，发布市内外招聘岗位12.21万个，达成初步就业意向1.94万人。同时，我们持续做好“建设国际陆港城·争做国际陆港人”四季主题招聘活动，搭建企业和劳动者双向奔赴平台，2024年全市已开展各类招聘会920场，开展直播带岗462场次，发放宣传资料95万份，发布市内外岗位信息36.5万次，确定用工人数2.51万人。此外，我们开展专项行动帮扶困难群体，2月28日“千企万岗”巾帼行动专场招聘会盛大召开，40 家企业贴心为女性求职者提供 1886 个专属岗位，现场达成初步意向 82 个。</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三是持续开展人社“链式”服务。</w:t>
      </w:r>
      <w:r>
        <w:rPr>
          <w:rFonts w:hint="eastAsia" w:ascii="方正仿宋_GB2312" w:hAnsi="方正仿宋_GB2312" w:eastAsia="方正仿宋_GB2312" w:cs="方正仿宋_GB2312"/>
          <w:b w:val="0"/>
          <w:bCs w:val="0"/>
          <w:color w:val="auto"/>
          <w:kern w:val="2"/>
          <w:sz w:val="32"/>
          <w:szCs w:val="32"/>
          <w:highlight w:val="none"/>
          <w:lang w:val="en-US" w:eastAsia="zh-CN" w:bidi="ar-SA"/>
        </w:rPr>
        <w:t>紧密围绕产业链精心构建人社服务链，为全市900 余家人社链式服务企业提供“一对一”定制化服务，涵盖用工保障、就业政策宣传引导等多元领域。依托“就在陆港”智慧平台，依据产业链与地域对市县重点企业用工满足情况展开深度精准统计分析，数据按月精准提交，为企业发展赋能助力，推动企业在高质量发展轨道上稳健前行。建立联系服务企业“白名单”、企业需求清单和人社服务清单，精准对接企业需求，构建闭环链条，实现人社服务链紧紧跟进产业链发展。今年已发布白名单企业需求清单3期，归集岗位信息2.5万个，保障企业用工2万人。</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四是深入推进区域劳务协作。</w:t>
      </w:r>
      <w:r>
        <w:rPr>
          <w:rFonts w:hint="eastAsia" w:ascii="方正仿宋_GB2312" w:hAnsi="方正仿宋_GB2312" w:eastAsia="方正仿宋_GB2312" w:cs="方正仿宋_GB2312"/>
          <w:b w:val="0"/>
          <w:bCs w:val="0"/>
          <w:color w:val="auto"/>
          <w:kern w:val="2"/>
          <w:sz w:val="32"/>
          <w:szCs w:val="32"/>
          <w:highlight w:val="none"/>
          <w:lang w:val="en-US" w:eastAsia="zh-CN" w:bidi="ar-SA"/>
        </w:rPr>
        <w:t>11月2日，与铜仁市人力资源和社会保障局成功签订劳务合作协议，两地人力资源交流合作开启崭新篇章；11月22 日，在全国劳务协作暨劳务品牌发展大会上，由怀化市发起的湘、黔、渝、桂四省（市、区）六地劳务协作正式签约，秉持“政府推动，市场主导，高效务实”原则，健全多方劳务协作长效机制，在更宽领域、更大范围开展深度务实合作，为区域人力资源协同发展树立新典范。12月草拟《湘黔渝桂边区人力资源服务联盟章程（征求意见稿）》，计划明年出台。</w:t>
      </w:r>
    </w:p>
    <w:p w14:paraId="261814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kern w:val="2"/>
          <w:sz w:val="32"/>
          <w:szCs w:val="32"/>
          <w:highlight w:val="none"/>
          <w:lang w:val="en-US" w:eastAsia="zh-CN" w:bidi="ar-SA"/>
        </w:rPr>
        <w:t>（三）</w:t>
      </w:r>
      <w:r>
        <w:rPr>
          <w:rFonts w:hint="eastAsia" w:ascii="楷体" w:hAnsi="楷体" w:eastAsia="楷体" w:cs="楷体"/>
          <w:b/>
          <w:bCs/>
          <w:color w:val="auto"/>
          <w:sz w:val="32"/>
          <w:szCs w:val="32"/>
          <w:highlight w:val="none"/>
          <w:lang w:eastAsia="zh-CN"/>
        </w:rPr>
        <w:t>关注重点，稳就业工作高质量发展</w:t>
      </w:r>
    </w:p>
    <w:p w14:paraId="7D6F7425">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一是抓好高校毕业生就业工作。</w:t>
      </w:r>
      <w:r>
        <w:rPr>
          <w:rFonts w:hint="eastAsia" w:ascii="仿宋_GB2312" w:hAnsi="仿宋_GB2312" w:eastAsia="仿宋_GB2312" w:cs="仿宋_GB2312"/>
          <w:color w:val="auto"/>
          <w:sz w:val="32"/>
          <w:szCs w:val="32"/>
          <w:highlight w:val="none"/>
          <w:lang w:val="en-US" w:eastAsia="zh-CN"/>
        </w:rPr>
        <w:t>3</w:t>
      </w:r>
      <w:r>
        <w:rPr>
          <w:rFonts w:hint="eastAsia" w:ascii="方正仿宋_GB2312" w:hAnsi="方正仿宋_GB2312" w:eastAsia="方正仿宋_GB2312" w:cs="方正仿宋_GB2312"/>
          <w:b w:val="0"/>
          <w:bCs w:val="0"/>
          <w:color w:val="auto"/>
          <w:kern w:val="2"/>
          <w:sz w:val="32"/>
          <w:szCs w:val="32"/>
          <w:highlight w:val="none"/>
          <w:lang w:val="en-US" w:eastAsia="zh-CN" w:bidi="ar-SA"/>
        </w:rPr>
        <w:t>月7日开始，“职”在陆港——2024怀化市春风行动进高校系列招聘活动在湖南医药学院、怀化学院陆续举办，共有一百多家用人单位现场参会招聘，提供招聘岗位2000余个，包含了各种热门行业部门和热门岗位，为毕业生提供更多的就业选择，多次组织包括市级重点企业赴市内高校和职业院校开展专场招聘。此外，我们也在积极实施走出去战略。3月18 - 22日，携手市委组织部盛大开展“智慧潇湘，才聚五溪”高校行活动。足迹遍布北京大学、中央民族大学、中南大学、湖南师范大学等高等学府，宣讲会现场气氛热烈。市县两级 300 余家企事业单位诚意满满，提供1500 余个优质岗位，从怀化特色美食到详尽的专场推介，再到优厚的人才政策，全方位展示怀化求贤若渴的姿态。经笔试、面试、考察等层层筛选，市级企业成功引进 13 位优秀人才，为企业发展注入强劲智力引擎。落实离校未就业高校毕业生实名制就业服务，截止目前，跟踪回访率和就业服务率均达到100%，就业率97.15%。为在怀4所高校困难毕业生共1190人发放一次性求职创业补贴178.5万元。认真落实就业见习岗位募集计划通知要求，根据省厅下达的指导性目标任务，目前全市已组织就业见习812人，完成目标任务800人的101.5%。</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二是抓好农民工转移就业。</w:t>
      </w:r>
      <w:r>
        <w:rPr>
          <w:rFonts w:hint="eastAsia" w:ascii="方正仿宋_GB2312" w:hAnsi="方正仿宋_GB2312" w:eastAsia="方正仿宋_GB2312" w:cs="方正仿宋_GB2312"/>
          <w:b w:val="0"/>
          <w:bCs w:val="0"/>
          <w:color w:val="auto"/>
          <w:kern w:val="2"/>
          <w:sz w:val="32"/>
          <w:szCs w:val="32"/>
          <w:highlight w:val="none"/>
          <w:lang w:val="en-US" w:eastAsia="zh-CN" w:bidi="ar-SA"/>
        </w:rPr>
        <w:t>用好劳务输出和就近就业两条渠道，一方面做好农民工返工复工工作。据统计：自2月中旬开展农民工工返岗复工工作以来，组织有序返岗复工。2024年春节前后累计返乡人数74.85万人，至3月中旬全市79.62万返乡农民工已复工就业。另一方面积极开展劳务协作，组织有外出就业意向的劳动力定向输出、有组织输出，目前全市已累计建立劳务协作对接机制235个，其中政府间203个、企业部门间32个。积极组织开展“春风行动”、“就业援助月”“民营企业招聘月”等公共就业服务专项行动。举办线上、线下招聘会，将优质岗位和优质企业送到家门口。</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三是抓好退捕渔民安置就业。</w:t>
      </w:r>
      <w:r>
        <w:rPr>
          <w:rFonts w:hint="eastAsia" w:ascii="方正仿宋_GB2312" w:hAnsi="方正仿宋_GB2312" w:eastAsia="方正仿宋_GB2312" w:cs="方正仿宋_GB2312"/>
          <w:b w:val="0"/>
          <w:bCs w:val="0"/>
          <w:color w:val="auto"/>
          <w:kern w:val="2"/>
          <w:sz w:val="32"/>
          <w:szCs w:val="32"/>
          <w:highlight w:val="none"/>
          <w:lang w:val="en-US" w:eastAsia="zh-CN" w:bidi="ar-SA"/>
        </w:rPr>
        <w:t>按照定期联系、分类帮扶要求，帮助已就业的退捕渔民稳定就业，确保未就业有就业意向和就业能力的退捕渔民保持动态清零。全市建档立卡退捕渔民2243人，其中有就业能力，有就业意愿1349人，已就业1349人，就业率100%，同时，进一步加强宣传引导、鼓励就业创业，并及时把动态出现的有就业意愿未就业渔民纳入公共就业帮扶对象范围，并加大政策宣传力度。</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四是抓好困难人员就业。</w:t>
      </w:r>
      <w:r>
        <w:rPr>
          <w:rFonts w:hint="eastAsia" w:ascii="方正仿宋_GB2312" w:hAnsi="方正仿宋_GB2312" w:eastAsia="方正仿宋_GB2312" w:cs="方正仿宋_GB2312"/>
          <w:b w:val="0"/>
          <w:bCs w:val="0"/>
          <w:color w:val="auto"/>
          <w:kern w:val="2"/>
          <w:sz w:val="32"/>
          <w:szCs w:val="32"/>
          <w:highlight w:val="none"/>
          <w:lang w:val="en-US" w:eastAsia="zh-CN" w:bidi="ar-SA"/>
        </w:rPr>
        <w:t>畅通线上线下失业登记，开展困难人员就业援助行动，组织就业困难群体专场招聘活动等，多措并举做好就业困难人员就业服务工作。5月17日举办的残疾人专场招聘会，30 家爱心企业踊跃参与，提供 123个残疾岗位，现场达成意向70个，并积极开展就业政策宣传，发放宣传册2000余份。据统计：共办理就业失业登记办理就业失业登记6.42万人次、线上申请失业登记在5个工作日内办结率100%，“311”服务覆盖率达97.8%。</w:t>
      </w:r>
    </w:p>
    <w:p w14:paraId="4671DF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 w:hAnsi="楷体" w:eastAsia="楷体" w:cs="楷体"/>
          <w:b/>
          <w:bCs/>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val="en-US" w:eastAsia="zh-CN" w:bidi="ar-SA"/>
        </w:rPr>
        <w:t>（四）突出主题，创业服务工作蓬勃开展</w:t>
      </w:r>
    </w:p>
    <w:p w14:paraId="064410AC">
      <w:pPr>
        <w:pStyle w:val="1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仿宋" w:hAnsi="仿宋" w:eastAsia="仿宋" w:cs="仿宋"/>
          <w:sz w:val="32"/>
          <w:szCs w:val="32"/>
          <w:highlight w:val="none"/>
          <w:lang w:val="en-US" w:eastAsia="zh-CN"/>
        </w:rPr>
        <w:t xml:space="preserve">   </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 xml:space="preserve"> 一是建设陆港创客&amp;家创新创业孵化基地。</w:t>
      </w:r>
      <w:r>
        <w:rPr>
          <w:rFonts w:hint="eastAsia" w:ascii="方正仿宋_GB2312" w:hAnsi="方正仿宋_GB2312" w:eastAsia="方正仿宋_GB2312" w:cs="方正仿宋_GB2312"/>
          <w:b w:val="0"/>
          <w:bCs w:val="0"/>
          <w:color w:val="auto"/>
          <w:kern w:val="2"/>
          <w:sz w:val="32"/>
          <w:szCs w:val="32"/>
          <w:highlight w:val="none"/>
          <w:lang w:val="en-US" w:eastAsia="zh-CN" w:bidi="ar-SA"/>
        </w:rPr>
        <w:t>首次面向全社会广泛招募创业实体入驻，通过现场路演由评审组现场打分，公平、公正地遴选入创业实体。加强对科技企业、重点群体创业实体的发掘和培育。陆港创客&amp;家双创孵化基地旨在服务大众创业、万众创新，聚焦我市5大主导产业和国际陆港建设。我们力争通过2-3年的努力，发展成全市创新创业孵化基地的标杆和来怀“双创”的首站根据地、培育集散地。通过建设陆港创客&amp;家双创孵化基地，我们将打造市县联动、校地互动、行业资源共享的“1+5+N”创新创业孵化基地体系，形成推动全域双创的支撑平台。同时，经自主申请、县市区初审推荐、市级组织复审、网上公示等环节，怀化学院大学生创新创业孵化基地等8家基地被认定为市级创业孵化基地（第一批）。</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二是开展形式多样的创业活动。</w:t>
      </w:r>
      <w:r>
        <w:rPr>
          <w:rFonts w:hint="eastAsia" w:ascii="仿宋" w:hAnsi="仿宋" w:eastAsia="仿宋" w:cs="仿宋"/>
          <w:sz w:val="32"/>
          <w:szCs w:val="32"/>
          <w:highlight w:val="none"/>
          <w:lang w:val="en-US" w:eastAsia="zh-CN"/>
        </w:rPr>
        <w:t>（1）</w:t>
      </w:r>
      <w:r>
        <w:rPr>
          <w:rFonts w:hint="eastAsia" w:ascii="方正仿宋_GB2312" w:hAnsi="方正仿宋_GB2312" w:eastAsia="方正仿宋_GB2312" w:cs="方正仿宋_GB2312"/>
          <w:b w:val="0"/>
          <w:bCs w:val="0"/>
          <w:color w:val="auto"/>
          <w:kern w:val="2"/>
          <w:sz w:val="32"/>
          <w:szCs w:val="32"/>
          <w:highlight w:val="none"/>
          <w:lang w:val="en-US" w:eastAsia="zh-CN" w:bidi="ar-SA"/>
        </w:rPr>
        <w:t>2024年怀化市优秀创业项目展示交流活动。此次活动历时两天，竞争激烈，共聚集了十三个县市区和在怀高校选荐的50个优秀项目，分别展示了先进制造、现代服务、乡村振兴、银发经济、绿色经济5大领域的创业创新成果。（2）2024年怀化市创业培训师资考评及优秀创业培训师提升训练营。本次活动旨提升创业培训师资的理论知识和实践技能，通过理论考试、精品课展示、特色农产品直播、精英讲师一对一辅导等，全方位促进创培讲师的专业能力和整体素质。（3）开展2024年“百名导师走基层”创业服务活动。通过创业导师团走进创业企业、孵化基地、高校、特色行业，一对一开展创业指导的模式，为创业者提供精准、高效的指导与支持，助力每一位追梦人在创业的征途中稳健前行。（4）开展2024年“乐业怀化 创业陆港”高校学子怀化行活动。召集在怀各高校学子走进陆港经开区、高新区、安江农校纪念园，通过与企业近距离接触，了解在陆港功能不断完善，区域合作深入推进，临港产业加速培育的新形势下作为求职者的新机遇和新挑战。通过了解袁隆平院士及其科研团队的奋斗历程，见证了在杂交水稻研究过程中的奋斗足迹，学习袁隆平重要学术思想和精神，学习“一粒种子改变世界”的创新创业精神。</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三是推进创业担保贷款工作。</w:t>
      </w:r>
      <w:r>
        <w:rPr>
          <w:rFonts w:hint="eastAsia" w:ascii="方正仿宋_GB2312" w:hAnsi="方正仿宋_GB2312" w:eastAsia="方正仿宋_GB2312" w:cs="方正仿宋_GB2312"/>
          <w:b w:val="0"/>
          <w:bCs w:val="0"/>
          <w:color w:val="auto"/>
          <w:kern w:val="2"/>
          <w:sz w:val="32"/>
          <w:szCs w:val="32"/>
          <w:highlight w:val="none"/>
          <w:lang w:val="en-US" w:eastAsia="zh-CN" w:bidi="ar-SA"/>
        </w:rPr>
        <w:t>全市发放创业担保贷款3.74亿元，为任务数2.5亿元的149.6%。我们通过政策宣传、走进社区等途径提高了大众对于创业担保贷款的认识，通过提高贷款的可及性、简化审批流程、降低融资成本，确保贷款能够有效地支持创业者和小微企业。</w:t>
      </w:r>
    </w:p>
    <w:p w14:paraId="04E8E0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kern w:val="2"/>
          <w:sz w:val="32"/>
          <w:szCs w:val="32"/>
          <w:highlight w:val="none"/>
          <w:lang w:val="en-US" w:eastAsia="zh-CN" w:bidi="ar-SA"/>
        </w:rPr>
        <w:t>（五）</w:t>
      </w:r>
      <w:r>
        <w:rPr>
          <w:rFonts w:hint="eastAsia" w:ascii="楷体" w:hAnsi="楷体" w:eastAsia="楷体" w:cs="楷体"/>
          <w:b/>
          <w:bCs/>
          <w:color w:val="auto"/>
          <w:sz w:val="32"/>
          <w:szCs w:val="32"/>
          <w:highlight w:val="none"/>
          <w:lang w:eastAsia="zh-CN"/>
        </w:rPr>
        <w:t>精心谋划，技能培训工作有序推进</w:t>
      </w:r>
    </w:p>
    <w:p w14:paraId="6BC5BCCC">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一是持续提升职业技能培训质效。</w:t>
      </w:r>
      <w:r>
        <w:rPr>
          <w:rFonts w:hint="eastAsia" w:ascii="方正仿宋_GB2312" w:hAnsi="方正仿宋_GB2312" w:eastAsia="方正仿宋_GB2312" w:cs="方正仿宋_GB2312"/>
          <w:b w:val="0"/>
          <w:bCs w:val="0"/>
          <w:color w:val="auto"/>
          <w:kern w:val="2"/>
          <w:sz w:val="32"/>
          <w:szCs w:val="32"/>
          <w:highlight w:val="none"/>
          <w:lang w:val="en-US" w:eastAsia="zh-CN" w:bidi="ar-SA"/>
        </w:rPr>
        <w:t>突出以就业为导向，紧密结合我市“5+N”现代化产业链重点产业企业用工需求、以及重点群体就业培训需求，针对防止返贫监测对象、毕业年度高校毕业生、城乡未继续升学的应届初高中毕业生、农村转移就业劳动者、城镇登记失业人员、就业困难人员（简称“六类人员”）开展就业技能培训。在全市开展职业技能培训2.04万人次。</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二是加强职业技能师资队伍建设。</w:t>
      </w:r>
      <w:r>
        <w:rPr>
          <w:rFonts w:hint="eastAsia" w:ascii="方正仿宋_GB2312" w:hAnsi="方正仿宋_GB2312" w:eastAsia="方正仿宋_GB2312" w:cs="方正仿宋_GB2312"/>
          <w:b w:val="0"/>
          <w:bCs w:val="0"/>
          <w:color w:val="auto"/>
          <w:kern w:val="2"/>
          <w:sz w:val="32"/>
          <w:szCs w:val="32"/>
          <w:highlight w:val="none"/>
          <w:lang w:val="en-US" w:eastAsia="zh-CN" w:bidi="ar-SA"/>
        </w:rPr>
        <w:t>为提高职业技能师资教学能力，加强职业技能师资队伍建设，2024我们组织共举办两期职业技能师资培训班，有100名来自技工院校、职业院校、就业训练中心、民办职业培训机构等从事补贴性职业技能培训教学及管理工作的专（兼）职人员参加了培训，培训班采用集中封闭式教学，培训内容、课程设置按照执行《关于实施匠心传承职业技能师资培训计划的通知》（湘人社办函[2023]37号）文件规定的标准，通过培训，切实提高了职业技能师资培训的教学能力。</w:t>
      </w:r>
      <w:r>
        <w:rPr>
          <w:rStyle w:val="16"/>
          <w:rFonts w:hint="eastAsia" w:ascii="仿宋" w:hAnsi="仿宋" w:eastAsia="仿宋" w:cs="仿宋"/>
          <w:b/>
          <w:bCs/>
          <w:i w:val="0"/>
          <w:iCs w:val="0"/>
          <w:caps w:val="0"/>
          <w:color w:val="auto"/>
          <w:spacing w:val="0"/>
          <w:sz w:val="32"/>
          <w:szCs w:val="32"/>
          <w:highlight w:val="none"/>
          <w:shd w:val="clear" w:color="auto" w:fill="FFFFFF"/>
          <w:lang w:val="en-US" w:eastAsia="zh-CN"/>
        </w:rPr>
        <w:t>三是培育特色技工品牌。</w:t>
      </w:r>
      <w:r>
        <w:rPr>
          <w:rFonts w:hint="eastAsia" w:ascii="方正仿宋_GB2312" w:hAnsi="方正仿宋_GB2312" w:eastAsia="方正仿宋_GB2312" w:cs="方正仿宋_GB2312"/>
          <w:b w:val="0"/>
          <w:bCs w:val="0"/>
          <w:color w:val="auto"/>
          <w:kern w:val="2"/>
          <w:sz w:val="32"/>
          <w:szCs w:val="32"/>
          <w:highlight w:val="none"/>
          <w:lang w:val="en-US" w:eastAsia="zh-CN" w:bidi="ar-SA"/>
        </w:rPr>
        <w:t>围绕我市特色产业、重点行业，培育与产业链发展高度契合的技工与特色劳务品牌，围绕品牌建设，组织开展特色职业技能培训，推进技工与特色劳务品牌建设和职业技能培训协同发展。目前全市已打造各级劳务品牌共23个，其中省级劳务品牌2个，分别是“靖州茯苓工”和“黔阳果农”，市级劳务品牌13个，县级劳务品牌8个，主要分布在中药材种植、水果种植、箱包皮具、家政服务、建筑等行业。今年10月，在长沙举办的全国劳务品牌工作赛湖南省选拔赛上，经过激烈角逐，怀化市人社局在十二支参赛队伍中脱颖而出，荣获一等奖。</w:t>
      </w:r>
    </w:p>
    <w:p w14:paraId="14403906">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kern w:val="2"/>
          <w:sz w:val="32"/>
          <w:szCs w:val="32"/>
          <w:highlight w:val="none"/>
          <w:lang w:val="en-US" w:eastAsia="zh-CN" w:bidi="ar-SA"/>
        </w:rPr>
        <w:t>（六）</w:t>
      </w:r>
      <w:r>
        <w:rPr>
          <w:rFonts w:hint="eastAsia" w:ascii="楷体" w:hAnsi="楷体" w:eastAsia="楷体" w:cs="楷体"/>
          <w:b/>
          <w:bCs/>
          <w:color w:val="auto"/>
          <w:sz w:val="32"/>
          <w:szCs w:val="32"/>
          <w:highlight w:val="none"/>
          <w:lang w:eastAsia="zh-CN"/>
        </w:rPr>
        <w:t>助企纾困，惠企服务政策全面落实</w:t>
      </w:r>
    </w:p>
    <w:p w14:paraId="1D717683">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出台《怀化市企业用工服务保障十二条措施》，围绕劳动力个人、人才资源机构及基层平台、企业、大中专院校以及政府单位等不同层面，明确规定了稳岗就业、实习见习和人才培养等方面的相关措施及优惠政策，有效激活人力资源要素，促进城乡劳动力充分就业，切实服务保障我市企业用工需求，助力产业高质量发展，全市已发放企业用工服务保障十二条措施各项补贴3561.18万元。积极落实失业保险惠企政策，将稳岗返还等补助的申请方式由企业“自主申请”改为经办机构“免申即享”，即由经办机构采取后台数据比对方式，履行相关审核、公示等程序后，直接向符合条件的参保单位发放稳岗返还，无需企业再来申请，让企业不再为此跑路。全市累计发放稳岗返还1745.80万元，惠及用人单位1579家；持续实施阶段性降低失业保险费率政策，共为全市参保单位减负6901.72万元。继续加大失业保险保障力度，按照“畅通领、安全办”的要求，落实失业保险金的申领、发放。全市共发放失业保险金3.04万人次，发放失业保险金4372.51万元。</w:t>
      </w:r>
    </w:p>
    <w:p w14:paraId="533BB1BB">
      <w:pPr>
        <w:rPr>
          <w:rFonts w:hint="default"/>
          <w:highlight w:val="none"/>
          <w:lang w:val="en-US" w:eastAsia="zh-CN"/>
        </w:rPr>
      </w:pPr>
    </w:p>
    <w:p w14:paraId="29AF443C">
      <w:pPr>
        <w:bidi w:val="0"/>
        <w:rPr>
          <w:rFonts w:hint="eastAsia" w:ascii="方正楷体_GB2312" w:hAnsi="方正楷体_GB2312" w:eastAsia="方正楷体_GB2312" w:cs="方正楷体_GB2312"/>
          <w:b w:val="0"/>
          <w:bCs w:val="0"/>
          <w:color w:val="auto"/>
          <w:kern w:val="2"/>
          <w:sz w:val="32"/>
          <w:szCs w:val="32"/>
          <w:highlight w:val="none"/>
          <w:lang w:val="en-US" w:eastAsia="zh-CN" w:bidi="ar-SA"/>
        </w:rPr>
      </w:pPr>
      <w:r>
        <w:rPr>
          <w:rFonts w:hint="eastAsia" w:ascii="方正楷体_GB2312" w:hAnsi="方正楷体_GB2312" w:eastAsia="方正楷体_GB2312" w:cs="方正楷体_GB2312"/>
          <w:b w:val="0"/>
          <w:bCs w:val="0"/>
          <w:color w:val="auto"/>
          <w:kern w:val="2"/>
          <w:sz w:val="32"/>
          <w:szCs w:val="32"/>
          <w:highlight w:val="none"/>
          <w:lang w:val="en-US" w:eastAsia="zh-CN" w:bidi="ar-SA"/>
        </w:rPr>
        <w:t>（二）评价指标分析（或综合评价情况）</w:t>
      </w:r>
    </w:p>
    <w:p w14:paraId="7FAC8E14">
      <w:pPr>
        <w:bidi w:val="0"/>
        <w:ind w:left="0" w:leftChars="0" w:firstLine="640" w:firstLineChars="200"/>
        <w:rPr>
          <w:rFonts w:hint="default" w:ascii="方正仿宋_GB2312" w:hAnsi="方正仿宋_GB2312" w:eastAsia="方正仿宋_GB2312" w:cs="方正仿宋_GB2312"/>
          <w:b w:val="0"/>
          <w:bCs w:val="0"/>
          <w:color w:val="auto"/>
          <w:kern w:val="2"/>
          <w:sz w:val="32"/>
          <w:szCs w:val="32"/>
          <w:highlight w:val="none"/>
          <w:lang w:val="en-US" w:eastAsia="zh-CN" w:bidi="ar-SA"/>
        </w:rPr>
      </w:pPr>
      <w:r>
        <w:rPr>
          <w:rFonts w:hint="default" w:ascii="方正仿宋_GB2312" w:hAnsi="方正仿宋_GB2312" w:eastAsia="方正仿宋_GB2312" w:cs="方正仿宋_GB2312"/>
          <w:b w:val="0"/>
          <w:bCs w:val="0"/>
          <w:color w:val="auto"/>
          <w:kern w:val="2"/>
          <w:sz w:val="32"/>
          <w:szCs w:val="32"/>
          <w:highlight w:val="none"/>
          <w:lang w:val="en-US" w:eastAsia="zh-CN" w:bidi="ar-SA"/>
        </w:rPr>
        <w:t>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14:paraId="29D75DF3">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（1）预算执行​</w:t>
      </w:r>
    </w:p>
    <w:p w14:paraId="0840FDF7">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2024 年预算执行整体情况良好，基本支出严格按照预算安排执行，未出现超支现象。项目支出方面，资金到位及时，执行进度符合预期。</w:t>
      </w:r>
    </w:p>
    <w:p w14:paraId="127B3AC4">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（2）预算管理​</w:t>
      </w:r>
    </w:p>
    <w:p w14:paraId="1C8201D9">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建立了完善的预算管理制度，涵盖预算编制、审批、执行、监督等全过程。通过明确各科室职责，加强科室间的沟通协作，提高了预算管理的效率和准确性。同时，定期开展预算执行情况分析，及时发现并解决问题。但在预算绩效管理方面，绩效评价指标体系的细化和量化程度仍需加强，以提高预算管理的精细化水平。​</w:t>
      </w:r>
    </w:p>
    <w:p w14:paraId="05BC82EC">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（3）资产管理​</w:t>
      </w:r>
    </w:p>
    <w:p w14:paraId="436C591C">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本部门建立了规范的资产管理制度，对固定资产的购置、使用、处置等环节进行严格管理。定期开展资产清查盘点，确保账实相符。通过合理调配资产，提高了资产使用效率，避免了资产闲置浪费。</w:t>
      </w:r>
    </w:p>
    <w:p w14:paraId="3FBCA0E6">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（4）职责履行​</w:t>
      </w:r>
    </w:p>
    <w:p w14:paraId="1D771BDA">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2024 年，本部门全面履行促进就业、推动创业、管理失业保险等职责。在就业服务方面，成功举办多场大型招聘活动，帮助大量求职者实现就业；创业指导服务成效显著，创业担保贷款发放规模超额完成目标；失业动态监测工作有序开展，为政府决策提供了有力依据。各项工作任务均按时保质完成，充分体现了部门的履职能力。​</w:t>
      </w:r>
    </w:p>
    <w:p w14:paraId="0EB9F5C7">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（5）履职效益​</w:t>
      </w:r>
    </w:p>
    <w:p w14:paraId="79FA0FDA">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经济效益：加强企业用工保障服务，满足了重点企业和产业园区的用工需求，促进了地方经济发展；通过创业担保贷款扶持创业企业，带动了就业和经济同步增长。​</w:t>
      </w:r>
    </w:p>
    <w:p w14:paraId="26A4CB22">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社会效益：全市就业形势保持稳定，新增就业人数超过预期目标，高校毕业生、农民工等重点群体就业得到有效保障，维护了社会和谐稳定；流动人员档案管理工作的完善，为人才流动提供了便利，优化了人力资源配置。​</w:t>
      </w:r>
    </w:p>
    <w:p w14:paraId="5E26A5E7">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可持续效益：建立的长效就业服务机制和不断完善的就业创业政策体系，为就业市场的可持续发展奠定了基础；持续开展的就业技能培训，提高了劳动者的就业能力和素质，增强了就业市场的活力和竞争力。</w:t>
      </w:r>
    </w:p>
    <w:p w14:paraId="0C9B57E9">
      <w:pPr>
        <w:bidi w:val="0"/>
        <w:ind w:left="0" w:leftChars="0" w:firstLine="640" w:firstLineChars="20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七、存在的问题及原因分析</w:t>
      </w:r>
    </w:p>
    <w:p w14:paraId="57E5E09D">
      <w:pPr>
        <w:bidi w:val="0"/>
        <w:ind w:left="0" w:leftChars="0" w:firstLine="640" w:firstLineChars="200"/>
        <w:rPr>
          <w:rFonts w:hint="eastAsia" w:ascii="方正楷体_GB2312" w:hAnsi="方正楷体_GB2312" w:eastAsia="方正楷体_GB2312" w:cs="方正楷体_GB2312"/>
          <w:b w:val="0"/>
          <w:bCs w:val="0"/>
          <w:color w:val="auto"/>
          <w:kern w:val="2"/>
          <w:sz w:val="32"/>
          <w:szCs w:val="32"/>
          <w:highlight w:val="none"/>
          <w:lang w:val="en-US" w:eastAsia="zh-CN" w:bidi="ar-SA"/>
        </w:rPr>
      </w:pPr>
      <w:r>
        <w:rPr>
          <w:rFonts w:hint="eastAsia" w:ascii="方正楷体_GB2312" w:hAnsi="方正楷体_GB2312" w:eastAsia="方正楷体_GB2312" w:cs="方正楷体_GB2312"/>
          <w:b w:val="0"/>
          <w:bCs w:val="0"/>
          <w:color w:val="auto"/>
          <w:kern w:val="2"/>
          <w:sz w:val="32"/>
          <w:szCs w:val="32"/>
          <w:highlight w:val="none"/>
          <w:lang w:val="en-US" w:eastAsia="zh-CN" w:bidi="ar-SA"/>
        </w:rPr>
        <w:t>主要反映各种预算支出执行偏离绩效目标的情况，并分析其原因。</w:t>
      </w:r>
    </w:p>
    <w:p w14:paraId="26E7DD70">
      <w:pPr>
        <w:bidi w:val="0"/>
        <w:ind w:left="0" w:leftChars="0" w:firstLine="640" w:firstLineChars="200"/>
        <w:rPr>
          <w:rFonts w:hint="eastAsia" w:ascii="方正仿宋_GB2312" w:hAnsi="方正仿宋_GB2312" w:eastAsia="方正仿宋_GB2312" w:cs="方正仿宋_GB2312"/>
          <w:b w:val="0"/>
          <w:bCs w:val="0"/>
          <w:color w:val="auto"/>
          <w:kern w:val="2"/>
          <w:sz w:val="32"/>
          <w:szCs w:val="32"/>
          <w:highlight w:val="none"/>
          <w:lang w:val="en-US" w:eastAsia="zh-CN" w:bidi="ar-SA"/>
        </w:rPr>
      </w:pPr>
      <w:r>
        <w:rPr>
          <w:rFonts w:hint="eastAsia" w:ascii="方正仿宋_GB2312" w:hAnsi="方正仿宋_GB2312" w:eastAsia="方正仿宋_GB2312" w:cs="方正仿宋_GB2312"/>
          <w:b w:val="0"/>
          <w:bCs w:val="0"/>
          <w:color w:val="auto"/>
          <w:kern w:val="2"/>
          <w:sz w:val="32"/>
          <w:szCs w:val="32"/>
          <w:highlight w:val="none"/>
          <w:lang w:val="en-US" w:eastAsia="zh-CN" w:bidi="ar-SA"/>
        </w:rPr>
        <w:t>　年初预算绩效目标不明确，绩效指标细化和量化不精准。预算安排与工作任务不匹配，经费缺口较大，专项工作任务重，事务繁杂，项目经费略显不足。</w:t>
      </w:r>
    </w:p>
    <w:p w14:paraId="23936162">
      <w:pPr>
        <w:bidi w:val="0"/>
        <w:ind w:left="0" w:leftChars="0" w:firstLine="640" w:firstLineChars="20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八、下一步改进措施</w:t>
      </w:r>
    </w:p>
    <w:p w14:paraId="122888E8">
      <w:pPr>
        <w:keepNext w:val="0"/>
        <w:keepLines w:val="0"/>
        <w:widowControl/>
        <w:suppressLineNumbers w:val="0"/>
        <w:jc w:val="left"/>
        <w:rPr>
          <w:rFonts w:hint="eastAsia" w:ascii="方正仿宋_GB2312" w:hAnsi="方正仿宋_GB2312" w:eastAsia="方正仿宋_GB2312" w:cs="方正仿宋_GB2312"/>
          <w:spacing w:val="-2"/>
          <w:sz w:val="32"/>
          <w:szCs w:val="32"/>
          <w:highlight w:val="none"/>
        </w:rPr>
      </w:pPr>
      <w:r>
        <w:rPr>
          <w:rFonts w:hint="eastAsia" w:ascii="方正仿宋_GB2312" w:hAnsi="方正仿宋_GB2312" w:eastAsia="方正仿宋_GB2312" w:cs="方正仿宋_GB2312"/>
          <w:i w:val="0"/>
          <w:iCs w:val="0"/>
          <w:caps w:val="0"/>
          <w:color w:val="000000"/>
          <w:spacing w:val="0"/>
          <w:kern w:val="0"/>
          <w:sz w:val="32"/>
          <w:szCs w:val="32"/>
          <w:highlight w:val="none"/>
          <w:shd w:val="clear" w:color="auto" w:fill="FFFFFF"/>
          <w:lang w:val="en-US" w:eastAsia="zh-CN" w:bidi="ar"/>
        </w:rPr>
        <w:t>　</w:t>
      </w:r>
      <w:r>
        <w:rPr>
          <w:rFonts w:hint="eastAsia" w:ascii="方正仿宋_GB2312" w:hAnsi="方正仿宋_GB2312" w:eastAsia="方正仿宋_GB2312" w:cs="方正仿宋_GB2312"/>
          <w:spacing w:val="-2"/>
          <w:sz w:val="32"/>
          <w:szCs w:val="32"/>
          <w:highlight w:val="none"/>
        </w:rPr>
        <w:t xml:space="preserve"> </w:t>
      </w:r>
      <w:r>
        <w:rPr>
          <w:rFonts w:hint="eastAsia" w:ascii="方正仿宋_GB2312" w:hAnsi="方正仿宋_GB2312" w:eastAsia="方正仿宋_GB2312" w:cs="方正仿宋_GB2312"/>
          <w:spacing w:val="-2"/>
          <w:sz w:val="32"/>
          <w:szCs w:val="32"/>
          <w:highlight w:val="none"/>
          <w:lang w:val="en-US" w:eastAsia="zh-CN"/>
        </w:rPr>
        <w:t>细化预算指标，提高预算科学性。在编制预算时，充分考虑项目的实际需求和可能出现的变化，结合历史数据和未来发展趋势，合理确定预算金额。同时，建立预算编制的沟通协调机制，加强各科室之间的信息共享，确保预算编制的全面性和准确性。</w:t>
      </w:r>
    </w:p>
    <w:p w14:paraId="592F27B3">
      <w:pPr>
        <w:spacing w:line="360" w:lineRule="auto"/>
        <w:ind w:left="0" w:leftChars="0" w:firstLine="638" w:firstLineChars="202"/>
        <w:jc w:val="left"/>
        <w:rPr>
          <w:rFonts w:hint="eastAsia" w:ascii="方正仿宋_GB2312" w:hAnsi="方正仿宋_GB2312" w:eastAsia="方正仿宋_GB2312" w:cs="方正仿宋_GB2312"/>
          <w:spacing w:val="-2"/>
          <w:sz w:val="32"/>
          <w:szCs w:val="32"/>
          <w:highlight w:val="none"/>
        </w:rPr>
      </w:pPr>
      <w:r>
        <w:rPr>
          <w:rFonts w:hint="eastAsia" w:ascii="方正仿宋_GB2312" w:hAnsi="方正仿宋_GB2312" w:eastAsia="方正仿宋_GB2312" w:cs="方正仿宋_GB2312"/>
          <w:spacing w:val="-2"/>
          <w:sz w:val="32"/>
          <w:szCs w:val="32"/>
          <w:highlight w:val="none"/>
        </w:rPr>
        <w:t>加大预算安排力度，根据工作任务合理安排项目经费</w:t>
      </w:r>
      <w:r>
        <w:rPr>
          <w:rFonts w:hint="eastAsia" w:ascii="方正仿宋_GB2312" w:hAnsi="方正仿宋_GB2312" w:eastAsia="方正仿宋_GB2312" w:cs="方正仿宋_GB2312"/>
          <w:spacing w:val="-2"/>
          <w:sz w:val="32"/>
          <w:szCs w:val="32"/>
          <w:highlight w:val="none"/>
          <w:lang w:eastAsia="zh-CN"/>
        </w:rPr>
        <w:t>，</w:t>
      </w:r>
      <w:r>
        <w:rPr>
          <w:rFonts w:hint="eastAsia" w:ascii="方正仿宋_GB2312" w:hAnsi="方正仿宋_GB2312" w:eastAsia="方正仿宋_GB2312" w:cs="方正仿宋_GB2312"/>
          <w:spacing w:val="-2"/>
          <w:sz w:val="32"/>
          <w:szCs w:val="32"/>
          <w:highlight w:val="none"/>
        </w:rPr>
        <w:t>根据工作进度及时追加预算经费。</w:t>
      </w:r>
    </w:p>
    <w:p w14:paraId="40595701">
      <w:pPr>
        <w:bidi w:val="0"/>
        <w:ind w:left="0" w:leftChars="0" w:firstLine="640" w:firstLineChars="20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九、其他需要说明的情况</w:t>
      </w:r>
    </w:p>
    <w:p w14:paraId="2F9F5A0F">
      <w:pPr>
        <w:keepNext w:val="0"/>
        <w:keepLines w:val="0"/>
        <w:widowControl/>
        <w:suppressLineNumbers w:val="0"/>
        <w:ind w:left="0" w:leftChars="0" w:firstLine="638" w:firstLineChars="202"/>
        <w:jc w:val="left"/>
        <w:rPr>
          <w:rFonts w:hint="eastAsia" w:ascii="方正仿宋_GB2312" w:hAnsi="方正仿宋_GB2312" w:eastAsia="方正仿宋_GB2312" w:cs="方正仿宋_GB2312"/>
          <w:spacing w:val="-2"/>
          <w:sz w:val="32"/>
          <w:szCs w:val="32"/>
          <w:highlight w:val="none"/>
          <w:lang w:val="en-US" w:eastAsia="zh-CN"/>
        </w:rPr>
      </w:pPr>
      <w:r>
        <w:rPr>
          <w:rFonts w:hint="eastAsia" w:ascii="方正仿宋_GB2312" w:hAnsi="方正仿宋_GB2312" w:eastAsia="方正仿宋_GB2312" w:cs="方正仿宋_GB2312"/>
          <w:spacing w:val="-2"/>
          <w:sz w:val="32"/>
          <w:szCs w:val="32"/>
          <w:highlight w:val="none"/>
          <w:lang w:val="en-US" w:eastAsia="zh-CN"/>
        </w:rPr>
        <w:t>无</w:t>
      </w:r>
    </w:p>
    <w:p w14:paraId="3EDA15EB">
      <w:pPr>
        <w:bidi w:val="0"/>
        <w:rPr>
          <w:rFonts w:hint="eastAsia" w:ascii="方正楷体_GB2312" w:hAnsi="方正楷体_GB2312" w:eastAsia="方正楷体_GB2312" w:cs="方正楷体_GB2312"/>
          <w:sz w:val="36"/>
          <w:szCs w:val="36"/>
          <w:highlight w:val="none"/>
        </w:rPr>
      </w:pPr>
    </w:p>
    <w:p w14:paraId="66C60060">
      <w:pPr>
        <w:bidi w:val="0"/>
        <w:ind w:left="0" w:leftChars="0" w:firstLine="640" w:firstLineChars="20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报告应包括以下附件：</w:t>
      </w:r>
    </w:p>
    <w:p w14:paraId="1216A51E">
      <w:pPr>
        <w:bidi w:val="0"/>
        <w:ind w:left="0" w:leftChars="0" w:firstLine="640" w:firstLineChars="20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 xml:space="preserve">1.部门整体支出绩效评价基础数据表  </w:t>
      </w:r>
    </w:p>
    <w:p w14:paraId="513E5FE8">
      <w:pPr>
        <w:bidi w:val="0"/>
        <w:ind w:left="0" w:leftChars="0" w:firstLine="640" w:firstLineChars="20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2.部门整体支出绩效自评表</w:t>
      </w:r>
    </w:p>
    <w:p w14:paraId="1A6FD380">
      <w:pPr>
        <w:bidi w:val="0"/>
        <w:ind w:left="0" w:leftChars="0" w:firstLine="640" w:firstLineChars="200"/>
        <w:rPr>
          <w:rFonts w:hint="eastAsia" w:ascii="黑体" w:hAnsi="黑体" w:eastAsia="黑体" w:cs="黑体"/>
          <w:b w:val="0"/>
          <w:bCs w:val="0"/>
          <w:color w:val="auto"/>
          <w:kern w:val="2"/>
          <w:sz w:val="32"/>
          <w:szCs w:val="32"/>
          <w:highlight w:val="none"/>
          <w:lang w:val="en-US" w:eastAsia="zh-CN" w:bidi="ar-SA"/>
        </w:rPr>
      </w:pPr>
    </w:p>
    <w:p w14:paraId="0655C1BF">
      <w:pPr>
        <w:bidi w:val="0"/>
        <w:rPr>
          <w:rFonts w:hint="eastAsia"/>
          <w:highlight w:val="none"/>
          <w:lang w:val="en-US" w:eastAsia="zh-CN"/>
        </w:rPr>
      </w:pPr>
    </w:p>
    <w:p w14:paraId="7DB4DA84">
      <w:pPr>
        <w:bidi w:val="0"/>
        <w:rPr>
          <w:rFonts w:hint="eastAsia"/>
          <w:highlight w:val="none"/>
          <w:lang w:val="en-US" w:eastAsia="zh-CN"/>
        </w:rPr>
      </w:pPr>
    </w:p>
    <w:p w14:paraId="656936BB">
      <w:pPr>
        <w:bidi w:val="0"/>
        <w:rPr>
          <w:rFonts w:hint="eastAsia"/>
          <w:highlight w:val="none"/>
          <w:lang w:val="en-US" w:eastAsia="zh-CN"/>
        </w:rPr>
      </w:pPr>
    </w:p>
    <w:p w14:paraId="178EFFA1">
      <w:pPr>
        <w:bidi w:val="0"/>
        <w:rPr>
          <w:rFonts w:hint="eastAsia"/>
          <w:highlight w:val="none"/>
          <w:lang w:val="en-US" w:eastAsia="zh-CN"/>
        </w:rPr>
      </w:pPr>
    </w:p>
    <w:p w14:paraId="47ADE559">
      <w:pPr>
        <w:bidi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 xml:space="preserve">附件1-1 </w:t>
      </w:r>
    </w:p>
    <w:p w14:paraId="285C205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highlight w:val="none"/>
          <w:lang w:val="en-US" w:eastAsia="zh-CN"/>
        </w:rPr>
      </w:pPr>
      <w:r>
        <w:rPr>
          <w:rFonts w:hint="eastAsia" w:ascii="方正小标宋简体" w:hAnsi="方正小标宋简体" w:eastAsia="方正小标宋简体" w:cs="方正小标宋简体"/>
          <w:color w:val="000000"/>
          <w:kern w:val="0"/>
          <w:sz w:val="36"/>
          <w:szCs w:val="36"/>
          <w:highlight w:val="none"/>
          <w:lang w:val="en-US" w:eastAsia="zh-CN"/>
        </w:rPr>
        <w:t>部门整体支出绩效评价基础数据表</w:t>
      </w:r>
    </w:p>
    <w:tbl>
      <w:tblPr>
        <w:tblStyle w:val="14"/>
        <w:tblpPr w:leftFromText="180" w:rightFromText="180" w:vertAnchor="text" w:horzAnchor="page" w:tblpX="1329" w:tblpY="312"/>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1BD0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vMerge w:val="restart"/>
            <w:noWrap w:val="0"/>
            <w:vAlign w:val="center"/>
          </w:tcPr>
          <w:p w14:paraId="388EEEA0">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财政供养人员情况</w:t>
            </w:r>
          </w:p>
        </w:tc>
        <w:tc>
          <w:tcPr>
            <w:tcW w:w="2038" w:type="dxa"/>
            <w:gridSpan w:val="2"/>
            <w:noWrap w:val="0"/>
            <w:vAlign w:val="center"/>
          </w:tcPr>
          <w:p w14:paraId="5E44001A">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编制数</w:t>
            </w:r>
          </w:p>
        </w:tc>
        <w:tc>
          <w:tcPr>
            <w:tcW w:w="2240" w:type="dxa"/>
            <w:gridSpan w:val="2"/>
            <w:noWrap w:val="0"/>
            <w:vAlign w:val="center"/>
          </w:tcPr>
          <w:p w14:paraId="656C3007">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lang w:eastAsia="zh-CN"/>
              </w:rPr>
              <w:t>2024</w:t>
            </w:r>
            <w:r>
              <w:rPr>
                <w:rFonts w:hint="eastAsia" w:ascii="仿宋" w:hAnsi="仿宋" w:eastAsia="仿宋" w:cs="仿宋"/>
                <w:b w:val="0"/>
                <w:bCs w:val="0"/>
                <w:kern w:val="0"/>
                <w:sz w:val="20"/>
                <w:szCs w:val="20"/>
                <w:highlight w:val="none"/>
              </w:rPr>
              <w:t>年实际在职人数</w:t>
            </w:r>
          </w:p>
        </w:tc>
        <w:tc>
          <w:tcPr>
            <w:tcW w:w="1832" w:type="dxa"/>
            <w:gridSpan w:val="2"/>
            <w:noWrap w:val="0"/>
            <w:vAlign w:val="center"/>
          </w:tcPr>
          <w:p w14:paraId="72CBD8DC">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控制率</w:t>
            </w:r>
          </w:p>
        </w:tc>
      </w:tr>
      <w:tr w14:paraId="20E7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354" w:type="dxa"/>
            <w:vMerge w:val="continue"/>
            <w:noWrap w:val="0"/>
            <w:vAlign w:val="center"/>
          </w:tcPr>
          <w:p w14:paraId="7F9DAB40">
            <w:pPr>
              <w:widowControl/>
              <w:jc w:val="left"/>
              <w:rPr>
                <w:rFonts w:hint="eastAsia" w:ascii="仿宋" w:hAnsi="仿宋" w:eastAsia="仿宋" w:cs="仿宋"/>
                <w:b w:val="0"/>
                <w:bCs w:val="0"/>
                <w:kern w:val="0"/>
                <w:sz w:val="20"/>
                <w:szCs w:val="20"/>
                <w:highlight w:val="none"/>
              </w:rPr>
            </w:pPr>
          </w:p>
        </w:tc>
        <w:tc>
          <w:tcPr>
            <w:tcW w:w="2038" w:type="dxa"/>
            <w:gridSpan w:val="2"/>
            <w:noWrap w:val="0"/>
            <w:vAlign w:val="center"/>
          </w:tcPr>
          <w:p w14:paraId="52DE234D">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54</w:t>
            </w:r>
          </w:p>
        </w:tc>
        <w:tc>
          <w:tcPr>
            <w:tcW w:w="2240" w:type="dxa"/>
            <w:gridSpan w:val="2"/>
            <w:noWrap w:val="0"/>
            <w:vAlign w:val="center"/>
          </w:tcPr>
          <w:p w14:paraId="28CBD3B0">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lang w:val="en-US" w:eastAsia="zh-CN"/>
              </w:rPr>
              <w:t>48</w:t>
            </w:r>
            <w:r>
              <w:rPr>
                <w:rFonts w:hint="eastAsia" w:ascii="仿宋" w:hAnsi="仿宋" w:eastAsia="仿宋" w:cs="仿宋"/>
                <w:b w:val="0"/>
                <w:bCs w:val="0"/>
                <w:kern w:val="0"/>
                <w:sz w:val="20"/>
                <w:szCs w:val="20"/>
                <w:highlight w:val="none"/>
              </w:rPr>
              <w:t>　</w:t>
            </w:r>
          </w:p>
        </w:tc>
        <w:tc>
          <w:tcPr>
            <w:tcW w:w="1832" w:type="dxa"/>
            <w:gridSpan w:val="2"/>
            <w:noWrap w:val="0"/>
            <w:vAlign w:val="center"/>
          </w:tcPr>
          <w:p w14:paraId="095119BF">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89%</w:t>
            </w:r>
          </w:p>
        </w:tc>
      </w:tr>
      <w:tr w14:paraId="51DD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4B91A202">
            <w:pPr>
              <w:widowControl/>
              <w:jc w:val="center"/>
              <w:rPr>
                <w:rFonts w:hint="eastAsia" w:ascii="仿宋" w:hAnsi="仿宋" w:eastAsia="仿宋" w:cs="仿宋"/>
                <w:b w:val="0"/>
                <w:bCs w:val="0"/>
                <w:kern w:val="0"/>
                <w:sz w:val="20"/>
                <w:szCs w:val="20"/>
                <w:highlight w:val="none"/>
                <w:lang w:eastAsia="zh-CN"/>
              </w:rPr>
            </w:pPr>
            <w:r>
              <w:rPr>
                <w:rFonts w:hint="eastAsia" w:ascii="仿宋" w:hAnsi="仿宋" w:eastAsia="仿宋" w:cs="仿宋"/>
                <w:b w:val="0"/>
                <w:bCs w:val="0"/>
                <w:kern w:val="0"/>
                <w:sz w:val="20"/>
                <w:szCs w:val="20"/>
                <w:highlight w:val="none"/>
              </w:rPr>
              <w:t>经费控制情况</w:t>
            </w:r>
            <w:r>
              <w:rPr>
                <w:rFonts w:hint="eastAsia" w:ascii="仿宋" w:hAnsi="仿宋" w:eastAsia="仿宋" w:cs="仿宋"/>
                <w:b w:val="0"/>
                <w:bCs w:val="0"/>
                <w:kern w:val="0"/>
                <w:sz w:val="20"/>
                <w:szCs w:val="20"/>
                <w:highlight w:val="none"/>
                <w:lang w:eastAsia="zh-CN"/>
              </w:rPr>
              <w:t>（万元）</w:t>
            </w:r>
          </w:p>
        </w:tc>
        <w:tc>
          <w:tcPr>
            <w:tcW w:w="2038" w:type="dxa"/>
            <w:gridSpan w:val="2"/>
            <w:noWrap w:val="0"/>
            <w:vAlign w:val="center"/>
          </w:tcPr>
          <w:p w14:paraId="1BF1C4C0">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20</w:t>
            </w:r>
            <w:r>
              <w:rPr>
                <w:rFonts w:hint="eastAsia" w:ascii="仿宋" w:hAnsi="仿宋" w:eastAsia="仿宋" w:cs="仿宋"/>
                <w:b w:val="0"/>
                <w:bCs w:val="0"/>
                <w:kern w:val="0"/>
                <w:sz w:val="20"/>
                <w:szCs w:val="20"/>
                <w:highlight w:val="none"/>
                <w:lang w:val="en-US" w:eastAsia="zh-CN"/>
              </w:rPr>
              <w:t>23</w:t>
            </w:r>
            <w:r>
              <w:rPr>
                <w:rFonts w:hint="eastAsia" w:ascii="仿宋" w:hAnsi="仿宋" w:eastAsia="仿宋" w:cs="仿宋"/>
                <w:b w:val="0"/>
                <w:bCs w:val="0"/>
                <w:kern w:val="0"/>
                <w:sz w:val="20"/>
                <w:szCs w:val="20"/>
                <w:highlight w:val="none"/>
              </w:rPr>
              <w:t>年决算数</w:t>
            </w:r>
          </w:p>
        </w:tc>
        <w:tc>
          <w:tcPr>
            <w:tcW w:w="2240" w:type="dxa"/>
            <w:gridSpan w:val="2"/>
            <w:noWrap w:val="0"/>
            <w:vAlign w:val="center"/>
          </w:tcPr>
          <w:p w14:paraId="2656C552">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lang w:eastAsia="zh-CN"/>
              </w:rPr>
              <w:t>2024</w:t>
            </w:r>
            <w:r>
              <w:rPr>
                <w:rFonts w:hint="eastAsia" w:ascii="仿宋" w:hAnsi="仿宋" w:eastAsia="仿宋" w:cs="仿宋"/>
                <w:b w:val="0"/>
                <w:bCs w:val="0"/>
                <w:kern w:val="0"/>
                <w:sz w:val="20"/>
                <w:szCs w:val="20"/>
                <w:highlight w:val="none"/>
              </w:rPr>
              <w:t>年预算数</w:t>
            </w:r>
          </w:p>
        </w:tc>
        <w:tc>
          <w:tcPr>
            <w:tcW w:w="1832" w:type="dxa"/>
            <w:gridSpan w:val="2"/>
            <w:noWrap w:val="0"/>
            <w:vAlign w:val="center"/>
          </w:tcPr>
          <w:p w14:paraId="59A38F31">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lang w:eastAsia="zh-CN"/>
              </w:rPr>
              <w:t>2024</w:t>
            </w:r>
            <w:r>
              <w:rPr>
                <w:rFonts w:hint="eastAsia" w:ascii="仿宋" w:hAnsi="仿宋" w:eastAsia="仿宋" w:cs="仿宋"/>
                <w:b w:val="0"/>
                <w:bCs w:val="0"/>
                <w:kern w:val="0"/>
                <w:sz w:val="20"/>
                <w:szCs w:val="20"/>
                <w:highlight w:val="none"/>
              </w:rPr>
              <w:t>年决算数</w:t>
            </w:r>
          </w:p>
        </w:tc>
      </w:tr>
      <w:tr w14:paraId="2C5C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22A410A">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三公经费</w:t>
            </w:r>
          </w:p>
        </w:tc>
        <w:tc>
          <w:tcPr>
            <w:tcW w:w="2038" w:type="dxa"/>
            <w:gridSpan w:val="2"/>
            <w:noWrap w:val="0"/>
            <w:vAlign w:val="center"/>
          </w:tcPr>
          <w:p w14:paraId="1243C842">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1.16</w:t>
            </w:r>
          </w:p>
        </w:tc>
        <w:tc>
          <w:tcPr>
            <w:tcW w:w="2240" w:type="dxa"/>
            <w:gridSpan w:val="2"/>
            <w:noWrap w:val="0"/>
            <w:vAlign w:val="center"/>
          </w:tcPr>
          <w:p w14:paraId="088EEFBA">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1.4</w:t>
            </w:r>
          </w:p>
        </w:tc>
        <w:tc>
          <w:tcPr>
            <w:tcW w:w="1832" w:type="dxa"/>
            <w:gridSpan w:val="2"/>
            <w:noWrap w:val="0"/>
            <w:vAlign w:val="center"/>
          </w:tcPr>
          <w:p w14:paraId="7A865E83">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1.45</w:t>
            </w:r>
          </w:p>
        </w:tc>
      </w:tr>
      <w:tr w14:paraId="0F31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8F75049">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1、公务用车购置和维护经费</w:t>
            </w:r>
          </w:p>
        </w:tc>
        <w:tc>
          <w:tcPr>
            <w:tcW w:w="2038" w:type="dxa"/>
            <w:gridSpan w:val="2"/>
            <w:noWrap w:val="0"/>
            <w:vAlign w:val="center"/>
          </w:tcPr>
          <w:p w14:paraId="7447D3B0">
            <w:pPr>
              <w:widowControl/>
              <w:jc w:val="center"/>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w:t>
            </w:r>
          </w:p>
        </w:tc>
        <w:tc>
          <w:tcPr>
            <w:tcW w:w="2240" w:type="dxa"/>
            <w:gridSpan w:val="2"/>
            <w:noWrap w:val="0"/>
            <w:vAlign w:val="center"/>
          </w:tcPr>
          <w:p w14:paraId="7C1C1440">
            <w:pPr>
              <w:widowControl/>
              <w:jc w:val="center"/>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w:t>
            </w:r>
          </w:p>
        </w:tc>
        <w:tc>
          <w:tcPr>
            <w:tcW w:w="1832" w:type="dxa"/>
            <w:gridSpan w:val="2"/>
            <w:noWrap w:val="0"/>
            <w:vAlign w:val="center"/>
          </w:tcPr>
          <w:p w14:paraId="2DF9AF8D">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1.3</w:t>
            </w:r>
          </w:p>
        </w:tc>
      </w:tr>
      <w:tr w14:paraId="060D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439AEB9D">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其中：公车购置</w:t>
            </w:r>
          </w:p>
        </w:tc>
        <w:tc>
          <w:tcPr>
            <w:tcW w:w="2038" w:type="dxa"/>
            <w:gridSpan w:val="2"/>
            <w:noWrap w:val="0"/>
            <w:vAlign w:val="center"/>
          </w:tcPr>
          <w:p w14:paraId="6DA72C78">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662B6EB7">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0981E14E">
            <w:pPr>
              <w:widowControl/>
              <w:jc w:val="center"/>
              <w:rPr>
                <w:rFonts w:hint="eastAsia" w:ascii="仿宋" w:hAnsi="仿宋" w:eastAsia="仿宋" w:cs="仿宋"/>
                <w:b w:val="0"/>
                <w:bCs w:val="0"/>
                <w:kern w:val="0"/>
                <w:sz w:val="20"/>
                <w:szCs w:val="20"/>
                <w:highlight w:val="none"/>
              </w:rPr>
            </w:pPr>
          </w:p>
        </w:tc>
      </w:tr>
      <w:tr w14:paraId="3C6F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150E56D3">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公车运行维护</w:t>
            </w:r>
          </w:p>
        </w:tc>
        <w:tc>
          <w:tcPr>
            <w:tcW w:w="2038" w:type="dxa"/>
            <w:gridSpan w:val="2"/>
            <w:noWrap w:val="0"/>
            <w:vAlign w:val="center"/>
          </w:tcPr>
          <w:p w14:paraId="4F54ABB7">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38B1E950">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53BD03EA">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1.3</w:t>
            </w:r>
          </w:p>
        </w:tc>
      </w:tr>
      <w:tr w14:paraId="4BC6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A618922">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2、出国经费</w:t>
            </w:r>
          </w:p>
        </w:tc>
        <w:tc>
          <w:tcPr>
            <w:tcW w:w="2038" w:type="dxa"/>
            <w:gridSpan w:val="2"/>
            <w:noWrap w:val="0"/>
            <w:vAlign w:val="center"/>
          </w:tcPr>
          <w:p w14:paraId="6E1E7D20">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471FCD57">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0AAEFA08">
            <w:pPr>
              <w:widowControl/>
              <w:jc w:val="center"/>
              <w:rPr>
                <w:rFonts w:hint="eastAsia" w:ascii="仿宋" w:hAnsi="仿宋" w:eastAsia="仿宋" w:cs="仿宋"/>
                <w:b w:val="0"/>
                <w:bCs w:val="0"/>
                <w:kern w:val="0"/>
                <w:sz w:val="20"/>
                <w:szCs w:val="20"/>
                <w:highlight w:val="none"/>
              </w:rPr>
            </w:pPr>
          </w:p>
        </w:tc>
      </w:tr>
      <w:tr w14:paraId="79B6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45A318A">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3、公务接待</w:t>
            </w:r>
          </w:p>
        </w:tc>
        <w:tc>
          <w:tcPr>
            <w:tcW w:w="2038" w:type="dxa"/>
            <w:gridSpan w:val="2"/>
            <w:noWrap w:val="0"/>
            <w:vAlign w:val="center"/>
          </w:tcPr>
          <w:p w14:paraId="7B0B8F76">
            <w:pPr>
              <w:widowControl/>
              <w:jc w:val="center"/>
              <w:rPr>
                <w:rFonts w:hint="default"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1.16</w:t>
            </w:r>
          </w:p>
        </w:tc>
        <w:tc>
          <w:tcPr>
            <w:tcW w:w="2240" w:type="dxa"/>
            <w:gridSpan w:val="2"/>
            <w:noWrap w:val="0"/>
            <w:vAlign w:val="center"/>
          </w:tcPr>
          <w:p w14:paraId="0F199EB3">
            <w:pPr>
              <w:widowControl/>
              <w:jc w:val="center"/>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rPr>
              <w:t>　</w:t>
            </w:r>
            <w:r>
              <w:rPr>
                <w:rFonts w:hint="eastAsia" w:ascii="仿宋" w:hAnsi="仿宋" w:eastAsia="仿宋" w:cs="仿宋"/>
                <w:b w:val="0"/>
                <w:bCs w:val="0"/>
                <w:kern w:val="0"/>
                <w:sz w:val="20"/>
                <w:szCs w:val="20"/>
                <w:highlight w:val="none"/>
                <w:lang w:val="en-US" w:eastAsia="zh-CN"/>
              </w:rPr>
              <w:t>1.4</w:t>
            </w:r>
          </w:p>
        </w:tc>
        <w:tc>
          <w:tcPr>
            <w:tcW w:w="1832" w:type="dxa"/>
            <w:gridSpan w:val="2"/>
            <w:noWrap w:val="0"/>
            <w:vAlign w:val="center"/>
          </w:tcPr>
          <w:p w14:paraId="0E988E38">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0.15</w:t>
            </w:r>
          </w:p>
        </w:tc>
      </w:tr>
      <w:tr w14:paraId="1F66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7FA8803A">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项目支出：</w:t>
            </w:r>
          </w:p>
        </w:tc>
        <w:tc>
          <w:tcPr>
            <w:tcW w:w="2038" w:type="dxa"/>
            <w:gridSpan w:val="2"/>
            <w:noWrap w:val="0"/>
            <w:vAlign w:val="center"/>
          </w:tcPr>
          <w:p w14:paraId="010A4AA7">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70C35CC3">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0965E3FB">
            <w:pPr>
              <w:widowControl/>
              <w:jc w:val="center"/>
              <w:rPr>
                <w:rFonts w:hint="eastAsia" w:ascii="仿宋" w:hAnsi="仿宋" w:eastAsia="仿宋" w:cs="仿宋"/>
                <w:b w:val="0"/>
                <w:bCs w:val="0"/>
                <w:kern w:val="0"/>
                <w:sz w:val="20"/>
                <w:szCs w:val="20"/>
                <w:highlight w:val="none"/>
              </w:rPr>
            </w:pPr>
          </w:p>
        </w:tc>
      </w:tr>
      <w:tr w14:paraId="0309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61E79093">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1、业务工作经费</w:t>
            </w:r>
          </w:p>
        </w:tc>
        <w:tc>
          <w:tcPr>
            <w:tcW w:w="2038" w:type="dxa"/>
            <w:gridSpan w:val="2"/>
            <w:noWrap w:val="0"/>
            <w:vAlign w:val="center"/>
          </w:tcPr>
          <w:p w14:paraId="0423509D">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6CA69247">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77F59BEF">
            <w:pPr>
              <w:widowControl/>
              <w:jc w:val="center"/>
              <w:rPr>
                <w:rFonts w:hint="eastAsia" w:ascii="仿宋" w:hAnsi="仿宋" w:eastAsia="仿宋" w:cs="仿宋"/>
                <w:b w:val="0"/>
                <w:bCs w:val="0"/>
                <w:kern w:val="0"/>
                <w:sz w:val="20"/>
                <w:szCs w:val="20"/>
                <w:highlight w:val="none"/>
              </w:rPr>
            </w:pPr>
          </w:p>
        </w:tc>
      </w:tr>
      <w:tr w14:paraId="4278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3E5FEF6">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2、运行维护经费</w:t>
            </w:r>
          </w:p>
        </w:tc>
        <w:tc>
          <w:tcPr>
            <w:tcW w:w="2038" w:type="dxa"/>
            <w:gridSpan w:val="2"/>
            <w:noWrap w:val="0"/>
            <w:vAlign w:val="center"/>
          </w:tcPr>
          <w:p w14:paraId="7234F66A">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5E89F294">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00FC9C55">
            <w:pPr>
              <w:widowControl/>
              <w:jc w:val="center"/>
              <w:rPr>
                <w:rFonts w:hint="eastAsia" w:ascii="仿宋" w:hAnsi="仿宋" w:eastAsia="仿宋" w:cs="仿宋"/>
                <w:b w:val="0"/>
                <w:bCs w:val="0"/>
                <w:kern w:val="0"/>
                <w:sz w:val="20"/>
                <w:szCs w:val="20"/>
                <w:highlight w:val="none"/>
              </w:rPr>
            </w:pPr>
          </w:p>
        </w:tc>
      </w:tr>
      <w:tr w14:paraId="7197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354" w:type="dxa"/>
            <w:noWrap w:val="0"/>
            <w:vAlign w:val="center"/>
          </w:tcPr>
          <w:p w14:paraId="01259CE1">
            <w:pPr>
              <w:widowControl/>
              <w:ind w:firstLine="400" w:firstLineChars="200"/>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3、</w:t>
            </w:r>
            <w:r>
              <w:rPr>
                <w:rFonts w:hint="eastAsia" w:ascii="仿宋" w:hAnsi="仿宋" w:eastAsia="仿宋" w:cs="仿宋"/>
                <w:b w:val="0"/>
                <w:bCs w:val="0"/>
                <w:kern w:val="0"/>
                <w:sz w:val="20"/>
                <w:szCs w:val="20"/>
                <w:highlight w:val="none"/>
                <w:lang w:val="en-US" w:eastAsia="zh-CN"/>
              </w:rPr>
              <w:t>市级</w:t>
            </w:r>
            <w:r>
              <w:rPr>
                <w:rFonts w:hint="eastAsia" w:ascii="仿宋" w:hAnsi="仿宋" w:eastAsia="仿宋" w:cs="仿宋"/>
                <w:b w:val="0"/>
                <w:bCs w:val="0"/>
                <w:kern w:val="0"/>
                <w:sz w:val="20"/>
                <w:szCs w:val="20"/>
                <w:highlight w:val="none"/>
              </w:rPr>
              <w:t>专项资金</w:t>
            </w:r>
          </w:p>
          <w:p w14:paraId="4F5EAFF0">
            <w:pPr>
              <w:widowControl/>
              <w:ind w:firstLine="600" w:firstLineChars="300"/>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（一个专项一行）</w:t>
            </w:r>
          </w:p>
        </w:tc>
        <w:tc>
          <w:tcPr>
            <w:tcW w:w="2038" w:type="dxa"/>
            <w:gridSpan w:val="2"/>
            <w:noWrap w:val="0"/>
            <w:vAlign w:val="center"/>
          </w:tcPr>
          <w:p w14:paraId="1E64BABE">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139.68</w:t>
            </w:r>
          </w:p>
        </w:tc>
        <w:tc>
          <w:tcPr>
            <w:tcW w:w="2240" w:type="dxa"/>
            <w:gridSpan w:val="2"/>
            <w:noWrap w:val="0"/>
            <w:vAlign w:val="center"/>
          </w:tcPr>
          <w:p w14:paraId="68C72011">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93</w:t>
            </w:r>
          </w:p>
        </w:tc>
        <w:tc>
          <w:tcPr>
            <w:tcW w:w="1832" w:type="dxa"/>
            <w:gridSpan w:val="2"/>
            <w:noWrap w:val="0"/>
            <w:vAlign w:val="center"/>
          </w:tcPr>
          <w:p w14:paraId="5E91A42F">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120.39</w:t>
            </w:r>
          </w:p>
        </w:tc>
      </w:tr>
      <w:tr w14:paraId="6CE2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1B000F24">
            <w:pPr>
              <w:widowControl/>
              <w:jc w:val="left"/>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rPr>
              <w:t>失业动态监测（失业预警）工作和失业保险稳定就业工作经费</w:t>
            </w:r>
          </w:p>
        </w:tc>
        <w:tc>
          <w:tcPr>
            <w:tcW w:w="2038" w:type="dxa"/>
            <w:gridSpan w:val="2"/>
            <w:noWrap w:val="0"/>
            <w:vAlign w:val="center"/>
          </w:tcPr>
          <w:p w14:paraId="3C3F9A65">
            <w:pPr>
              <w:widowControl/>
              <w:jc w:val="center"/>
              <w:rPr>
                <w:rFonts w:hint="default" w:ascii="Times New Roman" w:hAnsi="Times New Roman" w:eastAsia="仿宋_GB2312" w:cs="Times New Roman"/>
                <w:kern w:val="2"/>
                <w:sz w:val="20"/>
                <w:szCs w:val="20"/>
                <w:highlight w:val="none"/>
                <w:lang w:val="en-US" w:eastAsia="zh-CN" w:bidi="ar-SA"/>
              </w:rPr>
            </w:pPr>
            <w:r>
              <w:rPr>
                <w:rFonts w:hint="eastAsia" w:ascii="Times New Roman" w:hAnsi="Times New Roman" w:eastAsia="仿宋_GB2312" w:cs="Times New Roman"/>
                <w:kern w:val="2"/>
                <w:sz w:val="20"/>
                <w:szCs w:val="20"/>
                <w:highlight w:val="none"/>
                <w:lang w:val="en-US" w:eastAsia="zh-CN" w:bidi="ar-SA"/>
              </w:rPr>
              <w:t>10</w:t>
            </w:r>
          </w:p>
        </w:tc>
        <w:tc>
          <w:tcPr>
            <w:tcW w:w="2240" w:type="dxa"/>
            <w:gridSpan w:val="2"/>
            <w:noWrap w:val="0"/>
            <w:vAlign w:val="center"/>
          </w:tcPr>
          <w:p w14:paraId="0588F3F2">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15</w:t>
            </w:r>
          </w:p>
        </w:tc>
        <w:tc>
          <w:tcPr>
            <w:tcW w:w="1832" w:type="dxa"/>
            <w:gridSpan w:val="2"/>
            <w:noWrap w:val="0"/>
            <w:vAlign w:val="center"/>
          </w:tcPr>
          <w:p w14:paraId="71A0B5E0">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15</w:t>
            </w:r>
          </w:p>
        </w:tc>
      </w:tr>
      <w:tr w14:paraId="28F0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03DE026A">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eastAsia="zh-CN"/>
              </w:rPr>
              <w:t>流动人员档案管理经费</w:t>
            </w:r>
          </w:p>
        </w:tc>
        <w:tc>
          <w:tcPr>
            <w:tcW w:w="2038" w:type="dxa"/>
            <w:gridSpan w:val="2"/>
            <w:noWrap w:val="0"/>
            <w:vAlign w:val="center"/>
          </w:tcPr>
          <w:p w14:paraId="3E65458D">
            <w:pPr>
              <w:widowControl/>
              <w:jc w:val="center"/>
              <w:rPr>
                <w:rFonts w:hint="default" w:ascii="Times New Roman" w:hAnsi="Times New Roman" w:eastAsia="仿宋_GB2312" w:cs="Times New Roman"/>
                <w:kern w:val="2"/>
                <w:sz w:val="20"/>
                <w:szCs w:val="20"/>
                <w:highlight w:val="none"/>
                <w:lang w:val="en-US" w:eastAsia="zh-CN" w:bidi="ar-SA"/>
              </w:rPr>
            </w:pPr>
            <w:r>
              <w:rPr>
                <w:rFonts w:hint="eastAsia" w:ascii="Times New Roman" w:hAnsi="Times New Roman" w:eastAsia="仿宋_GB2312" w:cs="Times New Roman"/>
                <w:kern w:val="2"/>
                <w:sz w:val="20"/>
                <w:szCs w:val="20"/>
                <w:highlight w:val="none"/>
                <w:lang w:val="en-US" w:eastAsia="zh-CN" w:bidi="ar-SA"/>
              </w:rPr>
              <w:t>17.5</w:t>
            </w:r>
          </w:p>
        </w:tc>
        <w:tc>
          <w:tcPr>
            <w:tcW w:w="2240" w:type="dxa"/>
            <w:gridSpan w:val="2"/>
            <w:noWrap w:val="0"/>
            <w:vAlign w:val="center"/>
          </w:tcPr>
          <w:p w14:paraId="3EFBDD07">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17.5</w:t>
            </w:r>
          </w:p>
        </w:tc>
        <w:tc>
          <w:tcPr>
            <w:tcW w:w="1832" w:type="dxa"/>
            <w:gridSpan w:val="2"/>
            <w:noWrap w:val="0"/>
            <w:vAlign w:val="center"/>
          </w:tcPr>
          <w:p w14:paraId="1E8E1223">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17.5</w:t>
            </w:r>
          </w:p>
        </w:tc>
      </w:tr>
      <w:tr w14:paraId="3404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D492797">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eastAsia="zh-CN"/>
              </w:rPr>
              <w:t>农民工就业工作经费</w:t>
            </w:r>
          </w:p>
        </w:tc>
        <w:tc>
          <w:tcPr>
            <w:tcW w:w="2038" w:type="dxa"/>
            <w:gridSpan w:val="2"/>
            <w:noWrap w:val="0"/>
            <w:vAlign w:val="center"/>
          </w:tcPr>
          <w:p w14:paraId="3F17BDC7">
            <w:pPr>
              <w:widowControl/>
              <w:jc w:val="center"/>
              <w:rPr>
                <w:rFonts w:hint="default" w:ascii="Times New Roman" w:hAnsi="Times New Roman" w:eastAsia="仿宋_GB2312" w:cs="Times New Roman"/>
                <w:kern w:val="2"/>
                <w:sz w:val="20"/>
                <w:szCs w:val="20"/>
                <w:highlight w:val="none"/>
                <w:lang w:val="en-US" w:eastAsia="zh-CN" w:bidi="ar-SA"/>
              </w:rPr>
            </w:pPr>
            <w:r>
              <w:rPr>
                <w:rFonts w:hint="eastAsia" w:ascii="Times New Roman" w:hAnsi="Times New Roman" w:eastAsia="仿宋_GB2312" w:cs="Times New Roman"/>
                <w:kern w:val="2"/>
                <w:sz w:val="20"/>
                <w:szCs w:val="20"/>
                <w:highlight w:val="none"/>
                <w:lang w:val="en-US" w:eastAsia="zh-CN" w:bidi="ar-SA"/>
              </w:rPr>
              <w:t>10</w:t>
            </w:r>
          </w:p>
        </w:tc>
        <w:tc>
          <w:tcPr>
            <w:tcW w:w="2240" w:type="dxa"/>
            <w:gridSpan w:val="2"/>
            <w:noWrap w:val="0"/>
            <w:vAlign w:val="center"/>
          </w:tcPr>
          <w:p w14:paraId="0661A2F2">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10</w:t>
            </w:r>
          </w:p>
        </w:tc>
        <w:tc>
          <w:tcPr>
            <w:tcW w:w="1832" w:type="dxa"/>
            <w:gridSpan w:val="2"/>
            <w:noWrap w:val="0"/>
            <w:vAlign w:val="center"/>
          </w:tcPr>
          <w:p w14:paraId="6A86268C">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10</w:t>
            </w:r>
          </w:p>
        </w:tc>
      </w:tr>
      <w:tr w14:paraId="2402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0514570">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eastAsia="zh-CN"/>
              </w:rPr>
              <w:t>市级企业用工保障服务专项经费及大学生就业专项工作经费</w:t>
            </w:r>
          </w:p>
        </w:tc>
        <w:tc>
          <w:tcPr>
            <w:tcW w:w="2038" w:type="dxa"/>
            <w:gridSpan w:val="2"/>
            <w:noWrap w:val="0"/>
            <w:vAlign w:val="center"/>
          </w:tcPr>
          <w:p w14:paraId="25D8427A">
            <w:pPr>
              <w:widowControl/>
              <w:jc w:val="center"/>
              <w:rPr>
                <w:rFonts w:hint="default" w:ascii="Times New Roman" w:hAnsi="Times New Roman" w:eastAsia="仿宋_GB2312" w:cs="Times New Roman"/>
                <w:kern w:val="2"/>
                <w:sz w:val="20"/>
                <w:szCs w:val="20"/>
                <w:highlight w:val="none"/>
                <w:lang w:val="en-US" w:eastAsia="zh-CN" w:bidi="ar-SA"/>
              </w:rPr>
            </w:pPr>
            <w:r>
              <w:rPr>
                <w:rFonts w:hint="eastAsia" w:ascii="Times New Roman" w:hAnsi="Times New Roman" w:eastAsia="仿宋_GB2312" w:cs="Times New Roman"/>
                <w:kern w:val="2"/>
                <w:sz w:val="20"/>
                <w:szCs w:val="20"/>
                <w:highlight w:val="none"/>
                <w:lang w:val="en-US" w:eastAsia="zh-CN" w:bidi="ar-SA"/>
              </w:rPr>
              <w:t>48.03</w:t>
            </w:r>
          </w:p>
        </w:tc>
        <w:tc>
          <w:tcPr>
            <w:tcW w:w="2240" w:type="dxa"/>
            <w:gridSpan w:val="2"/>
            <w:noWrap w:val="0"/>
            <w:vAlign w:val="center"/>
          </w:tcPr>
          <w:p w14:paraId="6F084D5A">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50</w:t>
            </w:r>
          </w:p>
        </w:tc>
        <w:tc>
          <w:tcPr>
            <w:tcW w:w="1832" w:type="dxa"/>
            <w:gridSpan w:val="2"/>
            <w:noWrap w:val="0"/>
            <w:vAlign w:val="center"/>
          </w:tcPr>
          <w:p w14:paraId="050D983E">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50</w:t>
            </w:r>
          </w:p>
        </w:tc>
      </w:tr>
      <w:tr w14:paraId="62C4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7B2FDBD7">
            <w:pPr>
              <w:widowControl/>
              <w:jc w:val="left"/>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国家基层科普行动计划专项</w:t>
            </w:r>
          </w:p>
        </w:tc>
        <w:tc>
          <w:tcPr>
            <w:tcW w:w="2038" w:type="dxa"/>
            <w:gridSpan w:val="2"/>
            <w:noWrap w:val="0"/>
            <w:vAlign w:val="center"/>
          </w:tcPr>
          <w:p w14:paraId="0FE3AE26">
            <w:pPr>
              <w:widowControl/>
              <w:jc w:val="center"/>
              <w:rPr>
                <w:rFonts w:hint="eastAsia" w:ascii="Times New Roman" w:hAnsi="Times New Roman" w:eastAsia="仿宋_GB2312" w:cs="Times New Roman"/>
                <w:kern w:val="2"/>
                <w:sz w:val="20"/>
                <w:szCs w:val="20"/>
                <w:highlight w:val="none"/>
                <w:lang w:val="en-US" w:eastAsia="zh-CN" w:bidi="ar-SA"/>
              </w:rPr>
            </w:pPr>
          </w:p>
        </w:tc>
        <w:tc>
          <w:tcPr>
            <w:tcW w:w="2240" w:type="dxa"/>
            <w:gridSpan w:val="2"/>
            <w:noWrap w:val="0"/>
            <w:vAlign w:val="center"/>
          </w:tcPr>
          <w:p w14:paraId="23851E6A">
            <w:pPr>
              <w:widowControl/>
              <w:jc w:val="center"/>
              <w:rPr>
                <w:rFonts w:hint="eastAsia"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w:t>
            </w:r>
          </w:p>
        </w:tc>
        <w:tc>
          <w:tcPr>
            <w:tcW w:w="1832" w:type="dxa"/>
            <w:gridSpan w:val="2"/>
            <w:noWrap w:val="0"/>
            <w:vAlign w:val="center"/>
          </w:tcPr>
          <w:p w14:paraId="256A9940">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w:t>
            </w:r>
          </w:p>
        </w:tc>
      </w:tr>
      <w:tr w14:paraId="5C81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4A80445">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rPr>
              <w:t>公益性岗位社保补贴</w:t>
            </w:r>
          </w:p>
        </w:tc>
        <w:tc>
          <w:tcPr>
            <w:tcW w:w="2038" w:type="dxa"/>
            <w:gridSpan w:val="2"/>
            <w:noWrap w:val="0"/>
            <w:vAlign w:val="center"/>
          </w:tcPr>
          <w:p w14:paraId="4D5F205C">
            <w:pPr>
              <w:widowControl/>
              <w:jc w:val="center"/>
              <w:rPr>
                <w:rFonts w:hint="default" w:ascii="Times New Roman" w:hAnsi="Times New Roman" w:eastAsia="仿宋_GB2312" w:cs="Times New Roman"/>
                <w:kern w:val="2"/>
                <w:sz w:val="20"/>
                <w:szCs w:val="20"/>
                <w:highlight w:val="none"/>
                <w:lang w:val="en-US" w:eastAsia="zh-CN" w:bidi="ar-SA"/>
              </w:rPr>
            </w:pPr>
            <w:r>
              <w:rPr>
                <w:rFonts w:hint="eastAsia" w:ascii="Times New Roman" w:hAnsi="Times New Roman" w:eastAsia="仿宋_GB2312" w:cs="Times New Roman"/>
                <w:kern w:val="2"/>
                <w:sz w:val="20"/>
                <w:szCs w:val="20"/>
                <w:highlight w:val="none"/>
                <w:lang w:val="en-US" w:eastAsia="zh-CN" w:bidi="ar-SA"/>
              </w:rPr>
              <w:t>12.44</w:t>
            </w:r>
          </w:p>
        </w:tc>
        <w:tc>
          <w:tcPr>
            <w:tcW w:w="2240" w:type="dxa"/>
            <w:gridSpan w:val="2"/>
            <w:noWrap w:val="0"/>
            <w:vAlign w:val="center"/>
          </w:tcPr>
          <w:p w14:paraId="0DAC2E98">
            <w:pPr>
              <w:widowControl/>
              <w:jc w:val="center"/>
              <w:rPr>
                <w:rFonts w:hint="eastAsia" w:ascii="仿宋" w:hAnsi="仿宋" w:eastAsia="仿宋" w:cs="仿宋"/>
                <w:b w:val="0"/>
                <w:bCs w:val="0"/>
                <w:kern w:val="0"/>
                <w:sz w:val="20"/>
                <w:szCs w:val="20"/>
                <w:highlight w:val="none"/>
              </w:rPr>
            </w:pPr>
            <w:r>
              <w:rPr>
                <w:rFonts w:hint="eastAsia" w:ascii="Times New Roman" w:hAnsi="Times New Roman" w:eastAsia="仿宋_GB2312" w:cs="Times New Roman"/>
                <w:kern w:val="2"/>
                <w:sz w:val="20"/>
                <w:szCs w:val="20"/>
                <w:highlight w:val="none"/>
                <w:lang w:val="en-US" w:eastAsia="zh-CN" w:bidi="ar-SA"/>
              </w:rPr>
              <w:t>15.78</w:t>
            </w:r>
          </w:p>
        </w:tc>
        <w:tc>
          <w:tcPr>
            <w:tcW w:w="1832" w:type="dxa"/>
            <w:gridSpan w:val="2"/>
            <w:noWrap w:val="0"/>
            <w:vAlign w:val="center"/>
          </w:tcPr>
          <w:p w14:paraId="64E28D31">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15.78</w:t>
            </w:r>
          </w:p>
        </w:tc>
      </w:tr>
      <w:tr w14:paraId="4FA9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ECE0C99">
            <w:pPr>
              <w:widowControl/>
              <w:tabs>
                <w:tab w:val="left" w:pos="2127"/>
              </w:tabs>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rPr>
              <w:t>国有资产出租缴纳相关费用</w:t>
            </w:r>
            <w:r>
              <w:rPr>
                <w:rFonts w:hint="eastAsia" w:ascii="仿宋" w:hAnsi="仿宋" w:eastAsia="仿宋" w:cs="仿宋"/>
                <w:b w:val="0"/>
                <w:bCs w:val="0"/>
                <w:kern w:val="0"/>
                <w:sz w:val="20"/>
                <w:szCs w:val="20"/>
                <w:highlight w:val="none"/>
                <w:lang w:eastAsia="zh-CN"/>
              </w:rPr>
              <w:tab/>
            </w:r>
          </w:p>
        </w:tc>
        <w:tc>
          <w:tcPr>
            <w:tcW w:w="2038" w:type="dxa"/>
            <w:gridSpan w:val="2"/>
            <w:noWrap w:val="0"/>
            <w:vAlign w:val="center"/>
          </w:tcPr>
          <w:p w14:paraId="01DC6CB0">
            <w:pPr>
              <w:widowControl/>
              <w:jc w:val="center"/>
              <w:rPr>
                <w:rFonts w:hint="default"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bidi="ar-SA"/>
              </w:rPr>
              <w:t>0.16</w:t>
            </w:r>
          </w:p>
        </w:tc>
        <w:tc>
          <w:tcPr>
            <w:tcW w:w="2240" w:type="dxa"/>
            <w:gridSpan w:val="2"/>
            <w:noWrap w:val="0"/>
            <w:vAlign w:val="center"/>
          </w:tcPr>
          <w:p w14:paraId="543DEB84">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0.5</w:t>
            </w:r>
          </w:p>
        </w:tc>
        <w:tc>
          <w:tcPr>
            <w:tcW w:w="1832" w:type="dxa"/>
            <w:gridSpan w:val="2"/>
            <w:noWrap w:val="0"/>
            <w:vAlign w:val="center"/>
          </w:tcPr>
          <w:p w14:paraId="5DA5137B">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0.26</w:t>
            </w:r>
          </w:p>
        </w:tc>
      </w:tr>
      <w:tr w14:paraId="1C95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354" w:type="dxa"/>
            <w:noWrap w:val="0"/>
            <w:vAlign w:val="center"/>
          </w:tcPr>
          <w:p w14:paraId="4C03EDC0">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rPr>
              <w:t>2023年</w:t>
            </w:r>
            <w:r>
              <w:rPr>
                <w:rFonts w:hint="eastAsia" w:ascii="仿宋" w:hAnsi="仿宋" w:eastAsia="仿宋" w:cs="仿宋"/>
                <w:b w:val="0"/>
                <w:bCs w:val="0"/>
                <w:kern w:val="0"/>
                <w:sz w:val="20"/>
                <w:szCs w:val="20"/>
                <w:highlight w:val="none"/>
              </w:rPr>
              <w:t>创业担保贷款奖补资金</w:t>
            </w:r>
          </w:p>
        </w:tc>
        <w:tc>
          <w:tcPr>
            <w:tcW w:w="2038" w:type="dxa"/>
            <w:gridSpan w:val="2"/>
            <w:noWrap w:val="0"/>
            <w:vAlign w:val="center"/>
          </w:tcPr>
          <w:p w14:paraId="4275DEBA">
            <w:pPr>
              <w:widowControl/>
              <w:jc w:val="center"/>
              <w:rPr>
                <w:rFonts w:hint="default"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lang w:val="en-US" w:eastAsia="zh-CN" w:bidi="ar-SA"/>
              </w:rPr>
              <w:t>20</w:t>
            </w:r>
          </w:p>
        </w:tc>
        <w:tc>
          <w:tcPr>
            <w:tcW w:w="2240" w:type="dxa"/>
            <w:gridSpan w:val="2"/>
            <w:noWrap w:val="0"/>
            <w:vAlign w:val="center"/>
          </w:tcPr>
          <w:p w14:paraId="7C66FB04">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2E662427">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8</w:t>
            </w:r>
          </w:p>
        </w:tc>
      </w:tr>
      <w:tr w14:paraId="1CDF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2989841">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rPr>
              <w:t>2024年住房公积金财政配套</w:t>
            </w:r>
          </w:p>
        </w:tc>
        <w:tc>
          <w:tcPr>
            <w:tcW w:w="2038" w:type="dxa"/>
            <w:gridSpan w:val="2"/>
            <w:noWrap w:val="0"/>
            <w:vAlign w:val="center"/>
          </w:tcPr>
          <w:p w14:paraId="6047DC9B">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189117FA">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632A6E01">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2.85</w:t>
            </w:r>
          </w:p>
        </w:tc>
      </w:tr>
      <w:tr w14:paraId="46AF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2EF7530E">
            <w:pPr>
              <w:widowControl/>
              <w:jc w:val="left"/>
              <w:rPr>
                <w:rFonts w:hint="eastAsia" w:ascii="仿宋" w:hAnsi="仿宋" w:eastAsia="仿宋" w:cs="仿宋"/>
                <w:b w:val="0"/>
                <w:bCs w:val="0"/>
                <w:color w:val="auto"/>
                <w:kern w:val="0"/>
                <w:sz w:val="20"/>
                <w:szCs w:val="20"/>
                <w:highlight w:val="none"/>
                <w:lang w:val="en-US" w:eastAsia="zh-CN" w:bidi="ar-SA"/>
              </w:rPr>
            </w:pPr>
            <w:r>
              <w:rPr>
                <w:rFonts w:hint="eastAsia" w:ascii="仿宋" w:hAnsi="仿宋" w:eastAsia="仿宋" w:cs="仿宋"/>
                <w:b w:val="0"/>
                <w:bCs w:val="0"/>
                <w:color w:val="auto"/>
                <w:kern w:val="0"/>
                <w:sz w:val="20"/>
                <w:szCs w:val="20"/>
                <w:highlight w:val="none"/>
                <w:lang w:eastAsia="zh-CN"/>
              </w:rPr>
              <w:t>失业保险金违规领取追回工作经费</w:t>
            </w:r>
          </w:p>
        </w:tc>
        <w:tc>
          <w:tcPr>
            <w:tcW w:w="2038" w:type="dxa"/>
            <w:gridSpan w:val="2"/>
            <w:noWrap w:val="0"/>
            <w:vAlign w:val="center"/>
          </w:tcPr>
          <w:p w14:paraId="5F15F53B">
            <w:pPr>
              <w:widowControl/>
              <w:jc w:val="center"/>
              <w:rPr>
                <w:rFonts w:hint="eastAsia" w:ascii="仿宋" w:hAnsi="仿宋" w:eastAsia="仿宋" w:cs="仿宋"/>
                <w:b w:val="0"/>
                <w:bCs w:val="0"/>
                <w:color w:val="auto"/>
                <w:kern w:val="0"/>
                <w:sz w:val="20"/>
                <w:szCs w:val="20"/>
                <w:highlight w:val="none"/>
                <w:lang w:val="en-US" w:eastAsia="zh-CN"/>
              </w:rPr>
            </w:pPr>
            <w:r>
              <w:rPr>
                <w:rFonts w:hint="eastAsia" w:ascii="仿宋" w:hAnsi="仿宋" w:eastAsia="仿宋" w:cs="仿宋"/>
                <w:b w:val="0"/>
                <w:bCs w:val="0"/>
                <w:color w:val="auto"/>
                <w:kern w:val="0"/>
                <w:sz w:val="20"/>
                <w:szCs w:val="20"/>
                <w:highlight w:val="none"/>
                <w:lang w:val="en-US" w:eastAsia="zh-CN"/>
              </w:rPr>
              <w:t>5</w:t>
            </w:r>
          </w:p>
        </w:tc>
        <w:tc>
          <w:tcPr>
            <w:tcW w:w="2240" w:type="dxa"/>
            <w:gridSpan w:val="2"/>
            <w:noWrap w:val="0"/>
            <w:vAlign w:val="center"/>
          </w:tcPr>
          <w:p w14:paraId="3074ED85">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6023125F">
            <w:pPr>
              <w:widowControl/>
              <w:jc w:val="center"/>
              <w:rPr>
                <w:rFonts w:hint="default" w:ascii="仿宋" w:hAnsi="仿宋" w:eastAsia="仿宋" w:cs="仿宋"/>
                <w:b w:val="0"/>
                <w:bCs w:val="0"/>
                <w:kern w:val="0"/>
                <w:sz w:val="20"/>
                <w:szCs w:val="20"/>
                <w:highlight w:val="none"/>
                <w:lang w:val="en-US" w:eastAsia="zh-CN"/>
              </w:rPr>
            </w:pPr>
          </w:p>
        </w:tc>
      </w:tr>
      <w:tr w14:paraId="1E07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7D36858E">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rPr>
              <w:t>就业见习补贴</w:t>
            </w:r>
          </w:p>
        </w:tc>
        <w:tc>
          <w:tcPr>
            <w:tcW w:w="2038" w:type="dxa"/>
            <w:gridSpan w:val="2"/>
            <w:noWrap w:val="0"/>
            <w:vAlign w:val="center"/>
          </w:tcPr>
          <w:p w14:paraId="2F22BD2E">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1.55</w:t>
            </w:r>
          </w:p>
        </w:tc>
        <w:tc>
          <w:tcPr>
            <w:tcW w:w="2240" w:type="dxa"/>
            <w:gridSpan w:val="2"/>
            <w:noWrap w:val="0"/>
            <w:vAlign w:val="center"/>
          </w:tcPr>
          <w:p w14:paraId="49203594">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0C15FFBB">
            <w:pPr>
              <w:widowControl/>
              <w:jc w:val="center"/>
              <w:rPr>
                <w:rFonts w:hint="default" w:ascii="仿宋" w:hAnsi="仿宋" w:eastAsia="仿宋" w:cs="仿宋"/>
                <w:b w:val="0"/>
                <w:bCs w:val="0"/>
                <w:kern w:val="0"/>
                <w:sz w:val="20"/>
                <w:szCs w:val="20"/>
                <w:highlight w:val="none"/>
                <w:lang w:val="en-US" w:eastAsia="zh-CN"/>
              </w:rPr>
            </w:pPr>
          </w:p>
        </w:tc>
      </w:tr>
      <w:tr w14:paraId="131F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1E15C331">
            <w:pPr>
              <w:widowControl/>
              <w:jc w:val="left"/>
              <w:rPr>
                <w:rFonts w:hint="eastAsia" w:ascii="仿宋" w:hAnsi="仿宋" w:eastAsia="仿宋" w:cs="仿宋"/>
                <w:b w:val="0"/>
                <w:bCs w:val="0"/>
                <w:kern w:val="0"/>
                <w:sz w:val="20"/>
                <w:szCs w:val="20"/>
                <w:highlight w:val="none"/>
                <w:lang w:val="en-US" w:eastAsia="zh-CN" w:bidi="ar-SA"/>
              </w:rPr>
            </w:pPr>
            <w:r>
              <w:rPr>
                <w:rFonts w:hint="eastAsia" w:ascii="仿宋" w:hAnsi="仿宋" w:eastAsia="仿宋" w:cs="仿宋"/>
                <w:b w:val="0"/>
                <w:bCs w:val="0"/>
                <w:kern w:val="0"/>
                <w:sz w:val="20"/>
                <w:szCs w:val="20"/>
                <w:highlight w:val="none"/>
              </w:rPr>
              <w:t>人力资源和社会保障经费</w:t>
            </w:r>
          </w:p>
        </w:tc>
        <w:tc>
          <w:tcPr>
            <w:tcW w:w="2038" w:type="dxa"/>
            <w:gridSpan w:val="2"/>
            <w:noWrap w:val="0"/>
            <w:vAlign w:val="center"/>
          </w:tcPr>
          <w:p w14:paraId="6D25D1A0">
            <w:pPr>
              <w:widowControl/>
              <w:jc w:val="center"/>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15</w:t>
            </w:r>
          </w:p>
        </w:tc>
        <w:tc>
          <w:tcPr>
            <w:tcW w:w="2240" w:type="dxa"/>
            <w:gridSpan w:val="2"/>
            <w:noWrap w:val="0"/>
            <w:vAlign w:val="center"/>
          </w:tcPr>
          <w:p w14:paraId="16C592EF">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488A8041">
            <w:pPr>
              <w:widowControl/>
              <w:jc w:val="center"/>
              <w:rPr>
                <w:rFonts w:hint="default" w:ascii="仿宋" w:hAnsi="仿宋" w:eastAsia="仿宋" w:cs="仿宋"/>
                <w:b w:val="0"/>
                <w:bCs w:val="0"/>
                <w:kern w:val="0"/>
                <w:sz w:val="20"/>
                <w:szCs w:val="20"/>
                <w:highlight w:val="none"/>
                <w:lang w:val="en-US" w:eastAsia="zh-CN"/>
              </w:rPr>
            </w:pPr>
          </w:p>
        </w:tc>
      </w:tr>
      <w:tr w14:paraId="4D3D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4C435734">
            <w:pPr>
              <w:widowControl/>
              <w:ind w:firstLine="400" w:firstLineChars="200"/>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4、其他事业类发展资金</w:t>
            </w:r>
          </w:p>
        </w:tc>
        <w:tc>
          <w:tcPr>
            <w:tcW w:w="2038" w:type="dxa"/>
            <w:gridSpan w:val="2"/>
            <w:noWrap w:val="0"/>
            <w:vAlign w:val="center"/>
          </w:tcPr>
          <w:p w14:paraId="49DA1A3D">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4C0E57FF">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60318A73">
            <w:pPr>
              <w:widowControl/>
              <w:jc w:val="center"/>
              <w:rPr>
                <w:rFonts w:hint="eastAsia" w:ascii="仿宋" w:hAnsi="仿宋" w:eastAsia="仿宋" w:cs="仿宋"/>
                <w:b w:val="0"/>
                <w:bCs w:val="0"/>
                <w:kern w:val="0"/>
                <w:sz w:val="20"/>
                <w:szCs w:val="20"/>
                <w:highlight w:val="none"/>
              </w:rPr>
            </w:pPr>
          </w:p>
        </w:tc>
      </w:tr>
      <w:tr w14:paraId="1955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354" w:type="dxa"/>
            <w:noWrap w:val="0"/>
            <w:vAlign w:val="center"/>
          </w:tcPr>
          <w:p w14:paraId="1612CB34">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w:t>
            </w:r>
          </w:p>
        </w:tc>
        <w:tc>
          <w:tcPr>
            <w:tcW w:w="2038" w:type="dxa"/>
            <w:gridSpan w:val="2"/>
            <w:noWrap w:val="0"/>
            <w:vAlign w:val="center"/>
          </w:tcPr>
          <w:p w14:paraId="53A27033">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43A52A25">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262D2701">
            <w:pPr>
              <w:widowControl/>
              <w:jc w:val="center"/>
              <w:rPr>
                <w:rFonts w:hint="eastAsia" w:ascii="仿宋" w:hAnsi="仿宋" w:eastAsia="仿宋" w:cs="仿宋"/>
                <w:b w:val="0"/>
                <w:bCs w:val="0"/>
                <w:kern w:val="0"/>
                <w:sz w:val="20"/>
                <w:szCs w:val="20"/>
                <w:highlight w:val="none"/>
              </w:rPr>
            </w:pPr>
          </w:p>
        </w:tc>
      </w:tr>
      <w:tr w14:paraId="342C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25366012">
            <w:pPr>
              <w:widowControl/>
              <w:jc w:val="left"/>
              <w:rPr>
                <w:rFonts w:hint="default" w:ascii="仿宋" w:hAnsi="仿宋" w:eastAsia="仿宋" w:cs="仿宋"/>
                <w:b w:val="0"/>
                <w:bCs w:val="0"/>
                <w:kern w:val="0"/>
                <w:sz w:val="20"/>
                <w:szCs w:val="20"/>
                <w:highlight w:val="none"/>
                <w:lang w:val="en-US" w:eastAsia="zh-CN"/>
              </w:rPr>
            </w:pPr>
            <w:r>
              <w:rPr>
                <w:rFonts w:hint="eastAsia" w:ascii="仿宋" w:hAnsi="仿宋" w:eastAsia="仿宋" w:cs="仿宋"/>
                <w:b w:val="0"/>
                <w:bCs w:val="0"/>
                <w:kern w:val="0"/>
                <w:sz w:val="20"/>
                <w:szCs w:val="20"/>
                <w:highlight w:val="none"/>
                <w:lang w:val="en-US" w:eastAsia="zh-CN"/>
              </w:rPr>
              <w:t>公用经费</w:t>
            </w:r>
          </w:p>
        </w:tc>
        <w:tc>
          <w:tcPr>
            <w:tcW w:w="2038" w:type="dxa"/>
            <w:gridSpan w:val="2"/>
            <w:noWrap w:val="0"/>
            <w:vAlign w:val="center"/>
          </w:tcPr>
          <w:p w14:paraId="65491FE8">
            <w:pPr>
              <w:widowControl/>
              <w:jc w:val="center"/>
              <w:rPr>
                <w:rFonts w:hint="eastAsia" w:ascii="仿宋" w:hAnsi="仿宋" w:eastAsia="仿宋" w:cs="仿宋"/>
                <w:b w:val="0"/>
                <w:bCs w:val="0"/>
                <w:kern w:val="0"/>
                <w:sz w:val="20"/>
                <w:szCs w:val="20"/>
                <w:highlight w:val="none"/>
              </w:rPr>
            </w:pPr>
          </w:p>
        </w:tc>
        <w:tc>
          <w:tcPr>
            <w:tcW w:w="2240" w:type="dxa"/>
            <w:gridSpan w:val="2"/>
            <w:noWrap w:val="0"/>
            <w:vAlign w:val="center"/>
          </w:tcPr>
          <w:p w14:paraId="79A2B176">
            <w:pPr>
              <w:widowControl/>
              <w:jc w:val="center"/>
              <w:rPr>
                <w:rFonts w:hint="eastAsia" w:ascii="仿宋" w:hAnsi="仿宋" w:eastAsia="仿宋" w:cs="仿宋"/>
                <w:b w:val="0"/>
                <w:bCs w:val="0"/>
                <w:kern w:val="0"/>
                <w:sz w:val="20"/>
                <w:szCs w:val="20"/>
                <w:highlight w:val="none"/>
              </w:rPr>
            </w:pPr>
          </w:p>
        </w:tc>
        <w:tc>
          <w:tcPr>
            <w:tcW w:w="1832" w:type="dxa"/>
            <w:gridSpan w:val="2"/>
            <w:noWrap w:val="0"/>
            <w:vAlign w:val="center"/>
          </w:tcPr>
          <w:p w14:paraId="066B43C7">
            <w:pPr>
              <w:widowControl/>
              <w:jc w:val="center"/>
              <w:rPr>
                <w:rFonts w:hint="eastAsia" w:ascii="仿宋" w:hAnsi="仿宋" w:eastAsia="仿宋" w:cs="仿宋"/>
                <w:b w:val="0"/>
                <w:bCs w:val="0"/>
                <w:kern w:val="0"/>
                <w:sz w:val="20"/>
                <w:szCs w:val="20"/>
                <w:highlight w:val="none"/>
              </w:rPr>
            </w:pPr>
          </w:p>
        </w:tc>
      </w:tr>
      <w:tr w14:paraId="6D4A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5C6B6ED6">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其中：办公费</w:t>
            </w:r>
          </w:p>
        </w:tc>
        <w:tc>
          <w:tcPr>
            <w:tcW w:w="2038" w:type="dxa"/>
            <w:gridSpan w:val="2"/>
            <w:noWrap w:val="0"/>
            <w:vAlign w:val="center"/>
          </w:tcPr>
          <w:p w14:paraId="59067DBB">
            <w:pPr>
              <w:widowControl/>
              <w:jc w:val="center"/>
              <w:rPr>
                <w:rFonts w:hint="eastAsia" w:ascii="仿宋" w:hAnsi="仿宋" w:eastAsia="仿宋" w:cs="仿宋"/>
                <w:b w:val="0"/>
                <w:bCs w:val="0"/>
                <w:color w:val="auto"/>
                <w:kern w:val="0"/>
                <w:sz w:val="20"/>
                <w:szCs w:val="20"/>
                <w:highlight w:val="none"/>
                <w:lang w:val="en-US" w:eastAsia="zh-CN" w:bidi="ar-SA"/>
              </w:rPr>
            </w:pPr>
            <w:r>
              <w:rPr>
                <w:rFonts w:hint="eastAsia" w:ascii="仿宋" w:hAnsi="仿宋" w:eastAsia="仿宋" w:cs="仿宋"/>
                <w:b w:val="0"/>
                <w:bCs w:val="0"/>
                <w:color w:val="auto"/>
                <w:kern w:val="0"/>
                <w:sz w:val="20"/>
                <w:szCs w:val="20"/>
                <w:highlight w:val="none"/>
                <w:lang w:val="en-US" w:eastAsia="zh-CN"/>
              </w:rPr>
              <w:t>19.28</w:t>
            </w:r>
            <w:r>
              <w:rPr>
                <w:rFonts w:hint="eastAsia" w:ascii="仿宋" w:hAnsi="仿宋" w:eastAsia="仿宋" w:cs="仿宋"/>
                <w:b w:val="0"/>
                <w:bCs w:val="0"/>
                <w:color w:val="auto"/>
                <w:kern w:val="0"/>
                <w:sz w:val="20"/>
                <w:szCs w:val="20"/>
                <w:highlight w:val="none"/>
              </w:rPr>
              <w:t>　</w:t>
            </w:r>
          </w:p>
        </w:tc>
        <w:tc>
          <w:tcPr>
            <w:tcW w:w="2240" w:type="dxa"/>
            <w:gridSpan w:val="2"/>
            <w:noWrap w:val="0"/>
            <w:vAlign w:val="center"/>
          </w:tcPr>
          <w:p w14:paraId="6401A95E">
            <w:pPr>
              <w:widowControl/>
              <w:jc w:val="center"/>
              <w:rPr>
                <w:rFonts w:hint="eastAsia" w:ascii="仿宋" w:hAnsi="仿宋" w:eastAsia="仿宋" w:cs="仿宋"/>
                <w:b w:val="0"/>
                <w:bCs w:val="0"/>
                <w:color w:val="FF0000"/>
                <w:kern w:val="0"/>
                <w:sz w:val="20"/>
                <w:szCs w:val="20"/>
                <w:highlight w:val="none"/>
              </w:rPr>
            </w:pPr>
          </w:p>
        </w:tc>
        <w:tc>
          <w:tcPr>
            <w:tcW w:w="1832" w:type="dxa"/>
            <w:gridSpan w:val="2"/>
            <w:noWrap w:val="0"/>
            <w:vAlign w:val="center"/>
          </w:tcPr>
          <w:p w14:paraId="5D57F95A">
            <w:pPr>
              <w:widowControl/>
              <w:jc w:val="center"/>
              <w:rPr>
                <w:rFonts w:hint="default" w:ascii="仿宋" w:hAnsi="仿宋" w:eastAsia="仿宋" w:cs="仿宋"/>
                <w:b w:val="0"/>
                <w:bCs w:val="0"/>
                <w:color w:val="FF0000"/>
                <w:kern w:val="0"/>
                <w:sz w:val="20"/>
                <w:szCs w:val="20"/>
                <w:highlight w:val="none"/>
                <w:lang w:val="en-US" w:eastAsia="zh-CN"/>
              </w:rPr>
            </w:pPr>
            <w:r>
              <w:rPr>
                <w:rFonts w:hint="eastAsia" w:ascii="仿宋" w:hAnsi="仿宋" w:eastAsia="仿宋" w:cs="仿宋"/>
                <w:b w:val="0"/>
                <w:bCs w:val="0"/>
                <w:color w:val="FF0000"/>
                <w:kern w:val="0"/>
                <w:sz w:val="20"/>
                <w:szCs w:val="20"/>
                <w:highlight w:val="none"/>
                <w:lang w:val="en-US" w:eastAsia="zh-CN"/>
              </w:rPr>
              <w:t>8.15</w:t>
            </w:r>
          </w:p>
        </w:tc>
      </w:tr>
      <w:tr w14:paraId="7793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78DCB3B3">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水费、电费、差旅费</w:t>
            </w:r>
          </w:p>
        </w:tc>
        <w:tc>
          <w:tcPr>
            <w:tcW w:w="2038" w:type="dxa"/>
            <w:gridSpan w:val="2"/>
            <w:noWrap w:val="0"/>
            <w:vAlign w:val="center"/>
          </w:tcPr>
          <w:p w14:paraId="32650964">
            <w:pPr>
              <w:widowControl/>
              <w:jc w:val="center"/>
              <w:rPr>
                <w:rFonts w:hint="eastAsia" w:ascii="仿宋" w:hAnsi="仿宋" w:eastAsia="仿宋" w:cs="仿宋"/>
                <w:b w:val="0"/>
                <w:bCs w:val="0"/>
                <w:color w:val="auto"/>
                <w:kern w:val="0"/>
                <w:sz w:val="20"/>
                <w:szCs w:val="20"/>
                <w:highlight w:val="none"/>
                <w:lang w:val="en-US" w:eastAsia="zh-CN" w:bidi="ar-SA"/>
              </w:rPr>
            </w:pPr>
            <w:r>
              <w:rPr>
                <w:rFonts w:hint="eastAsia" w:ascii="仿宋" w:hAnsi="仿宋" w:eastAsia="仿宋" w:cs="仿宋"/>
                <w:b w:val="0"/>
                <w:bCs w:val="0"/>
                <w:color w:val="auto"/>
                <w:kern w:val="0"/>
                <w:sz w:val="20"/>
                <w:szCs w:val="20"/>
                <w:highlight w:val="none"/>
              </w:rPr>
              <w:t>　</w:t>
            </w:r>
            <w:r>
              <w:rPr>
                <w:rFonts w:hint="eastAsia" w:ascii="仿宋" w:hAnsi="仿宋" w:eastAsia="仿宋" w:cs="仿宋"/>
                <w:b w:val="0"/>
                <w:bCs w:val="0"/>
                <w:color w:val="auto"/>
                <w:kern w:val="0"/>
                <w:sz w:val="20"/>
                <w:szCs w:val="20"/>
                <w:highlight w:val="none"/>
                <w:lang w:val="en-US" w:eastAsia="zh-CN"/>
              </w:rPr>
              <w:t>15.11</w:t>
            </w:r>
          </w:p>
        </w:tc>
        <w:tc>
          <w:tcPr>
            <w:tcW w:w="2240" w:type="dxa"/>
            <w:gridSpan w:val="2"/>
            <w:noWrap w:val="0"/>
            <w:vAlign w:val="center"/>
          </w:tcPr>
          <w:p w14:paraId="2C025F59">
            <w:pPr>
              <w:widowControl/>
              <w:jc w:val="center"/>
              <w:rPr>
                <w:rFonts w:hint="eastAsia" w:ascii="仿宋" w:hAnsi="仿宋" w:eastAsia="仿宋" w:cs="仿宋"/>
                <w:b w:val="0"/>
                <w:bCs w:val="0"/>
                <w:color w:val="FF0000"/>
                <w:kern w:val="0"/>
                <w:sz w:val="20"/>
                <w:szCs w:val="20"/>
                <w:highlight w:val="none"/>
              </w:rPr>
            </w:pPr>
          </w:p>
        </w:tc>
        <w:tc>
          <w:tcPr>
            <w:tcW w:w="1832" w:type="dxa"/>
            <w:gridSpan w:val="2"/>
            <w:noWrap w:val="0"/>
            <w:vAlign w:val="center"/>
          </w:tcPr>
          <w:p w14:paraId="1D286CD5">
            <w:pPr>
              <w:widowControl/>
              <w:jc w:val="center"/>
              <w:rPr>
                <w:rFonts w:hint="default" w:ascii="仿宋" w:hAnsi="仿宋" w:eastAsia="仿宋" w:cs="仿宋"/>
                <w:b w:val="0"/>
                <w:bCs w:val="0"/>
                <w:color w:val="FF0000"/>
                <w:kern w:val="0"/>
                <w:sz w:val="20"/>
                <w:szCs w:val="20"/>
                <w:highlight w:val="none"/>
                <w:lang w:val="en-US" w:eastAsia="zh-CN"/>
              </w:rPr>
            </w:pPr>
            <w:r>
              <w:rPr>
                <w:rFonts w:hint="eastAsia" w:ascii="仿宋" w:hAnsi="仿宋" w:eastAsia="仿宋" w:cs="仿宋"/>
                <w:b w:val="0"/>
                <w:bCs w:val="0"/>
                <w:color w:val="FF0000"/>
                <w:kern w:val="0"/>
                <w:sz w:val="20"/>
                <w:szCs w:val="20"/>
                <w:highlight w:val="none"/>
                <w:lang w:val="en-US" w:eastAsia="zh-CN"/>
              </w:rPr>
              <w:t>15.96</w:t>
            </w:r>
          </w:p>
        </w:tc>
      </w:tr>
      <w:tr w14:paraId="7CC2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354" w:type="dxa"/>
            <w:noWrap w:val="0"/>
            <w:vAlign w:val="center"/>
          </w:tcPr>
          <w:p w14:paraId="7A2C83FA">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          会议费、培训费</w:t>
            </w:r>
          </w:p>
        </w:tc>
        <w:tc>
          <w:tcPr>
            <w:tcW w:w="2038" w:type="dxa"/>
            <w:gridSpan w:val="2"/>
            <w:noWrap w:val="0"/>
            <w:vAlign w:val="center"/>
          </w:tcPr>
          <w:p w14:paraId="18F47A66">
            <w:pPr>
              <w:widowControl/>
              <w:jc w:val="center"/>
              <w:rPr>
                <w:rFonts w:hint="eastAsia" w:ascii="仿宋" w:hAnsi="仿宋" w:eastAsia="仿宋" w:cs="仿宋"/>
                <w:b w:val="0"/>
                <w:bCs w:val="0"/>
                <w:color w:val="auto"/>
                <w:kern w:val="0"/>
                <w:sz w:val="20"/>
                <w:szCs w:val="20"/>
                <w:highlight w:val="none"/>
                <w:lang w:val="en-US" w:eastAsia="zh-CN" w:bidi="ar-SA"/>
              </w:rPr>
            </w:pPr>
            <w:r>
              <w:rPr>
                <w:rFonts w:hint="eastAsia" w:ascii="仿宋" w:hAnsi="仿宋" w:eastAsia="仿宋" w:cs="仿宋"/>
                <w:b w:val="0"/>
                <w:bCs w:val="0"/>
                <w:color w:val="auto"/>
                <w:kern w:val="0"/>
                <w:sz w:val="20"/>
                <w:szCs w:val="20"/>
                <w:highlight w:val="none"/>
              </w:rPr>
              <w:t>　</w:t>
            </w:r>
            <w:r>
              <w:rPr>
                <w:rFonts w:hint="eastAsia" w:ascii="仿宋" w:hAnsi="仿宋" w:eastAsia="仿宋" w:cs="仿宋"/>
                <w:b w:val="0"/>
                <w:bCs w:val="0"/>
                <w:color w:val="auto"/>
                <w:kern w:val="0"/>
                <w:sz w:val="20"/>
                <w:szCs w:val="20"/>
                <w:highlight w:val="none"/>
                <w:lang w:val="en-US" w:eastAsia="zh-CN"/>
              </w:rPr>
              <w:t>0.27</w:t>
            </w:r>
          </w:p>
        </w:tc>
        <w:tc>
          <w:tcPr>
            <w:tcW w:w="2240" w:type="dxa"/>
            <w:gridSpan w:val="2"/>
            <w:noWrap w:val="0"/>
            <w:vAlign w:val="center"/>
          </w:tcPr>
          <w:p w14:paraId="1874055F">
            <w:pPr>
              <w:widowControl/>
              <w:jc w:val="center"/>
              <w:rPr>
                <w:rFonts w:hint="eastAsia" w:ascii="仿宋" w:hAnsi="仿宋" w:eastAsia="仿宋" w:cs="仿宋"/>
                <w:b w:val="0"/>
                <w:bCs w:val="0"/>
                <w:color w:val="FF0000"/>
                <w:kern w:val="0"/>
                <w:sz w:val="20"/>
                <w:szCs w:val="20"/>
                <w:highlight w:val="none"/>
              </w:rPr>
            </w:pPr>
          </w:p>
        </w:tc>
        <w:tc>
          <w:tcPr>
            <w:tcW w:w="1832" w:type="dxa"/>
            <w:gridSpan w:val="2"/>
            <w:noWrap w:val="0"/>
            <w:vAlign w:val="center"/>
          </w:tcPr>
          <w:p w14:paraId="1D0A7B7C">
            <w:pPr>
              <w:widowControl/>
              <w:jc w:val="center"/>
              <w:rPr>
                <w:rFonts w:hint="default" w:ascii="仿宋" w:hAnsi="仿宋" w:eastAsia="仿宋" w:cs="仿宋"/>
                <w:b w:val="0"/>
                <w:bCs w:val="0"/>
                <w:color w:val="FF0000"/>
                <w:kern w:val="0"/>
                <w:sz w:val="20"/>
                <w:szCs w:val="20"/>
                <w:highlight w:val="none"/>
                <w:lang w:val="en-US" w:eastAsia="zh-CN"/>
              </w:rPr>
            </w:pPr>
            <w:r>
              <w:rPr>
                <w:rFonts w:hint="eastAsia" w:ascii="仿宋" w:hAnsi="仿宋" w:eastAsia="仿宋" w:cs="仿宋"/>
                <w:b w:val="0"/>
                <w:bCs w:val="0"/>
                <w:color w:val="FF0000"/>
                <w:kern w:val="0"/>
                <w:sz w:val="20"/>
                <w:szCs w:val="20"/>
                <w:highlight w:val="none"/>
                <w:lang w:val="en-US" w:eastAsia="zh-CN"/>
              </w:rPr>
              <w:t>0.64</w:t>
            </w:r>
          </w:p>
        </w:tc>
      </w:tr>
      <w:tr w14:paraId="7217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3B512A4D">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政府采购金额</w:t>
            </w:r>
          </w:p>
        </w:tc>
        <w:tc>
          <w:tcPr>
            <w:tcW w:w="2038" w:type="dxa"/>
            <w:gridSpan w:val="2"/>
            <w:noWrap w:val="0"/>
            <w:vAlign w:val="center"/>
          </w:tcPr>
          <w:p w14:paraId="46085DED">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w:t>
            </w:r>
          </w:p>
        </w:tc>
        <w:tc>
          <w:tcPr>
            <w:tcW w:w="2240" w:type="dxa"/>
            <w:gridSpan w:val="2"/>
            <w:noWrap w:val="0"/>
            <w:vAlign w:val="center"/>
          </w:tcPr>
          <w:p w14:paraId="421B70CE">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lang w:val="en-US" w:eastAsia="zh-CN"/>
              </w:rPr>
              <w:t>44.63</w:t>
            </w:r>
            <w:r>
              <w:rPr>
                <w:rFonts w:hint="eastAsia" w:ascii="仿宋" w:hAnsi="仿宋" w:eastAsia="仿宋" w:cs="仿宋"/>
                <w:b w:val="0"/>
                <w:bCs w:val="0"/>
                <w:kern w:val="0"/>
                <w:sz w:val="20"/>
                <w:szCs w:val="20"/>
                <w:highlight w:val="none"/>
              </w:rPr>
              <w:t>　</w:t>
            </w:r>
          </w:p>
        </w:tc>
        <w:tc>
          <w:tcPr>
            <w:tcW w:w="1832" w:type="dxa"/>
            <w:gridSpan w:val="2"/>
            <w:noWrap w:val="0"/>
            <w:vAlign w:val="center"/>
          </w:tcPr>
          <w:p w14:paraId="348593F2">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lang w:val="en-US" w:eastAsia="zh-CN"/>
              </w:rPr>
              <w:t>11</w:t>
            </w:r>
            <w:r>
              <w:rPr>
                <w:rFonts w:hint="eastAsia" w:ascii="仿宋" w:hAnsi="仿宋" w:eastAsia="仿宋" w:cs="仿宋"/>
                <w:b w:val="0"/>
                <w:bCs w:val="0"/>
                <w:kern w:val="0"/>
                <w:sz w:val="20"/>
                <w:szCs w:val="20"/>
                <w:highlight w:val="none"/>
              </w:rPr>
              <w:t>　</w:t>
            </w:r>
          </w:p>
        </w:tc>
      </w:tr>
      <w:tr w14:paraId="18A3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54" w:type="dxa"/>
            <w:noWrap w:val="0"/>
            <w:vAlign w:val="center"/>
          </w:tcPr>
          <w:p w14:paraId="1FA178C6">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xml:space="preserve">部门基本支出预算调整 </w:t>
            </w:r>
          </w:p>
        </w:tc>
        <w:tc>
          <w:tcPr>
            <w:tcW w:w="2038" w:type="dxa"/>
            <w:gridSpan w:val="2"/>
            <w:noWrap w:val="0"/>
            <w:vAlign w:val="center"/>
          </w:tcPr>
          <w:p w14:paraId="240ACB02">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w:t>
            </w:r>
          </w:p>
        </w:tc>
        <w:tc>
          <w:tcPr>
            <w:tcW w:w="2240" w:type="dxa"/>
            <w:gridSpan w:val="2"/>
            <w:noWrap w:val="0"/>
            <w:vAlign w:val="center"/>
          </w:tcPr>
          <w:p w14:paraId="354CCAFE">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c>
          <w:tcPr>
            <w:tcW w:w="1832" w:type="dxa"/>
            <w:gridSpan w:val="2"/>
            <w:noWrap w:val="0"/>
            <w:vAlign w:val="center"/>
          </w:tcPr>
          <w:p w14:paraId="0A20A1A8">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r>
      <w:tr w14:paraId="68AC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3354" w:type="dxa"/>
            <w:vMerge w:val="restart"/>
            <w:noWrap w:val="0"/>
            <w:vAlign w:val="center"/>
          </w:tcPr>
          <w:p w14:paraId="252209D4">
            <w:pPr>
              <w:widowControl/>
              <w:jc w:val="center"/>
              <w:rPr>
                <w:rFonts w:hint="eastAsia" w:ascii="仿宋" w:hAnsi="仿宋" w:eastAsia="仿宋" w:cs="仿宋"/>
                <w:b w:val="0"/>
                <w:bCs w:val="0"/>
                <w:kern w:val="0"/>
                <w:sz w:val="20"/>
                <w:szCs w:val="20"/>
                <w:highlight w:val="none"/>
                <w:lang w:eastAsia="zh-CN"/>
              </w:rPr>
            </w:pPr>
            <w:r>
              <w:rPr>
                <w:rFonts w:hint="eastAsia" w:ascii="仿宋" w:hAnsi="仿宋" w:eastAsia="仿宋" w:cs="仿宋"/>
                <w:b w:val="0"/>
                <w:bCs w:val="0"/>
                <w:kern w:val="0"/>
                <w:sz w:val="20"/>
                <w:szCs w:val="20"/>
                <w:highlight w:val="none"/>
              </w:rPr>
              <w:t>楼堂馆所控制情况</w:t>
            </w:r>
          </w:p>
          <w:p w14:paraId="3D401431">
            <w:pPr>
              <w:widowControl/>
              <w:jc w:val="center"/>
              <w:rPr>
                <w:rFonts w:hint="eastAsia" w:ascii="仿宋" w:hAnsi="仿宋" w:eastAsia="仿宋" w:cs="仿宋"/>
                <w:b w:val="0"/>
                <w:bCs w:val="0"/>
                <w:kern w:val="0"/>
                <w:sz w:val="20"/>
                <w:szCs w:val="20"/>
                <w:highlight w:val="none"/>
                <w:lang w:eastAsia="zh-CN"/>
              </w:rPr>
            </w:pPr>
          </w:p>
        </w:tc>
        <w:tc>
          <w:tcPr>
            <w:tcW w:w="1189" w:type="dxa"/>
            <w:noWrap w:val="0"/>
            <w:vAlign w:val="center"/>
          </w:tcPr>
          <w:p w14:paraId="4AB6C296">
            <w:pPr>
              <w:widowControl/>
              <w:spacing w:line="240" w:lineRule="exact"/>
              <w:jc w:val="center"/>
              <w:rPr>
                <w:rFonts w:hint="eastAsia" w:ascii="仿宋" w:hAnsi="仿宋" w:eastAsia="仿宋" w:cs="仿宋"/>
                <w:b w:val="0"/>
                <w:bCs w:val="0"/>
                <w:kern w:val="0"/>
                <w:sz w:val="20"/>
                <w:szCs w:val="20"/>
                <w:highlight w:val="none"/>
                <w:lang w:eastAsia="zh-CN"/>
              </w:rPr>
            </w:pPr>
            <w:r>
              <w:rPr>
                <w:rFonts w:hint="eastAsia" w:ascii="仿宋" w:hAnsi="仿宋" w:eastAsia="仿宋" w:cs="仿宋"/>
                <w:b w:val="0"/>
                <w:bCs w:val="0"/>
                <w:kern w:val="0"/>
                <w:sz w:val="20"/>
                <w:szCs w:val="20"/>
                <w:highlight w:val="none"/>
              </w:rPr>
              <w:t>批复规模</w:t>
            </w:r>
          </w:p>
          <w:p w14:paraId="310A3566">
            <w:pPr>
              <w:widowControl/>
              <w:spacing w:line="240" w:lineRule="exact"/>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w:t>
            </w:r>
          </w:p>
        </w:tc>
        <w:tc>
          <w:tcPr>
            <w:tcW w:w="849" w:type="dxa"/>
            <w:noWrap w:val="0"/>
            <w:vAlign w:val="center"/>
          </w:tcPr>
          <w:p w14:paraId="7034EE46">
            <w:pPr>
              <w:widowControl/>
              <w:spacing w:line="240" w:lineRule="exact"/>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实际规模（㎡）</w:t>
            </w:r>
          </w:p>
        </w:tc>
        <w:tc>
          <w:tcPr>
            <w:tcW w:w="1129" w:type="dxa"/>
            <w:noWrap w:val="0"/>
            <w:vAlign w:val="center"/>
          </w:tcPr>
          <w:p w14:paraId="2D6E4C58">
            <w:pPr>
              <w:widowControl/>
              <w:spacing w:line="240" w:lineRule="exact"/>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规模控制率</w:t>
            </w:r>
          </w:p>
        </w:tc>
        <w:tc>
          <w:tcPr>
            <w:tcW w:w="1111" w:type="dxa"/>
            <w:noWrap w:val="0"/>
            <w:vAlign w:val="center"/>
          </w:tcPr>
          <w:p w14:paraId="3C0863A5">
            <w:pPr>
              <w:widowControl/>
              <w:spacing w:line="240" w:lineRule="exact"/>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预算投资（万元）</w:t>
            </w:r>
          </w:p>
        </w:tc>
        <w:tc>
          <w:tcPr>
            <w:tcW w:w="969" w:type="dxa"/>
            <w:noWrap w:val="0"/>
            <w:vAlign w:val="center"/>
          </w:tcPr>
          <w:p w14:paraId="6FC9C287">
            <w:pPr>
              <w:widowControl/>
              <w:spacing w:line="240" w:lineRule="exact"/>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实际投资（万元）</w:t>
            </w:r>
          </w:p>
        </w:tc>
        <w:tc>
          <w:tcPr>
            <w:tcW w:w="863" w:type="dxa"/>
            <w:noWrap w:val="0"/>
            <w:vAlign w:val="center"/>
          </w:tcPr>
          <w:p w14:paraId="1151C18D">
            <w:pPr>
              <w:widowControl/>
              <w:spacing w:line="240" w:lineRule="exact"/>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投资概算控制率</w:t>
            </w:r>
          </w:p>
        </w:tc>
      </w:tr>
      <w:tr w14:paraId="7291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354" w:type="dxa"/>
            <w:vMerge w:val="continue"/>
            <w:noWrap w:val="0"/>
            <w:vAlign w:val="center"/>
          </w:tcPr>
          <w:p w14:paraId="27CA8B43">
            <w:pPr>
              <w:widowControl/>
              <w:jc w:val="left"/>
              <w:rPr>
                <w:rFonts w:hint="eastAsia" w:ascii="仿宋" w:hAnsi="仿宋" w:eastAsia="仿宋" w:cs="仿宋"/>
                <w:b w:val="0"/>
                <w:bCs w:val="0"/>
                <w:kern w:val="0"/>
                <w:sz w:val="20"/>
                <w:szCs w:val="20"/>
                <w:highlight w:val="none"/>
              </w:rPr>
            </w:pPr>
          </w:p>
        </w:tc>
        <w:tc>
          <w:tcPr>
            <w:tcW w:w="1189" w:type="dxa"/>
            <w:noWrap w:val="0"/>
            <w:vAlign w:val="center"/>
          </w:tcPr>
          <w:p w14:paraId="2300911D">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c>
          <w:tcPr>
            <w:tcW w:w="849" w:type="dxa"/>
            <w:noWrap w:val="0"/>
            <w:vAlign w:val="center"/>
          </w:tcPr>
          <w:p w14:paraId="0BF29AE4">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c>
          <w:tcPr>
            <w:tcW w:w="1129" w:type="dxa"/>
            <w:noWrap w:val="0"/>
            <w:vAlign w:val="center"/>
          </w:tcPr>
          <w:p w14:paraId="2B7FD333">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c>
          <w:tcPr>
            <w:tcW w:w="1111" w:type="dxa"/>
            <w:noWrap w:val="0"/>
            <w:vAlign w:val="center"/>
          </w:tcPr>
          <w:p w14:paraId="1BD0EBF9">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c>
          <w:tcPr>
            <w:tcW w:w="969" w:type="dxa"/>
            <w:noWrap w:val="0"/>
            <w:vAlign w:val="center"/>
          </w:tcPr>
          <w:p w14:paraId="117AAE0A">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c>
          <w:tcPr>
            <w:tcW w:w="863" w:type="dxa"/>
            <w:noWrap w:val="0"/>
            <w:vAlign w:val="center"/>
          </w:tcPr>
          <w:p w14:paraId="67400D60">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　</w:t>
            </w:r>
          </w:p>
        </w:tc>
      </w:tr>
      <w:tr w14:paraId="0F84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354" w:type="dxa"/>
            <w:noWrap w:val="0"/>
            <w:vAlign w:val="center"/>
          </w:tcPr>
          <w:p w14:paraId="70B3E81C">
            <w:pPr>
              <w:widowControl/>
              <w:jc w:val="center"/>
              <w:rPr>
                <w:rFonts w:hint="eastAsia" w:ascii="仿宋" w:hAnsi="仿宋" w:eastAsia="仿宋" w:cs="仿宋"/>
                <w:b w:val="0"/>
                <w:bCs w:val="0"/>
                <w:kern w:val="0"/>
                <w:sz w:val="20"/>
                <w:szCs w:val="20"/>
                <w:highlight w:val="none"/>
              </w:rPr>
            </w:pPr>
            <w:r>
              <w:rPr>
                <w:rFonts w:hint="eastAsia" w:ascii="仿宋" w:hAnsi="仿宋" w:eastAsia="仿宋" w:cs="仿宋"/>
                <w:b w:val="0"/>
                <w:bCs w:val="0"/>
                <w:kern w:val="0"/>
                <w:sz w:val="20"/>
                <w:szCs w:val="20"/>
                <w:highlight w:val="none"/>
              </w:rPr>
              <w:t>厉行节约保障措施</w:t>
            </w:r>
          </w:p>
        </w:tc>
        <w:tc>
          <w:tcPr>
            <w:tcW w:w="6110" w:type="dxa"/>
            <w:gridSpan w:val="6"/>
            <w:noWrap w:val="0"/>
            <w:vAlign w:val="center"/>
          </w:tcPr>
          <w:p w14:paraId="2CB22849">
            <w:pPr>
              <w:widowControl/>
              <w:jc w:val="left"/>
              <w:rPr>
                <w:rFonts w:hint="eastAsia" w:ascii="仿宋" w:hAnsi="仿宋" w:eastAsia="仿宋" w:cs="仿宋"/>
                <w:b w:val="0"/>
                <w:bCs w:val="0"/>
                <w:kern w:val="0"/>
                <w:sz w:val="20"/>
                <w:szCs w:val="20"/>
                <w:highlight w:val="none"/>
              </w:rPr>
            </w:pPr>
            <w:r>
              <w:rPr>
                <w:rFonts w:hint="eastAsia" w:ascii="仿宋" w:hAnsi="仿宋" w:eastAsia="仿宋" w:cs="仿宋"/>
                <w:color w:val="000000"/>
                <w:sz w:val="20"/>
                <w:szCs w:val="20"/>
                <w:highlight w:val="none"/>
              </w:rPr>
              <w:t>进</w:t>
            </w:r>
            <w:r>
              <w:rPr>
                <w:rFonts w:hint="eastAsia" w:ascii="仿宋" w:hAnsi="仿宋" w:eastAsia="仿宋" w:cs="仿宋"/>
                <w:b w:val="0"/>
                <w:bCs w:val="0"/>
                <w:kern w:val="0"/>
                <w:sz w:val="20"/>
                <w:szCs w:val="20"/>
                <w:highlight w:val="none"/>
              </w:rPr>
              <w:t>一步规范财务报账审批程序、合同协议审批程序、费用结算程序，明确物资、项目采购要求、流程，特别是对年度内实施的工程项目严格按照财政相关项目评审、公开公平竞价等规定开展，在所有采购和项目实施过程中严格按相关财政要求执行，坚持勤俭节约、非必要不采购和廉洁自律纪律要求。　</w:t>
            </w:r>
          </w:p>
        </w:tc>
      </w:tr>
    </w:tbl>
    <w:p w14:paraId="09FEB493">
      <w:pPr>
        <w:widowControl/>
        <w:tabs>
          <w:tab w:val="left" w:pos="3611"/>
          <w:tab w:val="left" w:pos="4791"/>
          <w:tab w:val="left" w:pos="5951"/>
          <w:tab w:val="left" w:pos="7071"/>
          <w:tab w:val="left" w:pos="8191"/>
          <w:tab w:val="left" w:pos="9311"/>
        </w:tabs>
        <w:ind w:left="91"/>
        <w:jc w:val="left"/>
        <w:rPr>
          <w:rFonts w:hint="default" w:eastAsia="仿宋_GB2312"/>
          <w:kern w:val="0"/>
          <w:sz w:val="24"/>
          <w:highlight w:val="none"/>
          <w:lang w:val="en-US" w:eastAsia="zh-CN"/>
        </w:rPr>
      </w:pPr>
      <w:r>
        <w:rPr>
          <w:rFonts w:hint="eastAsia" w:eastAsia="仿宋_GB2312"/>
          <w:kern w:val="0"/>
          <w:sz w:val="24"/>
          <w:highlight w:val="none"/>
          <w:lang w:val="en-US" w:eastAsia="zh-CN"/>
        </w:rPr>
        <w:t xml:space="preserve">填报单位： 怀化市就业服务中心                                       </w:t>
      </w:r>
    </w:p>
    <w:p w14:paraId="5F4D9C65">
      <w:pPr>
        <w:pStyle w:val="25"/>
        <w:keepNext/>
        <w:keepLines/>
        <w:pageBreakBefore w:val="0"/>
        <w:widowControl w:val="0"/>
        <w:kinsoku/>
        <w:wordWrap/>
        <w:overflowPunct/>
        <w:topLinePunct w:val="0"/>
        <w:autoSpaceDE/>
        <w:autoSpaceDN/>
        <w:bidi w:val="0"/>
        <w:adjustRightInd/>
        <w:snapToGrid/>
        <w:spacing w:line="280" w:lineRule="exact"/>
        <w:textAlignment w:val="auto"/>
        <w:rPr>
          <w:rFonts w:hint="eastAsia"/>
          <w:highlight w:val="none"/>
          <w:lang w:val="en-US" w:eastAsia="zh-CN"/>
        </w:rPr>
      </w:pPr>
      <w:r>
        <w:rPr>
          <w:rFonts w:eastAsia="仿宋_GB2312"/>
          <w:kern w:val="0"/>
          <w:sz w:val="22"/>
          <w:highlight w:val="none"/>
        </w:rPr>
        <w:t>说明：“项目支出”需要填报基本支出以外的所有项目支出情况，“公用经费”填报基本支出中的一般商品和服务支出。</w:t>
      </w:r>
    </w:p>
    <w:p w14:paraId="32B5F482">
      <w:pPr>
        <w:rPr>
          <w:rFonts w:hint="eastAsia"/>
          <w:highlight w:val="none"/>
          <w:lang w:eastAsia="zh-CN"/>
        </w:rPr>
      </w:pPr>
    </w:p>
    <w:p w14:paraId="744C505D">
      <w:pPr>
        <w:bidi w:val="0"/>
        <w:rPr>
          <w:rFonts w:hint="default"/>
          <w:highlight w:val="none"/>
          <w:lang w:val="en-US" w:eastAsia="zh-CN"/>
        </w:rPr>
      </w:pPr>
    </w:p>
    <w:p w14:paraId="43607630">
      <w:pPr>
        <w:bidi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附件1-2</w:t>
      </w:r>
    </w:p>
    <w:p w14:paraId="35FC7C2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default" w:ascii="方正小标宋_GBK" w:hAnsi="方正小标宋_GBK" w:eastAsia="方正小标宋_GBK" w:cs="方正小标宋_GBK"/>
          <w:i w:val="0"/>
          <w:iCs w:val="0"/>
          <w:caps w:val="0"/>
          <w:color w:val="000000"/>
          <w:spacing w:val="0"/>
          <w:sz w:val="32"/>
          <w:szCs w:val="32"/>
          <w:highlight w:val="none"/>
          <w:shd w:val="clear" w:fill="FFFFFF"/>
          <w:lang w:val="en-US" w:eastAsia="zh-CN"/>
        </w:rPr>
      </w:pPr>
      <w:r>
        <w:rPr>
          <w:rFonts w:hint="eastAsia" w:ascii="方正小标宋简体" w:hAnsi="方正小标宋简体" w:eastAsia="方正小标宋简体" w:cs="方正小标宋简体"/>
          <w:color w:val="000000"/>
          <w:kern w:val="0"/>
          <w:sz w:val="36"/>
          <w:szCs w:val="36"/>
          <w:highlight w:val="none"/>
          <w:lang w:val="en-US" w:eastAsia="zh-CN"/>
        </w:rPr>
        <w:t>整体支出绩效自评表</w:t>
      </w:r>
    </w:p>
    <w:tbl>
      <w:tblPr>
        <w:tblStyle w:val="14"/>
        <w:tblW w:w="49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951"/>
        <w:gridCol w:w="966"/>
        <w:gridCol w:w="165"/>
        <w:gridCol w:w="913"/>
        <w:gridCol w:w="462"/>
        <w:gridCol w:w="1058"/>
        <w:gridCol w:w="1009"/>
        <w:gridCol w:w="169"/>
        <w:gridCol w:w="444"/>
        <w:gridCol w:w="358"/>
        <w:gridCol w:w="850"/>
        <w:gridCol w:w="909"/>
      </w:tblGrid>
      <w:tr w14:paraId="3044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02" w:type="pct"/>
            <w:noWrap w:val="0"/>
            <w:vAlign w:val="center"/>
          </w:tcPr>
          <w:p w14:paraId="6E93F32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预算</w:t>
            </w:r>
            <w:r>
              <w:rPr>
                <w:rFonts w:hint="eastAsia" w:cs="宋体" w:asciiTheme="minorEastAsia" w:hAnsiTheme="minorEastAsia" w:eastAsiaTheme="minorEastAsia"/>
                <w:snapToGrid w:val="0"/>
                <w:color w:val="000000"/>
                <w:kern w:val="0"/>
                <w:szCs w:val="21"/>
                <w:highlight w:val="none"/>
                <w:lang w:val="en-US" w:eastAsia="zh-CN"/>
              </w:rPr>
              <w:t>单位</w:t>
            </w:r>
            <w:r>
              <w:rPr>
                <w:rFonts w:hint="eastAsia" w:cs="宋体" w:asciiTheme="minorEastAsia" w:hAnsiTheme="minorEastAsia" w:eastAsiaTheme="minorEastAsia"/>
                <w:snapToGrid w:val="0"/>
                <w:color w:val="000000"/>
                <w:kern w:val="0"/>
                <w:szCs w:val="21"/>
                <w:highlight w:val="none"/>
                <w:lang w:eastAsia="en-US"/>
              </w:rPr>
              <w:t>名称</w:t>
            </w:r>
          </w:p>
        </w:tc>
        <w:tc>
          <w:tcPr>
            <w:tcW w:w="4497" w:type="pct"/>
            <w:gridSpan w:val="12"/>
            <w:noWrap w:val="0"/>
            <w:vAlign w:val="center"/>
          </w:tcPr>
          <w:p w14:paraId="765CA22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zh-CN"/>
              </w:rPr>
              <w:t>怀化市就业服务中心</w:t>
            </w:r>
            <w:r>
              <w:rPr>
                <w:rFonts w:hint="eastAsia" w:cs="宋体" w:asciiTheme="minorEastAsia" w:hAnsiTheme="minorEastAsia" w:eastAsiaTheme="minorEastAsia"/>
                <w:snapToGrid w:val="0"/>
                <w:color w:val="000000"/>
                <w:kern w:val="0"/>
                <w:szCs w:val="21"/>
                <w:highlight w:val="none"/>
                <w:lang w:eastAsia="en-US"/>
              </w:rPr>
              <w:t>　</w:t>
            </w:r>
          </w:p>
        </w:tc>
      </w:tr>
      <w:tr w14:paraId="5A74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502" w:type="pct"/>
            <w:vMerge w:val="restart"/>
            <w:noWrap w:val="0"/>
            <w:vAlign w:val="center"/>
          </w:tcPr>
          <w:p w14:paraId="77205D8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年度预</w:t>
            </w:r>
          </w:p>
          <w:p w14:paraId="362F298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zh-CN"/>
              </w:rPr>
            </w:pPr>
            <w:r>
              <w:rPr>
                <w:rFonts w:hint="eastAsia" w:cs="宋体" w:asciiTheme="minorEastAsia" w:hAnsiTheme="minorEastAsia" w:eastAsiaTheme="minorEastAsia"/>
                <w:snapToGrid w:val="0"/>
                <w:color w:val="000000"/>
                <w:kern w:val="0"/>
                <w:szCs w:val="21"/>
                <w:highlight w:val="none"/>
                <w:lang w:eastAsia="en-US"/>
              </w:rPr>
              <w:t>算申请</w:t>
            </w:r>
          </w:p>
          <w:p w14:paraId="3317F5F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（万元）</w:t>
            </w:r>
          </w:p>
        </w:tc>
        <w:tc>
          <w:tcPr>
            <w:tcW w:w="1134" w:type="pct"/>
            <w:gridSpan w:val="3"/>
            <w:noWrap w:val="0"/>
            <w:vAlign w:val="center"/>
          </w:tcPr>
          <w:p w14:paraId="3826036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tc>
        <w:tc>
          <w:tcPr>
            <w:tcW w:w="497" w:type="pct"/>
            <w:noWrap w:val="0"/>
            <w:vAlign w:val="center"/>
          </w:tcPr>
          <w:p w14:paraId="77BCAF6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年初</w:t>
            </w:r>
          </w:p>
          <w:p w14:paraId="484154C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预算数</w:t>
            </w:r>
          </w:p>
        </w:tc>
        <w:tc>
          <w:tcPr>
            <w:tcW w:w="827" w:type="pct"/>
            <w:gridSpan w:val="2"/>
            <w:noWrap w:val="0"/>
            <w:vAlign w:val="center"/>
          </w:tcPr>
          <w:p w14:paraId="7F2A011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全年预算数</w:t>
            </w:r>
          </w:p>
        </w:tc>
        <w:tc>
          <w:tcPr>
            <w:tcW w:w="549" w:type="pct"/>
            <w:noWrap w:val="0"/>
            <w:vAlign w:val="center"/>
          </w:tcPr>
          <w:p w14:paraId="2E0C93F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全年</w:t>
            </w:r>
          </w:p>
          <w:p w14:paraId="45E3D6A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执行数</w:t>
            </w:r>
          </w:p>
        </w:tc>
        <w:tc>
          <w:tcPr>
            <w:tcW w:w="334" w:type="pct"/>
            <w:gridSpan w:val="2"/>
            <w:noWrap w:val="0"/>
            <w:vAlign w:val="center"/>
          </w:tcPr>
          <w:p w14:paraId="7C251D5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分值</w:t>
            </w:r>
          </w:p>
        </w:tc>
        <w:tc>
          <w:tcPr>
            <w:tcW w:w="658" w:type="pct"/>
            <w:gridSpan w:val="2"/>
            <w:noWrap w:val="0"/>
            <w:vAlign w:val="center"/>
          </w:tcPr>
          <w:p w14:paraId="468EA2D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执行率</w:t>
            </w:r>
          </w:p>
        </w:tc>
        <w:tc>
          <w:tcPr>
            <w:tcW w:w="495" w:type="pct"/>
            <w:noWrap w:val="0"/>
            <w:vAlign w:val="center"/>
          </w:tcPr>
          <w:p w14:paraId="017B87D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得分</w:t>
            </w:r>
          </w:p>
        </w:tc>
      </w:tr>
      <w:tr w14:paraId="57BA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2" w:type="pct"/>
            <w:vMerge w:val="continue"/>
            <w:noWrap w:val="0"/>
            <w:vAlign w:val="center"/>
          </w:tcPr>
          <w:p w14:paraId="1EADA9A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1134" w:type="pct"/>
            <w:gridSpan w:val="3"/>
            <w:noWrap w:val="0"/>
            <w:vAlign w:val="center"/>
          </w:tcPr>
          <w:p w14:paraId="7A96520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年度资金总额</w:t>
            </w:r>
          </w:p>
        </w:tc>
        <w:tc>
          <w:tcPr>
            <w:tcW w:w="497" w:type="pct"/>
            <w:noWrap w:val="0"/>
            <w:vAlign w:val="center"/>
          </w:tcPr>
          <w:p w14:paraId="7E76F05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842.08</w:t>
            </w:r>
          </w:p>
        </w:tc>
        <w:tc>
          <w:tcPr>
            <w:tcW w:w="827" w:type="pct"/>
            <w:gridSpan w:val="2"/>
            <w:noWrap w:val="0"/>
            <w:vAlign w:val="center"/>
          </w:tcPr>
          <w:p w14:paraId="2A44766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896.47</w:t>
            </w:r>
          </w:p>
        </w:tc>
        <w:tc>
          <w:tcPr>
            <w:tcW w:w="549" w:type="pct"/>
            <w:noWrap w:val="0"/>
            <w:vAlign w:val="center"/>
          </w:tcPr>
          <w:p w14:paraId="437D202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892.89</w:t>
            </w:r>
          </w:p>
        </w:tc>
        <w:tc>
          <w:tcPr>
            <w:tcW w:w="334" w:type="pct"/>
            <w:gridSpan w:val="2"/>
            <w:noWrap w:val="0"/>
            <w:vAlign w:val="center"/>
          </w:tcPr>
          <w:p w14:paraId="23B316B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10</w:t>
            </w:r>
          </w:p>
        </w:tc>
        <w:tc>
          <w:tcPr>
            <w:tcW w:w="658" w:type="pct"/>
            <w:gridSpan w:val="2"/>
            <w:noWrap w:val="0"/>
            <w:vAlign w:val="center"/>
          </w:tcPr>
          <w:p w14:paraId="7E0198B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106.03%</w:t>
            </w:r>
          </w:p>
        </w:tc>
        <w:tc>
          <w:tcPr>
            <w:tcW w:w="495" w:type="pct"/>
            <w:noWrap w:val="0"/>
            <w:vAlign w:val="center"/>
          </w:tcPr>
          <w:p w14:paraId="649625F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8</w:t>
            </w:r>
          </w:p>
        </w:tc>
      </w:tr>
      <w:tr w14:paraId="69EF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2" w:type="pct"/>
            <w:vMerge w:val="continue"/>
            <w:noWrap w:val="0"/>
            <w:vAlign w:val="center"/>
          </w:tcPr>
          <w:p w14:paraId="23EF267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2459" w:type="pct"/>
            <w:gridSpan w:val="6"/>
            <w:noWrap w:val="0"/>
            <w:vAlign w:val="center"/>
          </w:tcPr>
          <w:p w14:paraId="56985FD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按收入性质分：</w:t>
            </w:r>
          </w:p>
        </w:tc>
        <w:tc>
          <w:tcPr>
            <w:tcW w:w="2037" w:type="pct"/>
            <w:gridSpan w:val="6"/>
            <w:noWrap w:val="0"/>
            <w:vAlign w:val="center"/>
          </w:tcPr>
          <w:p w14:paraId="10E4A24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按支出性质分：</w:t>
            </w:r>
          </w:p>
        </w:tc>
      </w:tr>
      <w:tr w14:paraId="78C8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2" w:type="pct"/>
            <w:vMerge w:val="continue"/>
            <w:noWrap w:val="0"/>
            <w:vAlign w:val="center"/>
          </w:tcPr>
          <w:p w14:paraId="7CA937D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2459" w:type="pct"/>
            <w:gridSpan w:val="6"/>
            <w:noWrap w:val="0"/>
            <w:vAlign w:val="center"/>
          </w:tcPr>
          <w:p w14:paraId="1D0C9C1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 xml:space="preserve">  其中：  一般公共预算：</w:t>
            </w:r>
            <w:r>
              <w:rPr>
                <w:rFonts w:hint="eastAsia" w:cs="宋体" w:asciiTheme="minorEastAsia" w:hAnsiTheme="minorEastAsia" w:eastAsiaTheme="minorEastAsia"/>
                <w:snapToGrid w:val="0"/>
                <w:color w:val="000000"/>
                <w:kern w:val="0"/>
                <w:szCs w:val="21"/>
                <w:highlight w:val="none"/>
                <w:lang w:val="en-US" w:eastAsia="zh-CN"/>
              </w:rPr>
              <w:t>842.08</w:t>
            </w:r>
          </w:p>
        </w:tc>
        <w:tc>
          <w:tcPr>
            <w:tcW w:w="2037" w:type="pct"/>
            <w:gridSpan w:val="6"/>
            <w:noWrap w:val="0"/>
            <w:vAlign w:val="center"/>
          </w:tcPr>
          <w:p w14:paraId="150C175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其中：基本支出：</w:t>
            </w:r>
            <w:r>
              <w:rPr>
                <w:rFonts w:hint="eastAsia" w:cs="宋体" w:asciiTheme="minorEastAsia" w:hAnsiTheme="minorEastAsia" w:eastAsiaTheme="minorEastAsia"/>
                <w:snapToGrid w:val="0"/>
                <w:color w:val="000000"/>
                <w:kern w:val="0"/>
                <w:szCs w:val="21"/>
                <w:highlight w:val="none"/>
                <w:lang w:val="en-US" w:eastAsia="zh-CN"/>
              </w:rPr>
              <w:t>749.08</w:t>
            </w:r>
          </w:p>
        </w:tc>
      </w:tr>
      <w:tr w14:paraId="6D47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2" w:type="pct"/>
            <w:vMerge w:val="continue"/>
            <w:noWrap w:val="0"/>
            <w:vAlign w:val="center"/>
          </w:tcPr>
          <w:p w14:paraId="3922681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2459" w:type="pct"/>
            <w:gridSpan w:val="6"/>
            <w:noWrap w:val="0"/>
            <w:vAlign w:val="center"/>
          </w:tcPr>
          <w:p w14:paraId="5BD12DB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政府性基金拨款：</w:t>
            </w:r>
          </w:p>
        </w:tc>
        <w:tc>
          <w:tcPr>
            <w:tcW w:w="2037" w:type="pct"/>
            <w:gridSpan w:val="6"/>
            <w:noWrap w:val="0"/>
            <w:vAlign w:val="center"/>
          </w:tcPr>
          <w:p w14:paraId="2D0069D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项目支出：</w:t>
            </w:r>
            <w:r>
              <w:rPr>
                <w:rFonts w:hint="eastAsia" w:cs="宋体" w:asciiTheme="minorEastAsia" w:hAnsiTheme="minorEastAsia" w:eastAsiaTheme="minorEastAsia"/>
                <w:snapToGrid w:val="0"/>
                <w:color w:val="000000"/>
                <w:kern w:val="0"/>
                <w:szCs w:val="21"/>
                <w:highlight w:val="none"/>
                <w:lang w:val="en-US" w:eastAsia="zh-CN"/>
              </w:rPr>
              <w:t>93</w:t>
            </w:r>
          </w:p>
        </w:tc>
      </w:tr>
      <w:tr w14:paraId="3C1B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02" w:type="pct"/>
            <w:vMerge w:val="continue"/>
            <w:noWrap w:val="0"/>
            <w:vAlign w:val="center"/>
          </w:tcPr>
          <w:p w14:paraId="1107E57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2459" w:type="pct"/>
            <w:gridSpan w:val="6"/>
            <w:noWrap w:val="0"/>
            <w:vAlign w:val="center"/>
          </w:tcPr>
          <w:p w14:paraId="1AEDD9C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纳入专户管理的非税收入拨款：</w:t>
            </w:r>
          </w:p>
        </w:tc>
        <w:tc>
          <w:tcPr>
            <w:tcW w:w="2037" w:type="pct"/>
            <w:gridSpan w:val="6"/>
            <w:noWrap w:val="0"/>
            <w:vAlign w:val="center"/>
          </w:tcPr>
          <w:p w14:paraId="408CFB4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tc>
      </w:tr>
      <w:tr w14:paraId="3872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2" w:type="pct"/>
            <w:vMerge w:val="continue"/>
            <w:noWrap w:val="0"/>
            <w:vAlign w:val="center"/>
          </w:tcPr>
          <w:p w14:paraId="745568C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2459" w:type="pct"/>
            <w:gridSpan w:val="6"/>
            <w:noWrap w:val="0"/>
            <w:vAlign w:val="center"/>
          </w:tcPr>
          <w:p w14:paraId="25DF069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其他资金：</w:t>
            </w:r>
          </w:p>
        </w:tc>
        <w:tc>
          <w:tcPr>
            <w:tcW w:w="2037" w:type="pct"/>
            <w:gridSpan w:val="6"/>
            <w:noWrap w:val="0"/>
            <w:vAlign w:val="center"/>
          </w:tcPr>
          <w:p w14:paraId="03B8BFB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tc>
      </w:tr>
      <w:tr w14:paraId="1C67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2" w:type="pct"/>
            <w:vMerge w:val="restart"/>
            <w:noWrap w:val="0"/>
            <w:vAlign w:val="center"/>
          </w:tcPr>
          <w:p w14:paraId="3BDD37E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年度总体目标</w:t>
            </w:r>
          </w:p>
        </w:tc>
        <w:tc>
          <w:tcPr>
            <w:tcW w:w="2459" w:type="pct"/>
            <w:gridSpan w:val="6"/>
            <w:noWrap w:val="0"/>
            <w:vAlign w:val="center"/>
          </w:tcPr>
          <w:p w14:paraId="40D98D2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预期目标</w:t>
            </w:r>
          </w:p>
        </w:tc>
        <w:tc>
          <w:tcPr>
            <w:tcW w:w="2037" w:type="pct"/>
            <w:gridSpan w:val="6"/>
            <w:noWrap w:val="0"/>
            <w:vAlign w:val="center"/>
          </w:tcPr>
          <w:p w14:paraId="5FA95A7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实际完成情况　</w:t>
            </w:r>
          </w:p>
        </w:tc>
      </w:tr>
      <w:tr w14:paraId="112C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02" w:type="pct"/>
            <w:vMerge w:val="continue"/>
            <w:noWrap w:val="0"/>
            <w:vAlign w:val="center"/>
          </w:tcPr>
          <w:p w14:paraId="1C66963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2459" w:type="pct"/>
            <w:gridSpan w:val="6"/>
            <w:noWrap w:val="0"/>
            <w:vAlign w:val="center"/>
          </w:tcPr>
          <w:p w14:paraId="31D1495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w:t>
            </w:r>
            <w:r>
              <w:rPr>
                <w:rFonts w:hint="eastAsia" w:cs="宋体" w:asciiTheme="minorEastAsia" w:hAnsiTheme="minorEastAsia" w:eastAsiaTheme="minorEastAsia"/>
                <w:snapToGrid w:val="0"/>
                <w:color w:val="000000"/>
                <w:kern w:val="0"/>
                <w:szCs w:val="21"/>
                <w:highlight w:val="none"/>
                <w:lang w:eastAsia="en-US"/>
              </w:rPr>
              <w:t>组织落实促进就业各项政策措施</w:t>
            </w:r>
            <w:r>
              <w:rPr>
                <w:rFonts w:hint="eastAsia" w:cs="宋体" w:asciiTheme="minorEastAsia" w:hAnsiTheme="minorEastAsia" w:eastAsiaTheme="minorEastAsia"/>
                <w:snapToGrid w:val="0"/>
                <w:color w:val="000000"/>
                <w:kern w:val="0"/>
                <w:szCs w:val="21"/>
                <w:highlight w:val="none"/>
                <w:lang w:eastAsia="zh-CN"/>
              </w:rPr>
              <w:t>，</w:t>
            </w:r>
            <w:r>
              <w:rPr>
                <w:rFonts w:hint="eastAsia" w:cs="宋体" w:asciiTheme="minorEastAsia" w:hAnsiTheme="minorEastAsia" w:eastAsiaTheme="minorEastAsia"/>
                <w:snapToGrid w:val="0"/>
                <w:color w:val="000000"/>
                <w:kern w:val="0"/>
                <w:szCs w:val="21"/>
                <w:highlight w:val="none"/>
                <w:lang w:eastAsia="en-US"/>
              </w:rPr>
              <w:t>为高校毕业生、登记失业人员、农村劳动力等群体提供政策咨询、职业指导</w:t>
            </w:r>
            <w:r>
              <w:rPr>
                <w:rFonts w:hint="eastAsia" w:cs="宋体" w:asciiTheme="minorEastAsia" w:hAnsiTheme="minorEastAsia" w:eastAsiaTheme="minorEastAsia"/>
                <w:snapToGrid w:val="0"/>
                <w:color w:val="000000"/>
                <w:kern w:val="0"/>
                <w:szCs w:val="21"/>
                <w:highlight w:val="none"/>
                <w:lang w:eastAsia="zh-CN"/>
              </w:rPr>
              <w:t>；</w:t>
            </w:r>
            <w:r>
              <w:rPr>
                <w:rFonts w:hint="eastAsia" w:cs="宋体" w:asciiTheme="minorEastAsia" w:hAnsiTheme="minorEastAsia" w:eastAsiaTheme="minorEastAsia"/>
                <w:snapToGrid w:val="0"/>
                <w:color w:val="000000"/>
                <w:kern w:val="0"/>
                <w:szCs w:val="21"/>
                <w:highlight w:val="none"/>
                <w:lang w:val="en-US" w:eastAsia="zh-CN"/>
              </w:rPr>
              <w:t>2、</w:t>
            </w:r>
            <w:r>
              <w:rPr>
                <w:rFonts w:hint="eastAsia" w:cs="宋体" w:asciiTheme="minorEastAsia" w:hAnsiTheme="minorEastAsia" w:eastAsiaTheme="minorEastAsia"/>
                <w:snapToGrid w:val="0"/>
                <w:color w:val="000000"/>
                <w:kern w:val="0"/>
                <w:szCs w:val="21"/>
                <w:highlight w:val="none"/>
                <w:lang w:eastAsia="en-US"/>
              </w:rPr>
              <w:t>组织落实创业带动就业政策措施</w:t>
            </w:r>
            <w:r>
              <w:rPr>
                <w:rFonts w:hint="eastAsia" w:cs="宋体" w:asciiTheme="minorEastAsia" w:hAnsiTheme="minorEastAsia" w:eastAsiaTheme="minorEastAsia"/>
                <w:snapToGrid w:val="0"/>
                <w:color w:val="000000"/>
                <w:kern w:val="0"/>
                <w:szCs w:val="21"/>
                <w:highlight w:val="none"/>
                <w:lang w:eastAsia="zh-CN"/>
              </w:rPr>
              <w:t>，</w:t>
            </w:r>
            <w:r>
              <w:rPr>
                <w:rFonts w:hint="eastAsia" w:cs="宋体" w:asciiTheme="minorEastAsia" w:hAnsiTheme="minorEastAsia" w:eastAsiaTheme="minorEastAsia"/>
                <w:snapToGrid w:val="0"/>
                <w:color w:val="000000"/>
                <w:kern w:val="0"/>
                <w:szCs w:val="21"/>
                <w:highlight w:val="none"/>
                <w:lang w:eastAsia="en-US"/>
              </w:rPr>
              <w:t>各类群体开展创新创业活动提供创业培训、创业指导和创业担保贷款等创业服务</w:t>
            </w:r>
            <w:r>
              <w:rPr>
                <w:rFonts w:hint="eastAsia" w:cs="宋体" w:asciiTheme="minorEastAsia" w:hAnsiTheme="minorEastAsia" w:eastAsiaTheme="minorEastAsia"/>
                <w:snapToGrid w:val="0"/>
                <w:color w:val="000000"/>
                <w:kern w:val="0"/>
                <w:szCs w:val="21"/>
                <w:highlight w:val="none"/>
                <w:lang w:eastAsia="zh-CN"/>
              </w:rPr>
              <w:t>；</w:t>
            </w:r>
            <w:r>
              <w:rPr>
                <w:rFonts w:hint="eastAsia" w:cs="宋体" w:asciiTheme="minorEastAsia" w:hAnsiTheme="minorEastAsia" w:eastAsiaTheme="minorEastAsia"/>
                <w:snapToGrid w:val="0"/>
                <w:color w:val="000000"/>
                <w:kern w:val="0"/>
                <w:szCs w:val="21"/>
                <w:highlight w:val="none"/>
                <w:lang w:val="en-US" w:eastAsia="zh-CN"/>
              </w:rPr>
              <w:t>3、</w:t>
            </w:r>
            <w:r>
              <w:rPr>
                <w:rFonts w:hint="eastAsia" w:cs="宋体" w:asciiTheme="minorEastAsia" w:hAnsiTheme="minorEastAsia" w:eastAsiaTheme="minorEastAsia"/>
                <w:snapToGrid w:val="0"/>
                <w:color w:val="000000"/>
                <w:kern w:val="0"/>
                <w:szCs w:val="21"/>
                <w:highlight w:val="none"/>
                <w:lang w:eastAsia="en-US"/>
              </w:rPr>
              <w:t>组织落实职业技能培训和创业培训相关工作</w:t>
            </w:r>
            <w:r>
              <w:rPr>
                <w:rFonts w:hint="eastAsia" w:cs="宋体" w:asciiTheme="minorEastAsia" w:hAnsiTheme="minorEastAsia" w:eastAsiaTheme="minorEastAsia"/>
                <w:snapToGrid w:val="0"/>
                <w:color w:val="000000"/>
                <w:kern w:val="0"/>
                <w:szCs w:val="21"/>
                <w:highlight w:val="none"/>
                <w:lang w:eastAsia="zh-CN"/>
              </w:rPr>
              <w:t>；</w:t>
            </w:r>
            <w:r>
              <w:rPr>
                <w:rFonts w:hint="eastAsia" w:cs="宋体" w:asciiTheme="minorEastAsia" w:hAnsiTheme="minorEastAsia" w:eastAsiaTheme="minorEastAsia"/>
                <w:snapToGrid w:val="0"/>
                <w:color w:val="000000"/>
                <w:kern w:val="0"/>
                <w:szCs w:val="21"/>
                <w:highlight w:val="none"/>
                <w:lang w:val="en-US" w:eastAsia="zh-CN"/>
              </w:rPr>
              <w:t>4、</w:t>
            </w:r>
            <w:r>
              <w:rPr>
                <w:rFonts w:hint="eastAsia" w:cs="宋体" w:asciiTheme="minorEastAsia" w:hAnsiTheme="minorEastAsia" w:eastAsiaTheme="minorEastAsia"/>
                <w:snapToGrid w:val="0"/>
                <w:color w:val="000000"/>
                <w:kern w:val="0"/>
                <w:szCs w:val="21"/>
                <w:highlight w:val="none"/>
                <w:lang w:eastAsia="zh-CN"/>
              </w:rPr>
              <w:t>承担市直企事业等单位失业保险经办服务工作；</w:t>
            </w:r>
            <w:r>
              <w:rPr>
                <w:rFonts w:hint="eastAsia" w:cs="宋体" w:asciiTheme="minorEastAsia" w:hAnsiTheme="minorEastAsia" w:eastAsiaTheme="minorEastAsia"/>
                <w:snapToGrid w:val="0"/>
                <w:color w:val="000000"/>
                <w:kern w:val="0"/>
                <w:szCs w:val="21"/>
                <w:highlight w:val="none"/>
                <w:lang w:val="en-US" w:eastAsia="zh-CN"/>
              </w:rPr>
              <w:t>5、</w:t>
            </w:r>
            <w:r>
              <w:rPr>
                <w:rFonts w:hint="eastAsia" w:cs="宋体" w:asciiTheme="minorEastAsia" w:hAnsiTheme="minorEastAsia" w:eastAsiaTheme="minorEastAsia"/>
                <w:snapToGrid w:val="0"/>
                <w:color w:val="000000"/>
                <w:kern w:val="0"/>
                <w:szCs w:val="21"/>
                <w:highlight w:val="none"/>
                <w:lang w:eastAsia="zh-CN"/>
              </w:rPr>
              <w:t>流动人员人事档案管理相关工作；</w:t>
            </w:r>
            <w:r>
              <w:rPr>
                <w:rFonts w:hint="eastAsia" w:cs="宋体" w:asciiTheme="minorEastAsia" w:hAnsiTheme="minorEastAsia" w:eastAsiaTheme="minorEastAsia"/>
                <w:snapToGrid w:val="0"/>
                <w:color w:val="000000"/>
                <w:kern w:val="0"/>
                <w:szCs w:val="21"/>
                <w:highlight w:val="none"/>
                <w:lang w:val="en-US" w:eastAsia="zh-CN"/>
              </w:rPr>
              <w:t>6、</w:t>
            </w:r>
            <w:r>
              <w:rPr>
                <w:rFonts w:hint="eastAsia" w:cs="宋体" w:asciiTheme="minorEastAsia" w:hAnsiTheme="minorEastAsia" w:eastAsiaTheme="minorEastAsia"/>
                <w:snapToGrid w:val="0"/>
                <w:color w:val="000000"/>
                <w:kern w:val="0"/>
                <w:szCs w:val="21"/>
                <w:highlight w:val="none"/>
                <w:lang w:eastAsia="zh-CN"/>
              </w:rPr>
              <w:t>承担就业失业相关统计分析、就业失业信息监测工作</w:t>
            </w:r>
            <w:r>
              <w:rPr>
                <w:rFonts w:hint="eastAsia" w:cs="宋体" w:asciiTheme="minorEastAsia" w:hAnsiTheme="minorEastAsia" w:eastAsiaTheme="minorEastAsia"/>
                <w:snapToGrid w:val="0"/>
                <w:color w:val="000000"/>
                <w:kern w:val="0"/>
                <w:szCs w:val="21"/>
                <w:highlight w:val="none"/>
                <w:lang w:val="en-US" w:eastAsia="zh-CN"/>
              </w:rPr>
              <w:t>.</w:t>
            </w:r>
            <w:r>
              <w:rPr>
                <w:rFonts w:hint="eastAsia" w:cs="宋体" w:asciiTheme="minorEastAsia" w:hAnsiTheme="minorEastAsia" w:eastAsiaTheme="minorEastAsia"/>
                <w:snapToGrid w:val="0"/>
                <w:color w:val="000000"/>
                <w:kern w:val="0"/>
                <w:szCs w:val="21"/>
                <w:highlight w:val="none"/>
                <w:lang w:eastAsia="en-US"/>
              </w:rPr>
              <w:t>　</w:t>
            </w:r>
          </w:p>
        </w:tc>
        <w:tc>
          <w:tcPr>
            <w:tcW w:w="2037" w:type="pct"/>
            <w:gridSpan w:val="6"/>
            <w:noWrap w:val="0"/>
            <w:vAlign w:val="center"/>
          </w:tcPr>
          <w:p w14:paraId="2067BF5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全市城镇登记失业率</w:t>
            </w:r>
            <w:r>
              <w:rPr>
                <w:rFonts w:hint="eastAsia" w:cs="宋体" w:asciiTheme="minorEastAsia" w:hAnsiTheme="minorEastAsia"/>
                <w:snapToGrid w:val="0"/>
                <w:color w:val="000000"/>
                <w:kern w:val="0"/>
                <w:szCs w:val="21"/>
                <w:highlight w:val="none"/>
                <w:lang w:val="en-US" w:eastAsia="zh-CN"/>
              </w:rPr>
              <w:t>0.85</w:t>
            </w:r>
            <w:r>
              <w:rPr>
                <w:rFonts w:hint="eastAsia" w:cs="宋体" w:asciiTheme="minorEastAsia" w:hAnsiTheme="minorEastAsia" w:eastAsiaTheme="minorEastAsia"/>
                <w:snapToGrid w:val="0"/>
                <w:color w:val="000000"/>
                <w:kern w:val="0"/>
                <w:szCs w:val="21"/>
                <w:highlight w:val="none"/>
                <w:lang w:val="en-US" w:eastAsia="zh-CN"/>
              </w:rPr>
              <w:t>%，继续控制在4.5%以内；全市累计消除零就业家庭2</w:t>
            </w:r>
            <w:r>
              <w:rPr>
                <w:rFonts w:hint="eastAsia" w:cs="宋体" w:asciiTheme="minorEastAsia" w:hAnsiTheme="minorEastAsia"/>
                <w:snapToGrid w:val="0"/>
                <w:color w:val="000000"/>
                <w:kern w:val="0"/>
                <w:szCs w:val="21"/>
                <w:highlight w:val="none"/>
                <w:lang w:val="en-US" w:eastAsia="zh-CN"/>
              </w:rPr>
              <w:t>3</w:t>
            </w:r>
            <w:r>
              <w:rPr>
                <w:rFonts w:hint="eastAsia" w:cs="宋体" w:asciiTheme="minorEastAsia" w:hAnsiTheme="minorEastAsia" w:eastAsiaTheme="minorEastAsia"/>
                <w:snapToGrid w:val="0"/>
                <w:color w:val="000000"/>
                <w:kern w:val="0"/>
                <w:szCs w:val="21"/>
                <w:highlight w:val="none"/>
                <w:lang w:val="en-US" w:eastAsia="zh-CN"/>
              </w:rPr>
              <w:t>户，城镇零就业家庭实现100%动态清零；全市失业保险参保人数为33</w:t>
            </w:r>
            <w:r>
              <w:rPr>
                <w:rFonts w:hint="eastAsia" w:cs="宋体" w:asciiTheme="minorEastAsia" w:hAnsiTheme="minorEastAsia"/>
                <w:snapToGrid w:val="0"/>
                <w:color w:val="000000"/>
                <w:kern w:val="0"/>
                <w:szCs w:val="21"/>
                <w:highlight w:val="none"/>
                <w:lang w:val="en-US" w:eastAsia="zh-CN"/>
              </w:rPr>
              <w:t>.43</w:t>
            </w:r>
            <w:r>
              <w:rPr>
                <w:rFonts w:hint="eastAsia" w:cs="宋体" w:asciiTheme="minorEastAsia" w:hAnsiTheme="minorEastAsia" w:eastAsiaTheme="minorEastAsia"/>
                <w:snapToGrid w:val="0"/>
                <w:color w:val="000000"/>
                <w:kern w:val="0"/>
                <w:szCs w:val="21"/>
                <w:highlight w:val="none"/>
                <w:lang w:val="en-US" w:eastAsia="zh-CN"/>
              </w:rPr>
              <w:t>万人，完成省厅下达目标任务33.35万人的100.</w:t>
            </w:r>
            <w:r>
              <w:rPr>
                <w:rFonts w:hint="eastAsia" w:cs="宋体" w:asciiTheme="minorEastAsia" w:hAnsiTheme="minorEastAsia"/>
                <w:snapToGrid w:val="0"/>
                <w:color w:val="000000"/>
                <w:kern w:val="0"/>
                <w:szCs w:val="21"/>
                <w:highlight w:val="none"/>
                <w:lang w:val="en-US" w:eastAsia="zh-CN"/>
              </w:rPr>
              <w:t>24</w:t>
            </w:r>
            <w:r>
              <w:rPr>
                <w:rFonts w:hint="eastAsia" w:cs="宋体" w:asciiTheme="minorEastAsia" w:hAnsiTheme="minorEastAsia" w:eastAsiaTheme="minorEastAsia"/>
                <w:snapToGrid w:val="0"/>
                <w:color w:val="000000"/>
                <w:kern w:val="0"/>
                <w:szCs w:val="21"/>
                <w:highlight w:val="none"/>
                <w:lang w:val="en-US" w:eastAsia="zh-CN"/>
              </w:rPr>
              <w:t>%；全市开展补贴性职业技能培训</w:t>
            </w:r>
            <w:r>
              <w:rPr>
                <w:rFonts w:hint="eastAsia" w:cs="宋体" w:asciiTheme="minorEastAsia" w:hAnsiTheme="minorEastAsia"/>
                <w:snapToGrid w:val="0"/>
                <w:color w:val="000000"/>
                <w:kern w:val="0"/>
                <w:szCs w:val="21"/>
                <w:highlight w:val="none"/>
                <w:lang w:val="en-US" w:eastAsia="zh-CN"/>
              </w:rPr>
              <w:t>2.04</w:t>
            </w:r>
            <w:r>
              <w:rPr>
                <w:rFonts w:hint="eastAsia" w:cs="宋体" w:asciiTheme="minorEastAsia" w:hAnsiTheme="minorEastAsia" w:eastAsiaTheme="minorEastAsia"/>
                <w:snapToGrid w:val="0"/>
                <w:color w:val="000000"/>
                <w:kern w:val="0"/>
                <w:szCs w:val="21"/>
                <w:highlight w:val="none"/>
                <w:lang w:val="en-US" w:eastAsia="zh-CN"/>
              </w:rPr>
              <w:t>万人次，完成省厅下达目标任务1.1万人的1</w:t>
            </w:r>
            <w:r>
              <w:rPr>
                <w:rFonts w:hint="eastAsia" w:cs="宋体" w:asciiTheme="minorEastAsia" w:hAnsiTheme="minorEastAsia"/>
                <w:snapToGrid w:val="0"/>
                <w:color w:val="000000"/>
                <w:kern w:val="0"/>
                <w:szCs w:val="21"/>
                <w:highlight w:val="none"/>
                <w:lang w:val="en-US" w:eastAsia="zh-CN"/>
              </w:rPr>
              <w:t>85.4</w:t>
            </w:r>
            <w:r>
              <w:rPr>
                <w:rFonts w:hint="eastAsia" w:cs="宋体" w:asciiTheme="minorEastAsia" w:hAnsiTheme="minorEastAsia" w:eastAsiaTheme="minorEastAsia"/>
                <w:snapToGrid w:val="0"/>
                <w:color w:val="000000"/>
                <w:kern w:val="0"/>
                <w:szCs w:val="21"/>
                <w:highlight w:val="none"/>
                <w:lang w:val="en-US" w:eastAsia="zh-CN"/>
              </w:rPr>
              <w:t>%；发放创业担保贷款3.</w:t>
            </w:r>
            <w:r>
              <w:rPr>
                <w:rFonts w:hint="eastAsia" w:cs="宋体" w:asciiTheme="minorEastAsia" w:hAnsiTheme="minorEastAsia"/>
                <w:snapToGrid w:val="0"/>
                <w:color w:val="000000"/>
                <w:kern w:val="0"/>
                <w:szCs w:val="21"/>
                <w:highlight w:val="none"/>
                <w:lang w:val="en-US" w:eastAsia="zh-CN"/>
              </w:rPr>
              <w:t>74</w:t>
            </w:r>
            <w:r>
              <w:rPr>
                <w:rFonts w:hint="eastAsia" w:cs="宋体" w:asciiTheme="minorEastAsia" w:hAnsiTheme="minorEastAsia" w:eastAsiaTheme="minorEastAsia"/>
                <w:snapToGrid w:val="0"/>
                <w:color w:val="000000"/>
                <w:kern w:val="0"/>
                <w:szCs w:val="21"/>
                <w:highlight w:val="none"/>
                <w:lang w:val="en-US" w:eastAsia="zh-CN"/>
              </w:rPr>
              <w:t>亿元，完成省厅下达任务数2.5亿元的1</w:t>
            </w:r>
            <w:r>
              <w:rPr>
                <w:rFonts w:hint="eastAsia" w:cs="宋体" w:asciiTheme="minorEastAsia" w:hAnsiTheme="minorEastAsia"/>
                <w:snapToGrid w:val="0"/>
                <w:color w:val="000000"/>
                <w:kern w:val="0"/>
                <w:szCs w:val="21"/>
                <w:highlight w:val="none"/>
                <w:lang w:val="en-US" w:eastAsia="zh-CN"/>
              </w:rPr>
              <w:t>49.6</w:t>
            </w:r>
            <w:r>
              <w:rPr>
                <w:rFonts w:hint="eastAsia" w:cs="宋体" w:asciiTheme="minorEastAsia" w:hAnsiTheme="minorEastAsia" w:eastAsiaTheme="minorEastAsia"/>
                <w:snapToGrid w:val="0"/>
                <w:color w:val="000000"/>
                <w:kern w:val="0"/>
                <w:szCs w:val="21"/>
                <w:highlight w:val="none"/>
                <w:lang w:val="en-US" w:eastAsia="zh-CN"/>
              </w:rPr>
              <w:t>%。</w:t>
            </w:r>
          </w:p>
          <w:p w14:paraId="1FB909F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tc>
      </w:tr>
      <w:tr w14:paraId="254E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02" w:type="pct"/>
            <w:vMerge w:val="restart"/>
            <w:noWrap w:val="0"/>
            <w:vAlign w:val="center"/>
          </w:tcPr>
          <w:p w14:paraId="0E613FE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绩</w:t>
            </w:r>
          </w:p>
          <w:p w14:paraId="758391F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w:t>
            </w:r>
          </w:p>
          <w:p w14:paraId="1700FB9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指</w:t>
            </w:r>
          </w:p>
          <w:p w14:paraId="3DC58FE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标</w:t>
            </w:r>
          </w:p>
        </w:tc>
        <w:tc>
          <w:tcPr>
            <w:tcW w:w="518" w:type="pct"/>
            <w:noWrap w:val="0"/>
            <w:vAlign w:val="center"/>
          </w:tcPr>
          <w:p w14:paraId="5BFFC4C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一级指标</w:t>
            </w:r>
          </w:p>
        </w:tc>
        <w:tc>
          <w:tcPr>
            <w:tcW w:w="526" w:type="pct"/>
            <w:noWrap w:val="0"/>
            <w:vAlign w:val="center"/>
          </w:tcPr>
          <w:p w14:paraId="575AECA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二级指标</w:t>
            </w:r>
          </w:p>
        </w:tc>
        <w:tc>
          <w:tcPr>
            <w:tcW w:w="839" w:type="pct"/>
            <w:gridSpan w:val="3"/>
            <w:noWrap w:val="0"/>
            <w:vAlign w:val="center"/>
          </w:tcPr>
          <w:p w14:paraId="138DA23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三级指标</w:t>
            </w:r>
          </w:p>
        </w:tc>
        <w:tc>
          <w:tcPr>
            <w:tcW w:w="576" w:type="pct"/>
            <w:noWrap w:val="0"/>
            <w:vAlign w:val="center"/>
          </w:tcPr>
          <w:p w14:paraId="0E8F8DB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年度</w:t>
            </w:r>
          </w:p>
          <w:p w14:paraId="6FFB6B3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指标值</w:t>
            </w:r>
          </w:p>
        </w:tc>
        <w:tc>
          <w:tcPr>
            <w:tcW w:w="641" w:type="pct"/>
            <w:gridSpan w:val="2"/>
            <w:noWrap w:val="0"/>
            <w:vAlign w:val="center"/>
          </w:tcPr>
          <w:p w14:paraId="2363888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实际</w:t>
            </w:r>
          </w:p>
          <w:p w14:paraId="0B0C6CB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完成值</w:t>
            </w:r>
          </w:p>
        </w:tc>
        <w:tc>
          <w:tcPr>
            <w:tcW w:w="437" w:type="pct"/>
            <w:gridSpan w:val="2"/>
            <w:noWrap w:val="0"/>
            <w:vAlign w:val="center"/>
          </w:tcPr>
          <w:p w14:paraId="334C85C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分值</w:t>
            </w:r>
          </w:p>
        </w:tc>
        <w:tc>
          <w:tcPr>
            <w:tcW w:w="462" w:type="pct"/>
            <w:noWrap w:val="0"/>
            <w:vAlign w:val="center"/>
          </w:tcPr>
          <w:p w14:paraId="28B8DD3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得分</w:t>
            </w:r>
          </w:p>
        </w:tc>
        <w:tc>
          <w:tcPr>
            <w:tcW w:w="495" w:type="pct"/>
            <w:noWrap w:val="0"/>
            <w:vAlign w:val="top"/>
          </w:tcPr>
          <w:p w14:paraId="30CCD06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偏差原因</w:t>
            </w:r>
          </w:p>
          <w:p w14:paraId="0BAFA0E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分析及</w:t>
            </w:r>
          </w:p>
          <w:p w14:paraId="02C25E6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改进措施</w:t>
            </w:r>
          </w:p>
        </w:tc>
      </w:tr>
      <w:tr w14:paraId="156A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02" w:type="pct"/>
            <w:vMerge w:val="continue"/>
            <w:noWrap w:val="0"/>
            <w:vAlign w:val="center"/>
          </w:tcPr>
          <w:p w14:paraId="052E4D0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restart"/>
            <w:shd w:val="clear" w:color="auto" w:fill="auto"/>
            <w:noWrap w:val="0"/>
            <w:vAlign w:val="center"/>
          </w:tcPr>
          <w:p w14:paraId="43CC7D6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1B0618A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32A79AE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成本指标</w:t>
            </w:r>
          </w:p>
          <w:p w14:paraId="2AC2684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zh-CN"/>
              </w:rPr>
            </w:pPr>
          </w:p>
        </w:tc>
        <w:tc>
          <w:tcPr>
            <w:tcW w:w="526" w:type="pct"/>
            <w:shd w:val="clear" w:color="auto" w:fill="auto"/>
            <w:noWrap w:val="0"/>
            <w:vAlign w:val="center"/>
          </w:tcPr>
          <w:p w14:paraId="3CDCA05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经济成本</w:t>
            </w:r>
          </w:p>
          <w:p w14:paraId="21590B3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指标</w:t>
            </w:r>
          </w:p>
        </w:tc>
        <w:tc>
          <w:tcPr>
            <w:tcW w:w="839" w:type="pct"/>
            <w:gridSpan w:val="3"/>
            <w:shd w:val="clear" w:color="auto" w:fill="auto"/>
            <w:noWrap w:val="0"/>
            <w:vAlign w:val="center"/>
          </w:tcPr>
          <w:p w14:paraId="725E1FE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基本支出控制</w:t>
            </w:r>
          </w:p>
        </w:tc>
        <w:tc>
          <w:tcPr>
            <w:tcW w:w="576" w:type="pct"/>
            <w:noWrap w:val="0"/>
            <w:vAlign w:val="center"/>
          </w:tcPr>
          <w:p w14:paraId="6CD514CD">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w:t>
            </w:r>
            <w:r>
              <w:rPr>
                <w:rFonts w:hint="eastAsia" w:cs="宋体" w:asciiTheme="minorEastAsia" w:hAnsiTheme="minorEastAsia"/>
                <w:snapToGrid w:val="0"/>
                <w:color w:val="000000"/>
                <w:kern w:val="0"/>
                <w:szCs w:val="21"/>
                <w:highlight w:val="none"/>
                <w:lang w:val="en-US" w:eastAsia="zh-CN"/>
              </w:rPr>
              <w:t>775.85</w:t>
            </w:r>
          </w:p>
        </w:tc>
        <w:tc>
          <w:tcPr>
            <w:tcW w:w="641" w:type="pct"/>
            <w:gridSpan w:val="2"/>
            <w:noWrap w:val="0"/>
            <w:vAlign w:val="center"/>
          </w:tcPr>
          <w:p w14:paraId="566EF321">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772.5</w:t>
            </w:r>
          </w:p>
        </w:tc>
        <w:tc>
          <w:tcPr>
            <w:tcW w:w="437" w:type="pct"/>
            <w:gridSpan w:val="2"/>
            <w:noWrap w:val="0"/>
            <w:vAlign w:val="center"/>
          </w:tcPr>
          <w:p w14:paraId="2D803478">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3</w:t>
            </w:r>
          </w:p>
        </w:tc>
        <w:tc>
          <w:tcPr>
            <w:tcW w:w="462" w:type="pct"/>
            <w:noWrap w:val="0"/>
            <w:vAlign w:val="center"/>
          </w:tcPr>
          <w:p w14:paraId="76E4E2B1">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3</w:t>
            </w:r>
          </w:p>
        </w:tc>
        <w:tc>
          <w:tcPr>
            <w:tcW w:w="495" w:type="pct"/>
            <w:noWrap w:val="0"/>
            <w:vAlign w:val="center"/>
          </w:tcPr>
          <w:p w14:paraId="07A0F9C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r>
      <w:tr w14:paraId="6612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02" w:type="pct"/>
            <w:vMerge w:val="continue"/>
            <w:noWrap w:val="0"/>
            <w:vAlign w:val="center"/>
          </w:tcPr>
          <w:p w14:paraId="1FD5724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532871F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zh-CN"/>
              </w:rPr>
            </w:pPr>
          </w:p>
        </w:tc>
        <w:tc>
          <w:tcPr>
            <w:tcW w:w="526" w:type="pct"/>
            <w:shd w:val="clear" w:color="auto" w:fill="auto"/>
            <w:noWrap w:val="0"/>
            <w:vAlign w:val="center"/>
          </w:tcPr>
          <w:p w14:paraId="4E8155E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经济成本</w:t>
            </w:r>
          </w:p>
          <w:p w14:paraId="5073345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指标</w:t>
            </w:r>
          </w:p>
        </w:tc>
        <w:tc>
          <w:tcPr>
            <w:tcW w:w="839" w:type="pct"/>
            <w:gridSpan w:val="3"/>
            <w:shd w:val="clear" w:color="auto" w:fill="auto"/>
            <w:noWrap w:val="0"/>
            <w:vAlign w:val="center"/>
          </w:tcPr>
          <w:p w14:paraId="690F144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项目支出控制</w:t>
            </w:r>
          </w:p>
        </w:tc>
        <w:tc>
          <w:tcPr>
            <w:tcW w:w="576" w:type="pct"/>
            <w:noWrap w:val="0"/>
            <w:vAlign w:val="center"/>
          </w:tcPr>
          <w:p w14:paraId="7F544322">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w:t>
            </w:r>
            <w:r>
              <w:rPr>
                <w:rFonts w:hint="eastAsia" w:cs="宋体" w:asciiTheme="minorEastAsia" w:hAnsiTheme="minorEastAsia"/>
                <w:snapToGrid w:val="0"/>
                <w:color w:val="000000"/>
                <w:kern w:val="0"/>
                <w:szCs w:val="21"/>
                <w:highlight w:val="none"/>
                <w:lang w:val="en-US" w:eastAsia="zh-CN"/>
              </w:rPr>
              <w:t>120.62</w:t>
            </w:r>
          </w:p>
        </w:tc>
        <w:tc>
          <w:tcPr>
            <w:tcW w:w="641" w:type="pct"/>
            <w:gridSpan w:val="2"/>
            <w:noWrap w:val="0"/>
            <w:vAlign w:val="center"/>
          </w:tcPr>
          <w:p w14:paraId="54B840A6">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120.39</w:t>
            </w:r>
          </w:p>
        </w:tc>
        <w:tc>
          <w:tcPr>
            <w:tcW w:w="437" w:type="pct"/>
            <w:gridSpan w:val="2"/>
            <w:noWrap w:val="0"/>
            <w:vAlign w:val="center"/>
          </w:tcPr>
          <w:p w14:paraId="0E3D4C6F">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2</w:t>
            </w:r>
          </w:p>
        </w:tc>
        <w:tc>
          <w:tcPr>
            <w:tcW w:w="462" w:type="pct"/>
            <w:noWrap w:val="0"/>
            <w:vAlign w:val="center"/>
          </w:tcPr>
          <w:p w14:paraId="5EB912B9">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2</w:t>
            </w:r>
          </w:p>
        </w:tc>
        <w:tc>
          <w:tcPr>
            <w:tcW w:w="495" w:type="pct"/>
            <w:noWrap w:val="0"/>
            <w:vAlign w:val="center"/>
          </w:tcPr>
          <w:p w14:paraId="1FE4E33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r>
      <w:tr w14:paraId="3C70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02" w:type="pct"/>
            <w:vMerge w:val="continue"/>
            <w:noWrap w:val="0"/>
            <w:vAlign w:val="center"/>
          </w:tcPr>
          <w:p w14:paraId="3FDA2CE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459AD7E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zh-CN"/>
              </w:rPr>
            </w:pPr>
          </w:p>
        </w:tc>
        <w:tc>
          <w:tcPr>
            <w:tcW w:w="526" w:type="pct"/>
            <w:shd w:val="clear" w:color="auto" w:fill="auto"/>
            <w:noWrap w:val="0"/>
            <w:vAlign w:val="center"/>
          </w:tcPr>
          <w:p w14:paraId="6AC87C3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社会成本</w:t>
            </w:r>
          </w:p>
          <w:p w14:paraId="75B623E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指标</w:t>
            </w:r>
          </w:p>
        </w:tc>
        <w:tc>
          <w:tcPr>
            <w:tcW w:w="839" w:type="pct"/>
            <w:gridSpan w:val="3"/>
            <w:shd w:val="clear" w:color="auto" w:fill="auto"/>
            <w:noWrap w:val="0"/>
            <w:vAlign w:val="center"/>
          </w:tcPr>
          <w:p w14:paraId="6B9F52C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减少群众办事时间成本</w:t>
            </w:r>
          </w:p>
        </w:tc>
        <w:tc>
          <w:tcPr>
            <w:tcW w:w="576" w:type="pct"/>
            <w:shd w:val="clear" w:color="auto" w:fill="auto"/>
            <w:noWrap w:val="0"/>
            <w:vAlign w:val="center"/>
          </w:tcPr>
          <w:p w14:paraId="3D46E65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641" w:type="pct"/>
            <w:gridSpan w:val="2"/>
            <w:shd w:val="clear" w:color="auto" w:fill="auto"/>
            <w:noWrap w:val="0"/>
            <w:vAlign w:val="center"/>
          </w:tcPr>
          <w:p w14:paraId="0CDF9E6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437" w:type="pct"/>
            <w:gridSpan w:val="2"/>
            <w:shd w:val="clear" w:color="auto" w:fill="auto"/>
            <w:noWrap w:val="0"/>
            <w:vAlign w:val="center"/>
          </w:tcPr>
          <w:p w14:paraId="149BA0C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zh-CN"/>
              </w:rPr>
              <w:t>5</w:t>
            </w:r>
          </w:p>
        </w:tc>
        <w:tc>
          <w:tcPr>
            <w:tcW w:w="462" w:type="pct"/>
            <w:shd w:val="clear" w:color="auto" w:fill="auto"/>
            <w:noWrap w:val="0"/>
            <w:vAlign w:val="center"/>
          </w:tcPr>
          <w:p w14:paraId="78073B8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zh-CN"/>
              </w:rPr>
              <w:t>5</w:t>
            </w:r>
          </w:p>
        </w:tc>
        <w:tc>
          <w:tcPr>
            <w:tcW w:w="495" w:type="pct"/>
            <w:noWrap w:val="0"/>
            <w:vAlign w:val="center"/>
          </w:tcPr>
          <w:p w14:paraId="7974842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r>
      <w:tr w14:paraId="2009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02" w:type="pct"/>
            <w:vMerge w:val="continue"/>
            <w:noWrap w:val="0"/>
            <w:vAlign w:val="center"/>
          </w:tcPr>
          <w:p w14:paraId="2B66058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6B2EE97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zh-CN"/>
              </w:rPr>
            </w:pPr>
          </w:p>
        </w:tc>
        <w:tc>
          <w:tcPr>
            <w:tcW w:w="526" w:type="pct"/>
            <w:shd w:val="clear" w:color="auto" w:fill="auto"/>
            <w:noWrap w:val="0"/>
            <w:vAlign w:val="center"/>
          </w:tcPr>
          <w:p w14:paraId="6DBB28E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生态成本</w:t>
            </w:r>
          </w:p>
          <w:p w14:paraId="20EC6FF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指标</w:t>
            </w:r>
          </w:p>
        </w:tc>
        <w:tc>
          <w:tcPr>
            <w:tcW w:w="839" w:type="pct"/>
            <w:gridSpan w:val="3"/>
            <w:shd w:val="clear" w:color="auto" w:fill="auto"/>
            <w:noWrap w:val="0"/>
            <w:vAlign w:val="center"/>
          </w:tcPr>
          <w:p w14:paraId="55CE0E7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绿色办公</w:t>
            </w:r>
          </w:p>
        </w:tc>
        <w:tc>
          <w:tcPr>
            <w:tcW w:w="576" w:type="pct"/>
            <w:shd w:val="clear" w:color="auto" w:fill="auto"/>
            <w:noWrap w:val="0"/>
            <w:vAlign w:val="center"/>
          </w:tcPr>
          <w:p w14:paraId="14E6140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641" w:type="pct"/>
            <w:gridSpan w:val="2"/>
            <w:shd w:val="clear" w:color="auto" w:fill="auto"/>
            <w:noWrap w:val="0"/>
            <w:vAlign w:val="center"/>
          </w:tcPr>
          <w:p w14:paraId="0600449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437" w:type="pct"/>
            <w:gridSpan w:val="2"/>
            <w:shd w:val="clear" w:color="auto" w:fill="auto"/>
            <w:noWrap w:val="0"/>
            <w:vAlign w:val="center"/>
          </w:tcPr>
          <w:p w14:paraId="4628CD7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5</w:t>
            </w:r>
          </w:p>
        </w:tc>
        <w:tc>
          <w:tcPr>
            <w:tcW w:w="462" w:type="pct"/>
            <w:shd w:val="clear" w:color="auto" w:fill="auto"/>
            <w:noWrap w:val="0"/>
            <w:vAlign w:val="center"/>
          </w:tcPr>
          <w:p w14:paraId="2CA3DA7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5</w:t>
            </w:r>
          </w:p>
        </w:tc>
        <w:tc>
          <w:tcPr>
            <w:tcW w:w="495" w:type="pct"/>
            <w:noWrap w:val="0"/>
            <w:vAlign w:val="center"/>
          </w:tcPr>
          <w:p w14:paraId="7903D23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r>
      <w:tr w14:paraId="4760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502" w:type="pct"/>
            <w:vMerge w:val="continue"/>
            <w:noWrap w:val="0"/>
            <w:vAlign w:val="center"/>
          </w:tcPr>
          <w:p w14:paraId="4E05F80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restart"/>
            <w:noWrap w:val="0"/>
            <w:vAlign w:val="center"/>
          </w:tcPr>
          <w:p w14:paraId="3F36F19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2F552BB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57F2E96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0F71C25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3D6A640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05F31A1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7220DEF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13186E2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产出指标</w:t>
            </w:r>
          </w:p>
          <w:p w14:paraId="14BF208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zh-CN"/>
              </w:rPr>
              <w:t>（</w:t>
            </w:r>
            <w:r>
              <w:rPr>
                <w:rFonts w:hint="eastAsia" w:cs="宋体" w:asciiTheme="minorEastAsia" w:hAnsiTheme="minorEastAsia" w:eastAsiaTheme="minorEastAsia"/>
                <w:snapToGrid w:val="0"/>
                <w:color w:val="000000"/>
                <w:kern w:val="0"/>
                <w:szCs w:val="21"/>
                <w:highlight w:val="none"/>
                <w:lang w:eastAsia="en-US"/>
              </w:rPr>
              <w:t>50分)</w:t>
            </w:r>
          </w:p>
        </w:tc>
        <w:tc>
          <w:tcPr>
            <w:tcW w:w="526" w:type="pct"/>
            <w:vMerge w:val="restart"/>
            <w:noWrap w:val="0"/>
            <w:vAlign w:val="center"/>
          </w:tcPr>
          <w:p w14:paraId="2DDE9BB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数量</w:t>
            </w:r>
          </w:p>
          <w:p w14:paraId="58B2F9F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指标</w:t>
            </w:r>
          </w:p>
        </w:tc>
        <w:tc>
          <w:tcPr>
            <w:tcW w:w="839" w:type="pct"/>
            <w:gridSpan w:val="3"/>
            <w:noWrap w:val="0"/>
            <w:vAlign w:val="center"/>
          </w:tcPr>
          <w:p w14:paraId="5A1C204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全市开展补贴性职业技能培训人数</w:t>
            </w:r>
          </w:p>
        </w:tc>
        <w:tc>
          <w:tcPr>
            <w:tcW w:w="576" w:type="pct"/>
            <w:noWrap w:val="0"/>
            <w:vAlign w:val="center"/>
          </w:tcPr>
          <w:p w14:paraId="090CE0AC">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1.1万</w:t>
            </w:r>
          </w:p>
        </w:tc>
        <w:tc>
          <w:tcPr>
            <w:tcW w:w="641" w:type="pct"/>
            <w:gridSpan w:val="2"/>
            <w:noWrap w:val="0"/>
            <w:vAlign w:val="center"/>
          </w:tcPr>
          <w:p w14:paraId="6564C476">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2.04</w:t>
            </w:r>
            <w:r>
              <w:rPr>
                <w:rFonts w:hint="eastAsia" w:cs="宋体" w:asciiTheme="minorEastAsia" w:hAnsiTheme="minorEastAsia" w:eastAsiaTheme="minorEastAsia"/>
                <w:snapToGrid w:val="0"/>
                <w:color w:val="000000"/>
                <w:kern w:val="0"/>
                <w:szCs w:val="21"/>
                <w:highlight w:val="none"/>
                <w:lang w:val="en-US" w:eastAsia="zh-CN"/>
              </w:rPr>
              <w:t>万</w:t>
            </w:r>
          </w:p>
        </w:tc>
        <w:tc>
          <w:tcPr>
            <w:tcW w:w="437" w:type="pct"/>
            <w:gridSpan w:val="2"/>
            <w:vMerge w:val="restart"/>
            <w:noWrap w:val="0"/>
            <w:vAlign w:val="center"/>
          </w:tcPr>
          <w:p w14:paraId="598D46D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108466EC">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5</w:t>
            </w:r>
          </w:p>
          <w:p w14:paraId="72FAD4B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5FDB65F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09CC9F5B">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10</w:t>
            </w:r>
            <w:r>
              <w:rPr>
                <w:rFonts w:hint="eastAsia" w:cs="宋体" w:asciiTheme="minorEastAsia" w:hAnsiTheme="minorEastAsia" w:eastAsiaTheme="minorEastAsia"/>
                <w:snapToGrid w:val="0"/>
                <w:color w:val="000000"/>
                <w:kern w:val="0"/>
                <w:szCs w:val="21"/>
                <w:highlight w:val="none"/>
                <w:lang w:eastAsia="en-US"/>
              </w:rPr>
              <w:t>　</w:t>
            </w:r>
          </w:p>
        </w:tc>
        <w:tc>
          <w:tcPr>
            <w:tcW w:w="462" w:type="pct"/>
            <w:vMerge w:val="restart"/>
            <w:noWrap w:val="0"/>
            <w:vAlign w:val="center"/>
          </w:tcPr>
          <w:p w14:paraId="3EEE7F79">
            <w:pPr>
              <w:widowControl/>
              <w:kinsoku w:val="0"/>
              <w:autoSpaceDE w:val="0"/>
              <w:autoSpaceDN w:val="0"/>
              <w:adjustRightInd w:val="0"/>
              <w:snapToGrid w:val="0"/>
              <w:jc w:val="center"/>
              <w:textAlignment w:val="baseline"/>
              <w:rPr>
                <w:rFonts w:hint="eastAsia" w:cs="宋体" w:asciiTheme="minorEastAsia" w:hAnsi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 xml:space="preserve">    </w:t>
            </w:r>
          </w:p>
          <w:p w14:paraId="590B479E">
            <w:pPr>
              <w:widowControl/>
              <w:kinsoku w:val="0"/>
              <w:autoSpaceDE w:val="0"/>
              <w:autoSpaceDN w:val="0"/>
              <w:adjustRightInd w:val="0"/>
              <w:snapToGrid w:val="0"/>
              <w:jc w:val="center"/>
              <w:textAlignment w:val="baseline"/>
              <w:rPr>
                <w:rFonts w:hint="default" w:cs="宋体" w:asciiTheme="minorEastAsia" w:hAnsi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5</w:t>
            </w:r>
          </w:p>
          <w:p w14:paraId="3FEC1C70">
            <w:pPr>
              <w:widowControl/>
              <w:kinsoku w:val="0"/>
              <w:autoSpaceDE w:val="0"/>
              <w:autoSpaceDN w:val="0"/>
              <w:adjustRightInd w:val="0"/>
              <w:snapToGrid w:val="0"/>
              <w:jc w:val="center"/>
              <w:textAlignment w:val="baseline"/>
              <w:rPr>
                <w:rFonts w:hint="eastAsia" w:cs="宋体" w:asciiTheme="minorEastAsia" w:hAnsiTheme="minorEastAsia"/>
                <w:snapToGrid w:val="0"/>
                <w:color w:val="000000"/>
                <w:kern w:val="0"/>
                <w:szCs w:val="21"/>
                <w:highlight w:val="none"/>
                <w:lang w:val="en-US" w:eastAsia="zh-CN"/>
              </w:rPr>
            </w:pPr>
          </w:p>
          <w:p w14:paraId="15A0ACEE">
            <w:pPr>
              <w:widowControl/>
              <w:kinsoku w:val="0"/>
              <w:autoSpaceDE w:val="0"/>
              <w:autoSpaceDN w:val="0"/>
              <w:adjustRightInd w:val="0"/>
              <w:snapToGrid w:val="0"/>
              <w:jc w:val="center"/>
              <w:textAlignment w:val="baseline"/>
              <w:rPr>
                <w:rFonts w:hint="eastAsia" w:cs="宋体" w:asciiTheme="minorEastAsia" w:hAnsiTheme="minorEastAsia"/>
                <w:snapToGrid w:val="0"/>
                <w:color w:val="000000"/>
                <w:kern w:val="0"/>
                <w:szCs w:val="21"/>
                <w:highlight w:val="none"/>
                <w:lang w:val="en-US" w:eastAsia="zh-CN"/>
              </w:rPr>
            </w:pPr>
          </w:p>
          <w:p w14:paraId="67B8A4CF">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snapToGrid w:val="0"/>
                <w:color w:val="000000"/>
                <w:kern w:val="0"/>
                <w:szCs w:val="21"/>
                <w:highlight w:val="none"/>
                <w:lang w:val="en-US" w:eastAsia="zh-CN"/>
              </w:rPr>
              <w:t>10</w:t>
            </w:r>
          </w:p>
        </w:tc>
        <w:tc>
          <w:tcPr>
            <w:tcW w:w="495" w:type="pct"/>
            <w:noWrap w:val="0"/>
            <w:vAlign w:val="center"/>
          </w:tcPr>
          <w:p w14:paraId="63FA172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p w14:paraId="2D69D86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678D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02" w:type="pct"/>
            <w:vMerge w:val="continue"/>
            <w:noWrap w:val="0"/>
            <w:vAlign w:val="center"/>
          </w:tcPr>
          <w:p w14:paraId="3C1AA29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01DEB91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26" w:type="pct"/>
            <w:vMerge w:val="continue"/>
            <w:noWrap w:val="0"/>
            <w:vAlign w:val="center"/>
          </w:tcPr>
          <w:p w14:paraId="2F52AE8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839" w:type="pct"/>
            <w:gridSpan w:val="3"/>
            <w:noWrap w:val="0"/>
            <w:vAlign w:val="center"/>
          </w:tcPr>
          <w:p w14:paraId="30D1591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全市失业保险参保总人数</w:t>
            </w:r>
          </w:p>
        </w:tc>
        <w:tc>
          <w:tcPr>
            <w:tcW w:w="576" w:type="pct"/>
            <w:noWrap w:val="0"/>
            <w:vAlign w:val="center"/>
          </w:tcPr>
          <w:p w14:paraId="54D312D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33.35万</w:t>
            </w:r>
          </w:p>
        </w:tc>
        <w:tc>
          <w:tcPr>
            <w:tcW w:w="641" w:type="pct"/>
            <w:gridSpan w:val="2"/>
            <w:noWrap w:val="0"/>
            <w:vAlign w:val="center"/>
          </w:tcPr>
          <w:p w14:paraId="2F14682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3</w:t>
            </w:r>
            <w:r>
              <w:rPr>
                <w:rFonts w:hint="eastAsia" w:cs="宋体" w:asciiTheme="minorEastAsia" w:hAnsiTheme="minorEastAsia" w:eastAsiaTheme="minorEastAsia"/>
                <w:snapToGrid w:val="0"/>
                <w:color w:val="000000"/>
                <w:kern w:val="0"/>
                <w:szCs w:val="21"/>
                <w:highlight w:val="none"/>
                <w:lang w:val="en-US" w:eastAsia="zh-CN"/>
              </w:rPr>
              <w:t>3.</w:t>
            </w:r>
            <w:r>
              <w:rPr>
                <w:rFonts w:hint="eastAsia" w:cs="宋体" w:asciiTheme="minorEastAsia" w:hAnsiTheme="minorEastAsia"/>
                <w:snapToGrid w:val="0"/>
                <w:color w:val="000000"/>
                <w:kern w:val="0"/>
                <w:szCs w:val="21"/>
                <w:highlight w:val="none"/>
                <w:lang w:val="en-US" w:eastAsia="zh-CN"/>
              </w:rPr>
              <w:t>43</w:t>
            </w:r>
            <w:r>
              <w:rPr>
                <w:rFonts w:hint="eastAsia" w:cs="宋体" w:asciiTheme="minorEastAsia" w:hAnsiTheme="minorEastAsia" w:eastAsiaTheme="minorEastAsia"/>
                <w:snapToGrid w:val="0"/>
                <w:color w:val="000000"/>
                <w:kern w:val="0"/>
                <w:szCs w:val="21"/>
                <w:highlight w:val="none"/>
                <w:lang w:eastAsia="en-US"/>
              </w:rPr>
              <w:t>万人</w:t>
            </w:r>
          </w:p>
        </w:tc>
        <w:tc>
          <w:tcPr>
            <w:tcW w:w="437" w:type="pct"/>
            <w:gridSpan w:val="2"/>
            <w:vMerge w:val="continue"/>
            <w:noWrap w:val="0"/>
            <w:vAlign w:val="center"/>
          </w:tcPr>
          <w:p w14:paraId="6003D4C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462" w:type="pct"/>
            <w:vMerge w:val="continue"/>
            <w:noWrap w:val="0"/>
            <w:vAlign w:val="center"/>
          </w:tcPr>
          <w:p w14:paraId="1D90129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495" w:type="pct"/>
            <w:noWrap w:val="0"/>
            <w:vAlign w:val="center"/>
          </w:tcPr>
          <w:p w14:paraId="08DAB9B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r>
      <w:tr w14:paraId="50B8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502" w:type="pct"/>
            <w:vMerge w:val="continue"/>
            <w:noWrap w:val="0"/>
            <w:vAlign w:val="center"/>
          </w:tcPr>
          <w:p w14:paraId="12789AA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20A5892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26" w:type="pct"/>
            <w:vMerge w:val="restart"/>
            <w:noWrap w:val="0"/>
            <w:vAlign w:val="center"/>
          </w:tcPr>
          <w:p w14:paraId="6500C61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质量</w:t>
            </w:r>
          </w:p>
          <w:p w14:paraId="57C7EB7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指标</w:t>
            </w:r>
          </w:p>
        </w:tc>
        <w:tc>
          <w:tcPr>
            <w:tcW w:w="839" w:type="pct"/>
            <w:gridSpan w:val="3"/>
            <w:shd w:val="clear" w:color="auto" w:fill="auto"/>
            <w:noWrap w:val="0"/>
            <w:vAlign w:val="center"/>
          </w:tcPr>
          <w:p w14:paraId="7693A36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就业服务质量</w:t>
            </w:r>
          </w:p>
        </w:tc>
        <w:tc>
          <w:tcPr>
            <w:tcW w:w="576" w:type="pct"/>
            <w:shd w:val="clear" w:color="auto" w:fill="auto"/>
            <w:noWrap w:val="0"/>
            <w:vAlign w:val="center"/>
          </w:tcPr>
          <w:p w14:paraId="7C0B7B2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641" w:type="pct"/>
            <w:gridSpan w:val="2"/>
            <w:shd w:val="clear" w:color="auto" w:fill="auto"/>
            <w:noWrap w:val="0"/>
            <w:vAlign w:val="center"/>
          </w:tcPr>
          <w:p w14:paraId="1FF70CA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437" w:type="pct"/>
            <w:gridSpan w:val="2"/>
            <w:noWrap w:val="0"/>
            <w:vAlign w:val="center"/>
          </w:tcPr>
          <w:p w14:paraId="73CE3BF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　</w:t>
            </w:r>
            <w:r>
              <w:rPr>
                <w:rFonts w:hint="eastAsia" w:cs="宋体" w:asciiTheme="minorEastAsia" w:hAnsiTheme="minorEastAsia" w:eastAsiaTheme="minorEastAsia"/>
                <w:snapToGrid w:val="0"/>
                <w:color w:val="000000"/>
                <w:kern w:val="0"/>
                <w:szCs w:val="21"/>
                <w:highlight w:val="none"/>
                <w:lang w:val="en-US" w:eastAsia="zh-CN"/>
              </w:rPr>
              <w:t>10</w:t>
            </w:r>
          </w:p>
        </w:tc>
        <w:tc>
          <w:tcPr>
            <w:tcW w:w="462" w:type="pct"/>
            <w:noWrap w:val="0"/>
            <w:vAlign w:val="center"/>
          </w:tcPr>
          <w:p w14:paraId="2C9362F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val="en-US" w:eastAsia="zh-CN"/>
              </w:rPr>
              <w:t>10</w:t>
            </w:r>
            <w:r>
              <w:rPr>
                <w:rFonts w:hint="eastAsia" w:cs="宋体" w:asciiTheme="minorEastAsia" w:hAnsiTheme="minorEastAsia" w:eastAsiaTheme="minorEastAsia"/>
                <w:snapToGrid w:val="0"/>
                <w:color w:val="000000"/>
                <w:kern w:val="0"/>
                <w:szCs w:val="21"/>
                <w:highlight w:val="none"/>
                <w:lang w:eastAsia="en-US"/>
              </w:rPr>
              <w:t>　</w:t>
            </w:r>
          </w:p>
        </w:tc>
        <w:tc>
          <w:tcPr>
            <w:tcW w:w="495" w:type="pct"/>
            <w:noWrap w:val="0"/>
            <w:vAlign w:val="center"/>
          </w:tcPr>
          <w:p w14:paraId="17A7E7E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5F3A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502" w:type="pct"/>
            <w:vMerge w:val="continue"/>
            <w:noWrap w:val="0"/>
            <w:vAlign w:val="center"/>
          </w:tcPr>
          <w:p w14:paraId="7D4CDF7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47F0BDA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26" w:type="pct"/>
            <w:vMerge w:val="continue"/>
            <w:noWrap w:val="0"/>
            <w:vAlign w:val="center"/>
          </w:tcPr>
          <w:p w14:paraId="001F400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839" w:type="pct"/>
            <w:gridSpan w:val="3"/>
            <w:noWrap w:val="0"/>
            <w:vAlign w:val="center"/>
          </w:tcPr>
          <w:p w14:paraId="545D139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社会保障水平</w:t>
            </w:r>
          </w:p>
        </w:tc>
        <w:tc>
          <w:tcPr>
            <w:tcW w:w="576" w:type="pct"/>
            <w:noWrap w:val="0"/>
            <w:vAlign w:val="center"/>
          </w:tcPr>
          <w:p w14:paraId="766BB5D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641" w:type="pct"/>
            <w:gridSpan w:val="2"/>
            <w:noWrap w:val="0"/>
            <w:vAlign w:val="center"/>
          </w:tcPr>
          <w:p w14:paraId="5DE82D8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100%</w:t>
            </w:r>
          </w:p>
        </w:tc>
        <w:tc>
          <w:tcPr>
            <w:tcW w:w="437" w:type="pct"/>
            <w:gridSpan w:val="2"/>
            <w:noWrap w:val="0"/>
            <w:vAlign w:val="center"/>
          </w:tcPr>
          <w:p w14:paraId="5F2CB17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　</w:t>
            </w:r>
            <w:r>
              <w:rPr>
                <w:rFonts w:hint="eastAsia" w:cs="宋体" w:asciiTheme="minorEastAsia" w:hAnsiTheme="minorEastAsia" w:eastAsiaTheme="minorEastAsia"/>
                <w:snapToGrid w:val="0"/>
                <w:color w:val="000000"/>
                <w:kern w:val="0"/>
                <w:szCs w:val="21"/>
                <w:highlight w:val="none"/>
                <w:lang w:val="en-US" w:eastAsia="zh-CN"/>
              </w:rPr>
              <w:t>10</w:t>
            </w:r>
          </w:p>
        </w:tc>
        <w:tc>
          <w:tcPr>
            <w:tcW w:w="462" w:type="pct"/>
            <w:noWrap w:val="0"/>
            <w:vAlign w:val="center"/>
          </w:tcPr>
          <w:p w14:paraId="51FA91F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val="en-US" w:eastAsia="zh-CN"/>
              </w:rPr>
              <w:t>10</w:t>
            </w:r>
            <w:r>
              <w:rPr>
                <w:rFonts w:hint="eastAsia" w:cs="宋体" w:asciiTheme="minorEastAsia" w:hAnsiTheme="minorEastAsia" w:eastAsiaTheme="minorEastAsia"/>
                <w:snapToGrid w:val="0"/>
                <w:color w:val="000000"/>
                <w:kern w:val="0"/>
                <w:szCs w:val="21"/>
                <w:highlight w:val="none"/>
                <w:lang w:eastAsia="en-US"/>
              </w:rPr>
              <w:t>　</w:t>
            </w:r>
          </w:p>
        </w:tc>
        <w:tc>
          <w:tcPr>
            <w:tcW w:w="495" w:type="pct"/>
            <w:noWrap w:val="0"/>
            <w:vAlign w:val="center"/>
          </w:tcPr>
          <w:p w14:paraId="266229A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7175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02" w:type="pct"/>
            <w:vMerge w:val="continue"/>
            <w:noWrap w:val="0"/>
            <w:vAlign w:val="center"/>
          </w:tcPr>
          <w:p w14:paraId="4A860C0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6E3BC70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26" w:type="pct"/>
            <w:noWrap w:val="0"/>
            <w:vAlign w:val="center"/>
          </w:tcPr>
          <w:p w14:paraId="4A4CB5D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时效</w:t>
            </w:r>
          </w:p>
          <w:p w14:paraId="1B46D9B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指标</w:t>
            </w:r>
          </w:p>
        </w:tc>
        <w:tc>
          <w:tcPr>
            <w:tcW w:w="839" w:type="pct"/>
            <w:gridSpan w:val="3"/>
            <w:noWrap w:val="0"/>
            <w:vAlign w:val="center"/>
          </w:tcPr>
          <w:p w14:paraId="1104F896">
            <w:pPr>
              <w:widowControl/>
              <w:kinsoku w:val="0"/>
              <w:autoSpaceDE w:val="0"/>
              <w:autoSpaceDN w:val="0"/>
              <w:adjustRightInd w:val="0"/>
              <w:snapToGrid w:val="0"/>
              <w:jc w:val="both"/>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按规定时间内完成工作</w:t>
            </w:r>
          </w:p>
        </w:tc>
        <w:tc>
          <w:tcPr>
            <w:tcW w:w="576" w:type="pct"/>
            <w:noWrap w:val="0"/>
            <w:vAlign w:val="center"/>
          </w:tcPr>
          <w:p w14:paraId="17EB8B8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0DC623F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7B4E486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100%</w:t>
            </w:r>
          </w:p>
          <w:p w14:paraId="06A48C0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7189771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641" w:type="pct"/>
            <w:gridSpan w:val="2"/>
            <w:noWrap w:val="0"/>
            <w:vAlign w:val="center"/>
          </w:tcPr>
          <w:p w14:paraId="6AE9A7B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6C188EE5">
            <w:pPr>
              <w:widowControl/>
              <w:kinsoku w:val="0"/>
              <w:autoSpaceDE w:val="0"/>
              <w:autoSpaceDN w:val="0"/>
              <w:adjustRightInd w:val="0"/>
              <w:snapToGrid w:val="0"/>
              <w:ind w:firstLine="210" w:firstLineChars="100"/>
              <w:jc w:val="both"/>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100%　</w:t>
            </w:r>
          </w:p>
          <w:p w14:paraId="649EEE1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37" w:type="pct"/>
            <w:gridSpan w:val="2"/>
            <w:noWrap w:val="0"/>
            <w:vAlign w:val="center"/>
          </w:tcPr>
          <w:p w14:paraId="22D747C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3907437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68DE194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10</w:t>
            </w:r>
          </w:p>
          <w:p w14:paraId="26943DF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0030B96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73BA61A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62" w:type="pct"/>
            <w:noWrap w:val="0"/>
            <w:vAlign w:val="center"/>
          </w:tcPr>
          <w:p w14:paraId="2753634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6905B97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42ED46A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10</w:t>
            </w:r>
          </w:p>
          <w:p w14:paraId="4CEF884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0E64498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24405A3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95" w:type="pct"/>
            <w:noWrap w:val="0"/>
            <w:vAlign w:val="center"/>
          </w:tcPr>
          <w:p w14:paraId="1051C48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p w14:paraId="78698CB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39D0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502" w:type="pct"/>
            <w:vMerge w:val="continue"/>
            <w:noWrap w:val="0"/>
            <w:vAlign w:val="center"/>
          </w:tcPr>
          <w:p w14:paraId="305651E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restart"/>
            <w:noWrap w:val="0"/>
            <w:vAlign w:val="center"/>
          </w:tcPr>
          <w:p w14:paraId="70D7E60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效益指标</w:t>
            </w:r>
          </w:p>
          <w:p w14:paraId="2F9DC1E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（3</w:t>
            </w:r>
            <w:r>
              <w:rPr>
                <w:rFonts w:hint="eastAsia" w:cs="宋体" w:asciiTheme="minorEastAsia" w:hAnsiTheme="minorEastAsia" w:eastAsiaTheme="minorEastAsia"/>
                <w:snapToGrid w:val="0"/>
                <w:color w:val="000000"/>
                <w:kern w:val="0"/>
                <w:szCs w:val="21"/>
                <w:highlight w:val="none"/>
                <w:lang w:val="en-US" w:eastAsia="zh-CN"/>
              </w:rPr>
              <w:t>0</w:t>
            </w:r>
            <w:r>
              <w:rPr>
                <w:rFonts w:hint="eastAsia" w:cs="宋体" w:asciiTheme="minorEastAsia" w:hAnsiTheme="minorEastAsia" w:eastAsiaTheme="minorEastAsia"/>
                <w:snapToGrid w:val="0"/>
                <w:color w:val="000000"/>
                <w:kern w:val="0"/>
                <w:szCs w:val="21"/>
                <w:highlight w:val="none"/>
                <w:lang w:eastAsia="en-US"/>
              </w:rPr>
              <w:t>分）</w:t>
            </w:r>
          </w:p>
        </w:tc>
        <w:tc>
          <w:tcPr>
            <w:tcW w:w="526" w:type="pct"/>
            <w:noWrap w:val="0"/>
            <w:vAlign w:val="center"/>
          </w:tcPr>
          <w:p w14:paraId="0649BDB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经济效</w:t>
            </w:r>
          </w:p>
          <w:p w14:paraId="605F4AA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益指标</w:t>
            </w:r>
          </w:p>
        </w:tc>
        <w:tc>
          <w:tcPr>
            <w:tcW w:w="839" w:type="pct"/>
            <w:gridSpan w:val="3"/>
            <w:shd w:val="clear" w:color="auto" w:fill="auto"/>
            <w:noWrap w:val="0"/>
            <w:vAlign w:val="center"/>
          </w:tcPr>
          <w:p w14:paraId="7F57CE6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就业带动经济增长</w:t>
            </w:r>
          </w:p>
        </w:tc>
        <w:tc>
          <w:tcPr>
            <w:tcW w:w="576" w:type="pct"/>
            <w:shd w:val="clear" w:color="auto" w:fill="auto"/>
            <w:noWrap w:val="0"/>
            <w:vAlign w:val="center"/>
          </w:tcPr>
          <w:p w14:paraId="1E6F24D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效果明显</w:t>
            </w:r>
          </w:p>
        </w:tc>
        <w:tc>
          <w:tcPr>
            <w:tcW w:w="641" w:type="pct"/>
            <w:gridSpan w:val="2"/>
            <w:shd w:val="clear" w:color="auto" w:fill="auto"/>
            <w:noWrap w:val="0"/>
            <w:vAlign w:val="center"/>
          </w:tcPr>
          <w:p w14:paraId="5720FDC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效果明显</w:t>
            </w:r>
          </w:p>
        </w:tc>
        <w:tc>
          <w:tcPr>
            <w:tcW w:w="437" w:type="pct"/>
            <w:gridSpan w:val="2"/>
            <w:shd w:val="clear" w:color="auto" w:fill="auto"/>
            <w:noWrap w:val="0"/>
            <w:vAlign w:val="center"/>
          </w:tcPr>
          <w:p w14:paraId="14FC748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5</w:t>
            </w:r>
          </w:p>
        </w:tc>
        <w:tc>
          <w:tcPr>
            <w:tcW w:w="462" w:type="pct"/>
            <w:shd w:val="clear" w:color="auto" w:fill="auto"/>
            <w:noWrap w:val="0"/>
            <w:vAlign w:val="center"/>
          </w:tcPr>
          <w:p w14:paraId="1107E3C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5</w:t>
            </w:r>
          </w:p>
        </w:tc>
        <w:tc>
          <w:tcPr>
            <w:tcW w:w="495" w:type="pct"/>
            <w:noWrap w:val="0"/>
            <w:vAlign w:val="center"/>
          </w:tcPr>
          <w:p w14:paraId="1913414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p w14:paraId="679C97A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49A9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502" w:type="pct"/>
            <w:vMerge w:val="continue"/>
            <w:noWrap w:val="0"/>
            <w:vAlign w:val="center"/>
          </w:tcPr>
          <w:p w14:paraId="43D3E70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3D5984C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26" w:type="pct"/>
            <w:noWrap w:val="0"/>
            <w:vAlign w:val="center"/>
          </w:tcPr>
          <w:p w14:paraId="198CA6D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社会效</w:t>
            </w:r>
          </w:p>
          <w:p w14:paraId="52C4596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益指标</w:t>
            </w:r>
          </w:p>
        </w:tc>
        <w:tc>
          <w:tcPr>
            <w:tcW w:w="839" w:type="pct"/>
            <w:gridSpan w:val="3"/>
            <w:shd w:val="clear" w:color="auto" w:fill="auto"/>
            <w:noWrap w:val="0"/>
            <w:vAlign w:val="center"/>
          </w:tcPr>
          <w:p w14:paraId="55F8706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就业公平与民生保障</w:t>
            </w:r>
          </w:p>
        </w:tc>
        <w:tc>
          <w:tcPr>
            <w:tcW w:w="576" w:type="pct"/>
            <w:shd w:val="clear" w:color="auto" w:fill="auto"/>
            <w:noWrap w:val="0"/>
            <w:vAlign w:val="center"/>
          </w:tcPr>
          <w:p w14:paraId="78AD755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效果明显</w:t>
            </w:r>
          </w:p>
          <w:p w14:paraId="69EEA16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641" w:type="pct"/>
            <w:gridSpan w:val="2"/>
            <w:shd w:val="clear" w:color="auto" w:fill="auto"/>
            <w:noWrap w:val="0"/>
            <w:vAlign w:val="center"/>
          </w:tcPr>
          <w:p w14:paraId="38B932E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效果明显</w:t>
            </w:r>
          </w:p>
          <w:p w14:paraId="4C33940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37" w:type="pct"/>
            <w:gridSpan w:val="2"/>
            <w:shd w:val="clear" w:color="auto" w:fill="auto"/>
            <w:noWrap w:val="0"/>
            <w:vAlign w:val="center"/>
          </w:tcPr>
          <w:p w14:paraId="11D6375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5</w:t>
            </w:r>
          </w:p>
          <w:p w14:paraId="34C6930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62" w:type="pct"/>
            <w:shd w:val="clear" w:color="auto" w:fill="auto"/>
            <w:noWrap w:val="0"/>
            <w:vAlign w:val="center"/>
          </w:tcPr>
          <w:p w14:paraId="3462B00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5</w:t>
            </w:r>
          </w:p>
          <w:p w14:paraId="141436C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95" w:type="pct"/>
            <w:noWrap w:val="0"/>
            <w:vAlign w:val="center"/>
          </w:tcPr>
          <w:p w14:paraId="1E192E6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p w14:paraId="13E4D08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6828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502" w:type="pct"/>
            <w:vMerge w:val="continue"/>
            <w:noWrap w:val="0"/>
            <w:vAlign w:val="center"/>
          </w:tcPr>
          <w:p w14:paraId="79A9E0B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529C9E8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26" w:type="pct"/>
            <w:noWrap w:val="0"/>
            <w:vAlign w:val="center"/>
          </w:tcPr>
          <w:p w14:paraId="565A9C7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生态效</w:t>
            </w:r>
          </w:p>
          <w:p w14:paraId="1A06643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益指标</w:t>
            </w:r>
          </w:p>
        </w:tc>
        <w:tc>
          <w:tcPr>
            <w:tcW w:w="839" w:type="pct"/>
            <w:gridSpan w:val="3"/>
            <w:noWrap w:val="0"/>
            <w:vAlign w:val="center"/>
          </w:tcPr>
          <w:p w14:paraId="35ED004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办公资源循环利用</w:t>
            </w:r>
          </w:p>
        </w:tc>
        <w:tc>
          <w:tcPr>
            <w:tcW w:w="576" w:type="pct"/>
            <w:noWrap w:val="0"/>
            <w:vAlign w:val="center"/>
          </w:tcPr>
          <w:p w14:paraId="49B0F82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效果明显</w:t>
            </w:r>
          </w:p>
          <w:p w14:paraId="7B25B521">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641" w:type="pct"/>
            <w:gridSpan w:val="2"/>
            <w:noWrap w:val="0"/>
            <w:vAlign w:val="center"/>
          </w:tcPr>
          <w:p w14:paraId="01B12B8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效果明显</w:t>
            </w:r>
          </w:p>
          <w:p w14:paraId="7DB0336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37" w:type="pct"/>
            <w:gridSpan w:val="2"/>
            <w:noWrap w:val="0"/>
            <w:vAlign w:val="center"/>
          </w:tcPr>
          <w:p w14:paraId="7BB08E38">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5</w:t>
            </w:r>
          </w:p>
          <w:p w14:paraId="401ECD97">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62" w:type="pct"/>
            <w:noWrap w:val="0"/>
            <w:vAlign w:val="center"/>
          </w:tcPr>
          <w:p w14:paraId="6E349FA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5</w:t>
            </w:r>
          </w:p>
          <w:p w14:paraId="4DD77D5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95" w:type="pct"/>
            <w:noWrap w:val="0"/>
            <w:vAlign w:val="center"/>
          </w:tcPr>
          <w:p w14:paraId="7B6FEFC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p w14:paraId="7323CE3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03D3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6" w:hRule="atLeast"/>
          <w:jc w:val="center"/>
        </w:trPr>
        <w:tc>
          <w:tcPr>
            <w:tcW w:w="502" w:type="pct"/>
            <w:vMerge w:val="continue"/>
            <w:noWrap w:val="0"/>
            <w:vAlign w:val="center"/>
          </w:tcPr>
          <w:p w14:paraId="3CBE03C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vMerge w:val="continue"/>
            <w:noWrap w:val="0"/>
            <w:vAlign w:val="center"/>
          </w:tcPr>
          <w:p w14:paraId="176EA2C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26" w:type="pct"/>
            <w:noWrap w:val="0"/>
            <w:vAlign w:val="center"/>
          </w:tcPr>
          <w:p w14:paraId="6EBADDD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可持续影响指标</w:t>
            </w:r>
          </w:p>
        </w:tc>
        <w:tc>
          <w:tcPr>
            <w:tcW w:w="839" w:type="pct"/>
            <w:gridSpan w:val="3"/>
            <w:shd w:val="clear" w:color="auto" w:fill="auto"/>
            <w:noWrap w:val="0"/>
            <w:vAlign w:val="center"/>
          </w:tcPr>
          <w:p w14:paraId="47794C3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val="en-US" w:eastAsia="zh-CN"/>
              </w:rPr>
              <w:t>充分发挥就业资金作用，全力促进产业发展，增加就业岗位，扩大就业容量，满足城乡劳动力就业需求，保障企业用工。</w:t>
            </w:r>
          </w:p>
        </w:tc>
        <w:tc>
          <w:tcPr>
            <w:tcW w:w="576" w:type="pct"/>
            <w:shd w:val="clear" w:color="auto" w:fill="auto"/>
            <w:noWrap w:val="0"/>
            <w:vAlign w:val="center"/>
          </w:tcPr>
          <w:p w14:paraId="1D2752B4">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效果明显</w:t>
            </w:r>
          </w:p>
          <w:p w14:paraId="1D5F65FA">
            <w:pPr>
              <w:widowControl/>
              <w:kinsoku w:val="0"/>
              <w:autoSpaceDE w:val="0"/>
              <w:autoSpaceDN w:val="0"/>
              <w:adjustRightInd w:val="0"/>
              <w:snapToGrid w:val="0"/>
              <w:jc w:val="center"/>
              <w:textAlignment w:val="baseline"/>
              <w:rPr>
                <w:rFonts w:hint="default"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　</w:t>
            </w:r>
          </w:p>
        </w:tc>
        <w:tc>
          <w:tcPr>
            <w:tcW w:w="641" w:type="pct"/>
            <w:gridSpan w:val="2"/>
            <w:shd w:val="clear" w:color="auto" w:fill="auto"/>
            <w:noWrap w:val="0"/>
            <w:vAlign w:val="center"/>
          </w:tcPr>
          <w:p w14:paraId="04A9A22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效果明显</w:t>
            </w:r>
          </w:p>
          <w:p w14:paraId="4F61DF32">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　</w:t>
            </w:r>
          </w:p>
        </w:tc>
        <w:tc>
          <w:tcPr>
            <w:tcW w:w="437" w:type="pct"/>
            <w:gridSpan w:val="2"/>
            <w:shd w:val="clear" w:color="auto" w:fill="auto"/>
            <w:noWrap w:val="0"/>
            <w:vAlign w:val="center"/>
          </w:tcPr>
          <w:p w14:paraId="77C1DB7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5</w:t>
            </w:r>
          </w:p>
          <w:p w14:paraId="52F02E8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62" w:type="pct"/>
            <w:shd w:val="clear" w:color="auto" w:fill="auto"/>
            <w:noWrap w:val="0"/>
            <w:vAlign w:val="center"/>
          </w:tcPr>
          <w:p w14:paraId="2806C3B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5</w:t>
            </w:r>
          </w:p>
          <w:p w14:paraId="5236CCA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c>
          <w:tcPr>
            <w:tcW w:w="495" w:type="pct"/>
            <w:noWrap w:val="0"/>
            <w:vAlign w:val="center"/>
          </w:tcPr>
          <w:p w14:paraId="45B97EE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p w14:paraId="1589BA4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7B1D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02" w:type="pct"/>
            <w:vMerge w:val="continue"/>
            <w:noWrap w:val="0"/>
            <w:vAlign w:val="center"/>
          </w:tcPr>
          <w:p w14:paraId="121F093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518" w:type="pct"/>
            <w:noWrap w:val="0"/>
            <w:vAlign w:val="center"/>
          </w:tcPr>
          <w:p w14:paraId="1DB9DBB0">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满意度</w:t>
            </w:r>
          </w:p>
          <w:p w14:paraId="3A00521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指标</w:t>
            </w:r>
          </w:p>
          <w:p w14:paraId="786C6E0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（10分）</w:t>
            </w:r>
          </w:p>
        </w:tc>
        <w:tc>
          <w:tcPr>
            <w:tcW w:w="526" w:type="pct"/>
            <w:noWrap w:val="0"/>
            <w:vAlign w:val="center"/>
          </w:tcPr>
          <w:p w14:paraId="48B01E7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服务对象满意度指标</w:t>
            </w:r>
          </w:p>
        </w:tc>
        <w:tc>
          <w:tcPr>
            <w:tcW w:w="839" w:type="pct"/>
            <w:gridSpan w:val="3"/>
            <w:noWrap w:val="0"/>
            <w:vAlign w:val="center"/>
          </w:tcPr>
          <w:p w14:paraId="50E7F72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实现服务对象满意度在9</w:t>
            </w:r>
            <w:r>
              <w:rPr>
                <w:rFonts w:hint="eastAsia" w:cs="宋体" w:asciiTheme="minorEastAsia" w:hAnsiTheme="minorEastAsia" w:eastAsiaTheme="minorEastAsia"/>
                <w:snapToGrid w:val="0"/>
                <w:color w:val="000000"/>
                <w:kern w:val="0"/>
                <w:szCs w:val="21"/>
                <w:highlight w:val="none"/>
                <w:lang w:val="en-US" w:eastAsia="zh-CN"/>
              </w:rPr>
              <w:t>0</w:t>
            </w:r>
            <w:r>
              <w:rPr>
                <w:rFonts w:hint="eastAsia" w:cs="宋体" w:asciiTheme="minorEastAsia" w:hAnsiTheme="minorEastAsia" w:eastAsiaTheme="minorEastAsia"/>
                <w:snapToGrid w:val="0"/>
                <w:color w:val="000000"/>
                <w:kern w:val="0"/>
                <w:szCs w:val="21"/>
                <w:highlight w:val="none"/>
                <w:lang w:eastAsia="en-US"/>
              </w:rPr>
              <w:t>%以上</w:t>
            </w:r>
          </w:p>
        </w:tc>
        <w:tc>
          <w:tcPr>
            <w:tcW w:w="576" w:type="pct"/>
            <w:noWrap w:val="0"/>
            <w:vAlign w:val="center"/>
          </w:tcPr>
          <w:p w14:paraId="7151E89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snapToGrid w:val="0"/>
                <w:color w:val="000000"/>
                <w:kern w:val="0"/>
                <w:szCs w:val="21"/>
                <w:highlight w:val="none"/>
                <w:lang w:val="en-US" w:eastAsia="zh-CN"/>
              </w:rPr>
              <w:t xml:space="preserve">       </w:t>
            </w:r>
            <w:r>
              <w:rPr>
                <w:rFonts w:hint="eastAsia" w:cs="宋体" w:asciiTheme="minorEastAsia" w:hAnsiTheme="minorEastAsia" w:eastAsiaTheme="minorEastAsia"/>
                <w:snapToGrid w:val="0"/>
                <w:color w:val="000000"/>
                <w:kern w:val="0"/>
                <w:szCs w:val="21"/>
                <w:highlight w:val="none"/>
                <w:lang w:eastAsia="en-US"/>
              </w:rPr>
              <w:t>9</w:t>
            </w:r>
            <w:r>
              <w:rPr>
                <w:rFonts w:hint="eastAsia" w:cs="宋体" w:asciiTheme="minorEastAsia" w:hAnsiTheme="minorEastAsia" w:eastAsiaTheme="minorEastAsia"/>
                <w:snapToGrid w:val="0"/>
                <w:color w:val="000000"/>
                <w:kern w:val="0"/>
                <w:szCs w:val="21"/>
                <w:highlight w:val="none"/>
                <w:lang w:val="en-US" w:eastAsia="zh-CN"/>
              </w:rPr>
              <w:t>0</w:t>
            </w:r>
            <w:r>
              <w:rPr>
                <w:rFonts w:hint="eastAsia" w:cs="宋体" w:asciiTheme="minorEastAsia" w:hAnsiTheme="minorEastAsia" w:eastAsiaTheme="minorEastAsia"/>
                <w:snapToGrid w:val="0"/>
                <w:color w:val="000000"/>
                <w:kern w:val="0"/>
                <w:szCs w:val="21"/>
                <w:highlight w:val="none"/>
                <w:lang w:eastAsia="en-US"/>
              </w:rPr>
              <w:t>%</w:t>
            </w:r>
          </w:p>
          <w:p w14:paraId="60A96E2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3DA907FA">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6F28CA3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641" w:type="pct"/>
            <w:gridSpan w:val="2"/>
            <w:noWrap w:val="0"/>
            <w:vAlign w:val="center"/>
          </w:tcPr>
          <w:p w14:paraId="7869E9F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snapToGrid w:val="0"/>
                <w:color w:val="000000"/>
                <w:kern w:val="0"/>
                <w:szCs w:val="21"/>
                <w:highlight w:val="none"/>
                <w:lang w:val="en-US" w:eastAsia="zh-CN"/>
              </w:rPr>
              <w:t xml:space="preserve">     </w:t>
            </w:r>
            <w:r>
              <w:rPr>
                <w:rFonts w:hint="eastAsia" w:cs="宋体" w:asciiTheme="minorEastAsia" w:hAnsiTheme="minorEastAsia" w:eastAsiaTheme="minorEastAsia"/>
                <w:snapToGrid w:val="0"/>
                <w:color w:val="000000"/>
                <w:kern w:val="0"/>
                <w:szCs w:val="21"/>
                <w:highlight w:val="none"/>
                <w:lang w:val="en-US" w:eastAsia="zh-CN"/>
              </w:rPr>
              <w:t>93.3</w:t>
            </w:r>
            <w:r>
              <w:rPr>
                <w:rFonts w:hint="eastAsia" w:cs="宋体" w:asciiTheme="minorEastAsia" w:hAnsiTheme="minorEastAsia" w:eastAsiaTheme="minorEastAsia"/>
                <w:snapToGrid w:val="0"/>
                <w:color w:val="000000"/>
                <w:kern w:val="0"/>
                <w:szCs w:val="21"/>
                <w:highlight w:val="none"/>
                <w:lang w:eastAsia="en-US"/>
              </w:rPr>
              <w:t>%</w:t>
            </w:r>
          </w:p>
          <w:p w14:paraId="76B2838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27EB768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5F6A066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437" w:type="pct"/>
            <w:gridSpan w:val="2"/>
            <w:noWrap w:val="0"/>
            <w:vAlign w:val="center"/>
          </w:tcPr>
          <w:p w14:paraId="5691435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snapToGrid w:val="0"/>
                <w:color w:val="000000"/>
                <w:kern w:val="0"/>
                <w:szCs w:val="21"/>
                <w:highlight w:val="none"/>
                <w:lang w:val="en-US" w:eastAsia="zh-CN"/>
              </w:rPr>
              <w:t xml:space="preserve">    </w:t>
            </w:r>
            <w:r>
              <w:rPr>
                <w:rFonts w:hint="eastAsia" w:cs="宋体" w:asciiTheme="minorEastAsia" w:hAnsiTheme="minorEastAsia" w:eastAsiaTheme="minorEastAsia"/>
                <w:snapToGrid w:val="0"/>
                <w:color w:val="000000"/>
                <w:kern w:val="0"/>
                <w:szCs w:val="21"/>
                <w:highlight w:val="none"/>
                <w:lang w:eastAsia="en-US"/>
              </w:rPr>
              <w:t>10</w:t>
            </w:r>
          </w:p>
          <w:p w14:paraId="3E15EBBF">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298FF33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10FE7AA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462" w:type="pct"/>
            <w:noWrap w:val="0"/>
            <w:vAlign w:val="center"/>
          </w:tcPr>
          <w:p w14:paraId="6C3D675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snapToGrid w:val="0"/>
                <w:color w:val="000000"/>
                <w:kern w:val="0"/>
                <w:szCs w:val="21"/>
                <w:highlight w:val="none"/>
                <w:lang w:val="en-US" w:eastAsia="zh-CN"/>
              </w:rPr>
              <w:t xml:space="preserve">     </w:t>
            </w:r>
            <w:r>
              <w:rPr>
                <w:rFonts w:hint="eastAsia" w:cs="宋体" w:asciiTheme="minorEastAsia" w:hAnsiTheme="minorEastAsia" w:eastAsiaTheme="minorEastAsia"/>
                <w:snapToGrid w:val="0"/>
                <w:color w:val="000000"/>
                <w:kern w:val="0"/>
                <w:szCs w:val="21"/>
                <w:highlight w:val="none"/>
                <w:lang w:eastAsia="en-US"/>
              </w:rPr>
              <w:t>10</w:t>
            </w:r>
          </w:p>
          <w:p w14:paraId="426CCE49">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p w14:paraId="6149B963">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p>
          <w:p w14:paraId="03B6F82B">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p>
        </w:tc>
        <w:tc>
          <w:tcPr>
            <w:tcW w:w="495" w:type="pct"/>
            <w:noWrap w:val="0"/>
            <w:vAlign w:val="center"/>
          </w:tcPr>
          <w:p w14:paraId="4F3CF896">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p w14:paraId="6D684F0E">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r w14:paraId="06ED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3604" w:type="pct"/>
            <w:gridSpan w:val="9"/>
            <w:noWrap w:val="0"/>
            <w:vAlign w:val="center"/>
          </w:tcPr>
          <w:p w14:paraId="4466632D">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总分</w:t>
            </w:r>
          </w:p>
        </w:tc>
        <w:tc>
          <w:tcPr>
            <w:tcW w:w="437" w:type="pct"/>
            <w:gridSpan w:val="2"/>
            <w:noWrap w:val="0"/>
            <w:vAlign w:val="center"/>
          </w:tcPr>
          <w:p w14:paraId="6DAFFA6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100</w:t>
            </w:r>
          </w:p>
        </w:tc>
        <w:tc>
          <w:tcPr>
            <w:tcW w:w="462" w:type="pct"/>
            <w:noWrap w:val="0"/>
            <w:vAlign w:val="center"/>
          </w:tcPr>
          <w:p w14:paraId="07794445">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val="en-US" w:eastAsia="zh-CN"/>
              </w:rPr>
            </w:pPr>
            <w:r>
              <w:rPr>
                <w:rFonts w:hint="eastAsia" w:cs="宋体" w:asciiTheme="minorEastAsia" w:hAnsiTheme="minorEastAsia" w:eastAsiaTheme="minorEastAsia"/>
                <w:snapToGrid w:val="0"/>
                <w:color w:val="000000"/>
                <w:kern w:val="0"/>
                <w:szCs w:val="21"/>
                <w:highlight w:val="none"/>
                <w:lang w:eastAsia="en-US"/>
              </w:rPr>
              <w:t>　</w:t>
            </w:r>
            <w:r>
              <w:rPr>
                <w:rFonts w:hint="eastAsia" w:cs="宋体" w:asciiTheme="minorEastAsia" w:hAnsiTheme="minorEastAsia" w:eastAsiaTheme="minorEastAsia"/>
                <w:snapToGrid w:val="0"/>
                <w:color w:val="000000"/>
                <w:kern w:val="0"/>
                <w:szCs w:val="21"/>
                <w:highlight w:val="none"/>
                <w:lang w:val="en-US" w:eastAsia="zh-CN"/>
              </w:rPr>
              <w:t>98</w:t>
            </w:r>
          </w:p>
        </w:tc>
        <w:tc>
          <w:tcPr>
            <w:tcW w:w="495" w:type="pct"/>
            <w:noWrap w:val="0"/>
            <w:vAlign w:val="center"/>
          </w:tcPr>
          <w:p w14:paraId="0392F9DC">
            <w:pPr>
              <w:widowControl/>
              <w:kinsoku w:val="0"/>
              <w:autoSpaceDE w:val="0"/>
              <w:autoSpaceDN w:val="0"/>
              <w:adjustRightInd w:val="0"/>
              <w:snapToGrid w:val="0"/>
              <w:jc w:val="center"/>
              <w:textAlignment w:val="baseline"/>
              <w:rPr>
                <w:rFonts w:hint="eastAsia" w:cs="宋体" w:asciiTheme="minorEastAsia" w:hAnsiTheme="minorEastAsia" w:eastAsiaTheme="minorEastAsia"/>
                <w:snapToGrid w:val="0"/>
                <w:color w:val="000000"/>
                <w:kern w:val="0"/>
                <w:szCs w:val="21"/>
                <w:highlight w:val="none"/>
                <w:lang w:eastAsia="en-US"/>
              </w:rPr>
            </w:pPr>
            <w:r>
              <w:rPr>
                <w:rFonts w:hint="eastAsia" w:cs="宋体" w:asciiTheme="minorEastAsia" w:hAnsiTheme="minorEastAsia" w:eastAsiaTheme="minorEastAsia"/>
                <w:snapToGrid w:val="0"/>
                <w:color w:val="000000"/>
                <w:kern w:val="0"/>
                <w:szCs w:val="21"/>
                <w:highlight w:val="none"/>
                <w:lang w:eastAsia="en-US"/>
              </w:rPr>
              <w:t>　</w:t>
            </w:r>
          </w:p>
        </w:tc>
      </w:tr>
    </w:tbl>
    <w:p w14:paraId="6CDCD2F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highlight w:val="none"/>
          <w:lang w:val="en-US" w:eastAsia="zh-CN"/>
        </w:rPr>
      </w:pPr>
    </w:p>
    <w:p w14:paraId="5471B683">
      <w:pPr>
        <w:keepNext w:val="0"/>
        <w:keepLines w:val="0"/>
        <w:pageBreakBefore w:val="0"/>
        <w:widowControl/>
        <w:kinsoku/>
        <w:wordWrap/>
        <w:overflowPunct/>
        <w:topLinePunct w:val="0"/>
        <w:autoSpaceDE/>
        <w:autoSpaceDN/>
        <w:bidi w:val="0"/>
        <w:adjustRightInd/>
        <w:snapToGrid/>
        <w:spacing w:line="240" w:lineRule="exact"/>
        <w:jc w:val="center"/>
        <w:textAlignment w:val="auto"/>
        <w:rPr>
          <w:highlight w:val="none"/>
        </w:rPr>
      </w:pPr>
      <w:r>
        <w:rPr>
          <w:rFonts w:hint="default" w:ascii="仿宋" w:hAnsi="仿宋" w:eastAsia="仿宋" w:cs="仿宋"/>
          <w:color w:val="000000"/>
          <w:kern w:val="0"/>
          <w:sz w:val="20"/>
          <w:szCs w:val="20"/>
          <w:highlight w:val="none"/>
          <w:lang w:val="en-US" w:eastAsia="zh-CN"/>
        </w:rPr>
        <w:t>填表人：</w:t>
      </w:r>
      <w:r>
        <w:rPr>
          <w:rFonts w:hint="eastAsia" w:ascii="仿宋" w:hAnsi="仿宋" w:eastAsia="仿宋" w:cs="仿宋"/>
          <w:color w:val="000000"/>
          <w:kern w:val="0"/>
          <w:sz w:val="20"/>
          <w:szCs w:val="20"/>
          <w:highlight w:val="none"/>
          <w:lang w:val="en-US" w:eastAsia="zh-CN"/>
        </w:rPr>
        <w:t xml:space="preserve">  王莹           </w:t>
      </w:r>
      <w:r>
        <w:rPr>
          <w:rFonts w:hint="default" w:ascii="仿宋" w:hAnsi="仿宋" w:eastAsia="仿宋" w:cs="仿宋"/>
          <w:color w:val="000000"/>
          <w:kern w:val="0"/>
          <w:sz w:val="20"/>
          <w:szCs w:val="20"/>
          <w:highlight w:val="none"/>
          <w:lang w:val="en-US" w:eastAsia="zh-CN"/>
        </w:rPr>
        <w:t xml:space="preserve">  填报日期：</w:t>
      </w:r>
      <w:r>
        <w:rPr>
          <w:rFonts w:hint="eastAsia" w:ascii="仿宋" w:hAnsi="仿宋" w:eastAsia="仿宋" w:cs="仿宋"/>
          <w:color w:val="000000"/>
          <w:kern w:val="0"/>
          <w:sz w:val="20"/>
          <w:szCs w:val="20"/>
          <w:highlight w:val="none"/>
          <w:lang w:val="en-US" w:eastAsia="zh-CN"/>
        </w:rPr>
        <w:t xml:space="preserve">6.30            </w:t>
      </w:r>
      <w:r>
        <w:rPr>
          <w:rFonts w:hint="default" w:ascii="仿宋" w:hAnsi="仿宋" w:eastAsia="仿宋" w:cs="仿宋"/>
          <w:color w:val="000000"/>
          <w:kern w:val="0"/>
          <w:sz w:val="20"/>
          <w:szCs w:val="20"/>
          <w:highlight w:val="none"/>
          <w:lang w:val="en-US" w:eastAsia="zh-CN"/>
        </w:rPr>
        <w:t xml:space="preserve">  联系电话：</w:t>
      </w:r>
      <w:r>
        <w:rPr>
          <w:rFonts w:hint="eastAsia" w:ascii="仿宋" w:hAnsi="仿宋" w:eastAsia="仿宋" w:cs="仿宋"/>
          <w:color w:val="000000"/>
          <w:kern w:val="0"/>
          <w:sz w:val="20"/>
          <w:szCs w:val="20"/>
          <w:highlight w:val="none"/>
          <w:lang w:val="en-US" w:eastAsia="zh-CN"/>
        </w:rPr>
        <w:t xml:space="preserve"> 0745-2867109</w:t>
      </w:r>
    </w:p>
    <w:p w14:paraId="1238B3BF">
      <w:pPr>
        <w:bidi w:val="0"/>
        <w:rPr>
          <w:rFonts w:hint="eastAsia"/>
          <w:highlight w:val="none"/>
          <w:lang w:val="en-US" w:eastAsia="zh-CN"/>
        </w:rPr>
      </w:pPr>
    </w:p>
    <w:p w14:paraId="7A1A7F78">
      <w:pPr>
        <w:bidi w:val="0"/>
        <w:rPr>
          <w:rFonts w:hint="eastAsia"/>
          <w:highlight w:val="none"/>
          <w:lang w:val="en-US" w:eastAsia="zh-CN"/>
        </w:rPr>
      </w:pPr>
    </w:p>
    <w:p w14:paraId="11066FAE">
      <w:pPr>
        <w:bidi w:val="0"/>
        <w:rPr>
          <w:rFonts w:hint="eastAsia"/>
          <w:highlight w:val="none"/>
          <w:lang w:val="en-US" w:eastAsia="zh-CN"/>
        </w:rPr>
      </w:pPr>
    </w:p>
    <w:p w14:paraId="41E5EC91">
      <w:pPr>
        <w:bidi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4E35142A">
      <w:pPr>
        <w:pStyle w:val="2"/>
        <w:jc w:val="center"/>
        <w:rPr>
          <w:rFonts w:hint="eastAsia" w:asciiTheme="minorEastAsia" w:hAnsiTheme="minorEastAsia" w:eastAsiaTheme="minorEastAsia" w:cstheme="minorEastAsia"/>
          <w:sz w:val="44"/>
          <w:szCs w:val="44"/>
          <w:highlight w:val="none"/>
        </w:rPr>
      </w:pPr>
      <w:r>
        <w:rPr>
          <w:rFonts w:hint="eastAsia" w:asciiTheme="minorEastAsia" w:hAnsiTheme="minorEastAsia" w:eastAsiaTheme="minorEastAsia" w:cstheme="minorEastAsia"/>
          <w:sz w:val="44"/>
          <w:szCs w:val="44"/>
          <w:highlight w:val="none"/>
        </w:rPr>
        <w:t>2024 年项目支出绩效自评报告
</w:t>
      </w:r>
    </w:p>
    <w:p w14:paraId="1BC25DDA">
      <w:pPr>
        <w:pStyle w:val="3"/>
        <w:numPr>
          <w:ilvl w:val="0"/>
          <w:numId w:val="7"/>
        </w:numPr>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szCs w:val="32"/>
          <w:highlight w:val="none"/>
        </w:rPr>
        <w:t>项目基本情况
</w:t>
      </w:r>
    </w:p>
    <w:p w14:paraId="28CBD80B">
      <w:pPr>
        <w:pStyle w:val="3"/>
        <w:numPr>
          <w:ilvl w:val="0"/>
          <w:numId w:val="0"/>
        </w:numP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（一）项目概况
</w:t>
      </w:r>
    </w:p>
    <w:p w14:paraId="426E63B4">
      <w:pPr>
        <w:pStyle w:val="5"/>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1. 项目决策背景
</w:t>
      </w:r>
    </w:p>
    <w:p w14:paraId="64412A81">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项目支出的决策背景源于国家就业优先战略的政策导向，旨在解决农民工、大学生等重点群体就业难题，缓解就业结构性矛盾；同时，应对经济转型下的企业用工变化，强化失业动态监测和公共就业服务，保障流动人员权益，维护就业市场稳定。</w:t>
      </w:r>
    </w:p>
    <w:p w14:paraId="033C4EBA">
      <w:pPr>
        <w:pStyle w:val="5"/>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2. 项目主要内容
</w:t>
      </w:r>
    </w:p>
    <w:p w14:paraId="4241A589">
      <w:pPr>
        <w:pStyle w:val="27"/>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失业动态监测（失业预警）工作和失业保险稳定就业工作</w:t>
      </w:r>
      <w:r>
        <w:rPr>
          <w:rFonts w:hint="eastAsia" w:asciiTheme="minorEastAsia" w:hAnsiTheme="minorEastAsia" w:eastAsiaTheme="minorEastAsia" w:cstheme="minorEastAsia"/>
          <w:sz w:val="30"/>
          <w:szCs w:val="30"/>
          <w:highlight w:val="none"/>
        </w:rPr>
        <w:t>：</w:t>
      </w:r>
    </w:p>
    <w:p w14:paraId="16845B64">
      <w:pPr>
        <w:pStyle w:val="27"/>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充分发挥失业保险预防失业的核心功能依旧是工作重点。通过科学、系统地收集和分析失业相关数据，保障失业动态监测工作的高质量开展，进一步完善失业监测预警体系。同时，积极探索创新举措，推动失业保险稳定就业工作与失业动态监测的深度融合，形成良性互动机制，不断提升失业保险预防失业工作的整体效能。
</w:t>
      </w:r>
    </w:p>
    <w:p w14:paraId="3E1D90D5">
      <w:pPr>
        <w:pStyle w:val="27"/>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流动人员档案管理工作</w:t>
      </w:r>
      <w:r>
        <w:rPr>
          <w:rFonts w:hint="eastAsia" w:asciiTheme="minorEastAsia" w:hAnsiTheme="minorEastAsia" w:eastAsiaTheme="minorEastAsia" w:cstheme="minorEastAsia"/>
          <w:sz w:val="30"/>
          <w:szCs w:val="30"/>
          <w:highlight w:val="none"/>
        </w:rPr>
        <w:t>：</w:t>
      </w:r>
    </w:p>
    <w:p w14:paraId="44B21416">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通过优化档案管理流程、加强信息化建设等举措，全力保障我市流动人员人事档案的安全与完整。同时，积极推进档案管理服务的信息化、标准化、便民化进程，依托 “金保工程” 二期项目，扎实开展纸质档案扫描、图像处理、数据存储备份等工作，为提升档案公共服务能力奠定坚实基础。
</w:t>
      </w:r>
    </w:p>
    <w:p w14:paraId="7FCCB366">
      <w:pPr>
        <w:pStyle w:val="27"/>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农民工就业工作</w:t>
      </w:r>
      <w:r>
        <w:rPr>
          <w:rFonts w:hint="eastAsia" w:asciiTheme="minorEastAsia" w:hAnsiTheme="minorEastAsia" w:eastAsiaTheme="minorEastAsia" w:cstheme="minorEastAsia"/>
          <w:sz w:val="30"/>
          <w:szCs w:val="30"/>
          <w:highlight w:val="none"/>
        </w:rPr>
        <w:t>：</w:t>
      </w:r>
    </w:p>
    <w:p w14:paraId="416DCECB">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通过搭建多元化就业服务平台，为农民工提供全面、精准的政策咨询、职业介绍、职业指导等服务。同时，积极探索创新农民工就业创业扶持政策，着力稳定和扩大农民工就业创业规模，切实保障农民工就业工作的高效、有序开展。
</w:t>
      </w:r>
    </w:p>
    <w:p w14:paraId="6A491724">
      <w:pPr>
        <w:pStyle w:val="27"/>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市级企业用工</w:t>
      </w:r>
      <w:r>
        <w:rPr>
          <w:rFonts w:hint="eastAsia" w:asciiTheme="minorEastAsia" w:hAnsiTheme="minorEastAsia" w:eastAsiaTheme="minorEastAsia" w:cstheme="minorEastAsia"/>
          <w:b/>
          <w:bCs/>
          <w:sz w:val="30"/>
          <w:szCs w:val="30"/>
          <w:highlight w:val="none"/>
          <w:lang w:eastAsia="zh-CN"/>
        </w:rPr>
        <w:t>及</w:t>
      </w:r>
      <w:r>
        <w:rPr>
          <w:rFonts w:hint="eastAsia" w:asciiTheme="minorEastAsia" w:hAnsiTheme="minorEastAsia" w:eastAsiaTheme="minorEastAsia" w:cstheme="minorEastAsia"/>
          <w:b/>
          <w:bCs/>
          <w:sz w:val="30"/>
          <w:szCs w:val="30"/>
          <w:highlight w:val="none"/>
        </w:rPr>
        <w:t>高校毕业生</w:t>
      </w:r>
      <w:r>
        <w:rPr>
          <w:rFonts w:hint="eastAsia" w:asciiTheme="minorEastAsia" w:hAnsiTheme="minorEastAsia" w:eastAsiaTheme="minorEastAsia" w:cstheme="minorEastAsia"/>
          <w:b/>
          <w:bCs/>
          <w:sz w:val="30"/>
          <w:szCs w:val="30"/>
          <w:highlight w:val="none"/>
          <w:lang w:eastAsia="zh-CN"/>
        </w:rPr>
        <w:t>就业保障</w:t>
      </w:r>
      <w:r>
        <w:rPr>
          <w:rFonts w:hint="eastAsia" w:asciiTheme="minorEastAsia" w:hAnsiTheme="minorEastAsia" w:eastAsiaTheme="minorEastAsia" w:cstheme="minorEastAsia"/>
          <w:b/>
          <w:bCs/>
          <w:sz w:val="30"/>
          <w:szCs w:val="30"/>
          <w:highlight w:val="none"/>
        </w:rPr>
        <w:t>工作</w:t>
      </w:r>
      <w:r>
        <w:rPr>
          <w:rFonts w:hint="eastAsia" w:asciiTheme="minorEastAsia" w:hAnsiTheme="minorEastAsia" w:eastAsiaTheme="minorEastAsia" w:cstheme="minorEastAsia"/>
          <w:sz w:val="30"/>
          <w:szCs w:val="30"/>
          <w:highlight w:val="none"/>
        </w:rPr>
        <w:t>：</w:t>
      </w:r>
    </w:p>
    <w:p w14:paraId="2783609E">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制定针对性的用工保障方案，强化精准招聘服务，综合运用线上线下多种招聘形式，广泛开展招聘活动。积极引导劳动力就地就近就业，为市级企业、招商引资企业以及省市在怀重点项目提供全方位、多层次的用工保障服务。组织市级重点企业赴市内高校和职业院校举办多场高校毕业生专场招聘活动，为高校毕业生与企业搭建面对面交流的平台。此外，与市委组织部及其他单位紧密合作，联合举办怀化招才引才高校行活动，积极拓展人才招聘渠道。同时，组织企业赴外地知名高校开展校园招聘，加强园区企业与高校的深度对接，根据产业发展和企业需求精准输送高素质人才。
</w:t>
      </w:r>
    </w:p>
    <w:p w14:paraId="161E1C37">
      <w:pPr>
        <w:pStyle w:val="5"/>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3. 项目组织管理机构
</w:t>
      </w:r>
    </w:p>
    <w:p w14:paraId="40F0BC17">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项目组织管理工作由市就业服务中心统筹负责，各相关部室依据自身职责分工，具体承担项目的实施工作。在项目推进过程中，建立了完善的沟通协调机制，确保各项工作有序衔接、高效开展。同时，加强对项目实施过程的监督与管理，定期对项目进展情况进行评估与分析，及时发现并解决问题，保障项目顺利实施。
</w:t>
      </w:r>
    </w:p>
    <w:p w14:paraId="2DB5E3AA">
      <w:pPr>
        <w:pStyle w:val="4"/>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（二）预算资金使用管理情况
</w:t>
      </w:r>
    </w:p>
    <w:p w14:paraId="7E18EC20">
      <w:pPr>
        <w:pStyle w:val="5"/>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1. 预算资金安排及管理情况
</w:t>
      </w:r>
    </w:p>
    <w:p w14:paraId="16E1D7B4">
      <w:pPr>
        <w:pStyle w:val="27"/>
        <w:numPr>
          <w:ilvl w:val="0"/>
          <w:numId w:val="0"/>
        </w:numP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资金管理制度及执行情况</w:t>
      </w:r>
      <w:r>
        <w:rPr>
          <w:rFonts w:hint="eastAsia" w:asciiTheme="minorEastAsia" w:hAnsiTheme="minorEastAsia" w:eastAsiaTheme="minorEastAsia" w:cstheme="minorEastAsia"/>
          <w:sz w:val="30"/>
          <w:szCs w:val="30"/>
          <w:highlight w:val="none"/>
        </w:rPr>
        <w:t>：</w:t>
      </w:r>
    </w:p>
    <w:p w14:paraId="104DA844">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我中心建立了健全的专项资金管理制度，明确了主要领导在资金统筹安排方面的核心职责，分管财务领导负责组织协调资金管理工作，中心承担各项具体工作的执行任务，财务部负责人则对资金开支凭证进行严格审核，并详细备注列支资金来源。各部门各司其职，紧密配合，确保项目的预算编制、审计监督、结算执行等各个环节规范有序。
</w:t>
      </w:r>
    </w:p>
    <w:p w14:paraId="4791E609">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在项目实施过程中，严格执行《怀化市本级财政专项资金管理办法》《怀化市本级政府投资项目工程预结（决）算管理办法》《怀化市 2024 年政府集中采购目录及政府采购限额标准》等相关制度，全面实行项目责任制管理。主要领导亲自负责项目的日常检查和监督工作，认真履行管理职责，确保项目实施过程中的每一个环节都符合制度要求。通过全体工作人员的共同努力，项目支出预算工作目标得以顺利实现，资金使用效益得到有效提升。
</w:t>
      </w:r>
    </w:p>
    <w:p w14:paraId="57931345">
      <w:pPr>
        <w:pStyle w:val="4"/>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（三）预算绩效目标情况
</w:t>
      </w:r>
    </w:p>
    <w:p w14:paraId="3DD46B7C">
      <w:pPr>
        <w:pStyle w:val="5"/>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1. 绩效目标
</w:t>
      </w:r>
    </w:p>
    <w:p w14:paraId="5F303A7A">
      <w:pPr>
        <w:pStyle w:val="5"/>
        <w:ind w:left="0" w:leftChars="0" w:firstLine="681" w:firstLineChars="213"/>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32"/>
          <w:szCs w:val="32"/>
          <w:highlight w:val="none"/>
          <w:shd w:val="clear" w:fill="FFFFFF"/>
          <w:lang w:val="en-US" w:eastAsia="zh-CN" w:bidi="ar"/>
        </w:rPr>
        <w:t>2024 年，全市就业工作的总体目标是：将城镇登记失业率严格控制在 4.5% 以内，确保城镇零就业家庭动态清零目标持续实现；农村劳动力新增转移就业人数达到 3.9 万人以上，推动转移就业率稳步提升;高质量完成补贴性职业技能培训 1.1 万人次，发放创业担保贷款 2.5 亿元；进一步扩大失业保险参保覆盖面，使失业保险参保总人数达到 33.35 万人。</w:t>
      </w:r>
    </w:p>
    <w:p w14:paraId="636E797C">
      <w:pPr>
        <w:pStyle w:val="5"/>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2. 绩效指标
</w:t>
      </w:r>
    </w:p>
    <w:p w14:paraId="1AC6C16D">
      <w:pPr>
        <w:pStyle w:val="27"/>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产出指标</w:t>
      </w:r>
    </w:p>
    <w:p w14:paraId="765B17BC">
      <w:pPr>
        <w:numPr>
          <w:ilvl w:val="0"/>
          <w:numId w:val="8"/>
        </w:numPr>
        <w:ind w:left="420" w:leftChars="0" w:hanging="420" w:firstLineChars="0"/>
        <w:rPr>
          <w:rFonts w:hint="eastAsia" w:ascii="仿宋" w:hAnsi="仿宋" w:eastAsia="仿宋" w:cs="仿宋"/>
          <w:i w:val="0"/>
          <w:iCs w:val="0"/>
          <w:caps w:val="0"/>
          <w:color w:val="000000"/>
          <w:spacing w:val="0"/>
          <w:kern w:val="0"/>
          <w:sz w:val="32"/>
          <w:szCs w:val="32"/>
          <w:highlight w:val="none"/>
          <w:shd w:val="clear" w:fill="FFFFFF"/>
          <w:lang w:val="en-US" w:eastAsia="en-US" w:bidi="ar"/>
        </w:rPr>
      </w:pPr>
      <w:r>
        <w:rPr>
          <w:rFonts w:hint="eastAsia" w:asciiTheme="minorEastAsia" w:hAnsiTheme="minorEastAsia" w:eastAsiaTheme="minorEastAsia" w:cstheme="minorEastAsia"/>
          <w:b/>
          <w:bCs/>
          <w:sz w:val="30"/>
          <w:szCs w:val="30"/>
          <w:highlight w:val="none"/>
        </w:rPr>
        <w:t>数量指标</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完成职业技能培训 2.04万人次，失业保险参保人数达到 33.43 万人，全市城镇登记失业率0.85%，继续控制在4.5%以内，全市共发放创业担保贷款3.74亿元。</w:t>
      </w:r>
    </w:p>
    <w:p w14:paraId="36502CFF">
      <w:pPr>
        <w:pStyle w:val="27"/>
        <w:numPr>
          <w:ilvl w:val="0"/>
          <w:numId w:val="9"/>
        </w:numP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质量指标</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确保职业技能培训合格率达到 95% ，</w:t>
      </w:r>
      <w:r>
        <w:rPr>
          <w:rFonts w:hint="eastAsia" w:ascii="仿宋" w:hAnsi="仿宋" w:eastAsia="仿宋" w:cs="仿宋"/>
          <w:i w:val="0"/>
          <w:iCs w:val="0"/>
          <w:caps w:val="0"/>
          <w:color w:val="000000"/>
          <w:spacing w:val="0"/>
          <w:kern w:val="0"/>
          <w:sz w:val="32"/>
          <w:szCs w:val="32"/>
          <w:highlight w:val="none"/>
          <w:shd w:val="clear" w:fill="FFFFFF"/>
          <w:lang w:val="en-US" w:eastAsia="en-US" w:bidi="ar"/>
        </w:rPr>
        <w:t>档案信息</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录入</w:t>
      </w:r>
      <w:r>
        <w:rPr>
          <w:rFonts w:hint="eastAsia" w:ascii="仿宋" w:hAnsi="仿宋" w:eastAsia="仿宋" w:cs="仿宋"/>
          <w:i w:val="0"/>
          <w:iCs w:val="0"/>
          <w:caps w:val="0"/>
          <w:color w:val="000000"/>
          <w:spacing w:val="0"/>
          <w:kern w:val="0"/>
          <w:sz w:val="32"/>
          <w:szCs w:val="32"/>
          <w:highlight w:val="none"/>
          <w:shd w:val="clear" w:fill="FFFFFF"/>
          <w:lang w:val="en-US" w:eastAsia="en-US" w:bidi="ar"/>
        </w:rPr>
        <w:t>准确率</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达到95%，确保社会保险待遇合规发放率达到 95%。
</w:t>
      </w:r>
    </w:p>
    <w:p w14:paraId="58C9BED3">
      <w:pPr>
        <w:pStyle w:val="27"/>
        <w:numPr>
          <w:ilvl w:val="0"/>
          <w:numId w:val="9"/>
        </w:numP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时效指标</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所有项目均需按照预定计划和时间节点有序推进，确保在2024年12月31日前项目能够顺利完成。
</w:t>
      </w:r>
    </w:p>
    <w:p w14:paraId="5D6321CD">
      <w:pPr>
        <w:pStyle w:val="27"/>
        <w:numPr>
          <w:ilvl w:val="0"/>
          <w:numId w:val="9"/>
        </w:numP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成本指标</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严格控制项目总成本，确保各项项目的成本支出均控制在预算范围内，提高资金使用效益。
</w:t>
      </w:r>
    </w:p>
    <w:p w14:paraId="528624B7">
      <w:pPr>
        <w:pStyle w:val="27"/>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z w:val="30"/>
          <w:szCs w:val="30"/>
          <w:highlight w:val="none"/>
        </w:rPr>
        <w:t>效益指标</w:t>
      </w:r>
    </w:p>
    <w:p w14:paraId="2103F06C">
      <w:pPr>
        <w:pStyle w:val="27"/>
        <w:numPr>
          <w:ilvl w:val="0"/>
          <w:numId w:val="9"/>
        </w:numPr>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经济效益</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通过积极促进就业和创业，解决居民就业难题，增加居民收入，推动经济持续增长；完善的社会保障体系为企业发展减轻负担，助力企业提升生产效率，营造良好的营商环境，促进经济高质量发展。
</w:t>
      </w:r>
    </w:p>
    <w:p w14:paraId="12981366">
      <w:pPr>
        <w:pStyle w:val="27"/>
        <w:numPr>
          <w:ilvl w:val="0"/>
          <w:numId w:val="9"/>
        </w:numPr>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社会效益</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稳定的就业局势和健全的社会保障体系，显著增强人民群众的获得感、幸福感和安全感，有力促进社会和谐稳定；通过提供丰富的就业机会，满足不同群体的就业需求，为社会发展注入活力。
</w:t>
      </w:r>
    </w:p>
    <w:p w14:paraId="4DF3BBDB">
      <w:pPr>
        <w:pStyle w:val="27"/>
        <w:numPr>
          <w:ilvl w:val="0"/>
          <w:numId w:val="9"/>
        </w:numPr>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生态效益</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大力开展职业技能培训和就业服务，积极引导劳动者投身节能环保、生态农业等绿色产业领域就业，为生态文明建设提供坚实的人才支撑；鼓励企业推行绿色人力资源管理模式，促进企业节能减排，降低资源消耗，实现经济发展与生态保护的协调共进。
</w:t>
      </w:r>
    </w:p>
    <w:p w14:paraId="519397B7">
      <w:pPr>
        <w:pStyle w:val="27"/>
        <w:numPr>
          <w:ilvl w:val="0"/>
          <w:numId w:val="9"/>
        </w:numPr>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可持续影响</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持续完善就业创业长效机制，不断优化就业服务体系，为实现长期稳定的就业目标提供坚实的制度保障；稳步推进社会保障制度改革，增强社会保障基金的抗风险能力，确保社会保障制度的可持续运行；进一步加强流动人员人事档案管理服务体系建设，推动档案管理工作向科学化、制度化、规范化方向发展。
</w:t>
      </w:r>
    </w:p>
    <w:p w14:paraId="37566B08">
      <w:pPr>
        <w:pStyle w:val="27"/>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满意度指标</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通过多元化的服务举措和持续优化的服务质量，努力提升服务对象对就业服务、社会保障服务、档案管理的满意度，确保满意度达到 90% 以上。
</w:t>
      </w:r>
    </w:p>
    <w:p w14:paraId="04005019">
      <w:pPr>
        <w:pStyle w:val="3"/>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szCs w:val="32"/>
          <w:highlight w:val="none"/>
        </w:rPr>
        <w:t>二、绩效评价工作情况
</w:t>
      </w:r>
    </w:p>
    <w:p w14:paraId="23043201">
      <w:pPr>
        <w:pStyle w:val="4"/>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（一）绩效评价目的
</w:t>
      </w:r>
    </w:p>
    <w:p w14:paraId="1BBF8F45">
      <w:pPr>
        <w:pStyle w:val="27"/>
        <w:ind w:left="0" w:leftChars="0" w:firstLine="640" w:firstLineChars="200"/>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开展项目支出绩效评价，旨在运用科学、规范的评价方法，全面、客观、公正地对项目实施的成效进行评估，深入剖析项目实施过程中存在的问题与不足。通过总结经验教训，为进一步改进项目管理方式、优化资源配置、提高资金使用效益提供科学依据，同时也为完善政策制度、提升公共服务水平、推动就业创业工作高质量发展提供有力参考。
</w:t>
      </w:r>
    </w:p>
    <w:p w14:paraId="3C25E5DA">
      <w:pPr>
        <w:pStyle w:val="4"/>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（二）被评价单位、绩效评价范围与时段
</w:t>
      </w:r>
    </w:p>
    <w:p w14:paraId="5828FB35">
      <w:pPr>
        <w:pStyle w:val="27"/>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被评价单位</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怀化市就业服务中心。
</w:t>
      </w:r>
    </w:p>
    <w:p w14:paraId="68F08A74">
      <w:pPr>
        <w:pStyle w:val="27"/>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绩效评价范围</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2024 年度所有纳入预算管理的专项资金及其使用情况，涵盖就业服务项目、社会保障项目、人事档案管理项目等各个领域。
</w:t>
      </w:r>
    </w:p>
    <w:p w14:paraId="3442E027">
      <w:pPr>
        <w:pStyle w:val="27"/>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Theme="minorEastAsia" w:hAnsiTheme="minorEastAsia" w:eastAsiaTheme="minorEastAsia" w:cstheme="minorEastAsia"/>
          <w:b/>
          <w:bCs/>
          <w:sz w:val="30"/>
          <w:szCs w:val="30"/>
          <w:highlight w:val="none"/>
        </w:rPr>
        <w:t>时段</w:t>
      </w:r>
      <w:r>
        <w:rPr>
          <w:rFonts w:hint="eastAsia" w:asciiTheme="minorEastAsia" w:hAnsiTheme="minorEastAsia" w:eastAsiaTheme="minorEastAsia" w:cstheme="minorEastAsia"/>
          <w:sz w:val="30"/>
          <w:szCs w:val="30"/>
          <w:highlight w:val="none"/>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2024 年 1 月 1 日至 2024 年 12 月 31 日。
</w:t>
      </w:r>
    </w:p>
    <w:p w14:paraId="3AC21F9A">
      <w:pPr>
        <w:pStyle w:val="4"/>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（三）绩效评价原则、评价指标体系、评价方法
</w:t>
      </w:r>
    </w:p>
    <w:p w14:paraId="15D04D0F">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绩效评价原则</w:t>
      </w:r>
    </w:p>
    <w:p w14:paraId="51A1C5E5">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统一领导原则：绩效评价工作在本单位的统一领导下进行，由单位统筹规划、组织实施，确保评价工作的一致性和协调性。
科学规范原则：严格遵循规定的评价程序，运用科学合理、切实可行的评价方法，综合采用定量与定性分析相结合的方式，确保评价结果的准确性和可靠性。
</w:t>
      </w:r>
    </w:p>
    <w:p w14:paraId="7D2AEAC1">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公正公开原则：绩效评价过程和结果始终坚持真实、客观、公正的原则，依法依规公开相关信息，主动接受社会监督，增强评价工作的透明度。
</w:t>
      </w:r>
    </w:p>
    <w:p w14:paraId="1717FE1D">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绩效相关原则：针对具体专项资金及其产出绩效进行评价，确保评价结果能够清晰、准确地反映专项资金与产出绩效之间的内在联系，为项目管理和决策提供有效依据。
</w:t>
      </w:r>
    </w:p>
    <w:p w14:paraId="6AB44761">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权责统一原则：明确各级财政部门和预算部门在绩效评价工作中的职责权限，构建权责清晰、运转高效的评价工作机制，确保资金绩效评价工作的职权与责任相统一。
</w:t>
      </w:r>
    </w:p>
    <w:p w14:paraId="0B9DD34F">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评价指标体系、评价方法：</w:t>
      </w:r>
    </w:p>
    <w:p w14:paraId="46765592">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1、通用性和专用性兼顾；</w:t>
      </w:r>
    </w:p>
    <w:p w14:paraId="116F1FC5">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2、定性与定量评价相结合；</w:t>
      </w:r>
    </w:p>
    <w:p w14:paraId="6755B826">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3、坚持以绩效目标为导向。</w:t>
      </w:r>
    </w:p>
    <w:p w14:paraId="41CE92D9">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p>
    <w:p w14:paraId="4ED1D03C">
      <w:pPr>
        <w:pStyle w:val="3"/>
        <w:rPr>
          <w:rFonts w:hint="eastAsia" w:asciiTheme="minorEastAsia" w:hAnsiTheme="minorEastAsia" w:eastAsiaTheme="minorEastAsia" w:cstheme="minorEastAsia"/>
          <w:sz w:val="32"/>
          <w:szCs w:val="32"/>
          <w:highlight w:val="none"/>
          <w:lang w:val="en-US" w:eastAsia="zh-CN"/>
        </w:rPr>
      </w:pPr>
      <w:r>
        <w:rPr>
          <w:rFonts w:hint="eastAsia" w:asciiTheme="minorEastAsia" w:hAnsiTheme="minorEastAsia" w:eastAsiaTheme="minorEastAsia" w:cstheme="minorEastAsia"/>
          <w:sz w:val="32"/>
          <w:szCs w:val="32"/>
          <w:highlight w:val="none"/>
          <w:lang w:val="en-US" w:eastAsia="zh-CN"/>
        </w:rPr>
        <w:t>三、主要绩效及评价结论
</w:t>
      </w:r>
    </w:p>
    <w:p w14:paraId="243C7AA1">
      <w:pPr>
        <w:pStyle w:val="4"/>
        <w:numPr>
          <w:ilvl w:val="0"/>
          <w:numId w:val="0"/>
        </w:numPr>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（一）社会效益
</w:t>
      </w:r>
    </w:p>
    <w:p w14:paraId="3B6B9D2F">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稳定的就业局势和健全的社会保障体系，显著增强人民群众的获得感、幸福感和安全感，有力促进社会和谐稳定；通过提供丰富的就业机会，满足不同群体的就业需求，为社会发展注入活力。
</w:t>
      </w:r>
    </w:p>
    <w:p w14:paraId="27307D30">
      <w:pPr>
        <w:pStyle w:val="4"/>
        <w:numPr>
          <w:ilvl w:val="0"/>
          <w:numId w:val="10"/>
        </w:numPr>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生态效益
</w:t>
      </w:r>
    </w:p>
    <w:p w14:paraId="16AE9E5F">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大力开展职业技能培训和就业服务，积极引导劳动者投身节能环保、生态农业等绿色产业领域就业，为生态文明建设提供坚实的人才支撑；鼓励企业推行绿色人力资源管理模式，促进企业节能减排，降低资源消耗，实现经济发展与生态保护的协调共进。</w:t>
      </w:r>
    </w:p>
    <w:p w14:paraId="711A1384">
      <w:pPr>
        <w:pStyle w:val="4"/>
        <w:numPr>
          <w:ilvl w:val="0"/>
          <w:numId w:val="10"/>
        </w:numPr>
        <w:ind w:left="0" w:leftChars="0" w:firstLine="0" w:firstLineChars="0"/>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可持续影响</w:t>
      </w:r>
    </w:p>
    <w:p w14:paraId="0EB83EAC">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持续完善就业创业长效机制，不断优化就业服务体系，为实现长期稳定的就业目标提供坚实的制度保障；稳步推进社会保障制度改革，增强社会保障基金的抗风险能力，确保社会保障制度的可持续运行；进一步加强流动人员人事档案管理服务体系建设，推动档案管理工作向科学化、制度化、规范化方向发展。
</w:t>
      </w:r>
    </w:p>
    <w:p w14:paraId="586FADB4">
      <w:pPr>
        <w:pStyle w:val="4"/>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（四）满意度情况
</w:t>
      </w:r>
    </w:p>
    <w:p w14:paraId="67141EB2">
      <w:pPr>
        <w:pStyle w:val="27"/>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通过问卷调查、电话回访和现场访谈等多种方式，对服务对象进行满意度调查。调查结果显示，综合满意度达到 92.85%，表明服务对象对我中心提供的就业服务、社会保障服务以及档案管理服务给予了高度认可和充分肯定。
</w:t>
      </w:r>
    </w:p>
    <w:p w14:paraId="2BE54523">
      <w:pPr>
        <w:pStyle w:val="4"/>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（五）评价结论
</w:t>
      </w:r>
    </w:p>
    <w:p w14:paraId="6537254A">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firstLine="1059" w:firstLineChars="331"/>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综合来看，2024 年度我中心的项目支出取得了令人瞩目的绩效。在社会效益方面，有力促进了就业创业，显著优化了流动人员人事档案管理服务，进一步完善了社会保障体系；在生态效益方面，为推动生态文明建设做出了积极贡献；在可持续影响方面，成功建立了一系列长效机制，为未来的发展奠定了坚实基础；在满意度方面，赢得了服务对象的广泛赞誉和高度。</w:t>
      </w:r>
    </w:p>
    <w:p w14:paraId="25F73793">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p>
    <w:p w14:paraId="5FD18873">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p>
    <w:p w14:paraId="3E8B2BA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highlight w:val="none"/>
          <w:shd w:val="clear" w:fill="FFFFFF"/>
          <w:lang w:val="en-US" w:eastAsia="zh-CN" w:bidi="ar"/>
        </w:rPr>
      </w:pPr>
      <w:bookmarkStart w:id="0" w:name="_Toc27541"/>
      <w:bookmarkStart w:id="1" w:name="_Toc16332"/>
      <w:r>
        <w:rPr>
          <w:rFonts w:hint="eastAsia" w:ascii="黑体" w:hAnsi="黑体" w:eastAsia="黑体" w:cs="黑体"/>
          <w:i w:val="0"/>
          <w:iCs w:val="0"/>
          <w:caps w:val="0"/>
          <w:color w:val="000000"/>
          <w:spacing w:val="0"/>
          <w:kern w:val="0"/>
          <w:sz w:val="32"/>
          <w:szCs w:val="32"/>
          <w:highlight w:val="none"/>
          <w:shd w:val="clear" w:fill="FFFFFF"/>
          <w:lang w:val="en-US" w:eastAsia="zh-CN" w:bidi="ar"/>
        </w:rPr>
        <w:t>四、绩效评价指标分析</w:t>
      </w:r>
      <w:bookmarkEnd w:id="0"/>
      <w:bookmarkEnd w:id="1"/>
    </w:p>
    <w:p w14:paraId="3927420D">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bookmarkStart w:id="2" w:name="_Toc17679"/>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(一)项目决策情况</w:t>
      </w:r>
      <w:bookmarkEnd w:id="2"/>
    </w:p>
    <w:p w14:paraId="4B90D504">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firstLine="1059" w:firstLineChars="331"/>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项目立项充分考虑了中心的工作重点，与相关政策法规相契合。目标设定明确、具体、可衡量，且与项目的实际需求和预期效果相匹配。但部分目标在细化和量化方面还有待进一步加强，以提高目标的可操作性和考核的准确性。</w:t>
      </w:r>
    </w:p>
    <w:p w14:paraId="16596511">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bookmarkStart w:id="3" w:name="_Toc28411"/>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(二)项目过程情况</w:t>
      </w:r>
      <w:bookmarkEnd w:id="3"/>
    </w:p>
    <w:p w14:paraId="41D8FB57">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bookmarkStart w:id="4" w:name="_Toc10140"/>
      <w:r>
        <w:rPr>
          <w:rFonts w:hint="eastAsia" w:ascii="仿宋" w:hAnsi="仿宋" w:eastAsia="仿宋" w:cs="仿宋"/>
          <w:i w:val="0"/>
          <w:iCs w:val="0"/>
          <w:caps w:val="0"/>
          <w:color w:val="000000"/>
          <w:spacing w:val="0"/>
          <w:kern w:val="0"/>
          <w:sz w:val="32"/>
          <w:szCs w:val="32"/>
          <w:highlight w:val="none"/>
          <w:shd w:val="clear" w:fill="FFFFFF"/>
          <w:lang w:val="en-US" w:eastAsia="zh-CN" w:bidi="ar"/>
        </w:rPr>
        <w:t>1.资金管理</w:t>
      </w:r>
      <w:bookmarkEnd w:id="4"/>
    </w:p>
    <w:p w14:paraId="545DB837">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按照《怀化市本级专项资金管理办法实施细则》，经费由财政局严格审核下拨，程序规范。资金管理制度健全，执行严格，资金使用合规，不存在截留、挪用等违规现象。财务核算规范，账目清晰，资金拨付及时，保障了项目的顺利实施。但在资金预算执行方面，存在部分项目资金支出进度较慢的情况，需要进一步加强预算执行的监控和管理。</w:t>
      </w:r>
    </w:p>
    <w:p w14:paraId="7DF4A4D3">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bookmarkStart w:id="5" w:name="_Toc1210"/>
      <w:r>
        <w:rPr>
          <w:rFonts w:hint="eastAsia" w:ascii="仿宋" w:hAnsi="仿宋" w:eastAsia="仿宋" w:cs="仿宋"/>
          <w:i w:val="0"/>
          <w:iCs w:val="0"/>
          <w:caps w:val="0"/>
          <w:color w:val="000000"/>
          <w:spacing w:val="0"/>
          <w:kern w:val="0"/>
          <w:sz w:val="32"/>
          <w:szCs w:val="32"/>
          <w:highlight w:val="none"/>
          <w:shd w:val="clear" w:fill="FFFFFF"/>
          <w:lang w:val="en-US" w:eastAsia="zh-CN" w:bidi="ar"/>
        </w:rPr>
        <w:t>项目实施</w:t>
      </w:r>
      <w:bookmarkEnd w:id="5"/>
    </w:p>
    <w:p w14:paraId="4AD4A127">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bookmarkStart w:id="6" w:name="_Toc6604"/>
      <w:r>
        <w:rPr>
          <w:rFonts w:hint="eastAsia" w:ascii="仿宋" w:hAnsi="仿宋" w:eastAsia="仿宋" w:cs="仿宋"/>
          <w:i w:val="0"/>
          <w:iCs w:val="0"/>
          <w:caps w:val="0"/>
          <w:color w:val="000000"/>
          <w:spacing w:val="0"/>
          <w:kern w:val="0"/>
          <w:sz w:val="32"/>
          <w:szCs w:val="32"/>
          <w:highlight w:val="none"/>
          <w:shd w:val="clear" w:fill="FFFFFF"/>
          <w:lang w:val="en-US" w:eastAsia="zh-CN" w:bidi="ar"/>
        </w:rPr>
        <w:fldChar w:fldCharType="begin"/>
      </w:r>
      <w:r>
        <w:rPr>
          <w:rFonts w:hint="eastAsia" w:ascii="仿宋" w:hAnsi="仿宋" w:eastAsia="仿宋" w:cs="仿宋"/>
          <w:i w:val="0"/>
          <w:iCs w:val="0"/>
          <w:caps w:val="0"/>
          <w:color w:val="000000"/>
          <w:spacing w:val="0"/>
          <w:kern w:val="0"/>
          <w:sz w:val="32"/>
          <w:szCs w:val="32"/>
          <w:highlight w:val="none"/>
          <w:shd w:val="clear" w:fill="FFFFFF"/>
          <w:lang w:val="en-US" w:eastAsia="zh-CN" w:bidi="ar"/>
        </w:rPr>
        <w:instrText xml:space="preserve"> eq \o\ac(○,1)</w:instrText>
      </w:r>
      <w:r>
        <w:rPr>
          <w:rFonts w:hint="eastAsia" w:ascii="仿宋" w:hAnsi="仿宋" w:eastAsia="仿宋" w:cs="仿宋"/>
          <w:i w:val="0"/>
          <w:iCs w:val="0"/>
          <w:caps w:val="0"/>
          <w:color w:val="000000"/>
          <w:spacing w:val="0"/>
          <w:kern w:val="0"/>
          <w:sz w:val="32"/>
          <w:szCs w:val="32"/>
          <w:highlight w:val="none"/>
          <w:shd w:val="clear" w:fill="FFFFFF"/>
          <w:lang w:val="en-US" w:eastAsia="zh-CN" w:bidi="ar"/>
        </w:rPr>
        <w:fldChar w:fldCharType="end"/>
      </w:r>
      <w:r>
        <w:rPr>
          <w:rFonts w:hint="eastAsia" w:ascii="仿宋" w:hAnsi="仿宋" w:eastAsia="仿宋" w:cs="仿宋"/>
          <w:i w:val="0"/>
          <w:iCs w:val="0"/>
          <w:caps w:val="0"/>
          <w:color w:val="000000"/>
          <w:spacing w:val="0"/>
          <w:kern w:val="0"/>
          <w:sz w:val="32"/>
          <w:szCs w:val="32"/>
          <w:highlight w:val="none"/>
          <w:shd w:val="clear" w:fill="FFFFFF"/>
          <w:lang w:val="en-US" w:eastAsia="zh-CN" w:bidi="ar"/>
        </w:rPr>
        <w:t>项目组织实施得力，成立了专门的项目管理机构和工作小组，明确了职责分工，建立了有效的沟通协调机制。</w:t>
      </w:r>
    </w:p>
    <w:p w14:paraId="5D5822A0">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fldChar w:fldCharType="begin"/>
      </w:r>
      <w:r>
        <w:rPr>
          <w:rFonts w:hint="eastAsia" w:ascii="仿宋" w:hAnsi="仿宋" w:eastAsia="仿宋" w:cs="仿宋"/>
          <w:i w:val="0"/>
          <w:iCs w:val="0"/>
          <w:caps w:val="0"/>
          <w:color w:val="000000"/>
          <w:spacing w:val="0"/>
          <w:kern w:val="0"/>
          <w:sz w:val="32"/>
          <w:szCs w:val="32"/>
          <w:highlight w:val="none"/>
          <w:shd w:val="clear" w:fill="FFFFFF"/>
          <w:lang w:val="en-US" w:eastAsia="zh-CN" w:bidi="ar"/>
        </w:rPr>
        <w:instrText xml:space="preserve"> eq \o\ac(○,2)</w:instrText>
      </w:r>
      <w:r>
        <w:rPr>
          <w:rFonts w:hint="eastAsia" w:ascii="仿宋" w:hAnsi="仿宋" w:eastAsia="仿宋" w:cs="仿宋"/>
          <w:i w:val="0"/>
          <w:iCs w:val="0"/>
          <w:caps w:val="0"/>
          <w:color w:val="000000"/>
          <w:spacing w:val="0"/>
          <w:kern w:val="0"/>
          <w:sz w:val="32"/>
          <w:szCs w:val="32"/>
          <w:highlight w:val="none"/>
          <w:shd w:val="clear" w:fill="FFFFFF"/>
          <w:lang w:val="en-US" w:eastAsia="zh-CN" w:bidi="ar"/>
        </w:rPr>
        <w:fldChar w:fldCharType="end"/>
      </w:r>
      <w:r>
        <w:rPr>
          <w:rFonts w:hint="eastAsia" w:ascii="仿宋" w:hAnsi="仿宋" w:eastAsia="仿宋" w:cs="仿宋"/>
          <w:i w:val="0"/>
          <w:iCs w:val="0"/>
          <w:caps w:val="0"/>
          <w:color w:val="000000"/>
          <w:spacing w:val="0"/>
          <w:kern w:val="0"/>
          <w:sz w:val="32"/>
          <w:szCs w:val="32"/>
          <w:highlight w:val="none"/>
          <w:shd w:val="clear" w:fill="FFFFFF"/>
          <w:lang w:val="en-US" w:eastAsia="zh-CN" w:bidi="ar"/>
        </w:rPr>
        <w:t>项目进度控制较好，大部分项目能够按照预定的时间节点完成，但仍有个别项目存在进度滞后的问题，需要进一步加强进度管理。</w:t>
      </w:r>
    </w:p>
    <w:p w14:paraId="0575FDD9">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fldChar w:fldCharType="begin"/>
      </w:r>
      <w:r>
        <w:rPr>
          <w:rFonts w:hint="eastAsia" w:ascii="仿宋" w:hAnsi="仿宋" w:eastAsia="仿宋" w:cs="仿宋"/>
          <w:i w:val="0"/>
          <w:iCs w:val="0"/>
          <w:caps w:val="0"/>
          <w:color w:val="000000"/>
          <w:spacing w:val="0"/>
          <w:kern w:val="0"/>
          <w:sz w:val="32"/>
          <w:szCs w:val="32"/>
          <w:highlight w:val="none"/>
          <w:shd w:val="clear" w:fill="FFFFFF"/>
          <w:lang w:val="en-US" w:eastAsia="zh-CN" w:bidi="ar"/>
        </w:rPr>
        <w:instrText xml:space="preserve"> eq \o\ac(○,3)</w:instrText>
      </w:r>
      <w:r>
        <w:rPr>
          <w:rFonts w:hint="eastAsia" w:ascii="仿宋" w:hAnsi="仿宋" w:eastAsia="仿宋" w:cs="仿宋"/>
          <w:i w:val="0"/>
          <w:iCs w:val="0"/>
          <w:caps w:val="0"/>
          <w:color w:val="000000"/>
          <w:spacing w:val="0"/>
          <w:kern w:val="0"/>
          <w:sz w:val="32"/>
          <w:szCs w:val="32"/>
          <w:highlight w:val="none"/>
          <w:shd w:val="clear" w:fill="FFFFFF"/>
          <w:lang w:val="en-US" w:eastAsia="zh-CN" w:bidi="ar"/>
        </w:rPr>
        <w:fldChar w:fldCharType="end"/>
      </w:r>
      <w:r>
        <w:rPr>
          <w:rFonts w:hint="eastAsia" w:ascii="仿宋" w:hAnsi="仿宋" w:eastAsia="仿宋" w:cs="仿宋"/>
          <w:i w:val="0"/>
          <w:iCs w:val="0"/>
          <w:caps w:val="0"/>
          <w:color w:val="000000"/>
          <w:spacing w:val="0"/>
          <w:kern w:val="0"/>
          <w:sz w:val="32"/>
          <w:szCs w:val="32"/>
          <w:highlight w:val="none"/>
          <w:shd w:val="clear" w:fill="FFFFFF"/>
          <w:lang w:val="en-US" w:eastAsia="zh-CN" w:bidi="ar"/>
        </w:rPr>
        <w:t>项目质量监管到位，严格执行工程建设和设备采购的质量标准，确保了项目质量符合要求。</w:t>
      </w:r>
    </w:p>
    <w:p w14:paraId="2E29B80E">
      <w:pPr>
        <w:pStyle w:val="27"/>
        <w:numPr>
          <w:ilvl w:val="0"/>
          <w:numId w:val="9"/>
        </w:numPr>
        <w:rPr>
          <w:rFonts w:hint="eastAsia" w:asciiTheme="minorEastAsia" w:hAnsiTheme="minorEastAsia" w:eastAsiaTheme="minorEastAsia" w:cstheme="minorEastAsia"/>
          <w:sz w:val="30"/>
          <w:szCs w:val="30"/>
          <w:highlight w:val="none"/>
        </w:rPr>
      </w:pPr>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(三)项目产出情况</w:t>
      </w:r>
      <w:bookmarkEnd w:id="6"/>
    </w:p>
    <w:p w14:paraId="0D3D9E76">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bookmarkStart w:id="7" w:name="_Toc20742"/>
      <w:r>
        <w:rPr>
          <w:rFonts w:hint="eastAsia" w:ascii="仿宋" w:hAnsi="仿宋" w:eastAsia="仿宋" w:cs="仿宋"/>
          <w:i w:val="0"/>
          <w:iCs w:val="0"/>
          <w:caps w:val="0"/>
          <w:color w:val="000000"/>
          <w:spacing w:val="0"/>
          <w:kern w:val="0"/>
          <w:sz w:val="32"/>
          <w:szCs w:val="32"/>
          <w:highlight w:val="none"/>
          <w:shd w:val="clear" w:fill="FFFFFF"/>
          <w:lang w:val="en-US" w:eastAsia="zh-CN" w:bidi="ar"/>
        </w:rPr>
        <w:t>1.产出数量</w:t>
      </w:r>
      <w:bookmarkEnd w:id="7"/>
    </w:p>
    <w:p w14:paraId="2F33A498">
      <w:pPr>
        <w:ind w:left="0" w:leftChars="0" w:firstLine="681" w:firstLineChars="213"/>
        <w:rPr>
          <w:rFonts w:hint="eastAsia" w:ascii="仿宋" w:hAnsi="仿宋" w:eastAsia="仿宋" w:cs="仿宋"/>
          <w:i w:val="0"/>
          <w:iCs w:val="0"/>
          <w:caps w:val="0"/>
          <w:color w:val="000000"/>
          <w:spacing w:val="0"/>
          <w:kern w:val="0"/>
          <w:sz w:val="32"/>
          <w:szCs w:val="32"/>
          <w:highlight w:val="none"/>
          <w:shd w:val="clear" w:fill="FFFFFF"/>
          <w:lang w:val="en-US" w:eastAsia="zh-CN" w:bidi="ar"/>
        </w:rPr>
      </w:pPr>
      <w:bookmarkStart w:id="8" w:name="_Toc5372"/>
      <w:r>
        <w:rPr>
          <w:rFonts w:hint="eastAsia" w:ascii="仿宋" w:hAnsi="仿宋" w:eastAsia="仿宋" w:cs="仿宋"/>
          <w:i w:val="0"/>
          <w:iCs w:val="0"/>
          <w:caps w:val="0"/>
          <w:color w:val="000000"/>
          <w:spacing w:val="0"/>
          <w:kern w:val="0"/>
          <w:sz w:val="32"/>
          <w:szCs w:val="32"/>
          <w:highlight w:val="none"/>
          <w:shd w:val="clear" w:fill="FFFFFF"/>
          <w:lang w:val="en-US" w:eastAsia="zh-CN" w:bidi="ar"/>
        </w:rPr>
        <w:t xml:space="preserve">高质量完成职业技能培训 2.04 万人次，稳步推进失业保险参保扩面工作，使参保人数达到 33.43万人，全市城镇登记失业率保持较低水平为 0.85%，与此同时，积极推动创业担保贷款发放工作，全年累计发放创业担保贷款 3.74 亿元。 </w:t>
      </w:r>
    </w:p>
    <w:p w14:paraId="2C309D8C">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2.产出质量</w:t>
      </w:r>
      <w:bookmarkEnd w:id="8"/>
    </w:p>
    <w:p w14:paraId="18B9327B">
      <w:pPr>
        <w:pStyle w:val="27"/>
        <w:numPr>
          <w:ilvl w:val="0"/>
          <w:numId w:val="0"/>
        </w:numPr>
        <w:ind w:left="0" w:leftChars="0" w:firstLine="640" w:firstLineChars="200"/>
        <w:rPr>
          <w:rFonts w:hint="eastAsia" w:ascii="仿宋" w:hAnsi="仿宋" w:eastAsia="仿宋" w:cs="仿宋"/>
          <w:i w:val="0"/>
          <w:iCs w:val="0"/>
          <w:caps w:val="0"/>
          <w:color w:val="000000"/>
          <w:spacing w:val="0"/>
          <w:kern w:val="0"/>
          <w:sz w:val="32"/>
          <w:szCs w:val="32"/>
          <w:highlight w:val="none"/>
          <w:shd w:val="clear" w:fill="FFFFFF"/>
          <w:lang w:val="en-US" w:eastAsia="zh-CN" w:bidi="ar"/>
        </w:rPr>
      </w:pPr>
      <w:bookmarkStart w:id="9" w:name="_Toc25948"/>
      <w:r>
        <w:rPr>
          <w:rFonts w:hint="eastAsia" w:ascii="仿宋" w:hAnsi="仿宋" w:eastAsia="仿宋" w:cs="仿宋"/>
          <w:i w:val="0"/>
          <w:iCs w:val="0"/>
          <w:caps w:val="0"/>
          <w:color w:val="000000"/>
          <w:spacing w:val="0"/>
          <w:kern w:val="0"/>
          <w:sz w:val="32"/>
          <w:szCs w:val="32"/>
          <w:highlight w:val="none"/>
          <w:shd w:val="clear" w:fill="FFFFFF"/>
          <w:lang w:val="en-US" w:eastAsia="zh-CN" w:bidi="ar"/>
        </w:rPr>
        <w:t>着力提升职业技能培训质量，培训合格率达到 100% ；</w:t>
      </w:r>
      <w:r>
        <w:rPr>
          <w:rFonts w:hint="eastAsia" w:ascii="仿宋" w:hAnsi="仿宋" w:eastAsia="仿宋" w:cs="仿宋"/>
          <w:i w:val="0"/>
          <w:iCs w:val="0"/>
          <w:caps w:val="0"/>
          <w:color w:val="000000"/>
          <w:spacing w:val="0"/>
          <w:kern w:val="0"/>
          <w:sz w:val="32"/>
          <w:szCs w:val="32"/>
          <w:highlight w:val="none"/>
          <w:shd w:val="clear" w:fill="FFFFFF"/>
          <w:lang w:val="en-US" w:eastAsia="en-US" w:bidi="ar"/>
        </w:rPr>
        <w:t>档案</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管理要求安全高效，</w:t>
      </w:r>
      <w:r>
        <w:rPr>
          <w:rFonts w:hint="eastAsia" w:ascii="仿宋" w:hAnsi="仿宋" w:eastAsia="仿宋" w:cs="仿宋"/>
          <w:i w:val="0"/>
          <w:iCs w:val="0"/>
          <w:caps w:val="0"/>
          <w:color w:val="000000"/>
          <w:spacing w:val="0"/>
          <w:kern w:val="0"/>
          <w:sz w:val="32"/>
          <w:szCs w:val="32"/>
          <w:highlight w:val="none"/>
          <w:shd w:val="clear" w:fill="FFFFFF"/>
          <w:lang w:val="en-US" w:eastAsia="en-US" w:bidi="ar"/>
        </w:rPr>
        <w:t>档案信息</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录入</w:t>
      </w:r>
      <w:r>
        <w:rPr>
          <w:rFonts w:hint="eastAsia" w:ascii="仿宋" w:hAnsi="仿宋" w:eastAsia="仿宋" w:cs="仿宋"/>
          <w:i w:val="0"/>
          <w:iCs w:val="0"/>
          <w:caps w:val="0"/>
          <w:color w:val="000000"/>
          <w:spacing w:val="0"/>
          <w:kern w:val="0"/>
          <w:sz w:val="32"/>
          <w:szCs w:val="32"/>
          <w:highlight w:val="none"/>
          <w:shd w:val="clear" w:fill="FFFFFF"/>
          <w:lang w:val="en-US" w:eastAsia="en-US" w:bidi="ar"/>
        </w:rPr>
        <w:t>准确率</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达到100%；严格执行社会保险待遇发放政策，社会保险待遇合规发放率达到 100%。
   3.产出成本</w:t>
      </w:r>
      <w:bookmarkEnd w:id="9"/>
    </w:p>
    <w:p w14:paraId="64D1CF46">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项目总成本控制在预算范围内，各项项目的成本支出合理，未出现超支现象。</w:t>
      </w:r>
    </w:p>
    <w:p w14:paraId="1DABBC1B">
      <w:pPr>
        <w:pStyle w:val="11"/>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20" w:lineRule="exact"/>
        <w:ind w:leftChars="200" w:firstLine="320" w:firstLineChars="100"/>
        <w:textAlignment w:val="auto"/>
        <w:outlineLvl w:val="2"/>
        <w:rPr>
          <w:rFonts w:hint="eastAsia" w:ascii="仿宋" w:hAnsi="仿宋" w:eastAsia="仿宋" w:cs="仿宋"/>
          <w:i w:val="0"/>
          <w:iCs w:val="0"/>
          <w:caps w:val="0"/>
          <w:color w:val="000000"/>
          <w:spacing w:val="0"/>
          <w:kern w:val="0"/>
          <w:sz w:val="32"/>
          <w:szCs w:val="32"/>
          <w:highlight w:val="none"/>
          <w:shd w:val="clear" w:fill="FFFFFF"/>
          <w:lang w:val="en-US" w:eastAsia="zh-CN" w:bidi="ar"/>
        </w:rPr>
      </w:pPr>
      <w:bookmarkStart w:id="10" w:name="_Toc21477"/>
      <w:r>
        <w:rPr>
          <w:rFonts w:hint="eastAsia" w:ascii="仿宋" w:hAnsi="仿宋" w:eastAsia="仿宋" w:cs="仿宋"/>
          <w:i w:val="0"/>
          <w:iCs w:val="0"/>
          <w:caps w:val="0"/>
          <w:color w:val="000000"/>
          <w:spacing w:val="0"/>
          <w:kern w:val="0"/>
          <w:sz w:val="32"/>
          <w:szCs w:val="32"/>
          <w:highlight w:val="none"/>
          <w:shd w:val="clear" w:fill="FFFFFF"/>
          <w:lang w:val="en-US" w:eastAsia="zh-CN" w:bidi="ar"/>
        </w:rPr>
        <w:t>4.产出时效</w:t>
      </w:r>
      <w:bookmarkEnd w:id="10"/>
    </w:p>
    <w:p w14:paraId="0513840D">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按照预算批复及时支出专项资金，至2024年末，申请支付专项资金已支付到位。</w:t>
      </w:r>
    </w:p>
    <w:p w14:paraId="16F0CEFA">
      <w:pPr>
        <w:pStyle w:val="11"/>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bookmarkStart w:id="11" w:name="_Toc12690"/>
      <w:bookmarkStart w:id="12" w:name="_Toc3072"/>
    </w:p>
    <w:p w14:paraId="3AA61BBA">
      <w:pPr>
        <w:pStyle w:val="11"/>
        <w:keepNext w:val="0"/>
        <w:keepLines w:val="0"/>
        <w:pageBreakBefore w:val="0"/>
        <w:widowControl w:val="0"/>
        <w:numPr>
          <w:ilvl w:val="0"/>
          <w:numId w:val="11"/>
        </w:numPr>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项目效益情况</w:t>
      </w:r>
      <w:bookmarkEnd w:id="11"/>
      <w:bookmarkEnd w:id="12"/>
    </w:p>
    <w:p w14:paraId="097D4F0C">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通过上述努力，项目带来了积极的社会效益和经济效益。具体体现在：</w:t>
      </w:r>
    </w:p>
    <w:p w14:paraId="5C050983">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1.经济效益：通过促进就业和创业，增加了居民收入，拉动了消费，促进了经济增长。完善的社会保障体系，减轻了企业的负担，提高了企业的生产效率，为企业创造了良好的发展环境。</w:t>
      </w:r>
    </w:p>
    <w:p w14:paraId="25013572">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2.社会效益：稳定的就业局势和完善的社会保障体系，增强了人民群众的获得感和幸福感，促进了社会的和谐稳定，为社会创造了更多的就业机会。</w:t>
      </w:r>
    </w:p>
    <w:p w14:paraId="7ECF6CDD">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3.生态效益：引导劳动者在绿色产业就业，推动了绿色经济的发展，减少了资源消耗和环境污染。鼓励企业采用绿色人力资源管理模式，促进了企业的可持续发展，为生态文明建设做出了积极贡献。</w:t>
      </w:r>
    </w:p>
    <w:p w14:paraId="11CEFD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highlight w:val="none"/>
          <w:shd w:val="clear" w:fill="FFFFFF"/>
          <w:lang w:val="en-US" w:eastAsia="zh-CN" w:bidi="ar"/>
        </w:rPr>
      </w:pPr>
      <w:bookmarkStart w:id="13" w:name="_Toc390267055"/>
      <w:bookmarkStart w:id="14" w:name="_Toc390096931"/>
      <w:bookmarkStart w:id="15" w:name="_Toc12414"/>
      <w:bookmarkStart w:id="16" w:name="_Toc24241"/>
    </w:p>
    <w:p w14:paraId="667D37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highlight w:val="none"/>
          <w:shd w:val="clear" w:fill="FFFFFF"/>
          <w:lang w:val="en-US" w:eastAsia="zh-CN" w:bidi="ar"/>
        </w:rPr>
      </w:pPr>
      <w:r>
        <w:rPr>
          <w:rFonts w:hint="eastAsia" w:ascii="黑体" w:hAnsi="黑体" w:eastAsia="黑体" w:cs="黑体"/>
          <w:i w:val="0"/>
          <w:iCs w:val="0"/>
          <w:caps w:val="0"/>
          <w:color w:val="000000"/>
          <w:spacing w:val="0"/>
          <w:kern w:val="0"/>
          <w:sz w:val="32"/>
          <w:szCs w:val="32"/>
          <w:highlight w:val="none"/>
          <w:shd w:val="clear" w:fill="FFFFFF"/>
          <w:lang w:val="en-US" w:eastAsia="zh-CN" w:bidi="ar"/>
        </w:rPr>
        <w:t>五、项目主要经验、存在的问题</w:t>
      </w:r>
      <w:bookmarkEnd w:id="13"/>
      <w:bookmarkEnd w:id="14"/>
      <w:r>
        <w:rPr>
          <w:rFonts w:hint="eastAsia" w:ascii="黑体" w:hAnsi="黑体" w:eastAsia="黑体" w:cs="黑体"/>
          <w:i w:val="0"/>
          <w:iCs w:val="0"/>
          <w:caps w:val="0"/>
          <w:color w:val="000000"/>
          <w:spacing w:val="0"/>
          <w:kern w:val="0"/>
          <w:sz w:val="32"/>
          <w:szCs w:val="32"/>
          <w:highlight w:val="none"/>
          <w:shd w:val="clear" w:fill="FFFFFF"/>
          <w:lang w:val="en-US" w:eastAsia="zh-CN" w:bidi="ar"/>
        </w:rPr>
        <w:t>及建议</w:t>
      </w:r>
      <w:bookmarkEnd w:id="15"/>
      <w:bookmarkEnd w:id="16"/>
    </w:p>
    <w:p w14:paraId="226BB49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bookmarkStart w:id="17" w:name="_Toc23434"/>
      <w:bookmarkStart w:id="18" w:name="_Toc5316"/>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（一）项目主要经验</w:t>
      </w:r>
      <w:bookmarkEnd w:id="17"/>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及做法</w:t>
      </w:r>
      <w:bookmarkEnd w:id="18"/>
    </w:p>
    <w:p w14:paraId="6037E36C">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1. 领导对项目给予了高度重视，为此，专门成立了项目领导小组，领导小组由各相关领域的专业骨干组成，他们具备丰富的项目管理经验和专业知识。在项目推进过程中，领导小组积极发挥统筹规划和组织协调的关键作用，定期召开项目研讨会，全面分析项目进展情况，提前预判可能出现的问题，并制定详细的应对策略，全力确保项目能够按照预定计划顺利推进。</w:t>
      </w:r>
    </w:p>
    <w:p w14:paraId="1E4507E2">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 为保障项目的高效有序开展，建立并健全了一套完善的项目管理制度。该制度对项目申报、审批、实施、监督和评估等各个环节进行了细致规范。在项目申报环节，明确了申报条件、所需材料以及申报流程，确保申报信息的准确性和完整性；审批环节引入了多部门联合评审机制，从专业技术、经济效益、社会效益等多个维度进行综合评估，保证审批结果的科学性和公正性；实施过程中，要求项目团队制定详细的实施方案，明确各阶段的任务和时间节点，严格按照方案执行；监督环节设立了专门的监督小组，采用定期检查和不定期抽查相结合的方式，对项目进展、资金使用等情况进行全程监督；评估环节则制定了科学合理的评估指标体系，从项目完成质量、效益达成情况等方面进行全面评估，以此提高项目管理的规范化和科学化水平。</w:t>
      </w:r>
    </w:p>
    <w:p w14:paraId="60D6C157">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 xml:space="preserve">3. 为了推动项目的顺利实施，积极加强与相关部门和单位的合作。通过组织召开合作协调会、建立沟通联络机制等方式，加强彼此之间的信息共享和交流。在合作过程中，各部门和单位充分发挥自身优势，明确各自的职责和任务，形成了强大的工作合力。相关部门在政策支持、资源调配等方面给予大力配合，相关单位则在技术研发、项目执行等方面积极协作。大家心往一处想、劲往一处使，携手共同推进项目的实施，为项目的成功奠定了坚实基础。 </w:t>
      </w:r>
    </w:p>
    <w:p w14:paraId="327AB2D1">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bookmarkStart w:id="19" w:name="_Toc6772"/>
      <w:bookmarkStart w:id="20" w:name="_Toc2597"/>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（二）存在的问题</w:t>
      </w:r>
      <w:bookmarkEnd w:id="19"/>
      <w:bookmarkEnd w:id="20"/>
    </w:p>
    <w:p w14:paraId="574F1239">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1.部分项目的目标设定不够精准，与实际工作存在一定的脱节，导致项目实施效果未能完全达到预期。</w:t>
      </w:r>
    </w:p>
    <w:p w14:paraId="1E7F9A1A">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2.项目实施过程中，沟通协调机制不够完善，导致信息传递不及时、工作衔接不顺畅，影响了项目的进度和质量。</w:t>
      </w:r>
    </w:p>
    <w:p w14:paraId="2DBA9C7B">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3.项目绩效评价体系不够健全，评价指标不够科学、合理，评价方法不够灵活、多样，难以全面、准确地反映项目的绩效。</w:t>
      </w:r>
    </w:p>
    <w:p w14:paraId="17A8FA03">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p>
    <w:p w14:paraId="64DC2766">
      <w:pPr>
        <w:keepNext w:val="0"/>
        <w:keepLines w:val="0"/>
        <w:pageBreakBefore w:val="0"/>
        <w:widowControl w:val="0"/>
        <w:numPr>
          <w:ilvl w:val="0"/>
          <w:numId w:val="12"/>
        </w:numPr>
        <w:kinsoku/>
        <w:wordWrap/>
        <w:overflowPunct/>
        <w:topLinePunct w:val="0"/>
        <w:autoSpaceDE/>
        <w:autoSpaceDN/>
        <w:bidi w:val="0"/>
        <w:adjustRightInd/>
        <w:snapToGrid w:val="0"/>
        <w:spacing w:line="520" w:lineRule="exact"/>
        <w:ind w:left="0" w:leftChars="0" w:firstLine="0" w:firstLineChars="0"/>
        <w:textAlignment w:val="auto"/>
        <w:outlineLvl w:val="1"/>
        <w:rPr>
          <w:rFonts w:hint="eastAsia" w:ascii="楷体" w:hAnsi="楷体" w:eastAsia="楷体" w:cs="楷体"/>
          <w:b/>
          <w:bCs/>
          <w:i w:val="0"/>
          <w:iCs w:val="0"/>
          <w:caps w:val="0"/>
          <w:color w:val="000000"/>
          <w:spacing w:val="0"/>
          <w:kern w:val="0"/>
          <w:sz w:val="32"/>
          <w:szCs w:val="32"/>
          <w:highlight w:val="none"/>
          <w:shd w:val="clear" w:fill="FFFFFF"/>
          <w:lang w:val="en-US" w:eastAsia="zh-CN" w:bidi="ar"/>
        </w:rPr>
      </w:pPr>
      <w:bookmarkStart w:id="21" w:name="_Toc29278"/>
      <w:bookmarkStart w:id="22" w:name="_Toc16271"/>
      <w:r>
        <w:rPr>
          <w:rFonts w:hint="eastAsia" w:ascii="楷体" w:hAnsi="楷体" w:eastAsia="楷体" w:cs="楷体"/>
          <w:b/>
          <w:bCs/>
          <w:i w:val="0"/>
          <w:iCs w:val="0"/>
          <w:caps w:val="0"/>
          <w:color w:val="000000"/>
          <w:spacing w:val="0"/>
          <w:kern w:val="0"/>
          <w:sz w:val="32"/>
          <w:szCs w:val="32"/>
          <w:highlight w:val="none"/>
          <w:shd w:val="clear" w:fill="FFFFFF"/>
          <w:lang w:val="en-US" w:eastAsia="zh-CN" w:bidi="ar"/>
        </w:rPr>
        <w:t>有关建议</w:t>
      </w:r>
      <w:bookmarkEnd w:id="21"/>
      <w:bookmarkEnd w:id="22"/>
    </w:p>
    <w:p w14:paraId="54390D3A">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1.完善沟通协调机制，建立定期的工作例会制度和信息共享平台，加强部门之间、科室之间的沟通与协作，确保项目顺利推进。</w:t>
      </w:r>
    </w:p>
    <w:p w14:paraId="1914D2C5">
      <w:pPr>
        <w:ind w:firstLine="809" w:firstLineChars="253"/>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2.健全项目绩效评价体系，结合项目特点和实际需求，科学设置评价指标，合理选择评价方法，加强对评价结果的应用，将评价结果作为改进项目管理和资金分配的重要依据。</w:t>
      </w:r>
    </w:p>
    <w:p w14:paraId="0CB7CE98">
      <w:pPr>
        <w:ind w:firstLine="809" w:firstLineChars="253"/>
        <w:rPr>
          <w:rFonts w:hint="default" w:ascii="仿宋" w:hAnsi="仿宋" w:eastAsia="仿宋" w:cs="仿宋"/>
          <w:i w:val="0"/>
          <w:iCs w:val="0"/>
          <w:caps w:val="0"/>
          <w:color w:val="000000"/>
          <w:spacing w:val="0"/>
          <w:kern w:val="0"/>
          <w:sz w:val="32"/>
          <w:szCs w:val="32"/>
          <w:highlight w:val="none"/>
          <w:shd w:val="clear" w:fill="FFFFFF"/>
          <w:lang w:val="en-US" w:eastAsia="zh-CN" w:bidi="ar"/>
        </w:rPr>
      </w:pPr>
    </w:p>
    <w:p w14:paraId="4FE2F23E">
      <w:pPr>
        <w:ind w:left="0" w:leftChars="0" w:firstLine="0" w:firstLineChars="0"/>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default" w:ascii="仿宋" w:hAnsi="仿宋" w:eastAsia="仿宋" w:cs="仿宋"/>
          <w:i w:val="0"/>
          <w:iCs w:val="0"/>
          <w:caps w:val="0"/>
          <w:color w:val="000000"/>
          <w:spacing w:val="0"/>
          <w:kern w:val="0"/>
          <w:sz w:val="32"/>
          <w:szCs w:val="32"/>
          <w:highlight w:val="none"/>
          <w:shd w:val="clear" w:fill="FFFFFF"/>
          <w:lang w:val="en-US" w:eastAsia="zh-CN" w:bidi="ar"/>
        </w:rPr>
        <w:t>报告应包括以下附件：</w:t>
      </w:r>
    </w:p>
    <w:p w14:paraId="2E95909D">
      <w:pPr>
        <w:ind w:left="0" w:leftChars="0" w:firstLine="0" w:firstLineChars="0"/>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default" w:ascii="仿宋" w:hAnsi="仿宋" w:eastAsia="仿宋" w:cs="仿宋"/>
          <w:i w:val="0"/>
          <w:iCs w:val="0"/>
          <w:caps w:val="0"/>
          <w:color w:val="000000"/>
          <w:spacing w:val="0"/>
          <w:kern w:val="0"/>
          <w:sz w:val="32"/>
          <w:szCs w:val="32"/>
          <w:highlight w:val="none"/>
          <w:shd w:val="clear" w:fill="FFFFFF"/>
          <w:lang w:val="en-US" w:eastAsia="zh-CN" w:bidi="ar"/>
        </w:rPr>
        <w:t>项目支出绩效自评表（一个项目支出一张表）</w:t>
      </w:r>
    </w:p>
    <w:p w14:paraId="630EB574">
      <w:pPr>
        <w:bidi w:val="0"/>
        <w:rPr>
          <w:rFonts w:hint="eastAsia" w:ascii="方正公文仿宋" w:hAnsi="方正公文仿宋" w:eastAsia="方正公文仿宋" w:cs="方正公文仿宋"/>
          <w:highlight w:val="none"/>
          <w:lang w:val="en-US" w:eastAsia="zh-CN"/>
        </w:rPr>
      </w:pPr>
    </w:p>
    <w:p w14:paraId="08CBA99F">
      <w:pPr>
        <w:bidi w:val="0"/>
        <w:rPr>
          <w:rFonts w:hint="eastAsia"/>
          <w:highlight w:val="none"/>
          <w:lang w:val="en-US" w:eastAsia="zh-CN"/>
        </w:rPr>
      </w:pPr>
    </w:p>
    <w:p w14:paraId="3AAC59BD">
      <w:pPr>
        <w:bidi w:val="0"/>
        <w:rPr>
          <w:rFonts w:hint="eastAsia"/>
          <w:highlight w:val="none"/>
          <w:lang w:val="en-US" w:eastAsia="zh-CN"/>
        </w:rPr>
      </w:pPr>
    </w:p>
    <w:p w14:paraId="67987C1B">
      <w:pPr>
        <w:bidi w:val="0"/>
        <w:rPr>
          <w:rFonts w:hint="default"/>
          <w:sz w:val="32"/>
          <w:szCs w:val="32"/>
          <w:highlight w:val="none"/>
          <w:lang w:val="en-US" w:eastAsia="zh-CN"/>
        </w:rPr>
      </w:pPr>
      <w:r>
        <w:rPr>
          <w:rFonts w:hint="eastAsia"/>
          <w:sz w:val="32"/>
          <w:szCs w:val="32"/>
          <w:highlight w:val="none"/>
          <w:lang w:val="en-US" w:eastAsia="zh-CN"/>
        </w:rPr>
        <w:t>附件2-1</w:t>
      </w:r>
    </w:p>
    <w:p w14:paraId="76A00561">
      <w:pPr>
        <w:jc w:val="left"/>
        <w:rPr>
          <w:rFonts w:hint="eastAsia" w:cs="黑体" w:asciiTheme="minorEastAsia" w:hAnsiTheme="minorEastAsia" w:eastAsiaTheme="minorEastAsia"/>
          <w:color w:val="000000"/>
          <w:kern w:val="0"/>
          <w:sz w:val="32"/>
          <w:szCs w:val="32"/>
          <w:highlight w:val="none"/>
          <w:lang w:eastAsia="zh-CN"/>
        </w:rPr>
      </w:pPr>
      <w:r>
        <w:rPr>
          <w:rFonts w:hint="eastAsia" w:cs="黑体" w:asciiTheme="minorEastAsia" w:hAnsiTheme="minorEastAsia" w:eastAsiaTheme="minorEastAsia"/>
          <w:color w:val="000000"/>
          <w:kern w:val="0"/>
          <w:sz w:val="32"/>
          <w:szCs w:val="32"/>
          <w:highlight w:val="none"/>
          <w:lang w:eastAsia="zh-CN"/>
        </w:rPr>
        <w:object>
          <v:shape id="_x0000_i1025" o:spt="75" type="#_x0000_t75" style="height:66pt;width:72.75pt;" o:ole="t" filled="f" o:preferrelative="t" stroked="f" coordsize="21600,21600">
            <v:path/>
            <v:fill on="f" focussize="0,0"/>
            <v:stroke on="f"/>
            <v:imagedata r:id="rId5" o:title=""/>
            <o:lock v:ext="edit" aspectratio="t"/>
            <w10:wrap type="none"/>
            <w10:anchorlock/>
          </v:shape>
          <o:OLEObject Type="Embed" ProgID="Word.Document.12" ShapeID="_x0000_i1025" DrawAspect="Icon" ObjectID="_1468075725" r:id="rId4">
            <o:LockedField>false</o:LockedField>
          </o:OLEObject>
        </w:object>
      </w:r>
      <w:r>
        <w:rPr>
          <w:rFonts w:hint="eastAsia" w:cs="黑体" w:asciiTheme="minorEastAsia" w:hAnsiTheme="minorEastAsia" w:eastAsiaTheme="minorEastAsia"/>
          <w:color w:val="000000"/>
          <w:kern w:val="0"/>
          <w:sz w:val="32"/>
          <w:szCs w:val="32"/>
          <w:highlight w:val="none"/>
          <w:lang w:eastAsia="zh-CN"/>
        </w:rPr>
        <w:object>
          <v:shape id="_x0000_i1026" o:spt="75" type="#_x0000_t75" style="height:66pt;width:72.75pt;" o:ole="t" filled="f" o:preferrelative="t" stroked="f" coordsize="21600,21600">
            <v:path/>
            <v:fill on="f" focussize="0,0"/>
            <v:stroke on="f"/>
            <v:imagedata r:id="rId7" o:title=""/>
            <o:lock v:ext="edit" aspectratio="t"/>
            <w10:wrap type="none"/>
            <w10:anchorlock/>
          </v:shape>
          <o:OLEObject Type="Embed" ProgID="Word.Document.12" ShapeID="_x0000_i1026" DrawAspect="Icon" ObjectID="_1468075726" r:id="rId6">
            <o:LockedField>false</o:LockedField>
          </o:OLEObject>
        </w:object>
      </w:r>
      <w:r>
        <w:rPr>
          <w:rFonts w:hint="eastAsia" w:cs="黑体" w:asciiTheme="minorEastAsia" w:hAnsiTheme="minorEastAsia" w:eastAsiaTheme="minorEastAsia"/>
          <w:color w:val="000000"/>
          <w:kern w:val="0"/>
          <w:sz w:val="32"/>
          <w:szCs w:val="32"/>
          <w:highlight w:val="none"/>
          <w:lang w:eastAsia="zh-CN"/>
        </w:rPr>
        <w:object>
          <v:shape id="_x0000_i1027" o:spt="75" type="#_x0000_t75" style="height:66pt;width:72.75pt;" o:ole="t" filled="f" o:preferrelative="t" stroked="f" coordsize="21600,21600">
            <v:path/>
            <v:fill on="f" focussize="0,0"/>
            <v:stroke on="f"/>
            <v:imagedata r:id="rId9" o:title=""/>
            <o:lock v:ext="edit" aspectratio="t"/>
            <w10:wrap type="none"/>
            <w10:anchorlock/>
          </v:shape>
          <o:OLEObject Type="Embed" ProgID="Word.Document.12" ShapeID="_x0000_i1027" DrawAspect="Icon" ObjectID="_1468075727" r:id="rId8">
            <o:LockedField>false</o:LockedField>
          </o:OLEObject>
        </w:object>
      </w:r>
      <w:r>
        <w:rPr>
          <w:rFonts w:hint="eastAsia" w:cs="黑体" w:asciiTheme="minorEastAsia" w:hAnsiTheme="minorEastAsia" w:eastAsiaTheme="minorEastAsia"/>
          <w:color w:val="000000"/>
          <w:kern w:val="0"/>
          <w:sz w:val="32"/>
          <w:szCs w:val="32"/>
          <w:highlight w:val="none"/>
          <w:lang w:eastAsia="zh-CN"/>
        </w:rPr>
        <w:object>
          <v:shape id="_x0000_i1028" o:spt="75" type="#_x0000_t75" style="height:66pt;width:72.75pt;" o:ole="t" filled="f" o:preferrelative="t" stroked="f" coordsize="21600,21600">
            <v:path/>
            <v:fill on="f" focussize="0,0"/>
            <v:stroke on="f"/>
            <v:imagedata r:id="rId11" o:title=""/>
            <o:lock v:ext="edit" aspectratio="t"/>
            <w10:wrap type="none"/>
            <w10:anchorlock/>
          </v:shape>
          <o:OLEObject Type="Embed" ProgID="Word.Document.12" ShapeID="_x0000_i1028" DrawAspect="Icon" ObjectID="_1468075728" r:id="rId10">
            <o:LockedField>false</o:LockedField>
          </o:OLEObject>
        </w:object>
      </w:r>
      <w:r>
        <w:rPr>
          <w:rFonts w:hint="eastAsia" w:cs="黑体" w:asciiTheme="minorEastAsia" w:hAnsiTheme="minorEastAsia" w:eastAsiaTheme="minorEastAsia"/>
          <w:color w:val="000000"/>
          <w:kern w:val="0"/>
          <w:sz w:val="32"/>
          <w:szCs w:val="32"/>
          <w:highlight w:val="none"/>
          <w:lang w:eastAsia="zh-CN"/>
        </w:rPr>
        <w:object>
          <v:shape id="_x0000_i1029" o:spt="75" type="#_x0000_t75" style="height:66pt;width:72.75pt;" o:ole="t" filled="f" o:preferrelative="t" stroked="f" coordsize="21600,21600">
            <v:path/>
            <v:fill on="f" focussize="0,0"/>
            <v:stroke on="f"/>
            <v:imagedata r:id="rId13" o:title=""/>
            <o:lock v:ext="edit" aspectratio="t"/>
            <w10:wrap type="none"/>
            <w10:anchorlock/>
          </v:shape>
          <o:OLEObject Type="Embed" ProgID="Word.Document.8" ShapeID="_x0000_i1029" DrawAspect="Icon" ObjectID="_1468075729" r:id="rId12">
            <o:LockedField>false</o:LockedField>
          </o:OLEObject>
        </w:object>
      </w:r>
      <w:r>
        <w:rPr>
          <w:rFonts w:hint="eastAsia" w:cs="黑体" w:asciiTheme="minorEastAsia" w:hAnsiTheme="minorEastAsia" w:eastAsiaTheme="minorEastAsia"/>
          <w:color w:val="000000"/>
          <w:kern w:val="0"/>
          <w:sz w:val="32"/>
          <w:szCs w:val="32"/>
          <w:highlight w:val="none"/>
          <w:lang w:eastAsia="zh-CN"/>
        </w:rPr>
        <w:object>
          <v:shape id="_x0000_i1030" o:spt="75" type="#_x0000_t75" style="height:66pt;width:72.75pt;" o:ole="t" filled="f" o:preferrelative="t" stroked="f" coordsize="21600,21600">
            <v:path/>
            <v:fill on="f" focussize="0,0"/>
            <v:stroke on="f"/>
            <v:imagedata r:id="rId15" o:title=""/>
            <o:lock v:ext="edit" aspectratio="t"/>
            <w10:wrap type="none"/>
            <w10:anchorlock/>
          </v:shape>
          <o:OLEObject Type="Embed" ProgID="Word.Document.12" ShapeID="_x0000_i1030" DrawAspect="Icon" ObjectID="_1468075730" r:id="rId14">
            <o:LockedField>false</o:LockedField>
          </o:OLEObject>
        </w:object>
      </w:r>
      <w:r>
        <w:rPr>
          <w:rFonts w:hint="eastAsia" w:cs="黑体" w:asciiTheme="minorEastAsia" w:hAnsiTheme="minorEastAsia" w:eastAsiaTheme="minorEastAsia"/>
          <w:color w:val="000000"/>
          <w:kern w:val="0"/>
          <w:sz w:val="32"/>
          <w:szCs w:val="32"/>
          <w:highlight w:val="none"/>
          <w:lang w:eastAsia="zh-CN"/>
        </w:rPr>
        <w:object>
          <v:shape id="_x0000_i1031" o:spt="75" type="#_x0000_t75" style="height:66pt;width:72.75pt;" o:ole="t" filled="f" o:preferrelative="t" stroked="f" coordsize="21600,21600">
            <v:path/>
            <v:fill on="f" focussize="0,0"/>
            <v:stroke on="f"/>
            <v:imagedata r:id="rId17" o:title=""/>
            <o:lock v:ext="edit" aspectratio="t"/>
            <w10:wrap type="none"/>
            <w10:anchorlock/>
          </v:shape>
          <o:OLEObject Type="Embed" ProgID="Word.Document.12" ShapeID="_x0000_i1031" DrawAspect="Icon" ObjectID="_1468075731" r:id="rId16">
            <o:LockedField>false</o:LockedField>
          </o:OLEObject>
        </w:object>
      </w:r>
      <w:r>
        <w:rPr>
          <w:rFonts w:hint="eastAsia" w:cs="黑体" w:asciiTheme="minorEastAsia" w:hAnsiTheme="minorEastAsia" w:eastAsiaTheme="minorEastAsia"/>
          <w:color w:val="000000"/>
          <w:kern w:val="0"/>
          <w:sz w:val="32"/>
          <w:szCs w:val="32"/>
          <w:highlight w:val="none"/>
          <w:lang w:eastAsia="zh-CN"/>
        </w:rPr>
        <w:object>
          <v:shape id="_x0000_i1032" o:spt="75" type="#_x0000_t75" style="height:66pt;width:72.75pt;" o:ole="t" filled="f" o:preferrelative="t" stroked="f" coordsize="21600,21600">
            <v:path/>
            <v:fill on="f" focussize="0,0"/>
            <v:stroke on="f"/>
            <v:imagedata r:id="rId19" o:title=""/>
            <o:lock v:ext="edit" aspectratio="t"/>
            <w10:wrap type="none"/>
            <w10:anchorlock/>
          </v:shape>
          <o:OLEObject Type="Embed" ProgID="Word.Document.12" ShapeID="_x0000_i1032" DrawAspect="Icon" ObjectID="_1468075732" r:id="rId18">
            <o:LockedField>false</o:LockedField>
          </o:OLEObject>
        </w:object>
      </w:r>
    </w:p>
    <w:sectPr>
      <w:pgSz w:w="11906" w:h="16838"/>
      <w:pgMar w:top="1140" w:right="1526" w:bottom="720" w:left="136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83867D-DCBB-4EED-9E14-8E1EB2F0BDD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2FF" w:usb1="400004FF"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2" w:fontKey="{D29F673E-C351-41EA-978C-6B12303852CE}"/>
  </w:font>
  <w:font w:name="方正小标宋_GBK">
    <w:panose1 w:val="02000000000000000000"/>
    <w:charset w:val="86"/>
    <w:family w:val="script"/>
    <w:pitch w:val="default"/>
    <w:sig w:usb0="A00002BF" w:usb1="38CF7CFA" w:usb2="00082016" w:usb3="00000000" w:csb0="00040001" w:csb1="00000000"/>
    <w:embedRegular r:id="rId3" w:fontKey="{BE34652C-4206-48CB-A0C5-8DA1F249DC09}"/>
  </w:font>
  <w:font w:name="方正仿宋_GB2312">
    <w:panose1 w:val="02000000000000000000"/>
    <w:charset w:val="86"/>
    <w:family w:val="auto"/>
    <w:pitch w:val="default"/>
    <w:sig w:usb0="A00002BF" w:usb1="184F6CFA" w:usb2="00000012" w:usb3="00000000" w:csb0="00040001" w:csb1="00000000"/>
    <w:embedRegular r:id="rId4" w:fontKey="{63D25C17-6753-4D29-9BF7-494CB1833A53}"/>
  </w:font>
  <w:font w:name="仿宋_GB2312">
    <w:panose1 w:val="02010609030101010101"/>
    <w:charset w:val="86"/>
    <w:family w:val="modern"/>
    <w:pitch w:val="default"/>
    <w:sig w:usb0="00000001" w:usb1="080E0000" w:usb2="00000000" w:usb3="00000000" w:csb0="00040000" w:csb1="00000000"/>
    <w:embedRegular r:id="rId5" w:fontKey="{49DF7059-F07F-4A9E-AB98-8BD14D57F524}"/>
  </w:font>
  <w:font w:name="方正楷体_GB2312">
    <w:panose1 w:val="02000000000000000000"/>
    <w:charset w:val="86"/>
    <w:family w:val="auto"/>
    <w:pitch w:val="default"/>
    <w:sig w:usb0="A00002BF" w:usb1="184F6CFA" w:usb2="00000012" w:usb3="00000000" w:csb0="00040001" w:csb1="00000000"/>
    <w:embedRegular r:id="rId6" w:fontKey="{96635709-C8A6-4173-9D62-63B8F311CC84}"/>
  </w:font>
  <w:font w:name="仿宋">
    <w:panose1 w:val="02010609060101010101"/>
    <w:charset w:val="86"/>
    <w:family w:val="auto"/>
    <w:pitch w:val="default"/>
    <w:sig w:usb0="800002BF" w:usb1="38CF7CFA" w:usb2="00000016" w:usb3="00000000" w:csb0="00040001" w:csb1="00000000"/>
    <w:embedRegular r:id="rId7" w:fontKey="{58098D79-B6EB-486E-AE49-B4D4127D7630}"/>
  </w:font>
  <w:font w:name="方正小标宋简体">
    <w:panose1 w:val="02000000000000000000"/>
    <w:charset w:val="86"/>
    <w:family w:val="auto"/>
    <w:pitch w:val="default"/>
    <w:sig w:usb0="00000001" w:usb1="08000000" w:usb2="00000000" w:usb3="00000000" w:csb0="00040000" w:csb1="00000000"/>
    <w:embedRegular r:id="rId8" w:fontKey="{FE7A1BFB-7EC6-41A6-AFAA-18ED423287B7}"/>
  </w:font>
  <w:font w:name="微软雅黑">
    <w:panose1 w:val="020B0503020204020204"/>
    <w:charset w:val="86"/>
    <w:family w:val="auto"/>
    <w:pitch w:val="default"/>
    <w:sig w:usb0="80000287" w:usb1="280F3C52" w:usb2="00000016" w:usb3="00000000" w:csb0="0004001F" w:csb1="00000000"/>
  </w:font>
  <w:font w:name="方正公文仿宋">
    <w:panose1 w:val="02000500000000000000"/>
    <w:charset w:val="86"/>
    <w:family w:val="auto"/>
    <w:pitch w:val="default"/>
    <w:sig w:usb0="A00002BF" w:usb1="38CF7CFA" w:usb2="00000016" w:usb3="00000000" w:csb0="00040001" w:csb1="00000000"/>
    <w:embedRegular r:id="rId9" w:fontKey="{5A634769-5FA7-4EAA-B226-36CF77B4C548}"/>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0643A1"/>
    <w:multiLevelType w:val="singleLevel"/>
    <w:tmpl w:val="990643A1"/>
    <w:lvl w:ilvl="0" w:tentative="0">
      <w:start w:val="9"/>
      <w:numFmt w:val="decimal"/>
      <w:suff w:val="nothing"/>
      <w:lvlText w:val="%1、"/>
      <w:lvlJc w:val="left"/>
    </w:lvl>
  </w:abstractNum>
  <w:abstractNum w:abstractNumId="1">
    <w:nsid w:val="B2D18B7A"/>
    <w:multiLevelType w:val="singleLevel"/>
    <w:tmpl w:val="B2D18B7A"/>
    <w:lvl w:ilvl="0" w:tentative="0">
      <w:start w:val="7"/>
      <w:numFmt w:val="chineseCounting"/>
      <w:suff w:val="nothing"/>
      <w:lvlText w:val="%1、"/>
      <w:lvlJc w:val="left"/>
      <w:rPr>
        <w:rFonts w:hint="eastAsia"/>
      </w:rPr>
    </w:lvl>
  </w:abstractNum>
  <w:abstractNum w:abstractNumId="2">
    <w:nsid w:val="B78C1A5B"/>
    <w:multiLevelType w:val="singleLevel"/>
    <w:tmpl w:val="B78C1A5B"/>
    <w:lvl w:ilvl="0" w:tentative="0">
      <w:start w:val="2"/>
      <w:numFmt w:val="chineseCounting"/>
      <w:suff w:val="nothing"/>
      <w:lvlText w:val="（%1）"/>
      <w:lvlJc w:val="left"/>
      <w:rPr>
        <w:rFonts w:hint="eastAsia"/>
      </w:rPr>
    </w:lvl>
  </w:abstractNum>
  <w:abstractNum w:abstractNumId="3">
    <w:nsid w:val="FBA7B652"/>
    <w:multiLevelType w:val="singleLevel"/>
    <w:tmpl w:val="FBA7B652"/>
    <w:lvl w:ilvl="0" w:tentative="0">
      <w:start w:val="2"/>
      <w:numFmt w:val="chineseCounting"/>
      <w:suff w:val="nothing"/>
      <w:lvlText w:val="（%1）"/>
      <w:lvlJc w:val="left"/>
      <w:rPr>
        <w:rFonts w:hint="eastAsia"/>
      </w:rPr>
    </w:lvl>
  </w:abstractNum>
  <w:abstractNum w:abstractNumId="4">
    <w:nsid w:val="0053208E"/>
    <w:multiLevelType w:val="multilevel"/>
    <w:tmpl w:val="0053208E"/>
    <w:lvl w:ilvl="0" w:tentative="0">
      <w:start w:val="1"/>
      <w:numFmt w:val="bullet"/>
      <w:lvlText w:val="•"/>
      <w:lvlJc w:val="left"/>
      <w:pPr>
        <w:ind w:left="288" w:hanging="288"/>
      </w:pPr>
      <w:rPr>
        <w:color w:val="3370FF"/>
        <w:sz w:val="22"/>
        <w:szCs w:val="22"/>
      </w:rPr>
    </w:lvl>
    <w:lvl w:ilvl="1" w:tentative="0">
      <w:start w:val="1"/>
      <w:numFmt w:val="bullet"/>
      <w:lvlText w:val="◦"/>
      <w:lvlJc w:val="left"/>
      <w:pPr>
        <w:ind w:left="720" w:hanging="288"/>
      </w:pPr>
      <w:rPr>
        <w:color w:val="3370FF"/>
        <w:sz w:val="22"/>
        <w:szCs w:val="22"/>
      </w:rPr>
    </w:lvl>
    <w:lvl w:ilvl="2" w:tentative="0">
      <w:start w:val="1"/>
      <w:numFmt w:val="bullet"/>
      <w:lvlText w:val="▪"/>
      <w:lvlJc w:val="left"/>
      <w:pPr>
        <w:ind w:left="1152" w:hanging="288"/>
      </w:pPr>
      <w:rPr>
        <w:color w:val="3370FF"/>
        <w:sz w:val="22"/>
        <w:szCs w:val="22"/>
      </w:rPr>
    </w:lvl>
    <w:lvl w:ilvl="3" w:tentative="0">
      <w:start w:val="1"/>
      <w:numFmt w:val="bullet"/>
      <w:lvlText w:val="•"/>
      <w:lvlJc w:val="left"/>
      <w:pPr>
        <w:ind w:left="1583" w:hanging="288"/>
      </w:pPr>
      <w:rPr>
        <w:color w:val="3370FF"/>
        <w:sz w:val="22"/>
        <w:szCs w:val="22"/>
      </w:rPr>
    </w:lvl>
    <w:lvl w:ilvl="4" w:tentative="0">
      <w:start w:val="1"/>
      <w:numFmt w:val="bullet"/>
      <w:lvlText w:val="◦"/>
      <w:lvlJc w:val="left"/>
      <w:pPr>
        <w:ind w:left="2015" w:hanging="288"/>
      </w:pPr>
      <w:rPr>
        <w:color w:val="3370FF"/>
        <w:sz w:val="22"/>
        <w:szCs w:val="22"/>
      </w:rPr>
    </w:lvl>
    <w:lvl w:ilvl="5" w:tentative="0">
      <w:start w:val="1"/>
      <w:numFmt w:val="bullet"/>
      <w:lvlText w:val="▪"/>
      <w:lvlJc w:val="left"/>
      <w:pPr>
        <w:ind w:left="2448" w:hanging="288"/>
      </w:pPr>
      <w:rPr>
        <w:color w:val="3370FF"/>
        <w:sz w:val="22"/>
        <w:szCs w:val="22"/>
      </w:rPr>
    </w:lvl>
    <w:lvl w:ilvl="6" w:tentative="0">
      <w:start w:val="1"/>
      <w:numFmt w:val="bullet"/>
      <w:lvlText w:val="•"/>
      <w:lvlJc w:val="left"/>
      <w:pPr>
        <w:ind w:left="2879" w:hanging="288"/>
      </w:pPr>
      <w:rPr>
        <w:color w:val="3370FF"/>
        <w:sz w:val="22"/>
        <w:szCs w:val="22"/>
      </w:rPr>
    </w:lvl>
    <w:lvl w:ilvl="7" w:tentative="0">
      <w:start w:val="1"/>
      <w:numFmt w:val="bullet"/>
      <w:lvlText w:val="◦"/>
      <w:lvlJc w:val="left"/>
      <w:pPr>
        <w:ind w:left="3312" w:hanging="288"/>
      </w:pPr>
      <w:rPr>
        <w:color w:val="3370FF"/>
        <w:sz w:val="22"/>
        <w:szCs w:val="22"/>
      </w:rPr>
    </w:lvl>
    <w:lvl w:ilvl="8" w:tentative="0">
      <w:start w:val="1"/>
      <w:numFmt w:val="bullet"/>
      <w:lvlText w:val="▪"/>
      <w:lvlJc w:val="left"/>
      <w:pPr>
        <w:ind w:left="3744" w:hanging="288"/>
      </w:pPr>
      <w:rPr>
        <w:color w:val="3370FF"/>
        <w:sz w:val="22"/>
        <w:szCs w:val="22"/>
      </w:rPr>
    </w:lvl>
  </w:abstractNum>
  <w:abstractNum w:abstractNumId="5">
    <w:nsid w:val="01545C5C"/>
    <w:multiLevelType w:val="singleLevel"/>
    <w:tmpl w:val="01545C5C"/>
    <w:lvl w:ilvl="0" w:tentative="0">
      <w:start w:val="1"/>
      <w:numFmt w:val="bullet"/>
      <w:lvlText w:val="․"/>
      <w:lvlJc w:val="left"/>
      <w:pPr>
        <w:ind w:left="420" w:leftChars="0" w:hanging="420" w:firstLineChars="0"/>
      </w:pPr>
      <w:rPr>
        <w:rFonts w:hint="default" w:ascii="微软雅黑" w:hAnsi="微软雅黑" w:eastAsia="微软雅黑" w:cs="微软雅黑"/>
      </w:rPr>
    </w:lvl>
  </w:abstractNum>
  <w:abstractNum w:abstractNumId="6">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85376D3"/>
    <w:multiLevelType w:val="singleLevel"/>
    <w:tmpl w:val="585376D3"/>
    <w:lvl w:ilvl="0" w:tentative="0">
      <w:start w:val="4"/>
      <w:numFmt w:val="chineseCounting"/>
      <w:lvlText w:val="(%1)"/>
      <w:lvlJc w:val="left"/>
      <w:pPr>
        <w:tabs>
          <w:tab w:val="left" w:pos="312"/>
        </w:tabs>
      </w:pPr>
      <w:rPr>
        <w:rFonts w:hint="eastAsia"/>
      </w:rPr>
    </w:lvl>
  </w:abstractNum>
  <w:abstractNum w:abstractNumId="8">
    <w:nsid w:val="5C0DAC98"/>
    <w:multiLevelType w:val="singleLevel"/>
    <w:tmpl w:val="5C0DAC98"/>
    <w:lvl w:ilvl="0" w:tentative="0">
      <w:start w:val="2"/>
      <w:numFmt w:val="decimal"/>
      <w:suff w:val="nothing"/>
      <w:lvlText w:val="%1、"/>
      <w:lvlJc w:val="left"/>
    </w:lvl>
  </w:abstractNum>
  <w:abstractNum w:abstractNumId="9">
    <w:nsid w:val="5ED5A915"/>
    <w:multiLevelType w:val="singleLevel"/>
    <w:tmpl w:val="5ED5A915"/>
    <w:lvl w:ilvl="0" w:tentative="0">
      <w:start w:val="1"/>
      <w:numFmt w:val="chineseCounting"/>
      <w:suff w:val="nothing"/>
      <w:lvlText w:val="%1、"/>
      <w:lvlJc w:val="left"/>
      <w:rPr>
        <w:rFonts w:hint="eastAsia"/>
      </w:rPr>
    </w:lvl>
  </w:abstractNum>
  <w:abstractNum w:abstractNumId="10">
    <w:nsid w:val="735C58F1"/>
    <w:multiLevelType w:val="singleLevel"/>
    <w:tmpl w:val="735C58F1"/>
    <w:lvl w:ilvl="0" w:tentative="0">
      <w:start w:val="2"/>
      <w:numFmt w:val="chineseCounting"/>
      <w:suff w:val="nothing"/>
      <w:lvlText w:val="（%1）"/>
      <w:lvlJc w:val="left"/>
      <w:rPr>
        <w:rFonts w:hint="eastAsia"/>
      </w:rPr>
    </w:lvl>
  </w:abstractNum>
  <w:abstractNum w:abstractNumId="11">
    <w:nsid w:val="7E464033"/>
    <w:multiLevelType w:val="singleLevel"/>
    <w:tmpl w:val="7E464033"/>
    <w:lvl w:ilvl="0" w:tentative="0">
      <w:start w:val="7"/>
      <w:numFmt w:val="decimal"/>
      <w:suff w:val="nothing"/>
      <w:lvlText w:val="%1、"/>
      <w:lvlJc w:val="left"/>
    </w:lvl>
  </w:abstractNum>
  <w:num w:numId="1">
    <w:abstractNumId w:val="6"/>
  </w:num>
  <w:num w:numId="2">
    <w:abstractNumId w:val="10"/>
  </w:num>
  <w:num w:numId="3">
    <w:abstractNumId w:val="8"/>
  </w:num>
  <w:num w:numId="4">
    <w:abstractNumId w:val="11"/>
  </w:num>
  <w:num w:numId="5">
    <w:abstractNumId w:val="0"/>
  </w:num>
  <w:num w:numId="6">
    <w:abstractNumId w:val="1"/>
  </w:num>
  <w:num w:numId="7">
    <w:abstractNumId w:val="9"/>
  </w:num>
  <w:num w:numId="8">
    <w:abstractNumId w:val="5"/>
  </w:num>
  <w:num w:numId="9">
    <w:abstractNumId w:val="4"/>
    <w:lvlOverride w:ilvl="0">
      <w:startOverride w:val="1"/>
    </w:lvlOverride>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yNmRhNTE5MDRkY2EyNGIyZDVmZjIzYTVhYmRjZD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C65B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621A8"/>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DD1E9F"/>
    <w:rsid w:val="01DE2ECD"/>
    <w:rsid w:val="01DE4110"/>
    <w:rsid w:val="02996051"/>
    <w:rsid w:val="02DF57A3"/>
    <w:rsid w:val="033624C6"/>
    <w:rsid w:val="033A0C2B"/>
    <w:rsid w:val="03C45E94"/>
    <w:rsid w:val="03F10E17"/>
    <w:rsid w:val="04A66578"/>
    <w:rsid w:val="04B17AEB"/>
    <w:rsid w:val="054A784B"/>
    <w:rsid w:val="06225390"/>
    <w:rsid w:val="077C69D1"/>
    <w:rsid w:val="07854B6B"/>
    <w:rsid w:val="08123F24"/>
    <w:rsid w:val="08580653"/>
    <w:rsid w:val="085D7BF2"/>
    <w:rsid w:val="090D0F93"/>
    <w:rsid w:val="09261188"/>
    <w:rsid w:val="096114AF"/>
    <w:rsid w:val="0A130AEC"/>
    <w:rsid w:val="0A83110A"/>
    <w:rsid w:val="0AB67731"/>
    <w:rsid w:val="0AFC539E"/>
    <w:rsid w:val="0B222321"/>
    <w:rsid w:val="0BCD6AE0"/>
    <w:rsid w:val="0CE75980"/>
    <w:rsid w:val="0DAF0B0B"/>
    <w:rsid w:val="0E387D9D"/>
    <w:rsid w:val="0E5232CD"/>
    <w:rsid w:val="0EDB1514"/>
    <w:rsid w:val="0F405A07"/>
    <w:rsid w:val="0FB81855"/>
    <w:rsid w:val="0FD05800"/>
    <w:rsid w:val="10044A9B"/>
    <w:rsid w:val="100B5E29"/>
    <w:rsid w:val="103B711E"/>
    <w:rsid w:val="1075361F"/>
    <w:rsid w:val="1077526D"/>
    <w:rsid w:val="10BC1275"/>
    <w:rsid w:val="10DE64AA"/>
    <w:rsid w:val="114C3107"/>
    <w:rsid w:val="115B2DE0"/>
    <w:rsid w:val="11A35D83"/>
    <w:rsid w:val="11B45472"/>
    <w:rsid w:val="121511E1"/>
    <w:rsid w:val="1274141C"/>
    <w:rsid w:val="127C6BC4"/>
    <w:rsid w:val="12D15108"/>
    <w:rsid w:val="12DB7D35"/>
    <w:rsid w:val="149E726C"/>
    <w:rsid w:val="14A514A2"/>
    <w:rsid w:val="14BD74B5"/>
    <w:rsid w:val="14D62EA9"/>
    <w:rsid w:val="152813E0"/>
    <w:rsid w:val="15AB60E4"/>
    <w:rsid w:val="15B42ABF"/>
    <w:rsid w:val="15E13F95"/>
    <w:rsid w:val="15F1161D"/>
    <w:rsid w:val="15F555B1"/>
    <w:rsid w:val="161F262E"/>
    <w:rsid w:val="16814D6D"/>
    <w:rsid w:val="1686445B"/>
    <w:rsid w:val="16D42C63"/>
    <w:rsid w:val="16DC6599"/>
    <w:rsid w:val="17A80401"/>
    <w:rsid w:val="17CF598E"/>
    <w:rsid w:val="17FA1432"/>
    <w:rsid w:val="18042206"/>
    <w:rsid w:val="18CF73AF"/>
    <w:rsid w:val="18F90F15"/>
    <w:rsid w:val="193751A0"/>
    <w:rsid w:val="194734A4"/>
    <w:rsid w:val="19F517A5"/>
    <w:rsid w:val="19FB2187"/>
    <w:rsid w:val="1A184EC1"/>
    <w:rsid w:val="1A4A453E"/>
    <w:rsid w:val="1A937E3D"/>
    <w:rsid w:val="1AAB050B"/>
    <w:rsid w:val="1AC50DC4"/>
    <w:rsid w:val="1AEB0D31"/>
    <w:rsid w:val="1B99253B"/>
    <w:rsid w:val="1BB455C7"/>
    <w:rsid w:val="1BC251E8"/>
    <w:rsid w:val="1C257D13"/>
    <w:rsid w:val="1C435672"/>
    <w:rsid w:val="1C7F3E27"/>
    <w:rsid w:val="1C960A46"/>
    <w:rsid w:val="1CAB1D11"/>
    <w:rsid w:val="1CB40960"/>
    <w:rsid w:val="1CE30D07"/>
    <w:rsid w:val="1D97DEFF"/>
    <w:rsid w:val="1DB01A3E"/>
    <w:rsid w:val="1DEA7DBD"/>
    <w:rsid w:val="1DFF72E5"/>
    <w:rsid w:val="1E1D38F7"/>
    <w:rsid w:val="1EDB4A9C"/>
    <w:rsid w:val="1EFC6F07"/>
    <w:rsid w:val="1F073C5F"/>
    <w:rsid w:val="1F294332"/>
    <w:rsid w:val="1FD96543"/>
    <w:rsid w:val="1FF561AE"/>
    <w:rsid w:val="205253AE"/>
    <w:rsid w:val="20566C4C"/>
    <w:rsid w:val="20651585"/>
    <w:rsid w:val="207672EF"/>
    <w:rsid w:val="212925B3"/>
    <w:rsid w:val="21661111"/>
    <w:rsid w:val="218F6BFE"/>
    <w:rsid w:val="229C16B8"/>
    <w:rsid w:val="2335523F"/>
    <w:rsid w:val="23496F3C"/>
    <w:rsid w:val="23957FC9"/>
    <w:rsid w:val="23E32F6D"/>
    <w:rsid w:val="240B4806"/>
    <w:rsid w:val="24855D52"/>
    <w:rsid w:val="24DE36B4"/>
    <w:rsid w:val="256B776E"/>
    <w:rsid w:val="25AB45B6"/>
    <w:rsid w:val="26586904"/>
    <w:rsid w:val="267B565F"/>
    <w:rsid w:val="268D0EEE"/>
    <w:rsid w:val="26A445BF"/>
    <w:rsid w:val="26CD46B8"/>
    <w:rsid w:val="26D14D60"/>
    <w:rsid w:val="26FD374B"/>
    <w:rsid w:val="27500494"/>
    <w:rsid w:val="28B01D1E"/>
    <w:rsid w:val="28BC5ABB"/>
    <w:rsid w:val="29475CCC"/>
    <w:rsid w:val="297F5F1C"/>
    <w:rsid w:val="299700AC"/>
    <w:rsid w:val="29C16373"/>
    <w:rsid w:val="2A043BBD"/>
    <w:rsid w:val="2A586F39"/>
    <w:rsid w:val="2A7C1C44"/>
    <w:rsid w:val="2A846041"/>
    <w:rsid w:val="2AAB228B"/>
    <w:rsid w:val="2B467ADA"/>
    <w:rsid w:val="2B607D2C"/>
    <w:rsid w:val="2B6909BB"/>
    <w:rsid w:val="2B8E7FCC"/>
    <w:rsid w:val="2BCA06E1"/>
    <w:rsid w:val="2BD66E93"/>
    <w:rsid w:val="2BED6A56"/>
    <w:rsid w:val="2BEE541D"/>
    <w:rsid w:val="2C251983"/>
    <w:rsid w:val="2C4402A1"/>
    <w:rsid w:val="2C82701B"/>
    <w:rsid w:val="2D265EC5"/>
    <w:rsid w:val="2D2C76B3"/>
    <w:rsid w:val="2D2F71A3"/>
    <w:rsid w:val="2D384C14"/>
    <w:rsid w:val="2DB83A6F"/>
    <w:rsid w:val="2E1E3EC8"/>
    <w:rsid w:val="2E6F0090"/>
    <w:rsid w:val="2F603644"/>
    <w:rsid w:val="2FA8323D"/>
    <w:rsid w:val="2FAC4ADB"/>
    <w:rsid w:val="2FB120F1"/>
    <w:rsid w:val="2FC242FE"/>
    <w:rsid w:val="2FDF85B8"/>
    <w:rsid w:val="2FFD5337"/>
    <w:rsid w:val="2FFFEE04"/>
    <w:rsid w:val="306166A8"/>
    <w:rsid w:val="308E5E14"/>
    <w:rsid w:val="30B11C7D"/>
    <w:rsid w:val="30C05491"/>
    <w:rsid w:val="31230A55"/>
    <w:rsid w:val="312E639D"/>
    <w:rsid w:val="31E57E30"/>
    <w:rsid w:val="325460DE"/>
    <w:rsid w:val="32551CB6"/>
    <w:rsid w:val="3256492F"/>
    <w:rsid w:val="32797970"/>
    <w:rsid w:val="331D35FA"/>
    <w:rsid w:val="33CA6CEB"/>
    <w:rsid w:val="34214901"/>
    <w:rsid w:val="349618B6"/>
    <w:rsid w:val="34DF85B0"/>
    <w:rsid w:val="34FD1935"/>
    <w:rsid w:val="35366BF5"/>
    <w:rsid w:val="35A2505D"/>
    <w:rsid w:val="35E14DB3"/>
    <w:rsid w:val="35F0241C"/>
    <w:rsid w:val="3629776F"/>
    <w:rsid w:val="36783969"/>
    <w:rsid w:val="36B3674F"/>
    <w:rsid w:val="36F4760B"/>
    <w:rsid w:val="36FD79CA"/>
    <w:rsid w:val="37321D6A"/>
    <w:rsid w:val="37B772DE"/>
    <w:rsid w:val="37C86E8B"/>
    <w:rsid w:val="37E64902"/>
    <w:rsid w:val="37ED7275"/>
    <w:rsid w:val="38194E02"/>
    <w:rsid w:val="38C74D5D"/>
    <w:rsid w:val="38CC1D4A"/>
    <w:rsid w:val="3914549F"/>
    <w:rsid w:val="392C04C3"/>
    <w:rsid w:val="394915ED"/>
    <w:rsid w:val="395064D7"/>
    <w:rsid w:val="396C6330"/>
    <w:rsid w:val="399A59A4"/>
    <w:rsid w:val="39B5458C"/>
    <w:rsid w:val="3A0478A0"/>
    <w:rsid w:val="3A5C5C73"/>
    <w:rsid w:val="3A6755EE"/>
    <w:rsid w:val="3A7C4BBA"/>
    <w:rsid w:val="3A9C574C"/>
    <w:rsid w:val="3AF42518"/>
    <w:rsid w:val="3B003F2D"/>
    <w:rsid w:val="3B20012B"/>
    <w:rsid w:val="3B334302"/>
    <w:rsid w:val="3B8F36BC"/>
    <w:rsid w:val="3B9F72A2"/>
    <w:rsid w:val="3C5E715D"/>
    <w:rsid w:val="3CAF42BA"/>
    <w:rsid w:val="3D140681"/>
    <w:rsid w:val="3D6267D9"/>
    <w:rsid w:val="3D74475E"/>
    <w:rsid w:val="3DBC7FB6"/>
    <w:rsid w:val="3DC17868"/>
    <w:rsid w:val="3ECF0E18"/>
    <w:rsid w:val="3EDA2151"/>
    <w:rsid w:val="3EDA24BC"/>
    <w:rsid w:val="3F790AD5"/>
    <w:rsid w:val="3F7A2B6A"/>
    <w:rsid w:val="3F895F2B"/>
    <w:rsid w:val="3FEF631E"/>
    <w:rsid w:val="3FFA719D"/>
    <w:rsid w:val="40104C12"/>
    <w:rsid w:val="410B7187"/>
    <w:rsid w:val="412F10C8"/>
    <w:rsid w:val="41764BF9"/>
    <w:rsid w:val="41C016AB"/>
    <w:rsid w:val="420371A0"/>
    <w:rsid w:val="42467A2F"/>
    <w:rsid w:val="42944CB7"/>
    <w:rsid w:val="429A39F6"/>
    <w:rsid w:val="42FE6FA4"/>
    <w:rsid w:val="43120CA1"/>
    <w:rsid w:val="431B5DA8"/>
    <w:rsid w:val="43497B64"/>
    <w:rsid w:val="438B7C9A"/>
    <w:rsid w:val="43940FFD"/>
    <w:rsid w:val="43B24586"/>
    <w:rsid w:val="43E929BC"/>
    <w:rsid w:val="44404E85"/>
    <w:rsid w:val="45002C52"/>
    <w:rsid w:val="45274413"/>
    <w:rsid w:val="454809AA"/>
    <w:rsid w:val="469F284C"/>
    <w:rsid w:val="46D233A1"/>
    <w:rsid w:val="47637D1D"/>
    <w:rsid w:val="47721D0E"/>
    <w:rsid w:val="47775577"/>
    <w:rsid w:val="47863A0C"/>
    <w:rsid w:val="47E0450C"/>
    <w:rsid w:val="47F925EA"/>
    <w:rsid w:val="48C204E6"/>
    <w:rsid w:val="49015E74"/>
    <w:rsid w:val="491FF225"/>
    <w:rsid w:val="493059DD"/>
    <w:rsid w:val="496121D2"/>
    <w:rsid w:val="49787384"/>
    <w:rsid w:val="49A43E0D"/>
    <w:rsid w:val="4A9B42A2"/>
    <w:rsid w:val="4B813860"/>
    <w:rsid w:val="4BAB5563"/>
    <w:rsid w:val="4BAD5A0B"/>
    <w:rsid w:val="4BCD4886"/>
    <w:rsid w:val="4BD2765C"/>
    <w:rsid w:val="4C8A6EEA"/>
    <w:rsid w:val="4C9265FC"/>
    <w:rsid w:val="4D393F9B"/>
    <w:rsid w:val="4D456CFA"/>
    <w:rsid w:val="4D5A3970"/>
    <w:rsid w:val="4DE1199C"/>
    <w:rsid w:val="4E173610"/>
    <w:rsid w:val="4E1A6C5C"/>
    <w:rsid w:val="4E1A707B"/>
    <w:rsid w:val="4E760336"/>
    <w:rsid w:val="4EA57EB3"/>
    <w:rsid w:val="4EC77771"/>
    <w:rsid w:val="4EE65E3A"/>
    <w:rsid w:val="4F01042D"/>
    <w:rsid w:val="4F4D6CE7"/>
    <w:rsid w:val="4F584DBC"/>
    <w:rsid w:val="4F8371B4"/>
    <w:rsid w:val="4FFD214C"/>
    <w:rsid w:val="50F60038"/>
    <w:rsid w:val="51136310"/>
    <w:rsid w:val="512A5408"/>
    <w:rsid w:val="51635BFF"/>
    <w:rsid w:val="51677F27"/>
    <w:rsid w:val="516813C9"/>
    <w:rsid w:val="5170135E"/>
    <w:rsid w:val="51821F5E"/>
    <w:rsid w:val="51BA678C"/>
    <w:rsid w:val="51DD5199"/>
    <w:rsid w:val="51F6353C"/>
    <w:rsid w:val="51FB7581"/>
    <w:rsid w:val="521E31BF"/>
    <w:rsid w:val="52270592"/>
    <w:rsid w:val="523F41CD"/>
    <w:rsid w:val="525C27FC"/>
    <w:rsid w:val="534F736E"/>
    <w:rsid w:val="53873B69"/>
    <w:rsid w:val="53C01AC1"/>
    <w:rsid w:val="53DA15F6"/>
    <w:rsid w:val="53EF2DD6"/>
    <w:rsid w:val="541673D2"/>
    <w:rsid w:val="54F40207"/>
    <w:rsid w:val="5503669C"/>
    <w:rsid w:val="5513545D"/>
    <w:rsid w:val="553E52D5"/>
    <w:rsid w:val="559357DD"/>
    <w:rsid w:val="560B1CAC"/>
    <w:rsid w:val="567A0BDF"/>
    <w:rsid w:val="5683699F"/>
    <w:rsid w:val="56890AC5"/>
    <w:rsid w:val="56D75964"/>
    <w:rsid w:val="57335823"/>
    <w:rsid w:val="5777D4F5"/>
    <w:rsid w:val="57AA3E01"/>
    <w:rsid w:val="58935F89"/>
    <w:rsid w:val="596B480F"/>
    <w:rsid w:val="59C609FF"/>
    <w:rsid w:val="59D6437F"/>
    <w:rsid w:val="59DD8326"/>
    <w:rsid w:val="5A6B0796"/>
    <w:rsid w:val="5AC57E95"/>
    <w:rsid w:val="5AE73BAA"/>
    <w:rsid w:val="5B0B44FC"/>
    <w:rsid w:val="5B4041A6"/>
    <w:rsid w:val="5BAE5416"/>
    <w:rsid w:val="5C1B246A"/>
    <w:rsid w:val="5C700ABB"/>
    <w:rsid w:val="5CAC13C7"/>
    <w:rsid w:val="5CC46711"/>
    <w:rsid w:val="5D9A56C3"/>
    <w:rsid w:val="5D9D46E7"/>
    <w:rsid w:val="5DA2083C"/>
    <w:rsid w:val="5DAB472D"/>
    <w:rsid w:val="5DE83630"/>
    <w:rsid w:val="5DEF592A"/>
    <w:rsid w:val="5F6B5569"/>
    <w:rsid w:val="5F8E5B3F"/>
    <w:rsid w:val="5FBB029F"/>
    <w:rsid w:val="5FC6BB1E"/>
    <w:rsid w:val="5FF720F1"/>
    <w:rsid w:val="60803296"/>
    <w:rsid w:val="61813BF8"/>
    <w:rsid w:val="61D64503"/>
    <w:rsid w:val="61F93300"/>
    <w:rsid w:val="622B0FE0"/>
    <w:rsid w:val="627A3F06"/>
    <w:rsid w:val="62DF57A3"/>
    <w:rsid w:val="633B34A5"/>
    <w:rsid w:val="63B03B1E"/>
    <w:rsid w:val="63BC6393"/>
    <w:rsid w:val="63CA7AD6"/>
    <w:rsid w:val="63F51B00"/>
    <w:rsid w:val="64B458B3"/>
    <w:rsid w:val="65B25723"/>
    <w:rsid w:val="661A2ADE"/>
    <w:rsid w:val="66F75934"/>
    <w:rsid w:val="674175E7"/>
    <w:rsid w:val="677D408C"/>
    <w:rsid w:val="67B10E9F"/>
    <w:rsid w:val="67EE6D37"/>
    <w:rsid w:val="67FF5C0B"/>
    <w:rsid w:val="680F6ECB"/>
    <w:rsid w:val="68A90C96"/>
    <w:rsid w:val="68AB2E7A"/>
    <w:rsid w:val="68EF6916"/>
    <w:rsid w:val="6928618E"/>
    <w:rsid w:val="695157D0"/>
    <w:rsid w:val="69AB513B"/>
    <w:rsid w:val="6A0942FC"/>
    <w:rsid w:val="6A7E0847"/>
    <w:rsid w:val="6AC91742"/>
    <w:rsid w:val="6ACE2E39"/>
    <w:rsid w:val="6AE44787"/>
    <w:rsid w:val="6B9637BB"/>
    <w:rsid w:val="6BCA186A"/>
    <w:rsid w:val="6C615D2A"/>
    <w:rsid w:val="6D2A347F"/>
    <w:rsid w:val="6D6261FE"/>
    <w:rsid w:val="6E13574A"/>
    <w:rsid w:val="6E862A13"/>
    <w:rsid w:val="6EDD3662"/>
    <w:rsid w:val="6EFC0924"/>
    <w:rsid w:val="6F340D22"/>
    <w:rsid w:val="6FA622F1"/>
    <w:rsid w:val="6FB74722"/>
    <w:rsid w:val="6FEF8B7E"/>
    <w:rsid w:val="709B59C5"/>
    <w:rsid w:val="70AD687B"/>
    <w:rsid w:val="70BF5715"/>
    <w:rsid w:val="7167544D"/>
    <w:rsid w:val="71A6591B"/>
    <w:rsid w:val="71B8661B"/>
    <w:rsid w:val="71BE468D"/>
    <w:rsid w:val="71C34D91"/>
    <w:rsid w:val="72282E5A"/>
    <w:rsid w:val="726F3D4B"/>
    <w:rsid w:val="72824C4C"/>
    <w:rsid w:val="72A1200C"/>
    <w:rsid w:val="737D59BA"/>
    <w:rsid w:val="739263A6"/>
    <w:rsid w:val="73F676A0"/>
    <w:rsid w:val="74503235"/>
    <w:rsid w:val="74B11819"/>
    <w:rsid w:val="751B4EB4"/>
    <w:rsid w:val="75896940"/>
    <w:rsid w:val="75D20E98"/>
    <w:rsid w:val="75E11C8A"/>
    <w:rsid w:val="76143E0D"/>
    <w:rsid w:val="76D55051"/>
    <w:rsid w:val="76D90BB3"/>
    <w:rsid w:val="77487F98"/>
    <w:rsid w:val="774D4AD7"/>
    <w:rsid w:val="77C37683"/>
    <w:rsid w:val="77E16728"/>
    <w:rsid w:val="77E65C7D"/>
    <w:rsid w:val="780D5BC5"/>
    <w:rsid w:val="784B5AE0"/>
    <w:rsid w:val="78B813C8"/>
    <w:rsid w:val="797F60F9"/>
    <w:rsid w:val="79FF515B"/>
    <w:rsid w:val="7A195E96"/>
    <w:rsid w:val="7A6E5C4D"/>
    <w:rsid w:val="7AC572DE"/>
    <w:rsid w:val="7B8F1899"/>
    <w:rsid w:val="7BE2675B"/>
    <w:rsid w:val="7C217284"/>
    <w:rsid w:val="7C5C4760"/>
    <w:rsid w:val="7C5F7DAC"/>
    <w:rsid w:val="7C7E6484"/>
    <w:rsid w:val="7D044D32"/>
    <w:rsid w:val="7D593DB0"/>
    <w:rsid w:val="7D925B9C"/>
    <w:rsid w:val="7DFC77ED"/>
    <w:rsid w:val="7DFD1F3A"/>
    <w:rsid w:val="7E0E750C"/>
    <w:rsid w:val="7E1D3A7B"/>
    <w:rsid w:val="7E9E1962"/>
    <w:rsid w:val="7E9F11B4"/>
    <w:rsid w:val="7F0C2F67"/>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7">
    <w:name w:val="Balloon Text"/>
    <w:basedOn w:val="1"/>
    <w:link w:val="21"/>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11"/>
    <w:semiHidden/>
    <w:qFormat/>
    <w:uiPriority w:val="0"/>
    <w:pPr>
      <w:snapToGrid w:val="0"/>
      <w:jc w:val="left"/>
    </w:pPr>
    <w:rPr>
      <w:sz w:val="18"/>
      <w:szCs w:val="18"/>
    </w:rPr>
  </w:style>
  <w:style w:type="paragraph" w:styleId="11">
    <w:name w:val="Body Text First Indent 2"/>
    <w:basedOn w:val="6"/>
    <w:unhideWhenUsed/>
    <w:qFormat/>
    <w:uiPriority w:val="99"/>
    <w:pPr>
      <w:ind w:firstLine="420" w:firstLineChars="200"/>
    </w:pPr>
  </w:style>
  <w:style w:type="paragraph" w:styleId="12">
    <w:name w:val="Normal (Web)"/>
    <w:basedOn w:val="1"/>
    <w:unhideWhenUsed/>
    <w:qFormat/>
    <w:uiPriority w:val="99"/>
    <w:pPr>
      <w:spacing w:before="100" w:beforeAutospacing="1" w:after="100" w:afterAutospacing="1"/>
    </w:pPr>
  </w:style>
  <w:style w:type="paragraph" w:styleId="13">
    <w:name w:val="Title"/>
    <w:basedOn w:val="1"/>
    <w:qFormat/>
    <w:uiPriority w:val="10"/>
    <w:pPr>
      <w:spacing w:before="240" w:beforeLines="0" w:beforeAutospacing="0" w:after="60" w:afterLines="0" w:afterAutospacing="0"/>
      <w:jc w:val="center"/>
      <w:outlineLvl w:val="0"/>
    </w:pPr>
    <w:rPr>
      <w:rFonts w:ascii="Arial" w:hAnsi="Arial"/>
      <w:b/>
      <w:sz w:val="32"/>
    </w:rPr>
  </w:style>
  <w:style w:type="character" w:styleId="16">
    <w:name w:val="Strong"/>
    <w:basedOn w:val="15"/>
    <w:qFormat/>
    <w:uiPriority w:val="0"/>
    <w:rPr>
      <w:b/>
    </w:rPr>
  </w:style>
  <w:style w:type="character" w:customStyle="1" w:styleId="17">
    <w:name w:val="页眉 Char"/>
    <w:basedOn w:val="15"/>
    <w:link w:val="9"/>
    <w:qFormat/>
    <w:uiPriority w:val="99"/>
    <w:rPr>
      <w:sz w:val="18"/>
      <w:szCs w:val="18"/>
    </w:rPr>
  </w:style>
  <w:style w:type="character" w:customStyle="1" w:styleId="18">
    <w:name w:val="页脚 Char"/>
    <w:basedOn w:val="15"/>
    <w:link w:val="8"/>
    <w:qFormat/>
    <w:uiPriority w:val="99"/>
    <w:rPr>
      <w:sz w:val="18"/>
      <w:szCs w:val="18"/>
    </w:rPr>
  </w:style>
  <w:style w:type="paragraph" w:customStyle="1" w:styleId="1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20">
    <w:name w:val="List Paragraph"/>
    <w:basedOn w:val="1"/>
    <w:qFormat/>
    <w:uiPriority w:val="34"/>
    <w:pPr>
      <w:ind w:firstLine="420" w:firstLineChars="200"/>
    </w:pPr>
  </w:style>
  <w:style w:type="character" w:customStyle="1" w:styleId="21">
    <w:name w:val="批注框文本 Char"/>
    <w:basedOn w:val="15"/>
    <w:link w:val="7"/>
    <w:semiHidden/>
    <w:qFormat/>
    <w:uiPriority w:val="99"/>
    <w:rPr>
      <w:sz w:val="18"/>
      <w:szCs w:val="18"/>
    </w:rPr>
  </w:style>
  <w:style w:type="character" w:customStyle="1" w:styleId="22">
    <w:name w:val="font01"/>
    <w:basedOn w:val="15"/>
    <w:qFormat/>
    <w:uiPriority w:val="0"/>
    <w:rPr>
      <w:rFonts w:hint="eastAsia" w:ascii="宋体" w:hAnsi="宋体" w:eastAsia="宋体" w:cs="宋体"/>
      <w:color w:val="000000"/>
      <w:sz w:val="22"/>
      <w:szCs w:val="22"/>
      <w:u w:val="none"/>
    </w:rPr>
  </w:style>
  <w:style w:type="character" w:customStyle="1" w:styleId="23">
    <w:name w:val="font21"/>
    <w:basedOn w:val="15"/>
    <w:qFormat/>
    <w:uiPriority w:val="0"/>
    <w:rPr>
      <w:rFonts w:hint="eastAsia" w:ascii="宋体" w:hAnsi="宋体" w:eastAsia="宋体" w:cs="宋体"/>
      <w:color w:val="000000"/>
      <w:sz w:val="24"/>
      <w:szCs w:val="24"/>
      <w:u w:val="none"/>
    </w:rPr>
  </w:style>
  <w:style w:type="character" w:customStyle="1" w:styleId="24">
    <w:name w:val="font11"/>
    <w:basedOn w:val="15"/>
    <w:qFormat/>
    <w:uiPriority w:val="0"/>
    <w:rPr>
      <w:rFonts w:hint="eastAsia" w:ascii="宋体" w:hAnsi="宋体" w:eastAsia="宋体" w:cs="宋体"/>
      <w:color w:val="000000"/>
      <w:sz w:val="24"/>
      <w:szCs w:val="24"/>
      <w:u w:val="none"/>
    </w:rPr>
  </w:style>
  <w:style w:type="paragraph" w:customStyle="1" w:styleId="25">
    <w:name w:val="标题1"/>
    <w:basedOn w:val="3"/>
    <w:autoRedefine/>
    <w:qFormat/>
    <w:uiPriority w:val="0"/>
    <w:rPr>
      <w:rFonts w:eastAsia="黑体"/>
    </w:rPr>
  </w:style>
  <w:style w:type="paragraph" w:styleId="2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4740</Words>
  <Characters>5215</Characters>
  <Lines>63</Lines>
  <Paragraphs>18</Paragraphs>
  <TotalTime>171</TotalTime>
  <ScaleCrop>false</ScaleCrop>
  <LinksUpToDate>false</LinksUpToDate>
  <CharactersWithSpaces>5234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XW</cp:lastModifiedBy>
  <cp:lastPrinted>2025-09-24T02:36:00Z</cp:lastPrinted>
  <dcterms:modified xsi:type="dcterms:W3CDTF">2025-09-24T04:30:02Z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22B168C4E5AD49278103A6D5C98D1FD6_13</vt:lpwstr>
  </property>
  <property fmtid="{D5CDD505-2E9C-101B-9397-08002B2CF9AE}" pid="4" name="KSOTemplateDocerSaveRecord">
    <vt:lpwstr>eyJoZGlkIjoiNmMyNmRhNTE5MDRkY2EyNGIyZDVmZjIzYTVhYmRjZDUiLCJ1c2VySWQiOiIyNTEzNDYwMTYifQ==</vt:lpwstr>
  </property>
</Properties>
</file>