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F2B68B">
      <w:pPr>
        <w:pStyle w:val="13"/>
        <w:jc w:val="both"/>
        <w:rPr>
          <w:rFonts w:hAnsi="黑体"/>
          <w:sz w:val="36"/>
          <w:szCs w:val="36"/>
        </w:rPr>
      </w:pPr>
      <w:r>
        <w:rPr>
          <w:rFonts w:hint="eastAsia" w:hAnsi="黑体"/>
          <w:sz w:val="36"/>
          <w:szCs w:val="36"/>
        </w:rPr>
        <w:t>附件1</w:t>
      </w:r>
    </w:p>
    <w:p w14:paraId="77ED093A">
      <w:pPr>
        <w:pStyle w:val="13"/>
        <w:jc w:val="center"/>
        <w:rPr>
          <w:rFonts w:ascii="Times New Roman" w:hAnsi="Times New Roman" w:cs="Times New Roman"/>
          <w:sz w:val="56"/>
          <w:szCs w:val="56"/>
        </w:rPr>
      </w:pPr>
    </w:p>
    <w:p w14:paraId="10F8F1BA">
      <w:pPr>
        <w:pStyle w:val="13"/>
        <w:jc w:val="center"/>
        <w:rPr>
          <w:rFonts w:ascii="Times New Roman" w:hAnsi="Times New Roman" w:cs="Times New Roman"/>
          <w:sz w:val="84"/>
          <w:szCs w:val="84"/>
        </w:rPr>
      </w:pPr>
    </w:p>
    <w:p w14:paraId="6C73746F">
      <w:pPr>
        <w:pStyle w:val="13"/>
        <w:jc w:val="center"/>
        <w:rPr>
          <w:rFonts w:ascii="Times New Roman" w:hAnsi="Times New Roman" w:cs="Times New Roman"/>
          <w:sz w:val="84"/>
          <w:szCs w:val="84"/>
        </w:rPr>
      </w:pPr>
    </w:p>
    <w:p w14:paraId="76791A5E">
      <w:pPr>
        <w:pStyle w:val="13"/>
        <w:jc w:val="center"/>
        <w:rPr>
          <w:rFonts w:ascii="Times New Roman" w:hAnsi="Times New Roman" w:eastAsia="方正小标宋简体" w:cs="Times New Roman"/>
          <w:sz w:val="48"/>
          <w:szCs w:val="48"/>
        </w:rPr>
      </w:pPr>
      <w:r>
        <w:rPr>
          <w:rFonts w:ascii="Times New Roman" w:hAnsi="Times New Roman" w:eastAsia="方正小标宋简体" w:cs="Times New Roman"/>
          <w:sz w:val="48"/>
          <w:szCs w:val="48"/>
        </w:rPr>
        <w:t>2024年度</w:t>
      </w:r>
    </w:p>
    <w:p w14:paraId="3CFE8F48">
      <w:pPr>
        <w:pStyle w:val="13"/>
        <w:jc w:val="center"/>
        <w:rPr>
          <w:rFonts w:ascii="Times New Roman" w:hAnsi="Times New Roman" w:eastAsia="方正小标宋简体" w:cs="Times New Roman"/>
          <w:sz w:val="72"/>
          <w:szCs w:val="72"/>
        </w:rPr>
      </w:pPr>
      <w:r>
        <w:rPr>
          <w:rFonts w:hint="eastAsia" w:ascii="Times New Roman" w:hAnsi="Times New Roman" w:eastAsia="方正小标宋简体" w:cs="Times New Roman"/>
          <w:sz w:val="48"/>
          <w:szCs w:val="48"/>
          <w:lang w:eastAsia="zh-CN"/>
        </w:rPr>
        <w:t>怀化市人力资源和社会保障局</w:t>
      </w:r>
      <w:r>
        <w:rPr>
          <w:rFonts w:ascii="Times New Roman" w:hAnsi="Times New Roman" w:eastAsia="方正小标宋简体" w:cs="Times New Roman"/>
          <w:sz w:val="48"/>
          <w:szCs w:val="48"/>
        </w:rPr>
        <w:t>部门决算</w:t>
      </w:r>
    </w:p>
    <w:p w14:paraId="50E38ABF">
      <w:pPr>
        <w:pStyle w:val="13"/>
        <w:jc w:val="center"/>
        <w:rPr>
          <w:rFonts w:ascii="Times New Roman" w:hAnsi="Times New Roman" w:eastAsia="方正小标宋_GBK" w:cs="Times New Roman"/>
          <w:sz w:val="56"/>
          <w:szCs w:val="56"/>
        </w:rPr>
      </w:pPr>
    </w:p>
    <w:p w14:paraId="32D4578A">
      <w:pPr>
        <w:pStyle w:val="13"/>
        <w:spacing w:line="600" w:lineRule="exact"/>
        <w:jc w:val="both"/>
        <w:rPr>
          <w:rFonts w:ascii="Times New Roman" w:hAnsi="Times New Roman" w:cs="Times New Roman"/>
          <w:b/>
          <w:sz w:val="36"/>
          <w:szCs w:val="28"/>
        </w:rPr>
        <w:sectPr>
          <w:footerReference r:id="rId3" w:type="default"/>
          <w:pgSz w:w="11906" w:h="16838"/>
          <w:pgMar w:top="1417" w:right="1588" w:bottom="1417" w:left="1588" w:header="851" w:footer="992" w:gutter="0"/>
          <w:pgNumType w:start="1"/>
          <w:cols w:space="425" w:num="1"/>
          <w:docGrid w:type="lines" w:linePitch="312" w:charSpace="0"/>
        </w:sectPr>
      </w:pPr>
    </w:p>
    <w:p w14:paraId="31A98F9F">
      <w:pPr>
        <w:pStyle w:val="13"/>
        <w:spacing w:line="600" w:lineRule="exact"/>
        <w:jc w:val="both"/>
        <w:rPr>
          <w:rFonts w:ascii="Times New Roman" w:hAnsi="Times New Roman" w:cs="Times New Roman"/>
          <w:b/>
          <w:sz w:val="36"/>
          <w:szCs w:val="28"/>
        </w:rPr>
      </w:pPr>
    </w:p>
    <w:p w14:paraId="510B18E2">
      <w:pPr>
        <w:pStyle w:val="13"/>
        <w:spacing w:line="600" w:lineRule="exact"/>
        <w:jc w:val="center"/>
        <w:rPr>
          <w:rFonts w:ascii="Times New Roman" w:hAnsi="Times New Roman" w:cs="Times New Roman"/>
          <w:bCs/>
          <w:sz w:val="36"/>
          <w:szCs w:val="28"/>
        </w:rPr>
      </w:pPr>
      <w:r>
        <w:rPr>
          <w:rFonts w:ascii="Times New Roman" w:hAnsi="Times New Roman" w:cs="Times New Roman"/>
          <w:bCs/>
          <w:sz w:val="36"/>
          <w:szCs w:val="28"/>
        </w:rPr>
        <w:t>目  录</w:t>
      </w:r>
    </w:p>
    <w:p w14:paraId="3436A5AC">
      <w:pPr>
        <w:pStyle w:val="13"/>
        <w:spacing w:line="600" w:lineRule="exact"/>
        <w:jc w:val="center"/>
        <w:rPr>
          <w:rFonts w:ascii="Times New Roman" w:hAnsi="Times New Roman" w:cs="Times New Roman"/>
          <w:b/>
          <w:sz w:val="36"/>
          <w:szCs w:val="28"/>
        </w:rPr>
      </w:pPr>
    </w:p>
    <w:p w14:paraId="18855089">
      <w:pPr>
        <w:pStyle w:val="13"/>
        <w:spacing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第一部分 单位概况</w:t>
      </w:r>
    </w:p>
    <w:p w14:paraId="0EC7A19D">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一、部门职责</w:t>
      </w:r>
    </w:p>
    <w:p w14:paraId="537B2CCD">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二、机构设置及决算单位构成</w:t>
      </w:r>
    </w:p>
    <w:p w14:paraId="32F06526">
      <w:pPr>
        <w:pStyle w:val="13"/>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第二部分 部门决算表</w:t>
      </w:r>
    </w:p>
    <w:p w14:paraId="4B5DFF34">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一、收入支出决算总表</w:t>
      </w:r>
    </w:p>
    <w:p w14:paraId="57726B78">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二、收入决算表</w:t>
      </w:r>
    </w:p>
    <w:p w14:paraId="68A6F35A">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三、支出决算表</w:t>
      </w:r>
    </w:p>
    <w:p w14:paraId="131A11F9">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四、财政拨款收入支出决算总表</w:t>
      </w:r>
    </w:p>
    <w:p w14:paraId="29213610">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五、一般公共预算财政拨款支出决算表</w:t>
      </w:r>
    </w:p>
    <w:p w14:paraId="3065C51A">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六、一般公共预算财政拨款基本支出决算明细表</w:t>
      </w:r>
    </w:p>
    <w:p w14:paraId="2C481424">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七、政府性基金预算财政拨款收入支出决算表</w:t>
      </w:r>
    </w:p>
    <w:p w14:paraId="452655D8">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八、国有资本经营预算财政拨款支出决算表</w:t>
      </w:r>
    </w:p>
    <w:p w14:paraId="1374276F">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九、财政拨款“三公”经费支出决算表</w:t>
      </w:r>
    </w:p>
    <w:p w14:paraId="44AC3908">
      <w:pPr>
        <w:pStyle w:val="13"/>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第三部分 部门决算情况说明</w:t>
      </w:r>
    </w:p>
    <w:p w14:paraId="67492FA5">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一、收入支出决算总体情况说明</w:t>
      </w:r>
    </w:p>
    <w:p w14:paraId="60D32A62">
      <w:pPr>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二、收入决算情况说明</w:t>
      </w:r>
    </w:p>
    <w:p w14:paraId="7E2C5007">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三、支出决算情况说明</w:t>
      </w:r>
    </w:p>
    <w:p w14:paraId="169A0768">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四、财政拨款收入支出决算总体情况说明</w:t>
      </w:r>
    </w:p>
    <w:p w14:paraId="70305E9B">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五、一般公共预算财政拨款支出决算情况说明</w:t>
      </w:r>
    </w:p>
    <w:p w14:paraId="73E56124">
      <w:pPr>
        <w:autoSpaceDE w:val="0"/>
        <w:autoSpaceDN w:val="0"/>
        <w:adjustRightInd w:val="0"/>
        <w:spacing w:line="600" w:lineRule="exact"/>
        <w:jc w:val="left"/>
        <w:rPr>
          <w:rFonts w:ascii="Times New Roman" w:hAnsi="Times New Roman" w:eastAsia="仿宋_GB2312" w:cs="Times New Roman"/>
          <w:color w:val="000000"/>
          <w:kern w:val="0"/>
          <w:sz w:val="32"/>
          <w:szCs w:val="32"/>
        </w:rPr>
        <w:sectPr>
          <w:footerReference r:id="rId4" w:type="default"/>
          <w:pgSz w:w="11906" w:h="16838"/>
          <w:pgMar w:top="1417" w:right="1588" w:bottom="1417" w:left="1588" w:header="851" w:footer="992" w:gutter="0"/>
          <w:pgNumType w:start="1"/>
          <w:cols w:space="425" w:num="1"/>
          <w:docGrid w:type="lines" w:linePitch="312" w:charSpace="0"/>
        </w:sectPr>
      </w:pPr>
    </w:p>
    <w:p w14:paraId="1303530B">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六、一般公共预算财政拨款基本支出决算情况说明</w:t>
      </w:r>
    </w:p>
    <w:p w14:paraId="56702C78">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七、财政拨款“三公”经费支出决算情况说明</w:t>
      </w:r>
    </w:p>
    <w:p w14:paraId="5374CD26">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八、政府性基金预算收入支出决算情况</w:t>
      </w:r>
    </w:p>
    <w:p w14:paraId="49677A9C">
      <w:pPr>
        <w:pStyle w:val="7"/>
      </w:pPr>
      <w:r>
        <w:rPr>
          <w:rFonts w:hint="eastAsia" w:ascii="仿宋_GB2312" w:hAnsi="仿宋_GB2312" w:eastAsia="仿宋_GB2312" w:cs="仿宋_GB2312"/>
          <w:color w:val="000000"/>
          <w:kern w:val="0"/>
          <w:sz w:val="30"/>
          <w:szCs w:val="30"/>
          <w:lang w:val="en-US" w:eastAsia="zh-CN"/>
        </w:rPr>
        <w:t>九、</w:t>
      </w:r>
      <w:r>
        <w:rPr>
          <w:rFonts w:hint="eastAsia" w:ascii="仿宋_GB2312" w:hAnsi="仿宋_GB2312" w:eastAsia="仿宋_GB2312" w:cs="仿宋_GB2312"/>
          <w:sz w:val="30"/>
          <w:szCs w:val="30"/>
        </w:rPr>
        <w:t>国有资本经营预算</w:t>
      </w:r>
      <w:r>
        <w:rPr>
          <w:rFonts w:hint="eastAsia" w:ascii="仿宋_GB2312" w:hAnsi="仿宋_GB2312" w:eastAsia="仿宋_GB2312" w:cs="仿宋_GB2312"/>
          <w:sz w:val="30"/>
          <w:szCs w:val="30"/>
          <w:lang w:eastAsia="zh-CN"/>
        </w:rPr>
        <w:t>收入支出决算情况说明</w:t>
      </w:r>
    </w:p>
    <w:p w14:paraId="79C3830C">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lang w:eastAsia="zh-CN"/>
        </w:rPr>
        <w:t>十</w:t>
      </w:r>
      <w:r>
        <w:rPr>
          <w:rFonts w:ascii="Times New Roman" w:hAnsi="Times New Roman" w:eastAsia="仿宋_GB2312" w:cs="Times New Roman"/>
          <w:color w:val="000000"/>
          <w:kern w:val="0"/>
          <w:sz w:val="32"/>
          <w:szCs w:val="32"/>
        </w:rPr>
        <w:t>、关于机关运行经费支出说明</w:t>
      </w:r>
    </w:p>
    <w:p w14:paraId="7E37ADF5">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w:t>
      </w:r>
      <w:r>
        <w:rPr>
          <w:rFonts w:hint="eastAsia" w:ascii="Times New Roman" w:hAnsi="Times New Roman" w:eastAsia="仿宋_GB2312" w:cs="Times New Roman"/>
          <w:color w:val="000000"/>
          <w:kern w:val="0"/>
          <w:sz w:val="32"/>
          <w:szCs w:val="32"/>
          <w:lang w:eastAsia="zh-CN"/>
        </w:rPr>
        <w:t>一</w:t>
      </w:r>
      <w:r>
        <w:rPr>
          <w:rFonts w:ascii="Times New Roman" w:hAnsi="Times New Roman" w:eastAsia="仿宋_GB2312" w:cs="Times New Roman"/>
          <w:color w:val="000000"/>
          <w:kern w:val="0"/>
          <w:sz w:val="32"/>
          <w:szCs w:val="32"/>
        </w:rPr>
        <w:t>、一般性支出情况说明</w:t>
      </w:r>
    </w:p>
    <w:p w14:paraId="166C6C7B">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w:t>
      </w:r>
      <w:r>
        <w:rPr>
          <w:rFonts w:hint="eastAsia" w:ascii="Times New Roman" w:hAnsi="Times New Roman" w:eastAsia="仿宋_GB2312" w:cs="Times New Roman"/>
          <w:color w:val="000000"/>
          <w:kern w:val="0"/>
          <w:sz w:val="32"/>
          <w:szCs w:val="32"/>
          <w:lang w:eastAsia="zh-CN"/>
        </w:rPr>
        <w:t>二</w:t>
      </w:r>
      <w:r>
        <w:rPr>
          <w:rFonts w:ascii="Times New Roman" w:hAnsi="Times New Roman" w:eastAsia="仿宋_GB2312" w:cs="Times New Roman"/>
          <w:color w:val="000000"/>
          <w:kern w:val="0"/>
          <w:sz w:val="32"/>
          <w:szCs w:val="32"/>
        </w:rPr>
        <w:t>、关于政府采购支出说明</w:t>
      </w:r>
    </w:p>
    <w:p w14:paraId="601CC362">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w:t>
      </w:r>
      <w:r>
        <w:rPr>
          <w:rFonts w:hint="eastAsia" w:ascii="Times New Roman" w:hAnsi="Times New Roman" w:eastAsia="仿宋_GB2312" w:cs="Times New Roman"/>
          <w:sz w:val="32"/>
          <w:szCs w:val="32"/>
          <w:lang w:eastAsia="zh-CN"/>
        </w:rPr>
        <w:t>三</w:t>
      </w:r>
      <w:r>
        <w:rPr>
          <w:rFonts w:ascii="Times New Roman" w:hAnsi="Times New Roman" w:eastAsia="仿宋_GB2312" w:cs="Times New Roman"/>
          <w:sz w:val="32"/>
          <w:szCs w:val="32"/>
        </w:rPr>
        <w:t>、关于国有资产占用情况说明</w:t>
      </w:r>
    </w:p>
    <w:p w14:paraId="1E81BF02">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w:t>
      </w:r>
      <w:r>
        <w:rPr>
          <w:rFonts w:hint="eastAsia" w:ascii="Times New Roman" w:hAnsi="Times New Roman" w:eastAsia="仿宋_GB2312" w:cs="Times New Roman"/>
          <w:sz w:val="32"/>
          <w:szCs w:val="32"/>
          <w:lang w:eastAsia="zh-CN"/>
        </w:rPr>
        <w:t>四</w:t>
      </w:r>
      <w:r>
        <w:rPr>
          <w:rFonts w:ascii="Times New Roman" w:hAnsi="Times New Roman" w:eastAsia="仿宋_GB2312" w:cs="Times New Roman"/>
          <w:sz w:val="32"/>
          <w:szCs w:val="32"/>
        </w:rPr>
        <w:t>、关于2024年度预算绩效管理情况的说明</w:t>
      </w:r>
    </w:p>
    <w:p w14:paraId="555EB83A">
      <w:pPr>
        <w:pStyle w:val="13"/>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第四部分 名词解释</w:t>
      </w:r>
    </w:p>
    <w:p w14:paraId="53552D61">
      <w:pPr>
        <w:pStyle w:val="13"/>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第五部分 附件</w:t>
      </w:r>
    </w:p>
    <w:p w14:paraId="298B0900">
      <w:pPr>
        <w:pStyle w:val="13"/>
        <w:spacing w:line="600" w:lineRule="exact"/>
        <w:rPr>
          <w:rFonts w:ascii="Times New Roman" w:hAnsi="Times New Roman" w:cs="Times New Roman"/>
          <w:bCs/>
          <w:sz w:val="28"/>
          <w:szCs w:val="28"/>
        </w:rPr>
      </w:pPr>
    </w:p>
    <w:p w14:paraId="46AC967F">
      <w:pPr>
        <w:jc w:val="center"/>
        <w:rPr>
          <w:rFonts w:ascii="Times New Roman" w:hAnsi="Times New Roman" w:cs="Times New Roman"/>
          <w:sz w:val="72"/>
          <w:szCs w:val="72"/>
        </w:rPr>
      </w:pPr>
    </w:p>
    <w:p w14:paraId="128F0B85">
      <w:pPr>
        <w:jc w:val="center"/>
        <w:rPr>
          <w:rFonts w:ascii="Times New Roman" w:hAnsi="Times New Roman" w:cs="Times New Roman"/>
          <w:sz w:val="72"/>
          <w:szCs w:val="72"/>
        </w:rPr>
      </w:pPr>
    </w:p>
    <w:p w14:paraId="2534E43D">
      <w:pPr>
        <w:jc w:val="center"/>
        <w:rPr>
          <w:rFonts w:ascii="Times New Roman" w:hAnsi="Times New Roman" w:cs="Times New Roman"/>
          <w:sz w:val="72"/>
          <w:szCs w:val="72"/>
        </w:rPr>
      </w:pPr>
    </w:p>
    <w:p w14:paraId="70E46AE6">
      <w:pPr>
        <w:pStyle w:val="7"/>
        <w:rPr>
          <w:rFonts w:ascii="Times New Roman" w:hAnsi="Times New Roman" w:cs="Times New Roman"/>
        </w:rPr>
        <w:sectPr>
          <w:footerReference r:id="rId5" w:type="default"/>
          <w:pgSz w:w="11906" w:h="16838"/>
          <w:pgMar w:top="1417" w:right="1588" w:bottom="1417" w:left="1588" w:header="851" w:footer="992" w:gutter="0"/>
          <w:pgNumType w:start="1"/>
          <w:cols w:space="425" w:num="1"/>
          <w:docGrid w:type="lines" w:linePitch="312" w:charSpace="0"/>
        </w:sectPr>
      </w:pPr>
    </w:p>
    <w:p w14:paraId="61359921">
      <w:pPr>
        <w:pStyle w:val="13"/>
        <w:spacing w:line="360" w:lineRule="auto"/>
        <w:ind w:firstLine="3120" w:firstLineChars="600"/>
        <w:jc w:val="both"/>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第一部分</w:t>
      </w:r>
    </w:p>
    <w:p w14:paraId="09397B10">
      <w:pPr>
        <w:pStyle w:val="13"/>
        <w:spacing w:line="360" w:lineRule="auto"/>
        <w:ind w:firstLine="3120" w:firstLineChars="600"/>
        <w:jc w:val="both"/>
        <w:rPr>
          <w:rFonts w:ascii="Times New Roman" w:hAnsi="Times New Roman" w:eastAsia="方正小标宋_GBK" w:cs="Times New Roman"/>
          <w:sz w:val="52"/>
          <w:szCs w:val="52"/>
        </w:rPr>
      </w:pPr>
      <w:r>
        <w:rPr>
          <w:rFonts w:ascii="Times New Roman" w:hAnsi="Times New Roman" w:eastAsia="方正小标宋_GBK" w:cs="Times New Roman"/>
          <w:sz w:val="52"/>
          <w:szCs w:val="52"/>
        </w:rPr>
        <w:t>单位概况</w:t>
      </w:r>
    </w:p>
    <w:p w14:paraId="7FF9AB11">
      <w:pPr>
        <w:pStyle w:val="3"/>
        <w:ind w:left="0" w:leftChars="0" w:firstLine="0" w:firstLineChars="0"/>
        <w:rPr>
          <w:rFonts w:ascii="Times New Roman" w:hAnsi="Times New Roman" w:cs="Times New Roman"/>
        </w:rPr>
      </w:pPr>
    </w:p>
    <w:p w14:paraId="71DADA7A">
      <w:pPr>
        <w:pStyle w:val="14"/>
        <w:spacing w:line="600" w:lineRule="exact"/>
        <w:ind w:firstLine="0" w:firstLineChars="0"/>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一、</w:t>
      </w:r>
      <w:r>
        <w:rPr>
          <w:rFonts w:ascii="Times New Roman" w:hAnsi="Times New Roman" w:eastAsia="黑体" w:cs="Times New Roman"/>
          <w:sz w:val="32"/>
          <w:szCs w:val="32"/>
        </w:rPr>
        <w:t>部门职责</w:t>
      </w:r>
    </w:p>
    <w:p w14:paraId="6AA8AC3A">
      <w:pPr>
        <w:ind w:firstLine="640" w:firstLineChars="200"/>
        <w:rPr>
          <w:rFonts w:hint="eastAsia" w:ascii="仿宋_GB2312" w:hAnsi="仿宋_GB2312" w:eastAsia="仿宋_GB2312" w:cs="仿宋_GB2312"/>
          <w:bCs/>
          <w:color w:val="333333"/>
          <w:sz w:val="32"/>
          <w:szCs w:val="32"/>
        </w:rPr>
      </w:pPr>
      <w:r>
        <w:rPr>
          <w:rFonts w:hint="eastAsia" w:ascii="仿宋_GB2312" w:hAnsi="仿宋_GB2312" w:eastAsia="仿宋_GB2312" w:cs="仿宋_GB2312"/>
          <w:bCs/>
          <w:color w:val="333333"/>
          <w:sz w:val="32"/>
          <w:szCs w:val="32"/>
        </w:rPr>
        <w:t>（一）贯彻执行国家、省人力资源和社会保障方针政策和法律法规；拟订全市人力资源和社会保障事业发展规划及实施办法；对全市人力资源和社会保障工作进行综合管理、监督指导、协调服务。</w:t>
      </w:r>
    </w:p>
    <w:p w14:paraId="22CD0F04">
      <w:pPr>
        <w:ind w:firstLine="640" w:firstLineChars="200"/>
        <w:rPr>
          <w:rFonts w:hint="eastAsia" w:ascii="仿宋_GB2312" w:hAnsi="仿宋_GB2312" w:eastAsia="仿宋_GB2312" w:cs="仿宋_GB2312"/>
          <w:bCs/>
          <w:color w:val="333333"/>
          <w:sz w:val="32"/>
          <w:szCs w:val="32"/>
        </w:rPr>
      </w:pPr>
      <w:r>
        <w:rPr>
          <w:rFonts w:hint="eastAsia" w:ascii="仿宋_GB2312" w:hAnsi="仿宋_GB2312" w:eastAsia="仿宋_GB2312" w:cs="仿宋_GB2312"/>
          <w:bCs/>
          <w:color w:val="333333"/>
          <w:sz w:val="32"/>
          <w:szCs w:val="32"/>
        </w:rPr>
        <w:t>（二）会同有关部门拟订全市人力资源市场发展规划，推动全市人力资源流动政策落实；会同办理负责市直机关、企事业单位有关工作人员的流动调配工作；指导全市建立统一规范的人力资源市场，促进人力资源合理流动、有效配置。</w:t>
      </w:r>
    </w:p>
    <w:p w14:paraId="5D09E957">
      <w:pPr>
        <w:ind w:firstLine="640" w:firstLineChars="200"/>
        <w:rPr>
          <w:rFonts w:hint="eastAsia" w:ascii="仿宋_GB2312" w:hAnsi="仿宋_GB2312" w:eastAsia="仿宋_GB2312" w:cs="仿宋_GB2312"/>
          <w:bCs/>
          <w:color w:val="333333"/>
          <w:sz w:val="32"/>
          <w:szCs w:val="32"/>
        </w:rPr>
      </w:pPr>
      <w:r>
        <w:rPr>
          <w:rFonts w:hint="eastAsia" w:ascii="仿宋_GB2312" w:hAnsi="仿宋_GB2312" w:eastAsia="仿宋_GB2312" w:cs="仿宋_GB2312"/>
          <w:bCs/>
          <w:color w:val="333333"/>
          <w:sz w:val="32"/>
          <w:szCs w:val="32"/>
        </w:rPr>
        <w:t>（三）负责促进就业工作，拟订和落实全市统筹城乡就业发展规划和实施办法，完善就业创业公共服务体系；拟订和组织落实全市就业援助制度，统筹建立面向城乡劳动者的职业培训制度，牵头落实高校毕业生就业政策，会同有关部门拟订高技能人才培养和激励措施。</w:t>
      </w:r>
    </w:p>
    <w:p w14:paraId="52BCFCD5">
      <w:pPr>
        <w:ind w:firstLine="640" w:firstLineChars="200"/>
        <w:rPr>
          <w:rFonts w:hint="eastAsia" w:ascii="仿宋_GB2312" w:hAnsi="仿宋_GB2312" w:eastAsia="仿宋_GB2312" w:cs="仿宋_GB2312"/>
          <w:bCs/>
          <w:color w:val="333333"/>
          <w:sz w:val="32"/>
          <w:szCs w:val="32"/>
        </w:rPr>
      </w:pPr>
      <w:r>
        <w:rPr>
          <w:rFonts w:hint="eastAsia" w:ascii="仿宋_GB2312" w:hAnsi="仿宋_GB2312" w:eastAsia="仿宋_GB2312" w:cs="仿宋_GB2312"/>
          <w:bCs/>
          <w:color w:val="333333"/>
          <w:sz w:val="32"/>
          <w:szCs w:val="32"/>
        </w:rPr>
        <w:t>（四）统筹建立覆盖全市城乡社会保障体系，贯彻执行城乡社会保险及其补充保险政策和标准；组织落实机关企事业单位基本养老保险政策；会同有关部门拟订社会保险及其补充保险基金管理和监督办法并实施监管；编制全市社会保险基金预决算草案，参与制定全市社会保障基金投资管理办法；会同有关部门实施全民参保计划并建立全市统一的社会保险公共服务平台。</w:t>
      </w:r>
    </w:p>
    <w:p w14:paraId="1ABE315D">
      <w:pPr>
        <w:ind w:firstLine="640" w:firstLineChars="200"/>
        <w:rPr>
          <w:rFonts w:hint="eastAsia" w:ascii="仿宋_GB2312" w:hAnsi="仿宋_GB2312" w:eastAsia="仿宋_GB2312" w:cs="仿宋_GB2312"/>
          <w:bCs/>
          <w:color w:val="333333"/>
          <w:sz w:val="32"/>
          <w:szCs w:val="32"/>
        </w:rPr>
      </w:pPr>
      <w:r>
        <w:rPr>
          <w:rFonts w:hint="eastAsia" w:ascii="仿宋_GB2312" w:hAnsi="仿宋_GB2312" w:eastAsia="仿宋_GB2312" w:cs="仿宋_GB2312"/>
          <w:bCs/>
          <w:color w:val="333333"/>
          <w:sz w:val="32"/>
          <w:szCs w:val="32"/>
        </w:rPr>
        <w:t>（五）负责全市就业、失业、社会保险基金预测预警和信息引导，拟订应对预案，实施预防、调节和控制，保持就业形势稳定和社会保险基金总体收支平衡。</w:t>
      </w:r>
    </w:p>
    <w:p w14:paraId="44407FEE">
      <w:pPr>
        <w:ind w:firstLine="640" w:firstLineChars="200"/>
        <w:rPr>
          <w:rFonts w:hint="eastAsia" w:ascii="仿宋_GB2312" w:hAnsi="仿宋_GB2312" w:eastAsia="仿宋_GB2312" w:cs="仿宋_GB2312"/>
          <w:bCs/>
          <w:color w:val="333333"/>
          <w:sz w:val="32"/>
          <w:szCs w:val="32"/>
        </w:rPr>
      </w:pPr>
      <w:r>
        <w:rPr>
          <w:rFonts w:hint="eastAsia" w:ascii="仿宋_GB2312" w:hAnsi="仿宋_GB2312" w:eastAsia="仿宋_GB2312" w:cs="仿宋_GB2312"/>
          <w:bCs/>
          <w:color w:val="333333"/>
          <w:sz w:val="32"/>
          <w:szCs w:val="32"/>
        </w:rPr>
        <w:t>（六）负责全市事业单位工资收入和福利分配综合管理，贯彻执行国家工资和上级福利政策；会同有关部门拟订全市企事业单位人员和离退休人员福利办法并组织实施；建立企事业单位人员工资正常增长和支付保障机制；监督国有企业经营者收入分配政策执行情况和全市工资发放政策的执行情况；按照管理权限承办全市事业单位工作人员及机关工勤人员工资审批工作，负责市直事业单位工作人员因工(公)伤致残鉴定及应享受待遇的审批工作。</w:t>
      </w:r>
    </w:p>
    <w:p w14:paraId="72DC65E3">
      <w:pPr>
        <w:ind w:firstLine="640" w:firstLineChars="200"/>
        <w:rPr>
          <w:rFonts w:hint="eastAsia" w:ascii="仿宋_GB2312" w:hAnsi="仿宋_GB2312" w:eastAsia="仿宋_GB2312" w:cs="仿宋_GB2312"/>
          <w:bCs/>
          <w:color w:val="333333"/>
          <w:sz w:val="32"/>
          <w:szCs w:val="32"/>
        </w:rPr>
      </w:pPr>
      <w:r>
        <w:rPr>
          <w:rFonts w:hint="eastAsia" w:ascii="仿宋_GB2312" w:hAnsi="仿宋_GB2312" w:eastAsia="仿宋_GB2312" w:cs="仿宋_GB2312"/>
          <w:bCs/>
          <w:color w:val="333333"/>
          <w:sz w:val="32"/>
          <w:szCs w:val="32"/>
        </w:rPr>
        <w:t>（七）会同有关部门指导事业单位人事制度改革；监督落实事业单位人员和机关工勤人员管理政策；参与人才管理工作；综合管理全市专业技术人员和专业技术队伍建设工作，综合管理全市专业技术人员和机关事业单位工勤人员的培训和继续教育工作。</w:t>
      </w:r>
    </w:p>
    <w:p w14:paraId="708CE723">
      <w:pPr>
        <w:ind w:firstLine="640" w:firstLineChars="200"/>
        <w:rPr>
          <w:rFonts w:hint="eastAsia" w:ascii="仿宋_GB2312" w:hAnsi="仿宋_GB2312" w:eastAsia="仿宋_GB2312" w:cs="仿宋_GB2312"/>
          <w:bCs/>
          <w:color w:val="333333"/>
          <w:sz w:val="32"/>
          <w:szCs w:val="32"/>
        </w:rPr>
      </w:pPr>
      <w:r>
        <w:rPr>
          <w:rFonts w:hint="eastAsia" w:ascii="仿宋_GB2312" w:hAnsi="仿宋_GB2312" w:eastAsia="仿宋_GB2312" w:cs="仿宋_GB2312"/>
          <w:bCs/>
          <w:color w:val="333333"/>
          <w:sz w:val="32"/>
          <w:szCs w:val="32"/>
        </w:rPr>
        <w:t>（八）牵头推进深化职称制度改革，完善专业技术人员职业资格和博士后管理制度，负责高层次专业技术人才选拔、培养和引进工作，组织有突出贡献专家、享受政府特殊津贴专家的选拔工作；会同有关部门拟定吸引留学人员来怀（回国）工作、定居和国（境）外机构在市内招聘专业技术骨干人才管理政策。</w:t>
      </w:r>
    </w:p>
    <w:p w14:paraId="7C986B63">
      <w:pPr>
        <w:ind w:firstLine="640" w:firstLineChars="200"/>
        <w:rPr>
          <w:rFonts w:hint="eastAsia" w:ascii="仿宋_GB2312" w:hAnsi="仿宋_GB2312" w:eastAsia="仿宋_GB2312" w:cs="仿宋_GB2312"/>
          <w:bCs/>
          <w:color w:val="333333"/>
          <w:sz w:val="32"/>
          <w:szCs w:val="32"/>
        </w:rPr>
      </w:pPr>
      <w:r>
        <w:rPr>
          <w:rFonts w:hint="eastAsia" w:ascii="仿宋_GB2312" w:hAnsi="仿宋_GB2312" w:eastAsia="仿宋_GB2312" w:cs="仿宋_GB2312"/>
          <w:bCs/>
          <w:color w:val="333333"/>
          <w:sz w:val="32"/>
          <w:szCs w:val="32"/>
        </w:rPr>
        <w:t>（九）统筹实施劳动、人事争议调解仲裁制度。牵头落实劳动关系政策，完善劳动关系协调机制，监督实施职工工作时间、休息休假和假期制度，监督落实消除非法使用童工政策和女工、未成年工的特殊劳动保护政策；组织实施劳动监察，协调劳动者维权工作，依法查处重大案件。</w:t>
      </w:r>
    </w:p>
    <w:p w14:paraId="7E8BD3F4">
      <w:pPr>
        <w:ind w:firstLine="640" w:firstLineChars="200"/>
        <w:rPr>
          <w:rFonts w:hint="eastAsia" w:ascii="仿宋_GB2312" w:hAnsi="仿宋_GB2312" w:eastAsia="仿宋_GB2312" w:cs="仿宋_GB2312"/>
          <w:bCs/>
          <w:color w:val="333333"/>
          <w:sz w:val="32"/>
          <w:szCs w:val="32"/>
        </w:rPr>
      </w:pPr>
      <w:r>
        <w:rPr>
          <w:rFonts w:hint="eastAsia" w:ascii="仿宋_GB2312" w:hAnsi="仿宋_GB2312" w:eastAsia="仿宋_GB2312" w:cs="仿宋_GB2312"/>
          <w:bCs/>
          <w:color w:val="333333"/>
          <w:sz w:val="32"/>
          <w:szCs w:val="32"/>
        </w:rPr>
        <w:t>（十）会同有关部门推动农民工相关政策的落实，拟定全市农民工工作规划，协调解决重点难点问题，维护农民工合法权益。</w:t>
      </w:r>
    </w:p>
    <w:p w14:paraId="649074D6">
      <w:pPr>
        <w:ind w:firstLine="640" w:firstLineChars="200"/>
        <w:rPr>
          <w:rFonts w:hint="eastAsia" w:ascii="仿宋_GB2312" w:hAnsi="仿宋_GB2312" w:eastAsia="仿宋_GB2312" w:cs="仿宋_GB2312"/>
          <w:bCs/>
          <w:color w:val="333333"/>
          <w:sz w:val="32"/>
          <w:szCs w:val="32"/>
        </w:rPr>
      </w:pPr>
      <w:r>
        <w:rPr>
          <w:rFonts w:hint="eastAsia" w:ascii="仿宋_GB2312" w:hAnsi="仿宋_GB2312" w:eastAsia="仿宋_GB2312" w:cs="仿宋_GB2312"/>
          <w:bCs/>
          <w:color w:val="333333"/>
          <w:sz w:val="32"/>
          <w:szCs w:val="32"/>
        </w:rPr>
        <w:t>(十一)承担为民办实事统筹协调工作，承担会同有关部门组织实施国家、省级荣誉制度和政府表彰奖励制度，承担审核上报国家、省人民政府表彰奖励相关工作，指导和协调全市政府奖励工作，审核以市人民政府名义实施的奖励项。</w:t>
      </w:r>
    </w:p>
    <w:p w14:paraId="1A7CB7BB">
      <w:pPr>
        <w:ind w:firstLine="640" w:firstLineChars="200"/>
        <w:rPr>
          <w:rFonts w:hint="eastAsia" w:ascii="仿宋_GB2312" w:hAnsi="仿宋_GB2312" w:eastAsia="仿宋_GB2312" w:cs="仿宋_GB2312"/>
          <w:bCs/>
          <w:color w:val="333333"/>
          <w:sz w:val="32"/>
          <w:szCs w:val="32"/>
        </w:rPr>
      </w:pPr>
      <w:r>
        <w:rPr>
          <w:rFonts w:hint="eastAsia" w:ascii="仿宋_GB2312" w:hAnsi="仿宋_GB2312" w:eastAsia="仿宋_GB2312" w:cs="仿宋_GB2312"/>
          <w:bCs/>
          <w:color w:val="333333"/>
          <w:sz w:val="32"/>
          <w:szCs w:val="32"/>
        </w:rPr>
        <w:t>（十二）完成市委、市政府交办的其他任务。</w:t>
      </w:r>
    </w:p>
    <w:p w14:paraId="6A49AD2C">
      <w:pPr>
        <w:widowControl/>
        <w:spacing w:line="600" w:lineRule="exac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二、机构设置及决算单位构成</w:t>
      </w:r>
    </w:p>
    <w:p w14:paraId="3AFB7823">
      <w:pPr>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我部门为一级部门预算单位。</w:t>
      </w:r>
    </w:p>
    <w:p w14:paraId="70384DA8">
      <w:pPr>
        <w:ind w:firstLine="640"/>
        <w:rPr>
          <w:rFonts w:hint="eastAsia" w:ascii="仿宋_GB2312" w:hAnsi="仿宋_GB2312" w:eastAsia="仿宋_GB2312" w:cs="仿宋_GB2312"/>
          <w:color w:val="333333"/>
          <w:sz w:val="32"/>
          <w:szCs w:val="32"/>
        </w:rPr>
      </w:pPr>
      <w:r>
        <w:rPr>
          <w:rFonts w:hint="eastAsia" w:ascii="仿宋_GB2312" w:hAnsi="仿宋_GB2312" w:eastAsia="仿宋_GB2312" w:cs="仿宋_GB2312"/>
          <w:bCs/>
          <w:kern w:val="0"/>
          <w:sz w:val="32"/>
          <w:szCs w:val="32"/>
        </w:rPr>
        <w:t>（一）内设机构设置。</w:t>
      </w:r>
      <w:r>
        <w:rPr>
          <w:rFonts w:hint="eastAsia" w:ascii="仿宋_GB2312" w:hAnsi="仿宋_GB2312" w:eastAsia="仿宋_GB2312" w:cs="仿宋_GB2312"/>
          <w:color w:val="333333"/>
          <w:sz w:val="32"/>
          <w:szCs w:val="32"/>
        </w:rPr>
        <w:t>内设机构包括：办公室、法规科（行政审批服务科）、规划财务科、就业促进与失业保险科、人力资源流动管理科、职业能力建设科、专业技术人员管理科、事业单位人事管理科、劳动关系</w:t>
      </w:r>
      <w:r>
        <w:rPr>
          <w:rFonts w:hint="eastAsia" w:ascii="仿宋_GB2312" w:hAnsi="仿宋_GB2312" w:eastAsia="仿宋_GB2312" w:cs="仿宋_GB2312"/>
          <w:color w:val="333333"/>
          <w:sz w:val="32"/>
          <w:szCs w:val="32"/>
          <w:lang w:eastAsia="zh-CN"/>
        </w:rPr>
        <w:t>监察</w:t>
      </w:r>
      <w:r>
        <w:rPr>
          <w:rFonts w:hint="eastAsia" w:ascii="仿宋_GB2312" w:hAnsi="仿宋_GB2312" w:eastAsia="仿宋_GB2312" w:cs="仿宋_GB2312"/>
          <w:color w:val="333333"/>
          <w:sz w:val="32"/>
          <w:szCs w:val="32"/>
        </w:rPr>
        <w:t>科、工资福利科、养老保险科、工伤保险科</w:t>
      </w:r>
      <w:r>
        <w:rPr>
          <w:rFonts w:hint="eastAsia" w:ascii="仿宋_GB2312" w:hAnsi="仿宋_GB2312" w:eastAsia="仿宋_GB2312" w:cs="仿宋_GB2312"/>
          <w:color w:val="333333"/>
          <w:sz w:val="32"/>
          <w:szCs w:val="32"/>
          <w:lang w:eastAsia="zh-CN"/>
        </w:rPr>
        <w:t>（市劳动能力鉴定工作委员会办公室）</w:t>
      </w:r>
      <w:r>
        <w:rPr>
          <w:rFonts w:hint="eastAsia" w:ascii="仿宋_GB2312" w:hAnsi="仿宋_GB2312" w:eastAsia="仿宋_GB2312" w:cs="仿宋_GB2312"/>
          <w:color w:val="333333"/>
          <w:sz w:val="32"/>
          <w:szCs w:val="32"/>
        </w:rPr>
        <w:t>、社会保险基金监管科、</w:t>
      </w:r>
      <w:r>
        <w:rPr>
          <w:rFonts w:hint="eastAsia" w:ascii="仿宋_GB2312" w:hAnsi="仿宋_GB2312" w:eastAsia="仿宋_GB2312" w:cs="仿宋_GB2312"/>
          <w:color w:val="333333"/>
          <w:sz w:val="32"/>
          <w:szCs w:val="32"/>
          <w:lang w:eastAsia="zh-CN"/>
        </w:rPr>
        <w:t>表彰奖励和重点民生实事科（农民工工作科）、</w:t>
      </w:r>
      <w:r>
        <w:rPr>
          <w:rFonts w:hint="eastAsia" w:ascii="仿宋_GB2312" w:hAnsi="仿宋_GB2312" w:eastAsia="仿宋_GB2312" w:cs="仿宋_GB2312"/>
          <w:color w:val="333333"/>
          <w:sz w:val="32"/>
          <w:szCs w:val="32"/>
        </w:rPr>
        <w:t>人事</w:t>
      </w:r>
      <w:r>
        <w:rPr>
          <w:rFonts w:hint="eastAsia" w:ascii="仿宋_GB2312" w:hAnsi="仿宋_GB2312" w:eastAsia="仿宋_GB2312" w:cs="仿宋_GB2312"/>
          <w:color w:val="333333"/>
          <w:sz w:val="32"/>
          <w:szCs w:val="32"/>
          <w:lang w:eastAsia="zh-CN"/>
        </w:rPr>
        <w:t>教育</w:t>
      </w:r>
      <w:r>
        <w:rPr>
          <w:rFonts w:hint="eastAsia" w:ascii="仿宋_GB2312" w:hAnsi="仿宋_GB2312" w:eastAsia="仿宋_GB2312" w:cs="仿宋_GB2312"/>
          <w:color w:val="333333"/>
          <w:sz w:val="32"/>
          <w:szCs w:val="32"/>
        </w:rPr>
        <w:t>科</w:t>
      </w:r>
      <w:r>
        <w:rPr>
          <w:rFonts w:hint="eastAsia" w:ascii="仿宋_GB2312" w:hAnsi="仿宋_GB2312" w:eastAsia="仿宋_GB2312" w:cs="仿宋_GB2312"/>
          <w:color w:val="333333"/>
          <w:sz w:val="32"/>
          <w:szCs w:val="32"/>
          <w:lang w:eastAsia="zh-CN"/>
        </w:rPr>
        <w:t>。另设</w:t>
      </w:r>
      <w:r>
        <w:rPr>
          <w:rFonts w:hint="eastAsia" w:ascii="仿宋_GB2312" w:hAnsi="仿宋_GB2312" w:eastAsia="仿宋_GB2312" w:cs="仿宋_GB2312"/>
          <w:color w:val="333333"/>
          <w:sz w:val="32"/>
          <w:szCs w:val="32"/>
        </w:rPr>
        <w:t>机关党委。</w:t>
      </w:r>
    </w:p>
    <w:p w14:paraId="2378B5B1">
      <w:pPr>
        <w:widowControl/>
        <w:spacing w:line="600" w:lineRule="exact"/>
        <w:ind w:firstLine="640" w:firstLineChars="200"/>
        <w:rPr>
          <w:rFonts w:ascii="Times New Roman" w:hAnsi="Times New Roman" w:eastAsia="仿宋_GB2312" w:cs="Times New Roman"/>
          <w:bCs/>
          <w:kern w:val="0"/>
          <w:sz w:val="32"/>
          <w:szCs w:val="32"/>
        </w:rPr>
      </w:pPr>
      <w:r>
        <w:rPr>
          <w:rFonts w:ascii="Times New Roman" w:hAnsi="Times New Roman" w:eastAsia="仿宋_GB2312" w:cs="Times New Roman"/>
          <w:bCs/>
          <w:kern w:val="0"/>
          <w:sz w:val="32"/>
          <w:szCs w:val="32"/>
        </w:rPr>
        <w:t>（二）决算单位构成。</w:t>
      </w:r>
      <w:r>
        <w:rPr>
          <w:rFonts w:hint="eastAsia" w:ascii="仿宋_GB2312" w:hAnsi="仿宋_GB2312" w:eastAsia="仿宋_GB2312" w:cs="仿宋_GB2312"/>
          <w:bCs/>
          <w:kern w:val="0"/>
          <w:sz w:val="32"/>
          <w:szCs w:val="32"/>
        </w:rPr>
        <w:t>202</w:t>
      </w:r>
      <w:r>
        <w:rPr>
          <w:rFonts w:hint="eastAsia" w:ascii="仿宋_GB2312" w:hAnsi="仿宋_GB2312" w:eastAsia="仿宋_GB2312" w:cs="仿宋_GB2312"/>
          <w:bCs/>
          <w:kern w:val="0"/>
          <w:sz w:val="32"/>
          <w:szCs w:val="32"/>
          <w:lang w:val="en-US" w:eastAsia="zh-CN"/>
        </w:rPr>
        <w:t>4</w:t>
      </w:r>
      <w:r>
        <w:rPr>
          <w:rFonts w:hint="eastAsia" w:ascii="仿宋_GB2312" w:hAnsi="仿宋_GB2312" w:eastAsia="仿宋_GB2312" w:cs="仿宋_GB2312"/>
          <w:bCs/>
          <w:kern w:val="0"/>
          <w:sz w:val="32"/>
          <w:szCs w:val="32"/>
        </w:rPr>
        <w:t>年部门决算汇总公开单位构成包括</w:t>
      </w:r>
      <w:r>
        <w:rPr>
          <w:rFonts w:hint="eastAsia" w:ascii="仿宋_GB2312" w:hAnsi="仿宋_GB2312" w:eastAsia="仿宋_GB2312" w:cs="仿宋_GB2312"/>
          <w:sz w:val="32"/>
          <w:szCs w:val="32"/>
        </w:rPr>
        <w:t>：局机关本级、</w:t>
      </w:r>
      <w:r>
        <w:rPr>
          <w:rFonts w:hint="eastAsia" w:ascii="仿宋_GB2312" w:hAnsi="仿宋_GB2312" w:eastAsia="仿宋_GB2312" w:cs="仿宋_GB2312"/>
          <w:sz w:val="32"/>
          <w:szCs w:val="32"/>
          <w:lang w:eastAsia="zh-CN"/>
        </w:rPr>
        <w:t>怀化市人力资源和社会保障局</w:t>
      </w:r>
      <w:r>
        <w:rPr>
          <w:rFonts w:hint="eastAsia" w:ascii="仿宋_GB2312" w:hAnsi="仿宋_GB2312" w:eastAsia="仿宋_GB2312" w:cs="仿宋_GB2312"/>
          <w:sz w:val="32"/>
          <w:szCs w:val="32"/>
        </w:rPr>
        <w:t>考试指导服务中心</w:t>
      </w:r>
      <w:r>
        <w:rPr>
          <w:rFonts w:hint="eastAsia" w:ascii="仿宋_GB2312" w:hAnsi="仿宋_GB2312" w:eastAsia="仿宋_GB2312" w:cs="仿宋_GB2312"/>
          <w:sz w:val="32"/>
          <w:szCs w:val="32"/>
          <w:lang w:eastAsia="zh-CN"/>
        </w:rPr>
        <w:t>、怀化市职业技能指导服务中心</w:t>
      </w:r>
      <w:r>
        <w:rPr>
          <w:rFonts w:hint="eastAsia" w:ascii="仿宋_GB2312" w:hAnsi="仿宋_GB2312" w:eastAsia="仿宋_GB2312" w:cs="仿宋_GB2312"/>
          <w:sz w:val="32"/>
          <w:szCs w:val="32"/>
        </w:rPr>
        <w:t>。</w:t>
      </w:r>
    </w:p>
    <w:p w14:paraId="09513D2B">
      <w:pPr>
        <w:jc w:val="left"/>
        <w:rPr>
          <w:rFonts w:ascii="Times New Roman" w:hAnsi="Times New Roman" w:eastAsia="仿宋_GB2312" w:cs="Times New Roman"/>
          <w:sz w:val="28"/>
          <w:szCs w:val="32"/>
        </w:rPr>
      </w:pPr>
    </w:p>
    <w:p w14:paraId="276C5595">
      <w:pPr>
        <w:pStyle w:val="7"/>
        <w:rPr>
          <w:rFonts w:ascii="Times New Roman" w:hAnsi="Times New Roman" w:cs="Times New Roman"/>
        </w:rPr>
        <w:sectPr>
          <w:footerReference r:id="rId6" w:type="default"/>
          <w:pgSz w:w="11906" w:h="16838"/>
          <w:pgMar w:top="1417" w:right="1588" w:bottom="1417" w:left="1588" w:header="851" w:footer="992" w:gutter="0"/>
          <w:pgNumType w:start="1"/>
          <w:cols w:space="425" w:num="1"/>
          <w:docGrid w:type="lines" w:linePitch="312" w:charSpace="0"/>
        </w:sectPr>
      </w:pPr>
    </w:p>
    <w:p w14:paraId="35CCBA52">
      <w:pPr>
        <w:pStyle w:val="13"/>
        <w:ind w:firstLine="2880" w:firstLineChars="1200"/>
        <w:jc w:val="both"/>
        <w:rPr>
          <w:rFonts w:hint="eastAsia" w:ascii="方正小标宋_GBK" w:hAnsi="方正小标宋_GBK" w:eastAsia="方正小标宋_GBK" w:cs="方正小标宋_GBK"/>
          <w:sz w:val="48"/>
          <w:szCs w:val="48"/>
        </w:rPr>
      </w:pPr>
      <w:r>
        <w:rPr>
          <w:rFonts w:hint="eastAsia" w:ascii="Times New Roman" w:hAnsi="Times New Roman" w:cs="Times New Roman"/>
          <w:szCs w:val="21"/>
          <w:lang w:val="en-US" w:eastAsia="zh-CN"/>
        </w:rPr>
        <w:t xml:space="preserve">  </w:t>
      </w:r>
      <w:r>
        <w:rPr>
          <w:rFonts w:hint="eastAsia" w:ascii="方正小标宋_GBK" w:hAnsi="方正小标宋_GBK" w:eastAsia="方正小标宋_GBK" w:cs="方正小标宋_GBK"/>
          <w:sz w:val="48"/>
          <w:szCs w:val="48"/>
        </w:rPr>
        <w:t>第二部分</w:t>
      </w:r>
    </w:p>
    <w:p w14:paraId="5A67D6E3">
      <w:pPr>
        <w:pStyle w:val="13"/>
        <w:jc w:val="center"/>
        <w:rPr>
          <w:rFonts w:hint="eastAsia" w:ascii="方正小标宋_GBK" w:hAnsi="方正小标宋_GBK" w:eastAsia="方正小标宋_GBK" w:cs="方正小标宋_GBK"/>
          <w:sz w:val="48"/>
          <w:szCs w:val="48"/>
        </w:rPr>
      </w:pPr>
    </w:p>
    <w:p w14:paraId="272858E5">
      <w:pPr>
        <w:pStyle w:val="13"/>
        <w:ind w:firstLine="2880" w:firstLineChars="600"/>
        <w:jc w:val="both"/>
        <w:rPr>
          <w:rFonts w:hint="eastAsia"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部门决算表</w:t>
      </w:r>
    </w:p>
    <w:p w14:paraId="5C5DAF02">
      <w:pPr>
        <w:pStyle w:val="13"/>
        <w:ind w:firstLine="3360" w:firstLineChars="700"/>
        <w:jc w:val="both"/>
        <w:rPr>
          <w:rFonts w:hint="eastAsia" w:ascii="方正小标宋_GBK" w:hAnsi="方正小标宋_GBK" w:eastAsia="方正小标宋_GBK" w:cs="方正小标宋_GBK"/>
          <w:sz w:val="48"/>
          <w:szCs w:val="48"/>
          <w:lang w:eastAsia="zh-CN"/>
        </w:rPr>
      </w:pPr>
      <w:r>
        <w:rPr>
          <w:rFonts w:hint="eastAsia" w:ascii="方正小标宋_GBK" w:hAnsi="方正小标宋_GBK" w:eastAsia="方正小标宋_GBK" w:cs="方正小标宋_GBK"/>
          <w:sz w:val="48"/>
          <w:szCs w:val="48"/>
          <w:lang w:eastAsia="zh-CN"/>
        </w:rPr>
        <w:t>见附件</w:t>
      </w:r>
    </w:p>
    <w:p w14:paraId="0A2E3EB5">
      <w:pPr>
        <w:widowControl/>
        <w:rPr>
          <w:rFonts w:ascii="Times New Roman" w:hAnsi="Times New Roman" w:cs="Times New Roman"/>
          <w:sz w:val="72"/>
          <w:szCs w:val="72"/>
        </w:rPr>
      </w:pPr>
    </w:p>
    <w:p w14:paraId="02349C61">
      <w:pPr>
        <w:pStyle w:val="13"/>
        <w:rPr>
          <w:rFonts w:ascii="Times New Roman" w:hAnsi="Times New Roman" w:cs="Times New Roman"/>
          <w:sz w:val="72"/>
          <w:szCs w:val="72"/>
        </w:rPr>
      </w:pPr>
    </w:p>
    <w:p w14:paraId="2D63B07E">
      <w:pPr>
        <w:pStyle w:val="13"/>
        <w:jc w:val="center"/>
        <w:rPr>
          <w:rFonts w:ascii="Times New Roman" w:hAnsi="Times New Roman" w:cs="Times New Roman"/>
          <w:sz w:val="72"/>
          <w:szCs w:val="72"/>
        </w:rPr>
      </w:pPr>
    </w:p>
    <w:p w14:paraId="08BD4A89">
      <w:pPr>
        <w:pStyle w:val="13"/>
        <w:jc w:val="center"/>
        <w:rPr>
          <w:rFonts w:ascii="Times New Roman" w:hAnsi="Times New Roman" w:eastAsia="方正小标宋_GBK" w:cs="Times New Roman"/>
          <w:sz w:val="72"/>
          <w:szCs w:val="72"/>
        </w:rPr>
      </w:pPr>
    </w:p>
    <w:p w14:paraId="1B0EFDF7">
      <w:pPr>
        <w:pStyle w:val="13"/>
        <w:spacing w:line="360" w:lineRule="auto"/>
        <w:jc w:val="center"/>
        <w:rPr>
          <w:rFonts w:ascii="Times New Roman" w:hAnsi="Times New Roman" w:eastAsia="方正小标宋_GBK" w:cs="Times New Roman"/>
          <w:sz w:val="52"/>
          <w:szCs w:val="52"/>
        </w:rPr>
      </w:pPr>
    </w:p>
    <w:p w14:paraId="44DF2965">
      <w:pPr>
        <w:pStyle w:val="13"/>
        <w:spacing w:line="360" w:lineRule="auto"/>
        <w:jc w:val="center"/>
        <w:rPr>
          <w:rFonts w:ascii="Times New Roman" w:hAnsi="Times New Roman" w:eastAsia="方正小标宋_GBK" w:cs="Times New Roman"/>
          <w:sz w:val="52"/>
          <w:szCs w:val="52"/>
        </w:rPr>
      </w:pPr>
    </w:p>
    <w:p w14:paraId="61A7EAC4">
      <w:pPr>
        <w:pStyle w:val="13"/>
        <w:spacing w:line="360" w:lineRule="auto"/>
        <w:jc w:val="center"/>
        <w:rPr>
          <w:rFonts w:ascii="Times New Roman" w:hAnsi="Times New Roman" w:eastAsia="方正小标宋_GBK" w:cs="Times New Roman"/>
          <w:sz w:val="52"/>
          <w:szCs w:val="52"/>
        </w:rPr>
      </w:pPr>
    </w:p>
    <w:p w14:paraId="28082713">
      <w:pPr>
        <w:pStyle w:val="13"/>
        <w:spacing w:line="360" w:lineRule="auto"/>
        <w:jc w:val="center"/>
        <w:rPr>
          <w:rFonts w:ascii="Times New Roman" w:hAnsi="Times New Roman" w:eastAsia="方正小标宋_GBK" w:cs="Times New Roman"/>
          <w:sz w:val="52"/>
          <w:szCs w:val="52"/>
        </w:rPr>
      </w:pPr>
    </w:p>
    <w:p w14:paraId="1C69759A">
      <w:pPr>
        <w:pStyle w:val="13"/>
        <w:spacing w:line="360" w:lineRule="auto"/>
        <w:jc w:val="center"/>
        <w:rPr>
          <w:rFonts w:ascii="Times New Roman" w:hAnsi="Times New Roman" w:eastAsia="方正小标宋_GBK" w:cs="Times New Roman"/>
          <w:sz w:val="52"/>
          <w:szCs w:val="52"/>
        </w:rPr>
      </w:pPr>
    </w:p>
    <w:p w14:paraId="1E493F64">
      <w:pPr>
        <w:pStyle w:val="13"/>
        <w:spacing w:line="360" w:lineRule="auto"/>
        <w:jc w:val="center"/>
        <w:rPr>
          <w:rFonts w:ascii="Times New Roman" w:hAnsi="Times New Roman" w:eastAsia="方正小标宋_GBK" w:cs="Times New Roman"/>
          <w:sz w:val="52"/>
          <w:szCs w:val="52"/>
        </w:rPr>
      </w:pPr>
    </w:p>
    <w:p w14:paraId="54332863">
      <w:pPr>
        <w:pStyle w:val="13"/>
        <w:spacing w:line="360" w:lineRule="auto"/>
        <w:jc w:val="center"/>
        <w:rPr>
          <w:rFonts w:ascii="Times New Roman" w:hAnsi="Times New Roman" w:eastAsia="方正小标宋_GBK" w:cs="Times New Roman"/>
          <w:sz w:val="52"/>
          <w:szCs w:val="52"/>
        </w:rPr>
      </w:pPr>
    </w:p>
    <w:p w14:paraId="276CBAC3">
      <w:pPr>
        <w:pStyle w:val="13"/>
        <w:spacing w:line="360" w:lineRule="auto"/>
        <w:jc w:val="center"/>
        <w:rPr>
          <w:rFonts w:ascii="Times New Roman" w:hAnsi="Times New Roman" w:eastAsia="方正小标宋_GBK" w:cs="Times New Roman"/>
          <w:sz w:val="52"/>
          <w:szCs w:val="52"/>
        </w:rPr>
      </w:pPr>
    </w:p>
    <w:p w14:paraId="46955D57">
      <w:pPr>
        <w:pStyle w:val="13"/>
        <w:spacing w:line="360" w:lineRule="auto"/>
        <w:jc w:val="center"/>
        <w:rPr>
          <w:rFonts w:ascii="Times New Roman" w:hAnsi="Times New Roman" w:eastAsia="方正小标宋_GBK" w:cs="Times New Roman"/>
          <w:sz w:val="52"/>
          <w:szCs w:val="52"/>
        </w:rPr>
      </w:pPr>
    </w:p>
    <w:p w14:paraId="373B829F">
      <w:pPr>
        <w:pStyle w:val="13"/>
        <w:spacing w:line="360" w:lineRule="auto"/>
        <w:jc w:val="center"/>
        <w:rPr>
          <w:rFonts w:ascii="Times New Roman" w:hAnsi="Times New Roman" w:eastAsia="方正小标宋_GBK" w:cs="Times New Roman"/>
          <w:sz w:val="52"/>
          <w:szCs w:val="52"/>
        </w:rPr>
      </w:pPr>
    </w:p>
    <w:p w14:paraId="46FDAA91">
      <w:pPr>
        <w:pStyle w:val="13"/>
        <w:spacing w:line="360" w:lineRule="auto"/>
        <w:jc w:val="center"/>
        <w:rPr>
          <w:rFonts w:ascii="Times New Roman" w:hAnsi="Times New Roman" w:eastAsia="方正小标宋_GBK" w:cs="Times New Roman"/>
          <w:sz w:val="52"/>
          <w:szCs w:val="52"/>
        </w:rPr>
      </w:pPr>
    </w:p>
    <w:p w14:paraId="1F820904">
      <w:pPr>
        <w:pStyle w:val="13"/>
        <w:spacing w:line="360" w:lineRule="auto"/>
        <w:jc w:val="center"/>
        <w:rPr>
          <w:rFonts w:ascii="Times New Roman" w:hAnsi="Times New Roman" w:eastAsia="方正小标宋_GBK" w:cs="Times New Roman"/>
          <w:sz w:val="52"/>
          <w:szCs w:val="52"/>
        </w:rPr>
      </w:pPr>
    </w:p>
    <w:p w14:paraId="172FD995">
      <w:pPr>
        <w:pStyle w:val="13"/>
        <w:spacing w:line="360" w:lineRule="auto"/>
        <w:jc w:val="center"/>
        <w:rPr>
          <w:rFonts w:ascii="Times New Roman" w:hAnsi="Times New Roman" w:eastAsia="方正小标宋_GBK" w:cs="Times New Roman"/>
          <w:sz w:val="52"/>
          <w:szCs w:val="52"/>
        </w:rPr>
      </w:pPr>
    </w:p>
    <w:p w14:paraId="59D01E10">
      <w:pPr>
        <w:pStyle w:val="13"/>
        <w:spacing w:line="360" w:lineRule="auto"/>
        <w:jc w:val="center"/>
        <w:rPr>
          <w:rFonts w:ascii="Times New Roman" w:hAnsi="Times New Roman" w:eastAsia="方正小标宋_GBK" w:cs="Times New Roman"/>
          <w:sz w:val="52"/>
          <w:szCs w:val="52"/>
        </w:rPr>
      </w:pPr>
    </w:p>
    <w:p w14:paraId="6684834E">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第三部分</w:t>
      </w:r>
    </w:p>
    <w:p w14:paraId="1C8B6A5B">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2024年度部门决算情况说明</w:t>
      </w:r>
    </w:p>
    <w:p w14:paraId="3443E938">
      <w:pPr>
        <w:widowControl/>
        <w:jc w:val="left"/>
        <w:rPr>
          <w:rFonts w:ascii="Times New Roman" w:hAnsi="Times New Roman" w:cs="Times New Roman"/>
          <w:sz w:val="32"/>
          <w:szCs w:val="32"/>
        </w:rPr>
      </w:pPr>
      <w:r>
        <w:rPr>
          <w:rFonts w:ascii="Times New Roman" w:hAnsi="Times New Roman" w:eastAsia="方正小标宋_GBK" w:cs="Times New Roman"/>
          <w:sz w:val="70"/>
          <w:szCs w:val="70"/>
        </w:rPr>
        <w:br w:type="page"/>
      </w:r>
    </w:p>
    <w:p w14:paraId="2786042C">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一、收入支出决算总体情况说明</w:t>
      </w:r>
    </w:p>
    <w:p w14:paraId="4A65D9BE">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2024年度收、支总计</w:t>
      </w:r>
      <w:r>
        <w:rPr>
          <w:rFonts w:hint="eastAsia" w:ascii="Times New Roman" w:hAnsi="Times New Roman" w:eastAsia="仿宋_GB2312" w:cs="Times New Roman"/>
          <w:sz w:val="32"/>
          <w:szCs w:val="32"/>
          <w:lang w:val="en-US" w:eastAsia="zh-CN"/>
        </w:rPr>
        <w:t>2065.56</w:t>
      </w:r>
      <w:r>
        <w:rPr>
          <w:rFonts w:ascii="Times New Roman" w:hAnsi="Times New Roman" w:eastAsia="仿宋_GB2312" w:cs="Times New Roman"/>
          <w:sz w:val="32"/>
          <w:szCs w:val="32"/>
        </w:rPr>
        <w:t>万元。与上年相比，减少</w:t>
      </w:r>
      <w:r>
        <w:rPr>
          <w:rFonts w:hint="eastAsia" w:ascii="Times New Roman" w:hAnsi="Times New Roman" w:eastAsia="仿宋_GB2312" w:cs="Times New Roman"/>
          <w:sz w:val="32"/>
          <w:szCs w:val="32"/>
          <w:lang w:val="en-US" w:eastAsia="zh-CN"/>
        </w:rPr>
        <w:t>44.36</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2.10</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eastAsia="zh-CN"/>
        </w:rPr>
        <w:t>按照要求将代收的水电费从其他收入调出等。</w:t>
      </w:r>
    </w:p>
    <w:p w14:paraId="53F2A099">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二、收入决算情况说明</w:t>
      </w:r>
    </w:p>
    <w:p w14:paraId="6B64DD33">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2024年度收入合计</w:t>
      </w:r>
      <w:r>
        <w:rPr>
          <w:rFonts w:hint="eastAsia" w:ascii="Times New Roman" w:hAnsi="Times New Roman" w:eastAsia="仿宋_GB2312" w:cs="Times New Roman"/>
          <w:sz w:val="32"/>
          <w:szCs w:val="32"/>
          <w:lang w:val="en-US" w:eastAsia="zh-CN"/>
        </w:rPr>
        <w:t>2065.56</w:t>
      </w:r>
      <w:r>
        <w:rPr>
          <w:rFonts w:ascii="Times New Roman" w:hAnsi="Times New Roman" w:eastAsia="仿宋_GB2312" w:cs="Times New Roman"/>
          <w:sz w:val="32"/>
          <w:szCs w:val="32"/>
        </w:rPr>
        <w:t>万元，其中：财政拨款收入</w:t>
      </w:r>
      <w:r>
        <w:rPr>
          <w:rFonts w:hint="eastAsia" w:ascii="Times New Roman" w:hAnsi="Times New Roman" w:eastAsia="仿宋_GB2312" w:cs="Times New Roman"/>
          <w:sz w:val="32"/>
          <w:szCs w:val="32"/>
          <w:lang w:val="en-US" w:eastAsia="zh-CN"/>
        </w:rPr>
        <w:t>2062.29</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99.84</w:t>
      </w:r>
      <w:r>
        <w:rPr>
          <w:rFonts w:ascii="Times New Roman" w:hAnsi="Times New Roman" w:eastAsia="仿宋_GB2312" w:cs="Times New Roman"/>
          <w:sz w:val="32"/>
          <w:szCs w:val="32"/>
        </w:rPr>
        <w:t>%；上级补助收入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%；事业收入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%；附属单位上缴收入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%；其他收入</w:t>
      </w:r>
      <w:r>
        <w:rPr>
          <w:rFonts w:hint="eastAsia" w:ascii="Times New Roman" w:hAnsi="Times New Roman" w:eastAsia="仿宋_GB2312" w:cs="Times New Roman"/>
          <w:sz w:val="32"/>
          <w:szCs w:val="32"/>
          <w:lang w:val="en-US" w:eastAsia="zh-CN"/>
        </w:rPr>
        <w:t>3.28</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0.16</w:t>
      </w:r>
      <w:r>
        <w:rPr>
          <w:rFonts w:ascii="Times New Roman" w:hAnsi="Times New Roman" w:eastAsia="仿宋_GB2312" w:cs="Times New Roman"/>
          <w:sz w:val="32"/>
          <w:szCs w:val="32"/>
        </w:rPr>
        <w:t>%。</w:t>
      </w:r>
    </w:p>
    <w:p w14:paraId="3D97D706">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三、支出决算情况说明</w:t>
      </w:r>
    </w:p>
    <w:p w14:paraId="3E8EB902">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2024年度支出合计</w:t>
      </w:r>
      <w:r>
        <w:rPr>
          <w:rFonts w:hint="eastAsia" w:ascii="Times New Roman" w:hAnsi="Times New Roman" w:eastAsia="仿宋_GB2312" w:cs="Times New Roman"/>
          <w:sz w:val="32"/>
          <w:szCs w:val="32"/>
          <w:lang w:val="en-US" w:eastAsia="zh-CN"/>
        </w:rPr>
        <w:t>2065.56</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1378.6</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66.74</w:t>
      </w:r>
      <w:r>
        <w:rPr>
          <w:rFonts w:ascii="Times New Roman" w:hAnsi="Times New Roman" w:eastAsia="仿宋_GB2312" w:cs="Times New Roman"/>
          <w:sz w:val="32"/>
          <w:szCs w:val="32"/>
        </w:rPr>
        <w:t>%；项目支出</w:t>
      </w:r>
      <w:r>
        <w:rPr>
          <w:rFonts w:hint="eastAsia" w:ascii="Times New Roman" w:hAnsi="Times New Roman" w:eastAsia="仿宋_GB2312" w:cs="Times New Roman"/>
          <w:sz w:val="32"/>
          <w:szCs w:val="32"/>
          <w:lang w:val="en-US" w:eastAsia="zh-CN"/>
        </w:rPr>
        <w:t>686.96</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33.26</w:t>
      </w:r>
      <w:r>
        <w:rPr>
          <w:rFonts w:ascii="Times New Roman" w:hAnsi="Times New Roman" w:eastAsia="仿宋_GB2312" w:cs="Times New Roman"/>
          <w:sz w:val="32"/>
          <w:szCs w:val="32"/>
        </w:rPr>
        <w:t>%；上缴上级支出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%；对附属单位补助支出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14:paraId="3B9F2F8E">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四、财政拨款收入支出决算总体情况说明</w:t>
      </w:r>
    </w:p>
    <w:p w14:paraId="2A6B63E1">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2024年度财政拨款收、支总计</w:t>
      </w:r>
      <w:r>
        <w:rPr>
          <w:rFonts w:hint="eastAsia" w:ascii="Times New Roman" w:hAnsi="Times New Roman" w:eastAsia="仿宋_GB2312" w:cs="Times New Roman"/>
          <w:sz w:val="32"/>
          <w:szCs w:val="32"/>
          <w:lang w:val="en-US" w:eastAsia="zh-CN"/>
        </w:rPr>
        <w:t>2062.29</w:t>
      </w:r>
      <w:r>
        <w:rPr>
          <w:rFonts w:ascii="Times New Roman" w:hAnsi="Times New Roman" w:eastAsia="仿宋_GB2312" w:cs="Times New Roman"/>
          <w:sz w:val="32"/>
          <w:szCs w:val="32"/>
        </w:rPr>
        <w:t>万元，与上年相比，增加</w:t>
      </w:r>
      <w:r>
        <w:rPr>
          <w:rFonts w:hint="eastAsia" w:ascii="Times New Roman" w:hAnsi="Times New Roman" w:eastAsia="仿宋_GB2312" w:cs="Times New Roman"/>
          <w:sz w:val="32"/>
          <w:szCs w:val="32"/>
          <w:lang w:val="en-US" w:eastAsia="zh-CN"/>
        </w:rPr>
        <w:t>27.86</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1.37</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eastAsia="zh-CN"/>
        </w:rPr>
        <w:t>追加了部分服务经费。</w:t>
      </w:r>
    </w:p>
    <w:p w14:paraId="7323ACA9">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五、一般公共预算财政拨款支出决算情况说明</w:t>
      </w:r>
    </w:p>
    <w:p w14:paraId="54AD8E81">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（一）一般公共预算财政拨款支出决算总体情况</w:t>
      </w:r>
    </w:p>
    <w:p w14:paraId="21D90D1A">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lang w:val="en-US" w:eastAsia="zh-CN"/>
        </w:rPr>
        <w:t>2062.29</w:t>
      </w:r>
      <w:r>
        <w:rPr>
          <w:rFonts w:ascii="Times New Roman" w:hAnsi="Times New Roman" w:eastAsia="仿宋_GB2312" w:cs="Times New Roman"/>
          <w:sz w:val="32"/>
          <w:szCs w:val="32"/>
        </w:rPr>
        <w:t>万元，占本年支出合计的</w:t>
      </w:r>
      <w:r>
        <w:rPr>
          <w:rFonts w:hint="eastAsia" w:ascii="Times New Roman" w:hAnsi="Times New Roman" w:eastAsia="仿宋_GB2312" w:cs="Times New Roman"/>
          <w:sz w:val="32"/>
          <w:szCs w:val="32"/>
          <w:lang w:val="en-US" w:eastAsia="zh-CN"/>
        </w:rPr>
        <w:t>99.84</w:t>
      </w:r>
      <w:r>
        <w:rPr>
          <w:rFonts w:ascii="Times New Roman" w:hAnsi="Times New Roman" w:eastAsia="仿宋_GB2312" w:cs="Times New Roman"/>
          <w:sz w:val="32"/>
          <w:szCs w:val="32"/>
        </w:rPr>
        <w:t>%，与上年相比，财政拨款支出增加</w:t>
      </w:r>
      <w:r>
        <w:rPr>
          <w:rFonts w:hint="eastAsia" w:ascii="Times New Roman" w:hAnsi="Times New Roman" w:eastAsia="仿宋_GB2312" w:cs="Times New Roman"/>
          <w:sz w:val="32"/>
          <w:szCs w:val="32"/>
          <w:lang w:val="en-US" w:eastAsia="zh-CN"/>
        </w:rPr>
        <w:t>27.86</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1.37</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eastAsia="zh-CN"/>
        </w:rPr>
        <w:t>追加了部分服务经费，对应的服务支出增加。</w:t>
      </w:r>
    </w:p>
    <w:p w14:paraId="7C4FBA76">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（二）一般公共预算财政拨款支出决算结构情况</w:t>
      </w:r>
    </w:p>
    <w:p w14:paraId="145C752F">
      <w:pPr>
        <w:pStyle w:val="13"/>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lang w:val="en-US" w:eastAsia="zh-CN"/>
        </w:rPr>
        <w:t>2062.29</w:t>
      </w:r>
      <w:r>
        <w:rPr>
          <w:rFonts w:ascii="Times New Roman" w:hAnsi="Times New Roman" w:eastAsia="仿宋_GB2312" w:cs="Times New Roman"/>
          <w:sz w:val="32"/>
          <w:szCs w:val="32"/>
        </w:rPr>
        <w:t>万元，主要用于以下方面：一般公共服务（类）支出</w:t>
      </w:r>
      <w:r>
        <w:rPr>
          <w:rFonts w:hint="eastAsia" w:ascii="Times New Roman" w:hAnsi="Times New Roman" w:eastAsia="仿宋_GB2312" w:cs="Times New Roman"/>
          <w:sz w:val="32"/>
          <w:szCs w:val="32"/>
          <w:lang w:val="en-US" w:eastAsia="zh-CN"/>
        </w:rPr>
        <w:t>84.84</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4.11</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社会保障和就业</w:t>
      </w:r>
      <w:r>
        <w:rPr>
          <w:rFonts w:ascii="Times New Roman" w:hAnsi="Times New Roman" w:eastAsia="仿宋_GB2312" w:cs="Times New Roman"/>
          <w:sz w:val="32"/>
          <w:szCs w:val="32"/>
        </w:rPr>
        <w:t>（类）支出</w:t>
      </w:r>
      <w:r>
        <w:rPr>
          <w:rFonts w:hint="eastAsia" w:ascii="Times New Roman" w:hAnsi="Times New Roman" w:eastAsia="仿宋_GB2312" w:cs="Times New Roman"/>
          <w:sz w:val="32"/>
          <w:szCs w:val="32"/>
          <w:lang w:val="en-US" w:eastAsia="zh-CN"/>
        </w:rPr>
        <w:t>1831.08</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88.79</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卫生健康（类）支出</w:t>
      </w:r>
      <w:r>
        <w:rPr>
          <w:rFonts w:hint="eastAsia" w:ascii="Times New Roman" w:hAnsi="Times New Roman" w:eastAsia="仿宋_GB2312" w:cs="Times New Roman"/>
          <w:sz w:val="32"/>
          <w:szCs w:val="32"/>
          <w:lang w:val="en-US" w:eastAsia="zh-CN"/>
        </w:rPr>
        <w:t>55.49万元，占2.69%；住房保障（类）支出90.88万元，占4.41%；</w:t>
      </w:r>
    </w:p>
    <w:p w14:paraId="34D7840A">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（三）一般公共预算财政拨款支出决算具体情况</w:t>
      </w:r>
    </w:p>
    <w:p w14:paraId="247A6320">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2024年度财政拨款支出年初预算数为</w:t>
      </w:r>
      <w:r>
        <w:rPr>
          <w:rFonts w:hint="eastAsia" w:ascii="Times New Roman" w:hAnsi="Times New Roman" w:eastAsia="仿宋_GB2312" w:cs="Times New Roman"/>
          <w:sz w:val="32"/>
          <w:szCs w:val="32"/>
          <w:lang w:val="en-US" w:eastAsia="zh-CN"/>
        </w:rPr>
        <w:t>2087.74</w:t>
      </w:r>
      <w:r>
        <w:rPr>
          <w:rFonts w:ascii="Times New Roman" w:hAnsi="Times New Roman" w:eastAsia="仿宋_GB2312" w:cs="Times New Roman"/>
          <w:sz w:val="32"/>
          <w:szCs w:val="32"/>
        </w:rPr>
        <w:t>万元，支出决算数为</w:t>
      </w:r>
      <w:r>
        <w:rPr>
          <w:rFonts w:hint="eastAsia" w:ascii="Times New Roman" w:hAnsi="Times New Roman" w:eastAsia="仿宋_GB2312" w:cs="Times New Roman"/>
          <w:sz w:val="32"/>
          <w:szCs w:val="32"/>
          <w:lang w:val="en-US" w:eastAsia="zh-CN"/>
        </w:rPr>
        <w:t>2062.29</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98.78</w:t>
      </w:r>
      <w:r>
        <w:rPr>
          <w:rFonts w:ascii="Times New Roman" w:hAnsi="Times New Roman" w:eastAsia="仿宋_GB2312" w:cs="Times New Roman"/>
          <w:sz w:val="32"/>
          <w:szCs w:val="32"/>
        </w:rPr>
        <w:t>%，其中：</w:t>
      </w:r>
    </w:p>
    <w:p w14:paraId="42DCEDFC">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1、一般公共服务</w:t>
      </w:r>
      <w:r>
        <w:rPr>
          <w:rFonts w:hint="eastAsia" w:ascii="Times New Roman" w:hAnsi="Times New Roman" w:eastAsia="仿宋_GB2312" w:cs="Times New Roman"/>
          <w:sz w:val="32"/>
          <w:szCs w:val="32"/>
          <w:lang w:eastAsia="zh-CN"/>
        </w:rPr>
        <w:t>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eastAsia="zh-CN"/>
        </w:rPr>
        <w:t>人大事务</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eastAsia="zh-CN"/>
        </w:rPr>
        <w:t>行政运行</w:t>
      </w:r>
      <w:r>
        <w:rPr>
          <w:rFonts w:ascii="Times New Roman" w:hAnsi="Times New Roman" w:eastAsia="仿宋_GB2312" w:cs="Times New Roman"/>
          <w:sz w:val="32"/>
          <w:szCs w:val="32"/>
        </w:rPr>
        <w:t>（项）。</w:t>
      </w:r>
    </w:p>
    <w:p w14:paraId="7847CE05">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3.56</w:t>
      </w:r>
      <w:r>
        <w:rPr>
          <w:rFonts w:ascii="Times New Roman" w:hAnsi="Times New Roman" w:eastAsia="仿宋_GB2312" w:cs="Times New Roman"/>
          <w:sz w:val="32"/>
          <w:szCs w:val="32"/>
        </w:rPr>
        <w:t>万元，决算数大于年初预算数的主要原因是：</w:t>
      </w:r>
      <w:r>
        <w:rPr>
          <w:rFonts w:hint="eastAsia" w:ascii="Times New Roman" w:hAnsi="Times New Roman" w:eastAsia="仿宋_GB2312" w:cs="Times New Roman"/>
          <w:sz w:val="32"/>
          <w:szCs w:val="32"/>
          <w:lang w:eastAsia="zh-CN"/>
        </w:rPr>
        <w:t>追加了社会保障缴费。</w:t>
      </w:r>
    </w:p>
    <w:p w14:paraId="019D3269">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2、一般公共服务</w:t>
      </w:r>
      <w:r>
        <w:rPr>
          <w:rFonts w:hint="eastAsia" w:ascii="Times New Roman" w:hAnsi="Times New Roman" w:eastAsia="仿宋_GB2312" w:cs="Times New Roman"/>
          <w:sz w:val="32"/>
          <w:szCs w:val="32"/>
          <w:lang w:eastAsia="zh-CN"/>
        </w:rPr>
        <w:t>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eastAsia="zh-CN"/>
        </w:rPr>
        <w:t>组织事务</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eastAsia="zh-CN"/>
        </w:rPr>
        <w:t>其他组织事务</w:t>
      </w:r>
      <w:r>
        <w:rPr>
          <w:rFonts w:ascii="Times New Roman" w:hAnsi="Times New Roman" w:eastAsia="仿宋_GB2312" w:cs="Times New Roman"/>
          <w:sz w:val="32"/>
          <w:szCs w:val="32"/>
        </w:rPr>
        <w:t>（项）。</w:t>
      </w:r>
    </w:p>
    <w:p w14:paraId="62B85D0D">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81.28</w:t>
      </w:r>
      <w:r>
        <w:rPr>
          <w:rFonts w:ascii="Times New Roman" w:hAnsi="Times New Roman" w:eastAsia="仿宋_GB2312" w:cs="Times New Roman"/>
          <w:sz w:val="32"/>
          <w:szCs w:val="32"/>
        </w:rPr>
        <w:t>万元，决算数大于年初预算数的主要原因是：</w:t>
      </w:r>
      <w:r>
        <w:rPr>
          <w:rFonts w:hint="eastAsia" w:ascii="Times New Roman" w:hAnsi="Times New Roman" w:eastAsia="仿宋_GB2312" w:cs="Times New Roman"/>
          <w:sz w:val="32"/>
          <w:szCs w:val="32"/>
          <w:lang w:eastAsia="zh-CN"/>
        </w:rPr>
        <w:t>追加了人才资源开发专项资金。</w:t>
      </w:r>
    </w:p>
    <w:p w14:paraId="1AC973A0">
      <w:pPr>
        <w:pStyle w:val="13"/>
        <w:numPr>
          <w:ilvl w:val="0"/>
          <w:numId w:val="1"/>
        </w:numPr>
        <w:overflowPunct w:val="0"/>
        <w:autoSpaceDE/>
        <w:autoSpaceDN/>
        <w:spacing w:line="600" w:lineRule="exact"/>
        <w:ind w:left="-10" w:leftChars="0" w:firstLine="640" w:firstLineChars="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社会保障和就业支出（类）人力资源和社会保障管理事务（款）行政运行（项）。</w:t>
      </w:r>
    </w:p>
    <w:p w14:paraId="1DD54385">
      <w:pPr>
        <w:pStyle w:val="13"/>
        <w:numPr>
          <w:ilvl w:val="0"/>
          <w:numId w:val="0"/>
        </w:numPr>
        <w:overflowPunct w:val="0"/>
        <w:autoSpaceDE/>
        <w:autoSpaceDN/>
        <w:spacing w:line="600" w:lineRule="exact"/>
        <w:ind w:firstLine="64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年初预算为922.18万元，支出决算为905.82万元，完成年初预算的98.23%，决算数小于年初预算数的主要原因是：人员退休公用经费调减、预估的绩效奖金调减。</w:t>
      </w:r>
    </w:p>
    <w:p w14:paraId="35CB419D">
      <w:pPr>
        <w:pStyle w:val="13"/>
        <w:numPr>
          <w:ilvl w:val="0"/>
          <w:numId w:val="1"/>
        </w:numPr>
        <w:overflowPunct w:val="0"/>
        <w:autoSpaceDE/>
        <w:autoSpaceDN/>
        <w:spacing w:line="600" w:lineRule="exact"/>
        <w:ind w:left="-10" w:leftChars="0" w:firstLine="640" w:firstLineChars="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社会保障和就业支出（类）人力资源和社会保障管理事务（款）一般行政管理事务（项）。</w:t>
      </w:r>
    </w:p>
    <w:p w14:paraId="1E8CDBFE">
      <w:pPr>
        <w:pStyle w:val="13"/>
        <w:numPr>
          <w:ilvl w:val="0"/>
          <w:numId w:val="0"/>
        </w:numPr>
        <w:overflowPunct w:val="0"/>
        <w:autoSpaceDE/>
        <w:autoSpaceDN/>
        <w:spacing w:line="600" w:lineRule="exact"/>
        <w:ind w:leftChars="20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 xml:space="preserve"> 年初预算为257.5万元，支出决算为254.78万元，完成年</w:t>
      </w:r>
    </w:p>
    <w:p w14:paraId="139B3628">
      <w:pPr>
        <w:pStyle w:val="13"/>
        <w:numPr>
          <w:ilvl w:val="0"/>
          <w:numId w:val="0"/>
        </w:numPr>
        <w:overflowPunct w:val="0"/>
        <w:autoSpaceDE/>
        <w:autoSpaceDN/>
        <w:spacing w:line="600" w:lineRule="exact"/>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初预算的98.94%，决算数小于年初预算数的主要原因是：公务接待费以及公务用车运行维护费指标未使用完。</w:t>
      </w:r>
    </w:p>
    <w:p w14:paraId="785A1B35">
      <w:pPr>
        <w:pStyle w:val="13"/>
        <w:numPr>
          <w:ilvl w:val="0"/>
          <w:numId w:val="1"/>
        </w:numPr>
        <w:overflowPunct w:val="0"/>
        <w:autoSpaceDE/>
        <w:autoSpaceDN/>
        <w:spacing w:line="600" w:lineRule="exact"/>
        <w:ind w:left="-10" w:leftChars="0" w:firstLine="640" w:firstLineChars="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社会保障和就业支出（类）人力资源和社会保障管理事务（款）其他人力资源和社会保障管理事务支出（项）。</w:t>
      </w:r>
    </w:p>
    <w:p w14:paraId="17D17A70">
      <w:pPr>
        <w:pStyle w:val="13"/>
        <w:numPr>
          <w:ilvl w:val="0"/>
          <w:numId w:val="0"/>
        </w:numPr>
        <w:overflowPunct w:val="0"/>
        <w:autoSpaceDE/>
        <w:autoSpaceDN/>
        <w:spacing w:line="600" w:lineRule="exact"/>
        <w:ind w:leftChars="20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 xml:space="preserve"> 年初预算为117.5万元，支出决算为114.83万元，完成年</w:t>
      </w:r>
    </w:p>
    <w:p w14:paraId="18F06839">
      <w:pPr>
        <w:pStyle w:val="13"/>
        <w:numPr>
          <w:ilvl w:val="0"/>
          <w:numId w:val="0"/>
        </w:numPr>
        <w:overflowPunct w:val="0"/>
        <w:autoSpaceDE/>
        <w:autoSpaceDN/>
        <w:spacing w:line="600" w:lineRule="exact"/>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初预算的97.72%，决算数小于年初预算数的主要原因是：非税收入实际征收数小于年初预估数。</w:t>
      </w:r>
    </w:p>
    <w:p w14:paraId="6886CE68">
      <w:pPr>
        <w:pStyle w:val="13"/>
        <w:numPr>
          <w:ilvl w:val="0"/>
          <w:numId w:val="1"/>
        </w:numPr>
        <w:overflowPunct w:val="0"/>
        <w:autoSpaceDE/>
        <w:autoSpaceDN/>
        <w:spacing w:line="600" w:lineRule="exact"/>
        <w:ind w:left="-10" w:leftChars="0" w:firstLine="640" w:firstLineChars="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社会保障和就业支出（类）行政事业单位养老支出（款）行政单位离退休（项）。</w:t>
      </w:r>
    </w:p>
    <w:p w14:paraId="2AA2EAD6">
      <w:pPr>
        <w:pStyle w:val="13"/>
        <w:numPr>
          <w:ilvl w:val="0"/>
          <w:numId w:val="0"/>
        </w:numPr>
        <w:overflowPunct w:val="0"/>
        <w:autoSpaceDE/>
        <w:autoSpaceDN/>
        <w:spacing w:line="600" w:lineRule="exact"/>
        <w:ind w:leftChars="20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 xml:space="preserve">  年初预算为23.63万元，支出决算为28.96万元，完成年</w:t>
      </w:r>
    </w:p>
    <w:p w14:paraId="4539714E">
      <w:pPr>
        <w:pStyle w:val="13"/>
        <w:numPr>
          <w:ilvl w:val="0"/>
          <w:numId w:val="0"/>
        </w:numPr>
        <w:overflowPunct w:val="0"/>
        <w:autoSpaceDE/>
        <w:autoSpaceDN/>
        <w:spacing w:line="600" w:lineRule="exact"/>
        <w:jc w:val="both"/>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初预算的100%，完成年初预算的122.56%，决算数大于年初预算数的主要原因是：年初调增了单位离休人员生活补贴。</w:t>
      </w:r>
    </w:p>
    <w:p w14:paraId="46E46A5F">
      <w:pPr>
        <w:pStyle w:val="13"/>
        <w:numPr>
          <w:ilvl w:val="0"/>
          <w:numId w:val="1"/>
        </w:numPr>
        <w:overflowPunct w:val="0"/>
        <w:autoSpaceDE/>
        <w:autoSpaceDN/>
        <w:spacing w:line="600" w:lineRule="exact"/>
        <w:ind w:left="-10" w:leftChars="0" w:firstLine="640" w:firstLineChars="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社会保障和就业支出（类）行政事业单位养老支出（款）离退休人员管理机构（项）。</w:t>
      </w:r>
    </w:p>
    <w:p w14:paraId="4A5D5B3D">
      <w:pPr>
        <w:pStyle w:val="13"/>
        <w:numPr>
          <w:ilvl w:val="0"/>
          <w:numId w:val="0"/>
        </w:numPr>
        <w:overflowPunct w:val="0"/>
        <w:autoSpaceDE/>
        <w:autoSpaceDN/>
        <w:spacing w:line="600" w:lineRule="exact"/>
        <w:ind w:leftChars="20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 xml:space="preserve"> 年初预算为13.63万元，支出决算为13.63万元，完成年初</w:t>
      </w:r>
    </w:p>
    <w:p w14:paraId="1AD512C2">
      <w:pPr>
        <w:pStyle w:val="13"/>
        <w:numPr>
          <w:ilvl w:val="0"/>
          <w:numId w:val="0"/>
        </w:numPr>
        <w:overflowPunct w:val="0"/>
        <w:autoSpaceDE/>
        <w:autoSpaceDN/>
        <w:spacing w:line="600" w:lineRule="exact"/>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预算的100%。</w:t>
      </w:r>
    </w:p>
    <w:p w14:paraId="3F9906BC">
      <w:pPr>
        <w:pStyle w:val="13"/>
        <w:numPr>
          <w:ilvl w:val="0"/>
          <w:numId w:val="1"/>
        </w:numPr>
        <w:overflowPunct w:val="0"/>
        <w:autoSpaceDE/>
        <w:autoSpaceDN/>
        <w:spacing w:line="600" w:lineRule="exact"/>
        <w:ind w:left="-10" w:leftChars="0" w:firstLine="640" w:firstLineChars="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社会保障和就业支出（类）行政事业单位养老支出（款）机关事业单位基本养老保险缴费支出（项）。</w:t>
      </w:r>
    </w:p>
    <w:p w14:paraId="50FD54EA">
      <w:pPr>
        <w:pStyle w:val="13"/>
        <w:numPr>
          <w:ilvl w:val="0"/>
          <w:numId w:val="0"/>
        </w:numPr>
        <w:overflowPunct w:val="0"/>
        <w:autoSpaceDE/>
        <w:autoSpaceDN/>
        <w:spacing w:line="600" w:lineRule="exact"/>
        <w:ind w:leftChars="20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 xml:space="preserve"> 年初预算为116.97万元，支出决算为113.52万元，完成年</w:t>
      </w:r>
    </w:p>
    <w:p w14:paraId="796ACDF9">
      <w:pPr>
        <w:pStyle w:val="13"/>
        <w:numPr>
          <w:ilvl w:val="0"/>
          <w:numId w:val="0"/>
        </w:numPr>
        <w:overflowPunct w:val="0"/>
        <w:autoSpaceDE/>
        <w:autoSpaceDN/>
        <w:spacing w:line="600" w:lineRule="exact"/>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初预算的97.05%，决算数小于年初预算数的主要原因是：人员退休，社保缴费减少。</w:t>
      </w:r>
    </w:p>
    <w:p w14:paraId="22784CCE">
      <w:pPr>
        <w:pStyle w:val="13"/>
        <w:numPr>
          <w:ilvl w:val="0"/>
          <w:numId w:val="1"/>
        </w:numPr>
        <w:overflowPunct w:val="0"/>
        <w:autoSpaceDE/>
        <w:autoSpaceDN/>
        <w:spacing w:line="600" w:lineRule="exact"/>
        <w:ind w:left="-10" w:leftChars="0" w:firstLine="640" w:firstLineChars="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社会保障和就业支出（类）行政事业单位养老支出（款）其他行政事业单位养老支出（项）。</w:t>
      </w:r>
    </w:p>
    <w:p w14:paraId="6BE12769">
      <w:pPr>
        <w:pStyle w:val="13"/>
        <w:numPr>
          <w:ilvl w:val="0"/>
          <w:numId w:val="0"/>
        </w:numPr>
        <w:overflowPunct w:val="0"/>
        <w:autoSpaceDE/>
        <w:autoSpaceDN/>
        <w:spacing w:line="600" w:lineRule="exact"/>
        <w:ind w:leftChars="20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 xml:space="preserve">  年初预算为0，支出决算为1.98万元，决算数大于年初预</w:t>
      </w:r>
    </w:p>
    <w:p w14:paraId="2D1829EE">
      <w:pPr>
        <w:pStyle w:val="13"/>
        <w:numPr>
          <w:ilvl w:val="0"/>
          <w:numId w:val="0"/>
        </w:numPr>
        <w:overflowPunct w:val="0"/>
        <w:autoSpaceDE/>
        <w:autoSpaceDN/>
        <w:spacing w:line="600" w:lineRule="exact"/>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算数的主要原因是：发放单位离休干部春节一次性生活补助。</w:t>
      </w:r>
    </w:p>
    <w:p w14:paraId="7E728FB8">
      <w:pPr>
        <w:pStyle w:val="13"/>
        <w:numPr>
          <w:ilvl w:val="0"/>
          <w:numId w:val="1"/>
        </w:numPr>
        <w:overflowPunct w:val="0"/>
        <w:autoSpaceDE/>
        <w:autoSpaceDN/>
        <w:spacing w:line="600" w:lineRule="exact"/>
        <w:ind w:left="-10" w:leftChars="0" w:firstLine="640" w:firstLineChars="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社会保障和就业支出（类）就业补助（款）其他就业补助支出（项）。</w:t>
      </w:r>
    </w:p>
    <w:p w14:paraId="7EB14FB8">
      <w:pPr>
        <w:pStyle w:val="13"/>
        <w:numPr>
          <w:ilvl w:val="0"/>
          <w:numId w:val="0"/>
        </w:numPr>
        <w:overflowPunct w:val="0"/>
        <w:autoSpaceDE/>
        <w:autoSpaceDN/>
        <w:spacing w:line="600" w:lineRule="exact"/>
        <w:ind w:leftChars="20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 xml:space="preserve">  年初预算为0，支出决算为14.98万元，决算数大于年初</w:t>
      </w:r>
    </w:p>
    <w:p w14:paraId="1AD770EF">
      <w:pPr>
        <w:pStyle w:val="13"/>
        <w:numPr>
          <w:ilvl w:val="0"/>
          <w:numId w:val="0"/>
        </w:numPr>
        <w:overflowPunct w:val="0"/>
        <w:autoSpaceDE/>
        <w:autoSpaceDN/>
        <w:spacing w:line="600" w:lineRule="exact"/>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预算数的主要原因是：追加了公益性岗位及社保补贴、信息化建设费。</w:t>
      </w:r>
    </w:p>
    <w:p w14:paraId="0EFC40EA">
      <w:pPr>
        <w:pStyle w:val="13"/>
        <w:numPr>
          <w:ilvl w:val="0"/>
          <w:numId w:val="1"/>
        </w:numPr>
        <w:overflowPunct w:val="0"/>
        <w:autoSpaceDE/>
        <w:autoSpaceDN/>
        <w:spacing w:line="600" w:lineRule="exact"/>
        <w:ind w:left="-10" w:leftChars="0" w:firstLine="640" w:firstLineChars="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社会保障和就业支出（类）其他社会保障和就业支出（款）其他社会保障和就业支出（项）。</w:t>
      </w:r>
    </w:p>
    <w:p w14:paraId="6D2AFCB3">
      <w:pPr>
        <w:pStyle w:val="13"/>
        <w:numPr>
          <w:ilvl w:val="0"/>
          <w:numId w:val="0"/>
        </w:numPr>
        <w:overflowPunct w:val="0"/>
        <w:autoSpaceDE/>
        <w:autoSpaceDN/>
        <w:spacing w:line="600" w:lineRule="exact"/>
        <w:ind w:leftChars="20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 xml:space="preserve">  年初预算为491.91万元，支出决算为382.58万元，完成</w:t>
      </w:r>
    </w:p>
    <w:p w14:paraId="00522EAD">
      <w:pPr>
        <w:pStyle w:val="13"/>
        <w:numPr>
          <w:ilvl w:val="0"/>
          <w:numId w:val="0"/>
        </w:numPr>
        <w:overflowPunct w:val="0"/>
        <w:autoSpaceDE/>
        <w:autoSpaceDN/>
        <w:spacing w:line="600" w:lineRule="exact"/>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年初预算的77.77%，决算数小于年初预算数的主要原因是：非税收入实际征收数小于年初预估数。</w:t>
      </w:r>
    </w:p>
    <w:p w14:paraId="532575C8">
      <w:pPr>
        <w:pStyle w:val="13"/>
        <w:numPr>
          <w:ilvl w:val="0"/>
          <w:numId w:val="1"/>
        </w:numPr>
        <w:overflowPunct w:val="0"/>
        <w:autoSpaceDE/>
        <w:autoSpaceDN/>
        <w:spacing w:line="600" w:lineRule="exact"/>
        <w:ind w:left="-10" w:leftChars="0" w:firstLine="640" w:firstLineChars="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卫生健康支出（类）行政事业单位医疗（款）行政单位医疗（项）。</w:t>
      </w:r>
    </w:p>
    <w:p w14:paraId="34FE971B">
      <w:pPr>
        <w:pStyle w:val="13"/>
        <w:numPr>
          <w:ilvl w:val="0"/>
          <w:numId w:val="0"/>
        </w:numPr>
        <w:overflowPunct w:val="0"/>
        <w:autoSpaceDE/>
        <w:autoSpaceDN/>
        <w:spacing w:line="600" w:lineRule="exact"/>
        <w:ind w:leftChars="20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 xml:space="preserve">  年初预算为49.6万元，支出决算为49.09万元，完成年初</w:t>
      </w:r>
    </w:p>
    <w:p w14:paraId="4DA0FD1D">
      <w:pPr>
        <w:pStyle w:val="13"/>
        <w:numPr>
          <w:ilvl w:val="0"/>
          <w:numId w:val="0"/>
        </w:numPr>
        <w:overflowPunct w:val="0"/>
        <w:autoSpaceDE/>
        <w:autoSpaceDN/>
        <w:spacing w:line="600" w:lineRule="exact"/>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预算的98.97%，决算数小于年初预算数的主要原因是：人员退休医保缴费减少。</w:t>
      </w:r>
    </w:p>
    <w:p w14:paraId="6672A351">
      <w:pPr>
        <w:pStyle w:val="13"/>
        <w:numPr>
          <w:ilvl w:val="0"/>
          <w:numId w:val="1"/>
        </w:numPr>
        <w:overflowPunct w:val="0"/>
        <w:autoSpaceDE/>
        <w:autoSpaceDN/>
        <w:spacing w:line="600" w:lineRule="exact"/>
        <w:ind w:left="-10" w:leftChars="0" w:firstLine="640" w:firstLineChars="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卫生健康支出（类）行政事业单位医疗（款）其他行政事业单位医疗支出（项）。</w:t>
      </w:r>
    </w:p>
    <w:p w14:paraId="77EDDCA6">
      <w:pPr>
        <w:pStyle w:val="13"/>
        <w:numPr>
          <w:ilvl w:val="0"/>
          <w:numId w:val="0"/>
        </w:numPr>
        <w:overflowPunct w:val="0"/>
        <w:autoSpaceDE/>
        <w:autoSpaceDN/>
        <w:spacing w:line="600" w:lineRule="exact"/>
        <w:ind w:left="630" w:leftChars="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年初预算为0，支出决算为6.4万元，决算数大于年初预算</w:t>
      </w:r>
    </w:p>
    <w:p w14:paraId="36994E31">
      <w:pPr>
        <w:pStyle w:val="13"/>
        <w:numPr>
          <w:ilvl w:val="0"/>
          <w:numId w:val="0"/>
        </w:numPr>
        <w:overflowPunct w:val="0"/>
        <w:autoSpaceDE/>
        <w:autoSpaceDN/>
        <w:spacing w:line="600" w:lineRule="exact"/>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数的主要原因是：发放建国初期退休干部医疗补贴。</w:t>
      </w:r>
    </w:p>
    <w:p w14:paraId="4C693AA4">
      <w:pPr>
        <w:pStyle w:val="13"/>
        <w:numPr>
          <w:ilvl w:val="0"/>
          <w:numId w:val="1"/>
        </w:numPr>
        <w:overflowPunct w:val="0"/>
        <w:autoSpaceDE/>
        <w:autoSpaceDN/>
        <w:spacing w:line="600" w:lineRule="exact"/>
        <w:ind w:left="-10" w:leftChars="0" w:firstLine="640" w:firstLineChars="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住房保障支出（类）住房改革支出（款）住房公积金（项）。</w:t>
      </w:r>
    </w:p>
    <w:p w14:paraId="38E3B35B">
      <w:pPr>
        <w:pStyle w:val="13"/>
        <w:numPr>
          <w:ilvl w:val="0"/>
          <w:numId w:val="0"/>
        </w:numPr>
        <w:overflowPunct w:val="0"/>
        <w:autoSpaceDE/>
        <w:autoSpaceDN/>
        <w:spacing w:line="600" w:lineRule="exact"/>
        <w:ind w:left="630" w:leftChars="0"/>
        <w:jc w:val="left"/>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年初预算为94.83万元，支出决算为90.88万元，完成年初</w:t>
      </w:r>
    </w:p>
    <w:p w14:paraId="6D6F5884">
      <w:pPr>
        <w:pStyle w:val="13"/>
        <w:numPr>
          <w:ilvl w:val="0"/>
          <w:numId w:val="0"/>
        </w:numPr>
        <w:overflowPunct w:val="0"/>
        <w:autoSpaceDE/>
        <w:autoSpaceDN/>
        <w:spacing w:line="600" w:lineRule="exact"/>
        <w:jc w:val="left"/>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预算的95.83%，决算数小于年初预算数的主要原因是：人员退休住房公积金减少。</w:t>
      </w:r>
    </w:p>
    <w:p w14:paraId="513DE282">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六、一般公共预算财政拨款基本支出决算情况说明</w:t>
      </w:r>
    </w:p>
    <w:p w14:paraId="40DC2A63">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2024年度一般公共预算财政拨款基本支出</w:t>
      </w:r>
      <w:r>
        <w:rPr>
          <w:rFonts w:hint="eastAsia" w:ascii="Times New Roman" w:hAnsi="Times New Roman" w:eastAsia="仿宋_GB2312" w:cs="Times New Roman"/>
          <w:sz w:val="32"/>
          <w:szCs w:val="32"/>
          <w:lang w:val="en-US" w:eastAsia="zh-CN"/>
        </w:rPr>
        <w:t>1375.33</w:t>
      </w:r>
      <w:r>
        <w:rPr>
          <w:rFonts w:ascii="Times New Roman" w:hAnsi="Times New Roman" w:eastAsia="仿宋_GB2312" w:cs="Times New Roman"/>
          <w:sz w:val="32"/>
          <w:szCs w:val="32"/>
        </w:rPr>
        <w:t>万元，其中：</w:t>
      </w:r>
    </w:p>
    <w:p w14:paraId="371471BD">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b/>
          <w:bCs/>
          <w:sz w:val="32"/>
          <w:szCs w:val="32"/>
        </w:rPr>
        <w:t>人员经费</w:t>
      </w:r>
      <w:r>
        <w:rPr>
          <w:rFonts w:hint="eastAsia" w:ascii="Times New Roman" w:hAnsi="Times New Roman" w:eastAsia="仿宋_GB2312" w:cs="Times New Roman"/>
          <w:sz w:val="32"/>
          <w:szCs w:val="32"/>
          <w:lang w:val="en-US" w:eastAsia="zh-CN"/>
        </w:rPr>
        <w:t>1245.39</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90.55</w:t>
      </w:r>
      <w:r>
        <w:rPr>
          <w:rFonts w:ascii="Times New Roman" w:hAnsi="Times New Roman" w:eastAsia="仿宋_GB2312" w:cs="Times New Roman"/>
          <w:sz w:val="32"/>
          <w:szCs w:val="32"/>
        </w:rPr>
        <w:t>%,主要包括基本工资、津贴补贴、奖金、伙食补助费</w:t>
      </w:r>
      <w:r>
        <w:rPr>
          <w:rFonts w:hint="eastAsia" w:ascii="Times New Roman" w:hAnsi="Times New Roman" w:eastAsia="仿宋_GB2312" w:cs="Times New Roman"/>
          <w:sz w:val="32"/>
          <w:szCs w:val="32"/>
          <w:lang w:eastAsia="zh-CN"/>
        </w:rPr>
        <w:t>、机关事业单位基本养老保险缴费、职工基本医疗保险缴费、住房公积金、离退休人员生活补助等</w:t>
      </w:r>
      <w:r>
        <w:rPr>
          <w:rFonts w:ascii="Times New Roman" w:hAnsi="Times New Roman" w:eastAsia="仿宋_GB2312" w:cs="Times New Roman"/>
          <w:sz w:val="32"/>
          <w:szCs w:val="32"/>
        </w:rPr>
        <w:t>。</w:t>
      </w:r>
    </w:p>
    <w:p w14:paraId="6720FE7A">
      <w:pPr>
        <w:pStyle w:val="13"/>
        <w:overflowPunct w:val="0"/>
        <w:autoSpaceDE/>
        <w:autoSpaceDN/>
        <w:spacing w:line="600" w:lineRule="exact"/>
        <w:ind w:firstLine="640" w:firstLineChars="200"/>
        <w:jc w:val="both"/>
        <w:rPr>
          <w:rFonts w:ascii="Times New Roman" w:hAnsi="Times New Roman" w:eastAsia="楷体" w:cs="Times New Roman"/>
          <w:b/>
          <w:bCs/>
          <w:i/>
          <w:color w:val="auto"/>
          <w:sz w:val="32"/>
          <w:szCs w:val="32"/>
        </w:rPr>
      </w:pPr>
      <w:r>
        <w:rPr>
          <w:rFonts w:ascii="Times New Roman" w:hAnsi="Times New Roman" w:eastAsia="仿宋_GB2312" w:cs="Times New Roman"/>
          <w:b/>
          <w:bCs/>
          <w:sz w:val="32"/>
          <w:szCs w:val="32"/>
        </w:rPr>
        <w:t>公用经费</w:t>
      </w:r>
      <w:r>
        <w:rPr>
          <w:rFonts w:hint="eastAsia" w:ascii="Times New Roman" w:hAnsi="Times New Roman" w:eastAsia="仿宋_GB2312" w:cs="Times New Roman"/>
          <w:sz w:val="32"/>
          <w:szCs w:val="32"/>
          <w:lang w:val="en-US" w:eastAsia="zh-CN"/>
        </w:rPr>
        <w:t>129.93</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9.45</w:t>
      </w:r>
      <w:r>
        <w:rPr>
          <w:rFonts w:ascii="Times New Roman" w:hAnsi="Times New Roman" w:eastAsia="仿宋_GB2312" w:cs="Times New Roman"/>
          <w:sz w:val="32"/>
          <w:szCs w:val="32"/>
        </w:rPr>
        <w:t>%，主要包括办公费、</w:t>
      </w:r>
      <w:r>
        <w:rPr>
          <w:rFonts w:hint="eastAsia" w:ascii="Times New Roman" w:hAnsi="Times New Roman" w:eastAsia="仿宋_GB2312" w:cs="Times New Roman"/>
          <w:sz w:val="32"/>
          <w:szCs w:val="32"/>
          <w:lang w:eastAsia="zh-CN"/>
        </w:rPr>
        <w:t>邮电费、物业管理费、工会经费、福利费、其他交通费等</w:t>
      </w:r>
      <w:r>
        <w:rPr>
          <w:rFonts w:ascii="Times New Roman" w:hAnsi="Times New Roman" w:eastAsia="仿宋_GB2312" w:cs="Times New Roman"/>
          <w:sz w:val="32"/>
          <w:szCs w:val="32"/>
        </w:rPr>
        <w:t>。</w:t>
      </w:r>
    </w:p>
    <w:p w14:paraId="60C0995A">
      <w:pPr>
        <w:pStyle w:val="13"/>
        <w:numPr>
          <w:ilvl w:val="0"/>
          <w:numId w:val="2"/>
        </w:numPr>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财政拨款“三公”经费支出决算情况说明</w:t>
      </w:r>
    </w:p>
    <w:p w14:paraId="33ED0806">
      <w:pPr>
        <w:pStyle w:val="13"/>
        <w:numPr>
          <w:ilvl w:val="0"/>
          <w:numId w:val="0"/>
        </w:numPr>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（一）“三公”经费财政拨款支出决算总体情况说明</w:t>
      </w:r>
    </w:p>
    <w:p w14:paraId="5D5E0913">
      <w:pPr>
        <w:pStyle w:val="13"/>
        <w:overflowPunct w:val="0"/>
        <w:autoSpaceDE/>
        <w:autoSpaceDN/>
        <w:spacing w:line="600" w:lineRule="exact"/>
        <w:ind w:firstLine="640" w:firstLineChars="200"/>
        <w:jc w:val="both"/>
        <w:rPr>
          <w:rFonts w:ascii="Times New Roman" w:hAnsi="Times New Roman" w:eastAsia="仿宋_GB2312" w:cs="Times New Roman"/>
          <w:sz w:val="32"/>
          <w:szCs w:val="32"/>
          <w:highlight w:val="yellow"/>
        </w:rPr>
      </w:pPr>
      <w:r>
        <w:rPr>
          <w:rFonts w:ascii="Times New Roman" w:hAnsi="Times New Roman" w:eastAsia="仿宋_GB2312" w:cs="Times New Roman"/>
          <w:sz w:val="32"/>
          <w:szCs w:val="32"/>
        </w:rPr>
        <w:t>2024年度“三公”经费财政拨款支出预算为</w:t>
      </w:r>
      <w:r>
        <w:rPr>
          <w:rFonts w:hint="eastAsia" w:ascii="Times New Roman" w:hAnsi="Times New Roman" w:eastAsia="仿宋_GB2312" w:cs="Times New Roman"/>
          <w:sz w:val="32"/>
          <w:szCs w:val="32"/>
          <w:lang w:val="en-US" w:eastAsia="zh-CN"/>
        </w:rPr>
        <w:t>20.7</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13.88</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67.05</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lang w:val="en-US" w:eastAsia="zh-CN"/>
        </w:rPr>
        <w:t>4.28</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23.57</w:t>
      </w:r>
      <w:r>
        <w:rPr>
          <w:rFonts w:ascii="Times New Roman" w:hAnsi="Times New Roman" w:eastAsia="仿宋_GB2312" w:cs="Times New Roman"/>
          <w:sz w:val="32"/>
          <w:szCs w:val="32"/>
        </w:rPr>
        <w:t>%。决算数小于预算数的主要原因是</w:t>
      </w:r>
      <w:r>
        <w:rPr>
          <w:rFonts w:hint="eastAsia" w:ascii="Times New Roman" w:hAnsi="Times New Roman" w:eastAsia="仿宋_GB2312" w:cs="Times New Roman"/>
          <w:sz w:val="32"/>
          <w:szCs w:val="32"/>
          <w:lang w:eastAsia="zh-CN"/>
        </w:rPr>
        <w:t>：根据工作需要并报机关事务局审批同意后将</w:t>
      </w:r>
      <w:r>
        <w:rPr>
          <w:rFonts w:hint="eastAsia" w:ascii="Times New Roman" w:hAnsi="Times New Roman" w:eastAsia="仿宋_GB2312" w:cs="Times New Roman"/>
          <w:sz w:val="32"/>
          <w:szCs w:val="32"/>
          <w:lang w:val="en-US" w:eastAsia="zh-CN"/>
        </w:rPr>
        <w:t>3台</w:t>
      </w:r>
      <w:bookmarkStart w:id="0" w:name="_GoBack"/>
      <w:bookmarkEnd w:id="0"/>
      <w:r>
        <w:rPr>
          <w:rFonts w:hint="eastAsia" w:ascii="Times New Roman" w:hAnsi="Times New Roman" w:eastAsia="仿宋_GB2312" w:cs="Times New Roman"/>
          <w:sz w:val="32"/>
          <w:szCs w:val="32"/>
          <w:lang w:val="en-US" w:eastAsia="zh-CN"/>
        </w:rPr>
        <w:t>公车调剂到二级机构，公务用车运行维护费减少以及按照中央八项规定严格控制公务接待费支出</w:t>
      </w:r>
      <w:r>
        <w:rPr>
          <w:rFonts w:ascii="Times New Roman" w:hAnsi="Times New Roman" w:eastAsia="仿宋_GB2312" w:cs="Times New Roman"/>
          <w:sz w:val="32"/>
          <w:szCs w:val="32"/>
        </w:rPr>
        <w:t>。决算数小于上年数的主要原因是</w:t>
      </w:r>
      <w:r>
        <w:rPr>
          <w:rFonts w:hint="eastAsia" w:ascii="Times New Roman" w:hAnsi="Times New Roman" w:eastAsia="仿宋_GB2312" w:cs="Times New Roman"/>
          <w:sz w:val="32"/>
          <w:szCs w:val="32"/>
          <w:lang w:eastAsia="zh-CN"/>
        </w:rPr>
        <w:t>：根据工作需要并报机关事务局审批同意后将</w:t>
      </w:r>
      <w:r>
        <w:rPr>
          <w:rFonts w:hint="eastAsia" w:ascii="Times New Roman" w:hAnsi="Times New Roman" w:eastAsia="仿宋_GB2312" w:cs="Times New Roman"/>
          <w:sz w:val="32"/>
          <w:szCs w:val="32"/>
          <w:lang w:val="en-US" w:eastAsia="zh-CN"/>
        </w:rPr>
        <w:t>3台公车调剂到二级机构，公务用车运行维护费减少以及按照中央八项规定严格控制公务接待费支出</w:t>
      </w:r>
      <w:r>
        <w:rPr>
          <w:rFonts w:ascii="Times New Roman" w:hAnsi="Times New Roman" w:eastAsia="仿宋_GB2312" w:cs="Times New Roman"/>
          <w:sz w:val="32"/>
          <w:szCs w:val="32"/>
        </w:rPr>
        <w:t>。</w:t>
      </w:r>
    </w:p>
    <w:p w14:paraId="2241E7A3">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（二）“三公”经费财政拨款支出决算具体情况说明</w:t>
      </w:r>
    </w:p>
    <w:p w14:paraId="27D5E33E">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sz w:val="32"/>
          <w:szCs w:val="32"/>
        </w:rPr>
      </w:pPr>
      <w:r>
        <w:rPr>
          <w:rFonts w:ascii="Times New Roman" w:hAnsi="Times New Roman" w:eastAsia="仿宋_GB2312" w:cs="Times New Roman"/>
          <w:sz w:val="32"/>
          <w:szCs w:val="32"/>
        </w:rPr>
        <w:t>1.因公出国（境）费支出预算为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hint="eastAsia" w:ascii="仿宋_GB2312" w:hAnsi="仿宋_GB2312" w:eastAsia="仿宋_GB2312" w:cs="仿宋_GB2312"/>
          <w:color w:val="auto"/>
          <w:sz w:val="32"/>
          <w:szCs w:val="32"/>
        </w:rPr>
        <w:t>决算数与年初预算数持平，主要原因</w:t>
      </w:r>
      <w:r>
        <w:rPr>
          <w:rFonts w:hint="eastAsia" w:ascii="仿宋_GB2312" w:hAnsi="仿宋_GB2312" w:eastAsia="仿宋_GB2312" w:cs="仿宋_GB2312"/>
          <w:color w:val="auto"/>
          <w:sz w:val="32"/>
          <w:szCs w:val="32"/>
          <w:lang w:eastAsia="zh-CN"/>
        </w:rPr>
        <w:t>是本年度未安排因公出国（境）</w:t>
      </w:r>
      <w:r>
        <w:rPr>
          <w:rFonts w:hint="eastAsia" w:ascii="仿宋_GB2312" w:hAnsi="仿宋_GB2312" w:eastAsia="仿宋_GB2312" w:cs="仿宋_GB2312"/>
          <w:color w:val="auto"/>
          <w:sz w:val="32"/>
          <w:szCs w:val="32"/>
        </w:rPr>
        <w:t>，与上年数持平，主要原因</w:t>
      </w:r>
      <w:r>
        <w:rPr>
          <w:rFonts w:hint="eastAsia" w:ascii="仿宋_GB2312" w:hAnsi="仿宋_GB2312" w:eastAsia="仿宋_GB2312" w:cs="仿宋_GB2312"/>
          <w:color w:val="auto"/>
          <w:sz w:val="32"/>
          <w:szCs w:val="32"/>
          <w:lang w:eastAsia="zh-CN"/>
        </w:rPr>
        <w:t>是</w:t>
      </w:r>
      <w:r>
        <w:rPr>
          <w:rFonts w:hint="eastAsia" w:ascii="仿宋_GB2312" w:hAnsi="仿宋_GB2312" w:eastAsia="仿宋_GB2312" w:cs="仿宋_GB2312"/>
          <w:color w:val="auto"/>
          <w:sz w:val="32"/>
          <w:szCs w:val="32"/>
        </w:rPr>
        <w:t>本年度未安排因公出国（境）</w:t>
      </w:r>
      <w:r>
        <w:rPr>
          <w:rFonts w:hint="eastAsia" w:ascii="仿宋_GB2312" w:hAnsi="仿宋_GB2312" w:eastAsia="仿宋_GB2312" w:cs="仿宋_GB2312"/>
          <w:sz w:val="32"/>
          <w:szCs w:val="32"/>
        </w:rPr>
        <w:t>。</w:t>
      </w:r>
    </w:p>
    <w:p w14:paraId="2699ECFE">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2.公务用车购置费及运行维护费支出预算为</w:t>
      </w:r>
      <w:r>
        <w:rPr>
          <w:rFonts w:hint="eastAsia" w:ascii="Times New Roman" w:hAnsi="Times New Roman" w:eastAsia="仿宋_GB2312" w:cs="Times New Roman"/>
          <w:sz w:val="32"/>
          <w:szCs w:val="32"/>
          <w:lang w:val="en-US" w:eastAsia="zh-CN"/>
        </w:rPr>
        <w:t>16.1</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11.97</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74.35</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lang w:val="en-US" w:eastAsia="zh-CN"/>
        </w:rPr>
        <w:t>4</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25.05</w:t>
      </w:r>
      <w:r>
        <w:rPr>
          <w:rFonts w:ascii="Times New Roman" w:hAnsi="Times New Roman" w:eastAsia="仿宋_GB2312" w:cs="Times New Roman"/>
          <w:sz w:val="32"/>
          <w:szCs w:val="32"/>
        </w:rPr>
        <w:t>%。其中：</w:t>
      </w:r>
    </w:p>
    <w:p w14:paraId="3397C285">
      <w:pPr>
        <w:pStyle w:val="13"/>
        <w:keepNext w:val="0"/>
        <w:keepLines w:val="0"/>
        <w:pageBreakBefore w:val="0"/>
        <w:widowControl w:val="0"/>
        <w:kinsoku/>
        <w:wordWrap/>
        <w:overflowPunct/>
        <w:topLinePunct w:val="0"/>
        <w:bidi w:val="0"/>
        <w:snapToGrid/>
        <w:spacing w:line="600" w:lineRule="exact"/>
        <w:ind w:firstLine="640" w:firstLineChars="200"/>
        <w:jc w:val="both"/>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公务用车购置费支出预算为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仿宋_GB2312" w:hAnsi="仿宋_GB2312" w:eastAsia="仿宋_GB2312" w:cs="仿宋_GB2312"/>
          <w:b w:val="0"/>
          <w:bCs w:val="0"/>
          <w:color w:val="auto"/>
          <w:sz w:val="32"/>
          <w:szCs w:val="32"/>
        </w:rPr>
        <w:t>决算数与年初预算数持平</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主要原因</w:t>
      </w:r>
      <w:r>
        <w:rPr>
          <w:rFonts w:hint="eastAsia" w:ascii="仿宋_GB2312" w:hAnsi="仿宋_GB2312" w:eastAsia="仿宋_GB2312" w:cs="仿宋_GB2312"/>
          <w:b w:val="0"/>
          <w:bCs w:val="0"/>
          <w:color w:val="auto"/>
          <w:sz w:val="32"/>
          <w:szCs w:val="32"/>
          <w:lang w:eastAsia="zh-CN"/>
        </w:rPr>
        <w:t>是未安排公务车辆购置费。</w:t>
      </w:r>
    </w:p>
    <w:p w14:paraId="00F9B8F4">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公务用车运行维护费支出预算为</w:t>
      </w:r>
      <w:r>
        <w:rPr>
          <w:rFonts w:hint="eastAsia" w:ascii="Times New Roman" w:hAnsi="Times New Roman" w:eastAsia="仿宋_GB2312" w:cs="Times New Roman"/>
          <w:sz w:val="32"/>
          <w:szCs w:val="32"/>
          <w:lang w:val="en-US" w:eastAsia="zh-CN"/>
        </w:rPr>
        <w:t>16.1</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11.97</w:t>
      </w:r>
      <w:r>
        <w:rPr>
          <w:rFonts w:ascii="Times New Roman" w:hAnsi="Times New Roman" w:eastAsia="仿宋_GB2312" w:cs="Times New Roman"/>
          <w:sz w:val="32"/>
          <w:szCs w:val="32"/>
        </w:rPr>
        <w:t>万元，</w:t>
      </w:r>
    </w:p>
    <w:p w14:paraId="70EB2C7D">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主要是</w:t>
      </w:r>
      <w:r>
        <w:rPr>
          <w:rFonts w:hint="eastAsia" w:ascii="仿宋_GB2312" w:hAnsi="仿宋_GB2312" w:eastAsia="仿宋_GB2312" w:cs="仿宋_GB2312"/>
          <w:sz w:val="32"/>
          <w:szCs w:val="32"/>
          <w:lang w:val="en-US" w:eastAsia="zh-CN"/>
        </w:rPr>
        <w:t>车辆维修费、保险费、油料费、过路过桥等</w:t>
      </w:r>
      <w:r>
        <w:rPr>
          <w:rFonts w:hint="eastAsia" w:ascii="仿宋_GB2312" w:hAnsi="仿宋_GB2312" w:eastAsia="仿宋_GB2312" w:cs="仿宋_GB2312"/>
          <w:sz w:val="32"/>
          <w:szCs w:val="32"/>
        </w:rPr>
        <w:t>支出</w:t>
      </w:r>
      <w:r>
        <w:rPr>
          <w:rFonts w:ascii="Times New Roman" w:hAnsi="Times New Roman" w:eastAsia="仿宋_GB2312" w:cs="Times New Roman"/>
          <w:sz w:val="32"/>
          <w:szCs w:val="32"/>
        </w:rPr>
        <w:t>，完成预算的</w:t>
      </w:r>
      <w:r>
        <w:rPr>
          <w:rFonts w:hint="eastAsia" w:ascii="Times New Roman" w:hAnsi="Times New Roman" w:eastAsia="仿宋_GB2312" w:cs="Times New Roman"/>
          <w:sz w:val="32"/>
          <w:szCs w:val="32"/>
          <w:lang w:val="en-US" w:eastAsia="zh-CN"/>
        </w:rPr>
        <w:t>74.35</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lang w:val="en-US" w:eastAsia="zh-CN"/>
        </w:rPr>
        <w:t>4</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25.05</w:t>
      </w:r>
      <w:r>
        <w:rPr>
          <w:rFonts w:ascii="Times New Roman" w:hAnsi="Times New Roman" w:eastAsia="仿宋_GB2312" w:cs="Times New Roman"/>
          <w:sz w:val="32"/>
          <w:szCs w:val="32"/>
        </w:rPr>
        <w:t>%。决算数小于预算数的主要原因是</w:t>
      </w:r>
      <w:r>
        <w:rPr>
          <w:rFonts w:hint="eastAsia" w:ascii="Times New Roman" w:hAnsi="Times New Roman" w:eastAsia="仿宋_GB2312" w:cs="Times New Roman"/>
          <w:sz w:val="32"/>
          <w:szCs w:val="32"/>
          <w:lang w:eastAsia="zh-CN"/>
        </w:rPr>
        <w:t>：根据工作需要并报机关事务局审批同意后将</w:t>
      </w:r>
      <w:r>
        <w:rPr>
          <w:rFonts w:hint="eastAsia" w:ascii="Times New Roman" w:hAnsi="Times New Roman" w:eastAsia="仿宋_GB2312" w:cs="Times New Roman"/>
          <w:sz w:val="32"/>
          <w:szCs w:val="32"/>
          <w:lang w:val="en-US" w:eastAsia="zh-CN"/>
        </w:rPr>
        <w:t>3台公车调剂到二级机构</w:t>
      </w:r>
      <w:r>
        <w:rPr>
          <w:rFonts w:ascii="Times New Roman" w:hAnsi="Times New Roman" w:eastAsia="仿宋_GB2312" w:cs="Times New Roman"/>
          <w:sz w:val="32"/>
          <w:szCs w:val="32"/>
        </w:rPr>
        <w:t>。截止2024年12月31日，我单位开支财政拨款的公务用车保有量为</w:t>
      </w: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辆。</w:t>
      </w:r>
    </w:p>
    <w:p w14:paraId="6903A80F">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3.公务接待费支出预算为</w:t>
      </w:r>
      <w:r>
        <w:rPr>
          <w:rFonts w:hint="eastAsia" w:ascii="Times New Roman" w:hAnsi="Times New Roman" w:eastAsia="仿宋_GB2312" w:cs="Times New Roman"/>
          <w:sz w:val="32"/>
          <w:szCs w:val="32"/>
          <w:lang w:val="en-US" w:eastAsia="zh-CN"/>
        </w:rPr>
        <w:t>4.6</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1.91</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41.52</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lang w:val="en-US" w:eastAsia="zh-CN"/>
        </w:rPr>
        <w:t>0.27</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12.39</w:t>
      </w:r>
      <w:r>
        <w:rPr>
          <w:rFonts w:ascii="Times New Roman" w:hAnsi="Times New Roman" w:eastAsia="仿宋_GB2312" w:cs="Times New Roman"/>
          <w:sz w:val="32"/>
          <w:szCs w:val="32"/>
        </w:rPr>
        <w:t>%。决算数小于预算数的主要原因是</w:t>
      </w:r>
      <w:r>
        <w:rPr>
          <w:rFonts w:hint="eastAsia" w:ascii="Times New Roman" w:hAnsi="Times New Roman" w:eastAsia="仿宋_GB2312" w:cs="Times New Roman"/>
          <w:sz w:val="32"/>
          <w:szCs w:val="32"/>
          <w:lang w:eastAsia="zh-CN"/>
        </w:rPr>
        <w:t>：</w:t>
      </w:r>
      <w:r>
        <w:rPr>
          <w:rFonts w:hint="eastAsia" w:ascii="仿宋_GB2312" w:hAnsi="仿宋_GB2312" w:eastAsia="仿宋_GB2312" w:cs="仿宋_GB2312"/>
          <w:kern w:val="0"/>
          <w:sz w:val="32"/>
          <w:szCs w:val="32"/>
          <w:lang w:val="en-US" w:eastAsia="zh-CN"/>
        </w:rPr>
        <w:t>认真落实中央八项规定和厉行节约的各项要求，进一步从严控制“三公”经费开支</w:t>
      </w:r>
      <w:r>
        <w:rPr>
          <w:rFonts w:ascii="Times New Roman" w:hAnsi="Times New Roman" w:eastAsia="仿宋_GB2312" w:cs="Times New Roman"/>
          <w:sz w:val="32"/>
          <w:szCs w:val="32"/>
        </w:rPr>
        <w:t>。决算数小于上年数的主要原因是</w:t>
      </w:r>
      <w:r>
        <w:rPr>
          <w:rFonts w:hint="eastAsia" w:ascii="Times New Roman" w:hAnsi="Times New Roman" w:eastAsia="仿宋_GB2312" w:cs="Times New Roman"/>
          <w:sz w:val="32"/>
          <w:szCs w:val="32"/>
          <w:lang w:eastAsia="zh-CN"/>
        </w:rPr>
        <w:t>：</w:t>
      </w:r>
      <w:r>
        <w:rPr>
          <w:rFonts w:hint="eastAsia" w:ascii="仿宋_GB2312" w:hAnsi="仿宋_GB2312" w:eastAsia="仿宋_GB2312" w:cs="仿宋_GB2312"/>
          <w:kern w:val="0"/>
          <w:sz w:val="32"/>
          <w:szCs w:val="32"/>
          <w:lang w:val="en-US" w:eastAsia="zh-CN"/>
        </w:rPr>
        <w:t>认真落实中央八项规定和厉行节约的各项要求，进一步从严控制“三公”经费开支</w:t>
      </w:r>
      <w:r>
        <w:rPr>
          <w:rFonts w:ascii="Times New Roman" w:hAnsi="Times New Roman" w:eastAsia="仿宋_GB2312" w:cs="Times New Roman"/>
          <w:sz w:val="32"/>
          <w:szCs w:val="32"/>
        </w:rPr>
        <w:t>。2024年度共接待来访团组</w:t>
      </w:r>
      <w:r>
        <w:rPr>
          <w:rFonts w:hint="eastAsia" w:ascii="Times New Roman" w:hAnsi="Times New Roman" w:eastAsia="仿宋_GB2312" w:cs="Times New Roman"/>
          <w:sz w:val="32"/>
          <w:szCs w:val="32"/>
          <w:lang w:val="en-US" w:eastAsia="zh-CN"/>
        </w:rPr>
        <w:t>25</w:t>
      </w:r>
      <w:r>
        <w:rPr>
          <w:rFonts w:ascii="Times New Roman" w:hAnsi="Times New Roman" w:eastAsia="仿宋_GB2312" w:cs="Times New Roman"/>
          <w:sz w:val="32"/>
          <w:szCs w:val="32"/>
        </w:rPr>
        <w:t>个、来宾</w:t>
      </w:r>
      <w:r>
        <w:rPr>
          <w:rFonts w:hint="eastAsia" w:ascii="Times New Roman" w:hAnsi="Times New Roman" w:eastAsia="仿宋_GB2312" w:cs="Times New Roman"/>
          <w:sz w:val="32"/>
          <w:szCs w:val="32"/>
          <w:lang w:val="en-US" w:eastAsia="zh-CN"/>
        </w:rPr>
        <w:t>104</w:t>
      </w:r>
      <w:r>
        <w:rPr>
          <w:rFonts w:ascii="Times New Roman" w:hAnsi="Times New Roman" w:eastAsia="仿宋_GB2312" w:cs="Times New Roman"/>
          <w:sz w:val="32"/>
          <w:szCs w:val="32"/>
        </w:rPr>
        <w:t>人次，主要是</w:t>
      </w:r>
      <w:r>
        <w:rPr>
          <w:rFonts w:hint="eastAsia" w:ascii="仿宋_GB2312" w:hAnsi="仿宋_GB2312" w:eastAsia="仿宋_GB2312" w:cs="仿宋_GB2312"/>
          <w:kern w:val="0"/>
          <w:sz w:val="32"/>
          <w:szCs w:val="32"/>
        </w:rPr>
        <w:t>与相关单位交流工作情况、以及与</w:t>
      </w:r>
      <w:r>
        <w:rPr>
          <w:rFonts w:hint="eastAsia" w:ascii="仿宋_GB2312" w:hAnsi="仿宋_GB2312" w:eastAsia="仿宋_GB2312" w:cs="仿宋_GB2312"/>
          <w:kern w:val="0"/>
          <w:sz w:val="32"/>
          <w:szCs w:val="32"/>
          <w:lang w:eastAsia="zh-CN"/>
        </w:rPr>
        <w:t>省厅、</w:t>
      </w:r>
      <w:r>
        <w:rPr>
          <w:rFonts w:hint="eastAsia" w:ascii="仿宋_GB2312" w:hAnsi="仿宋_GB2312" w:eastAsia="仿宋_GB2312" w:cs="仿宋_GB2312"/>
          <w:kern w:val="0"/>
          <w:sz w:val="32"/>
          <w:szCs w:val="32"/>
        </w:rPr>
        <w:t>市州县市区工作往来</w:t>
      </w:r>
      <w:r>
        <w:rPr>
          <w:rFonts w:ascii="Times New Roman" w:hAnsi="Times New Roman" w:eastAsia="仿宋_GB2312" w:cs="Times New Roman"/>
          <w:sz w:val="32"/>
          <w:szCs w:val="32"/>
        </w:rPr>
        <w:t>发生的接待支出。</w:t>
      </w:r>
    </w:p>
    <w:p w14:paraId="30B4062D">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八、政府性基金预算收入支出决算情况</w:t>
      </w:r>
    </w:p>
    <w:p w14:paraId="7D5C49C3">
      <w:pPr>
        <w:pStyle w:val="13"/>
        <w:overflowPunct w:val="0"/>
        <w:autoSpaceDE/>
        <w:autoSpaceDN/>
        <w:spacing w:line="600" w:lineRule="exact"/>
        <w:ind w:firstLine="640" w:firstLineChars="20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本单位无政府性基金预算收入支出</w:t>
      </w:r>
    </w:p>
    <w:p w14:paraId="023BD664">
      <w:pPr>
        <w:pStyle w:val="13"/>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九、国有资本经营预算收入支出决算情况</w:t>
      </w:r>
    </w:p>
    <w:p w14:paraId="3CD2E15F">
      <w:pPr>
        <w:pStyle w:val="13"/>
        <w:keepNext w:val="0"/>
        <w:keepLines w:val="0"/>
        <w:pageBreakBefore w:val="0"/>
        <w:widowControl w:val="0"/>
        <w:numPr>
          <w:ilvl w:val="0"/>
          <w:numId w:val="0"/>
        </w:numPr>
        <w:kinsoku/>
        <w:wordWrap/>
        <w:overflowPunct/>
        <w:topLinePunct w:val="0"/>
        <w:bidi w:val="0"/>
        <w:snapToGrid/>
        <w:spacing w:line="600" w:lineRule="exact"/>
        <w:ind w:left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本单位无国有资本经营预算收入支出</w:t>
      </w:r>
    </w:p>
    <w:p w14:paraId="5F563B07">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hint="eastAsia" w:ascii="Times New Roman" w:hAnsi="Times New Roman" w:cs="Times New Roman"/>
          <w:bCs/>
          <w:sz w:val="32"/>
          <w:szCs w:val="32"/>
          <w:lang w:eastAsia="zh-CN"/>
        </w:rPr>
        <w:t>十</w:t>
      </w:r>
      <w:r>
        <w:rPr>
          <w:rFonts w:ascii="Times New Roman" w:hAnsi="Times New Roman" w:cs="Times New Roman"/>
          <w:bCs/>
          <w:sz w:val="32"/>
          <w:szCs w:val="32"/>
        </w:rPr>
        <w:t>、关于机关运行经费支出说明</w:t>
      </w:r>
    </w:p>
    <w:p w14:paraId="79F4665E">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本部门2024年度机关运行经费支出</w:t>
      </w:r>
      <w:r>
        <w:rPr>
          <w:rFonts w:hint="eastAsia" w:ascii="Times New Roman" w:hAnsi="Times New Roman" w:eastAsia="仿宋_GB2312" w:cs="Times New Roman"/>
          <w:sz w:val="32"/>
          <w:szCs w:val="32"/>
          <w:lang w:val="en-US" w:eastAsia="zh-CN"/>
        </w:rPr>
        <w:t>129.93</w:t>
      </w:r>
      <w:r>
        <w:rPr>
          <w:rFonts w:ascii="Times New Roman" w:hAnsi="Times New Roman" w:eastAsia="仿宋_GB2312" w:cs="Times New Roman"/>
          <w:sz w:val="32"/>
          <w:szCs w:val="32"/>
        </w:rPr>
        <w:t>万元，比年初预算数增加</w:t>
      </w:r>
      <w:r>
        <w:rPr>
          <w:rFonts w:hint="eastAsia" w:ascii="Times New Roman" w:hAnsi="Times New Roman" w:eastAsia="仿宋_GB2312" w:cs="Times New Roman"/>
          <w:sz w:val="32"/>
          <w:szCs w:val="32"/>
          <w:lang w:val="en-US" w:eastAsia="zh-CN"/>
        </w:rPr>
        <w:t>44.73</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52.5</w:t>
      </w:r>
      <w:r>
        <w:rPr>
          <w:rFonts w:ascii="Times New Roman" w:hAnsi="Times New Roman" w:eastAsia="仿宋_GB2312" w:cs="Times New Roman"/>
          <w:sz w:val="32"/>
          <w:szCs w:val="32"/>
        </w:rPr>
        <w:t>%。主要原因是：</w:t>
      </w:r>
      <w:r>
        <w:rPr>
          <w:rFonts w:hint="eastAsia" w:ascii="Times New Roman" w:hAnsi="Times New Roman" w:eastAsia="仿宋_GB2312" w:cs="Times New Roman"/>
          <w:sz w:val="32"/>
          <w:szCs w:val="32"/>
          <w:lang w:eastAsia="zh-CN"/>
        </w:rPr>
        <w:t>年初预算未包含其他交通费用</w:t>
      </w:r>
      <w:r>
        <w:rPr>
          <w:rFonts w:ascii="Times New Roman" w:hAnsi="Times New Roman" w:eastAsia="仿宋_GB2312" w:cs="Times New Roman"/>
          <w:sz w:val="32"/>
          <w:szCs w:val="32"/>
        </w:rPr>
        <w:t>。</w:t>
      </w:r>
    </w:p>
    <w:p w14:paraId="0E78D594">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w:t>
      </w:r>
      <w:r>
        <w:rPr>
          <w:rFonts w:hint="eastAsia" w:ascii="Times New Roman" w:hAnsi="Times New Roman" w:cs="Times New Roman"/>
          <w:bCs/>
          <w:sz w:val="32"/>
          <w:szCs w:val="32"/>
          <w:lang w:eastAsia="zh-CN"/>
        </w:rPr>
        <w:t>一</w:t>
      </w:r>
      <w:r>
        <w:rPr>
          <w:rFonts w:ascii="Times New Roman" w:hAnsi="Times New Roman" w:cs="Times New Roman"/>
          <w:bCs/>
          <w:sz w:val="32"/>
          <w:szCs w:val="32"/>
        </w:rPr>
        <w:t>、一般性支出情况说明</w:t>
      </w:r>
    </w:p>
    <w:p w14:paraId="04C755BC">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sz w:val="32"/>
          <w:szCs w:val="32"/>
          <w:lang w:eastAsia="zh-CN"/>
        </w:rPr>
      </w:pPr>
      <w:r>
        <w:rPr>
          <w:rFonts w:ascii="Times New Roman" w:hAnsi="Times New Roman" w:eastAsia="仿宋_GB2312" w:cs="Times New Roman"/>
          <w:sz w:val="32"/>
          <w:szCs w:val="32"/>
        </w:rPr>
        <w:t>2024年本部门开支会议费</w:t>
      </w:r>
      <w:r>
        <w:rPr>
          <w:rFonts w:hint="eastAsia" w:ascii="Times New Roman" w:hAnsi="Times New Roman" w:eastAsia="仿宋_GB2312" w:cs="Times New Roman"/>
          <w:sz w:val="32"/>
          <w:szCs w:val="32"/>
          <w:lang w:val="en-US" w:eastAsia="zh-CN"/>
        </w:rPr>
        <w:t>1.59</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rPr>
        <w:t>用于召开</w:t>
      </w:r>
      <w:r>
        <w:rPr>
          <w:rFonts w:hint="eastAsia" w:ascii="Times New Roman" w:hAnsi="Times New Roman" w:eastAsia="仿宋_GB2312" w:cs="Times New Roman"/>
          <w:sz w:val="32"/>
          <w:szCs w:val="32"/>
          <w:lang w:val="en-US" w:eastAsia="zh-CN"/>
        </w:rPr>
        <w:t>2023年度工资统计工作</w:t>
      </w:r>
      <w:r>
        <w:rPr>
          <w:rFonts w:ascii="Times New Roman" w:hAnsi="Times New Roman" w:eastAsia="仿宋_GB2312" w:cs="Times New Roman"/>
          <w:sz w:val="32"/>
          <w:szCs w:val="32"/>
        </w:rPr>
        <w:t>会议，人数</w:t>
      </w:r>
      <w:r>
        <w:rPr>
          <w:rFonts w:hint="eastAsia" w:ascii="Times New Roman" w:hAnsi="Times New Roman" w:eastAsia="仿宋_GB2312" w:cs="Times New Roman"/>
          <w:sz w:val="32"/>
          <w:szCs w:val="32"/>
          <w:lang w:val="en-US" w:eastAsia="zh-CN"/>
        </w:rPr>
        <w:t>24</w:t>
      </w:r>
      <w:r>
        <w:rPr>
          <w:rFonts w:ascii="Times New Roman" w:hAnsi="Times New Roman" w:eastAsia="仿宋_GB2312" w:cs="Times New Roman"/>
          <w:sz w:val="32"/>
          <w:szCs w:val="32"/>
        </w:rPr>
        <w:t>人，内容</w:t>
      </w:r>
      <w:r>
        <w:rPr>
          <w:rFonts w:hint="eastAsia" w:ascii="Times New Roman" w:hAnsi="Times New Roman" w:eastAsia="仿宋_GB2312" w:cs="Times New Roman"/>
          <w:sz w:val="32"/>
          <w:szCs w:val="32"/>
          <w:lang w:eastAsia="zh-CN"/>
        </w:rPr>
        <w:t>为</w:t>
      </w:r>
      <w:r>
        <w:rPr>
          <w:rFonts w:hint="eastAsia" w:ascii="Times New Roman" w:hAnsi="Times New Roman" w:eastAsia="仿宋_GB2312" w:cs="Times New Roman"/>
          <w:sz w:val="32"/>
          <w:szCs w:val="32"/>
          <w:lang w:val="en-US" w:eastAsia="zh-CN"/>
        </w:rPr>
        <w:t>2023年工资统计业务工作等相关事宜，2、召开全市人社工作会议，人数80人，内容为</w:t>
      </w:r>
      <w:r>
        <w:rPr>
          <w:rFonts w:hint="eastAsia" w:ascii="Times New Roman" w:hAnsi="Times New Roman" w:eastAsia="仿宋_GB2312"/>
          <w:sz w:val="32"/>
          <w:szCs w:val="32"/>
          <w:lang w:val="en-US" w:eastAsia="zh-CN"/>
        </w:rPr>
        <w:t>部署全市人社系统工作等相关事宜，3、召开全市民生可感行动工作推进会，人数31人，内容为总结前期工作，安排部署下阶段民生可感行动工作等相关事宜，4、召开全市专业技术人才工作会议，人数18人，内容为专业技术人才工作等相关事宜，5、召开全市人力资源和社会保障工作调度会，人数16人，内容为调度全市人力资源和社会保障工作推进等相关事宜，6、召开社保卡工作推进会，人数41人，内容为推进社保卡工作等相关事宜</w:t>
      </w:r>
      <w:r>
        <w:rPr>
          <w:rFonts w:ascii="Times New Roman" w:hAnsi="Times New Roman" w:eastAsia="仿宋_GB2312" w:cs="Times New Roman"/>
          <w:sz w:val="32"/>
          <w:szCs w:val="32"/>
        </w:rPr>
        <w:t>；开支培训</w:t>
      </w:r>
      <w:r>
        <w:rPr>
          <w:rFonts w:hint="eastAsia" w:ascii="Times New Roman" w:hAnsi="Times New Roman" w:eastAsia="仿宋_GB2312" w:cs="Times New Roman"/>
          <w:sz w:val="32"/>
          <w:szCs w:val="32"/>
          <w:lang w:eastAsia="zh-CN"/>
        </w:rPr>
        <w:t>费</w:t>
      </w:r>
      <w:r>
        <w:rPr>
          <w:rFonts w:hint="eastAsia" w:ascii="Times New Roman" w:hAnsi="Times New Roman" w:eastAsia="仿宋_GB2312" w:cs="Times New Roman"/>
          <w:sz w:val="32"/>
          <w:szCs w:val="32"/>
          <w:lang w:val="en-US" w:eastAsia="zh-CN"/>
        </w:rPr>
        <w:t>7.87</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rPr>
        <w:t>用于开展</w:t>
      </w:r>
      <w:r>
        <w:rPr>
          <w:rFonts w:hint="eastAsia" w:ascii="Times New Roman" w:hAnsi="Times New Roman" w:eastAsia="仿宋_GB2312" w:cs="Times New Roman"/>
          <w:sz w:val="32"/>
          <w:szCs w:val="32"/>
          <w:lang w:val="en-US" w:eastAsia="zh-CN"/>
        </w:rPr>
        <w:t>2023年工资统计报表会审及统计业务</w:t>
      </w:r>
      <w:r>
        <w:rPr>
          <w:rFonts w:ascii="Times New Roman" w:hAnsi="Times New Roman" w:eastAsia="仿宋_GB2312" w:cs="Times New Roman"/>
          <w:sz w:val="32"/>
          <w:szCs w:val="32"/>
        </w:rPr>
        <w:t>培训，人数</w:t>
      </w:r>
      <w:r>
        <w:rPr>
          <w:rFonts w:hint="eastAsia" w:ascii="Times New Roman" w:hAnsi="Times New Roman" w:eastAsia="仿宋_GB2312" w:cs="Times New Roman"/>
          <w:sz w:val="32"/>
          <w:szCs w:val="32"/>
          <w:lang w:val="en-US" w:eastAsia="zh-CN"/>
        </w:rPr>
        <w:t>45人次</w:t>
      </w:r>
      <w:r>
        <w:rPr>
          <w:rFonts w:ascii="Times New Roman" w:hAnsi="Times New Roman" w:eastAsia="仿宋_GB2312" w:cs="Times New Roman"/>
          <w:sz w:val="32"/>
          <w:szCs w:val="32"/>
        </w:rPr>
        <w:t>，内容为</w:t>
      </w:r>
      <w:r>
        <w:rPr>
          <w:rFonts w:hint="eastAsia" w:ascii="Times New Roman" w:hAnsi="Times New Roman" w:eastAsia="仿宋_GB2312" w:cs="Times New Roman"/>
          <w:sz w:val="32"/>
          <w:szCs w:val="32"/>
          <w:lang w:eastAsia="zh-CN"/>
        </w:rPr>
        <w:t>工资统计业务报表培训，</w:t>
      </w:r>
      <w:r>
        <w:rPr>
          <w:rFonts w:hint="eastAsia" w:ascii="Times New Roman" w:hAnsi="Times New Roman" w:eastAsia="仿宋_GB2312" w:cs="Times New Roman"/>
          <w:sz w:val="32"/>
          <w:szCs w:val="32"/>
          <w:lang w:val="en-US" w:eastAsia="zh-CN"/>
        </w:rPr>
        <w:t>2、用于“三支一扶”人员培训，人数40人，内容为新招募人员业务培训</w:t>
      </w:r>
      <w:r>
        <w:rPr>
          <w:rFonts w:ascii="Times New Roman" w:hAnsi="Times New Roman" w:eastAsia="仿宋_GB2312" w:cs="Times New Roman"/>
          <w:sz w:val="32"/>
          <w:szCs w:val="32"/>
        </w:rPr>
        <w:t>；</w:t>
      </w:r>
      <w:r>
        <w:rPr>
          <w:rFonts w:hint="eastAsia" w:ascii="Times New Roman" w:hAnsi="Times New Roman" w:eastAsia="仿宋_GB2312"/>
          <w:sz w:val="32"/>
          <w:szCs w:val="32"/>
          <w:lang w:val="en-US" w:eastAsia="zh-CN"/>
        </w:rPr>
        <w:t>2024年</w:t>
      </w:r>
      <w:r>
        <w:rPr>
          <w:rFonts w:hint="eastAsia" w:ascii="仿宋_GB2312" w:hAnsi="仿宋_GB2312" w:eastAsia="仿宋_GB2312" w:cs="仿宋_GB2312"/>
          <w:sz w:val="32"/>
          <w:szCs w:val="32"/>
          <w:lang w:eastAsia="zh-CN"/>
        </w:rPr>
        <w:t>我单位无</w:t>
      </w:r>
      <w:r>
        <w:rPr>
          <w:rFonts w:hint="eastAsia" w:ascii="仿宋_GB2312" w:hAnsi="仿宋_GB2312" w:eastAsia="仿宋_GB2312" w:cs="仿宋_GB2312"/>
          <w:sz w:val="32"/>
          <w:szCs w:val="32"/>
        </w:rPr>
        <w:t>节庆、晚会、论坛、赛事活动</w:t>
      </w:r>
      <w:r>
        <w:rPr>
          <w:rFonts w:hint="eastAsia" w:ascii="仿宋_GB2312" w:hAnsi="仿宋_GB2312" w:eastAsia="仿宋_GB2312" w:cs="仿宋_GB2312"/>
          <w:sz w:val="32"/>
          <w:szCs w:val="32"/>
          <w:lang w:eastAsia="zh-CN"/>
        </w:rPr>
        <w:t>支出。</w:t>
      </w:r>
    </w:p>
    <w:p w14:paraId="7A36CE0F">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w:t>
      </w:r>
      <w:r>
        <w:rPr>
          <w:rFonts w:hint="eastAsia" w:ascii="Times New Roman" w:hAnsi="Times New Roman" w:cs="Times New Roman"/>
          <w:bCs/>
          <w:sz w:val="32"/>
          <w:szCs w:val="32"/>
          <w:lang w:eastAsia="zh-CN"/>
        </w:rPr>
        <w:t>二</w:t>
      </w:r>
      <w:r>
        <w:rPr>
          <w:rFonts w:ascii="Times New Roman" w:hAnsi="Times New Roman" w:cs="Times New Roman"/>
          <w:bCs/>
          <w:sz w:val="32"/>
          <w:szCs w:val="32"/>
        </w:rPr>
        <w:t>、关于政府采购支出说明</w:t>
      </w:r>
    </w:p>
    <w:p w14:paraId="7B7F9618">
      <w:pPr>
        <w:pStyle w:val="13"/>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sz w:val="32"/>
          <w:szCs w:val="32"/>
        </w:rPr>
        <w:t>本部门2024年度政府采购支出总额</w:t>
      </w:r>
      <w:r>
        <w:rPr>
          <w:rFonts w:hint="eastAsia" w:ascii="Times New Roman" w:hAnsi="Times New Roman" w:eastAsia="仿宋_GB2312" w:cs="Times New Roman"/>
          <w:sz w:val="32"/>
          <w:szCs w:val="32"/>
          <w:lang w:val="en-US" w:eastAsia="zh-CN"/>
        </w:rPr>
        <w:t>11.95</w:t>
      </w:r>
      <w:r>
        <w:rPr>
          <w:rFonts w:ascii="Times New Roman" w:hAnsi="Times New Roman" w:eastAsia="仿宋_GB2312" w:cs="Times New Roman"/>
          <w:sz w:val="32"/>
          <w:szCs w:val="32"/>
        </w:rPr>
        <w:t>万元，其中：政府采购货物支出</w:t>
      </w:r>
      <w:r>
        <w:rPr>
          <w:rFonts w:hint="eastAsia" w:ascii="Times New Roman" w:hAnsi="Times New Roman" w:eastAsia="仿宋_GB2312" w:cs="Times New Roman"/>
          <w:sz w:val="32"/>
          <w:szCs w:val="32"/>
          <w:lang w:val="en-US" w:eastAsia="zh-CN"/>
        </w:rPr>
        <w:t>11.95</w:t>
      </w:r>
      <w:r>
        <w:rPr>
          <w:rFonts w:ascii="Times New Roman" w:hAnsi="Times New Roman" w:eastAsia="仿宋_GB2312" w:cs="Times New Roman"/>
          <w:sz w:val="32"/>
          <w:szCs w:val="32"/>
        </w:rPr>
        <w:t>万元、政府采购工程支出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万元、政府采购服务支出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万元。授予中小企业合同金额</w:t>
      </w:r>
      <w:r>
        <w:rPr>
          <w:rFonts w:hint="eastAsia" w:ascii="Times New Roman" w:hAnsi="Times New Roman" w:eastAsia="仿宋_GB2312" w:cs="Times New Roman"/>
          <w:sz w:val="32"/>
          <w:szCs w:val="32"/>
          <w:lang w:val="en-US" w:eastAsia="zh-CN"/>
        </w:rPr>
        <w:t>11.95</w:t>
      </w:r>
      <w:r>
        <w:rPr>
          <w:rFonts w:ascii="Times New Roman" w:hAnsi="Times New Roman" w:eastAsia="仿宋_GB2312" w:cs="Times New Roman"/>
          <w:sz w:val="32"/>
          <w:szCs w:val="32"/>
        </w:rPr>
        <w:t>万元，占政府采购支出总额的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%，其中：授予小微企业合同金额</w:t>
      </w:r>
      <w:r>
        <w:rPr>
          <w:rFonts w:hint="eastAsia" w:ascii="Times New Roman" w:hAnsi="Times New Roman" w:eastAsia="仿宋_GB2312" w:cs="Times New Roman"/>
          <w:sz w:val="32"/>
          <w:szCs w:val="32"/>
          <w:lang w:val="en-US" w:eastAsia="zh-CN"/>
        </w:rPr>
        <w:t>11.95</w:t>
      </w:r>
      <w:r>
        <w:rPr>
          <w:rFonts w:ascii="Times New Roman" w:hAnsi="Times New Roman" w:eastAsia="仿宋_GB2312" w:cs="Times New Roman"/>
          <w:sz w:val="32"/>
          <w:szCs w:val="32"/>
        </w:rPr>
        <w:t>万元，</w:t>
      </w:r>
      <w:r>
        <w:rPr>
          <w:rFonts w:ascii="Times New Roman" w:hAnsi="Times New Roman" w:eastAsia="仿宋_GB2312" w:cs="Times New Roman"/>
          <w:color w:val="auto"/>
          <w:sz w:val="32"/>
          <w:szCs w:val="32"/>
        </w:rPr>
        <w:t>占授予中小企业合同金额的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%。货物采购授予中小企业合同金额占货物支出金额的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%，工程采购授予中小企业合同金额占工程支出金额的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%，服务采购授予中小企业合同金额占服务支出金额的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w:t>
      </w:r>
    </w:p>
    <w:p w14:paraId="208F8F3D">
      <w:pPr>
        <w:pStyle w:val="13"/>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lang w:eastAsia="zh-CN"/>
        </w:rPr>
        <w:t>三</w:t>
      </w:r>
      <w:r>
        <w:rPr>
          <w:rFonts w:ascii="Times New Roman" w:hAnsi="Times New Roman" w:cs="Times New Roman"/>
          <w:bCs/>
          <w:color w:val="auto"/>
          <w:sz w:val="32"/>
          <w:szCs w:val="32"/>
        </w:rPr>
        <w:t>、关于国有资产占用情况说明</w:t>
      </w:r>
    </w:p>
    <w:p w14:paraId="170540E1">
      <w:pPr>
        <w:pStyle w:val="13"/>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截至2024年12月31日，部门（单位）共有车辆</w:t>
      </w:r>
      <w:r>
        <w:rPr>
          <w:rFonts w:hint="eastAsia" w:ascii="Times New Roman" w:hAnsi="Times New Roman" w:eastAsia="仿宋_GB2312" w:cs="Times New Roman"/>
          <w:color w:val="auto"/>
          <w:sz w:val="32"/>
          <w:szCs w:val="32"/>
          <w:lang w:val="en-US" w:eastAsia="zh-CN"/>
        </w:rPr>
        <w:t>2</w:t>
      </w:r>
      <w:r>
        <w:rPr>
          <w:rFonts w:ascii="Times New Roman" w:hAnsi="Times New Roman" w:eastAsia="仿宋_GB2312" w:cs="Times New Roman"/>
          <w:color w:val="auto"/>
          <w:sz w:val="32"/>
          <w:szCs w:val="32"/>
        </w:rPr>
        <w:t>辆，</w:t>
      </w:r>
      <w:r>
        <w:rPr>
          <w:rFonts w:hint="eastAsia" w:ascii="仿宋_GB2312" w:hAnsi="仿宋_GB2312" w:eastAsia="仿宋_GB2312" w:cs="仿宋_GB2312"/>
          <w:sz w:val="32"/>
          <w:szCs w:val="32"/>
          <w:lang w:eastAsia="zh-CN"/>
        </w:rPr>
        <w:t>均为一般公务用车</w:t>
      </w:r>
      <w:r>
        <w:rPr>
          <w:rFonts w:ascii="Times New Roman" w:hAnsi="Times New Roman" w:eastAsia="仿宋_GB2312" w:cs="Times New Roman"/>
          <w:color w:val="auto"/>
          <w:sz w:val="32"/>
          <w:szCs w:val="32"/>
        </w:rPr>
        <w:t>，副部（省）级及以上领导用车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辆、主要负责人用车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辆、机要通信用车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辆、应急保障用车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辆、执法执勤用车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辆、特种专业技术用车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辆、离退休干部服务用车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辆、其他用车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辆；单位价值100万元以上设备（不含车辆）</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台（套）。</w:t>
      </w:r>
    </w:p>
    <w:p w14:paraId="1451E341">
      <w:pPr>
        <w:pStyle w:val="13"/>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lang w:eastAsia="zh-CN"/>
        </w:rPr>
        <w:t>四</w:t>
      </w:r>
      <w:r>
        <w:rPr>
          <w:rFonts w:ascii="Times New Roman" w:hAnsi="Times New Roman" w:cs="Times New Roman"/>
          <w:bCs/>
          <w:color w:val="auto"/>
          <w:sz w:val="32"/>
          <w:szCs w:val="32"/>
        </w:rPr>
        <w:t>、关于</w:t>
      </w:r>
      <w:r>
        <w:rPr>
          <w:rFonts w:ascii="Times New Roman" w:hAnsi="Times New Roman" w:eastAsia="仿宋_GB2312" w:cs="Times New Roman"/>
          <w:color w:val="auto"/>
          <w:sz w:val="32"/>
          <w:szCs w:val="32"/>
        </w:rPr>
        <w:t>2024</w:t>
      </w:r>
      <w:r>
        <w:rPr>
          <w:rFonts w:ascii="Times New Roman" w:hAnsi="Times New Roman" w:cs="Times New Roman"/>
          <w:bCs/>
          <w:color w:val="auto"/>
          <w:sz w:val="32"/>
          <w:szCs w:val="32"/>
        </w:rPr>
        <w:t>年度预算绩效情况的说明</w:t>
      </w:r>
    </w:p>
    <w:p w14:paraId="4A7413EC">
      <w:pPr>
        <w:overflowPunct w:val="0"/>
        <w:spacing w:line="600" w:lineRule="exact"/>
        <w:ind w:left="638" w:leftChars="304" w:firstLine="0" w:firstLineChars="0"/>
        <w:jc w:val="both"/>
        <w:rPr>
          <w:rFonts w:ascii="Times New Roman" w:hAnsi="Times New Roman" w:eastAsia="仿宋_GB2312" w:cs="Times New Roman"/>
          <w:kern w:val="0"/>
          <w:sz w:val="32"/>
          <w:szCs w:val="32"/>
        </w:rPr>
      </w:pPr>
      <w:r>
        <w:rPr>
          <w:rFonts w:ascii="Times New Roman" w:hAnsi="Times New Roman" w:eastAsia="楷体_GB2312" w:cs="Times New Roman"/>
          <w:b/>
          <w:bCs/>
          <w:sz w:val="32"/>
          <w:szCs w:val="32"/>
        </w:rPr>
        <w:t>（一）绩效评价工作开展情况。</w:t>
      </w:r>
      <w:r>
        <w:rPr>
          <w:rFonts w:ascii="Times New Roman" w:hAnsi="Times New Roman" w:eastAsia="仿宋_GB2312" w:cs="Times New Roman"/>
          <w:b/>
          <w:bCs/>
          <w:kern w:val="0"/>
          <w:sz w:val="32"/>
          <w:szCs w:val="32"/>
        </w:rPr>
        <w:t>一是绩效自评开展情况。</w:t>
      </w:r>
      <w:r>
        <w:rPr>
          <w:rFonts w:ascii="Times New Roman" w:hAnsi="Times New Roman" w:eastAsia="仿宋_GB2312" w:cs="Times New Roman"/>
          <w:kern w:val="0"/>
          <w:sz w:val="32"/>
          <w:szCs w:val="32"/>
        </w:rPr>
        <w:t>组织对2024年度本部门整体支出开展绩效自评，涉及项</w:t>
      </w:r>
    </w:p>
    <w:p w14:paraId="03A77D48">
      <w:pPr>
        <w:overflowPunct w:val="0"/>
        <w:spacing w:line="600" w:lineRule="exact"/>
        <w:jc w:val="both"/>
        <w:rPr>
          <w:rFonts w:ascii="Times New Roman" w:hAnsi="Times New Roman" w:eastAsia="楷体" w:cs="Times New Roman"/>
          <w:b/>
          <w:bCs/>
          <w:sz w:val="32"/>
          <w:szCs w:val="32"/>
        </w:rPr>
      </w:pPr>
      <w:r>
        <w:rPr>
          <w:rFonts w:ascii="Times New Roman" w:hAnsi="Times New Roman" w:eastAsia="仿宋_GB2312" w:cs="Times New Roman"/>
          <w:kern w:val="0"/>
          <w:sz w:val="32"/>
          <w:szCs w:val="32"/>
        </w:rPr>
        <w:t>目</w:t>
      </w:r>
      <w:r>
        <w:rPr>
          <w:rFonts w:hint="eastAsia" w:ascii="Times New Roman" w:hAnsi="Times New Roman" w:eastAsia="仿宋_GB2312" w:cs="Times New Roman"/>
          <w:kern w:val="0"/>
          <w:sz w:val="32"/>
          <w:szCs w:val="32"/>
          <w:lang w:val="en-US" w:eastAsia="zh-CN"/>
        </w:rPr>
        <w:t>18</w:t>
      </w:r>
      <w:r>
        <w:rPr>
          <w:rFonts w:ascii="Times New Roman" w:hAnsi="Times New Roman" w:eastAsia="仿宋_GB2312" w:cs="Times New Roman"/>
          <w:kern w:val="0"/>
          <w:sz w:val="32"/>
          <w:szCs w:val="32"/>
        </w:rPr>
        <w:t>个，共涉及资金</w:t>
      </w:r>
      <w:r>
        <w:rPr>
          <w:rFonts w:hint="eastAsia" w:ascii="Times New Roman" w:hAnsi="Times New Roman" w:eastAsia="仿宋_GB2312" w:cs="Times New Roman"/>
          <w:kern w:val="0"/>
          <w:sz w:val="32"/>
          <w:szCs w:val="32"/>
          <w:lang w:val="en-US" w:eastAsia="zh-CN"/>
        </w:rPr>
        <w:t>686.96</w:t>
      </w:r>
      <w:r>
        <w:rPr>
          <w:rFonts w:ascii="Times New Roman" w:hAnsi="Times New Roman" w:eastAsia="仿宋_GB2312" w:cs="Times New Roman"/>
          <w:kern w:val="0"/>
          <w:sz w:val="32"/>
          <w:szCs w:val="32"/>
        </w:rPr>
        <w:t>万元。其中，一般公共预算项目</w:t>
      </w:r>
      <w:r>
        <w:rPr>
          <w:rFonts w:hint="eastAsia" w:ascii="Times New Roman" w:hAnsi="Times New Roman" w:eastAsia="仿宋_GB2312" w:cs="Times New Roman"/>
          <w:kern w:val="0"/>
          <w:sz w:val="32"/>
          <w:szCs w:val="32"/>
          <w:lang w:val="en-US" w:eastAsia="zh-CN"/>
        </w:rPr>
        <w:t>18</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686.96</w:t>
      </w:r>
      <w:r>
        <w:rPr>
          <w:rFonts w:ascii="Times New Roman" w:hAnsi="Times New Roman" w:eastAsia="仿宋_GB2312" w:cs="Times New Roman"/>
          <w:kern w:val="0"/>
          <w:sz w:val="32"/>
          <w:szCs w:val="32"/>
        </w:rPr>
        <w:t>万元，占一般公共预算支出总额的</w:t>
      </w:r>
      <w:r>
        <w:rPr>
          <w:rFonts w:hint="eastAsia" w:ascii="Times New Roman" w:hAnsi="Times New Roman" w:eastAsia="仿宋_GB2312" w:cs="Times New Roman"/>
          <w:kern w:val="0"/>
          <w:sz w:val="32"/>
          <w:szCs w:val="32"/>
          <w:lang w:val="en-US" w:eastAsia="zh-CN"/>
        </w:rPr>
        <w:t>100</w:t>
      </w:r>
      <w:r>
        <w:rPr>
          <w:rFonts w:ascii="Times New Roman" w:hAnsi="Times New Roman" w:eastAsia="仿宋_GB2312" w:cs="Times New Roman"/>
          <w:kern w:val="0"/>
          <w:sz w:val="32"/>
          <w:szCs w:val="32"/>
        </w:rPr>
        <w:t>%；政府性基金预算项目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万元，占政府性基金预算支出总额的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%；国有资本经营预算项目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万元，占国有资本经营预算支出总额的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%；社会保险基金预算项目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万元，占社会保险基金预算支出总额的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w:t>
      </w:r>
      <w:r>
        <w:rPr>
          <w:rFonts w:ascii="Times New Roman" w:hAnsi="Times New Roman" w:eastAsia="仿宋_GB2312" w:cs="Times New Roman"/>
          <w:b/>
          <w:bCs/>
          <w:kern w:val="0"/>
          <w:sz w:val="32"/>
          <w:szCs w:val="32"/>
        </w:rPr>
        <w:t>二是部门评价开展情况</w:t>
      </w:r>
      <w:r>
        <w:rPr>
          <w:rFonts w:hint="eastAsia" w:ascii="Times New Roman" w:hAnsi="Times New Roman" w:eastAsia="仿宋_GB2312" w:cs="Times New Roman"/>
          <w:b/>
          <w:bCs/>
          <w:kern w:val="0"/>
          <w:sz w:val="32"/>
          <w:szCs w:val="32"/>
          <w:lang w:eastAsia="zh-CN"/>
        </w:rPr>
        <w:t>。</w:t>
      </w:r>
      <w:r>
        <w:rPr>
          <w:rFonts w:ascii="Times New Roman" w:hAnsi="Times New Roman" w:eastAsia="仿宋_GB2312" w:cs="Times New Roman"/>
          <w:kern w:val="0"/>
          <w:sz w:val="32"/>
          <w:szCs w:val="32"/>
        </w:rPr>
        <w:t>组织对所属单位2024年度“</w:t>
      </w:r>
      <w:r>
        <w:rPr>
          <w:rFonts w:hint="eastAsia" w:ascii="仿宋_GB2312" w:hAnsi="仿宋_GB2312" w:eastAsia="仿宋_GB2312" w:cs="仿宋_GB2312"/>
          <w:color w:val="000000"/>
          <w:kern w:val="0"/>
          <w:sz w:val="32"/>
          <w:szCs w:val="32"/>
        </w:rPr>
        <w:t>人力资源和社会保障管理服务经费</w:t>
      </w:r>
      <w:r>
        <w:rPr>
          <w:rFonts w:ascii="Times New Roman" w:hAnsi="Times New Roman" w:eastAsia="仿宋_GB2312" w:cs="Times New Roman"/>
          <w:kern w:val="0"/>
          <w:sz w:val="32"/>
          <w:szCs w:val="32"/>
        </w:rPr>
        <w:t>”</w:t>
      </w:r>
      <w:r>
        <w:rPr>
          <w:rFonts w:hint="eastAsia" w:ascii="Times New Roman" w:hAnsi="Times New Roman" w:eastAsia="仿宋_GB2312" w:cs="Times New Roman"/>
          <w:kern w:val="0"/>
          <w:sz w:val="32"/>
          <w:szCs w:val="32"/>
          <w:lang w:eastAsia="zh-CN"/>
        </w:rPr>
        <w:t>、“</w:t>
      </w:r>
      <w:r>
        <w:rPr>
          <w:rFonts w:hint="eastAsia" w:ascii="仿宋_GB2312" w:hAnsi="仿宋_GB2312" w:eastAsia="仿宋_GB2312" w:cs="仿宋_GB2312"/>
          <w:color w:val="000000"/>
          <w:kern w:val="0"/>
          <w:sz w:val="32"/>
          <w:szCs w:val="32"/>
        </w:rPr>
        <w:t>企业社保基金双轨核算及机关事业单位社保基金运营经费</w:t>
      </w:r>
      <w:r>
        <w:rPr>
          <w:rFonts w:hint="eastAsia" w:ascii="Times New Roman" w:hAnsi="Times New Roman" w:eastAsia="仿宋_GB2312" w:cs="Times New Roman"/>
          <w:kern w:val="0"/>
          <w:sz w:val="32"/>
          <w:szCs w:val="32"/>
          <w:lang w:eastAsia="zh-CN"/>
        </w:rPr>
        <w:t>”</w:t>
      </w:r>
      <w:r>
        <w:rPr>
          <w:rFonts w:ascii="Times New Roman" w:hAnsi="Times New Roman" w:eastAsia="仿宋_GB2312" w:cs="Times New Roman"/>
          <w:kern w:val="0"/>
          <w:sz w:val="32"/>
          <w:szCs w:val="32"/>
        </w:rPr>
        <w:t>等项目开展了部门评价，涉及一般公共预算支出</w:t>
      </w:r>
      <w:r>
        <w:rPr>
          <w:rFonts w:hint="eastAsia" w:ascii="Times New Roman" w:hAnsi="Times New Roman" w:eastAsia="仿宋_GB2312" w:cs="Times New Roman"/>
          <w:kern w:val="0"/>
          <w:sz w:val="32"/>
          <w:szCs w:val="32"/>
          <w:lang w:val="en-US" w:eastAsia="zh-CN"/>
        </w:rPr>
        <w:t>1036.96</w:t>
      </w:r>
      <w:r>
        <w:rPr>
          <w:rFonts w:ascii="Times New Roman" w:hAnsi="Times New Roman" w:eastAsia="仿宋_GB2312" w:cs="Times New Roman"/>
          <w:kern w:val="0"/>
          <w:sz w:val="32"/>
          <w:szCs w:val="32"/>
        </w:rPr>
        <w:t>万元，政府性基金预算支出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万元，国有资本经营预算支出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万元，社会保险基金预算支出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万元</w:t>
      </w:r>
      <w:r>
        <w:rPr>
          <w:rFonts w:ascii="Times New Roman" w:hAnsi="Times New Roman" w:eastAsia="仿宋_GB2312" w:cs="Times New Roman"/>
          <w:b/>
          <w:bCs/>
          <w:kern w:val="0"/>
          <w:sz w:val="32"/>
          <w:szCs w:val="32"/>
        </w:rPr>
        <w:t>。三是事前绩效评估开展情况</w:t>
      </w:r>
      <w:r>
        <w:rPr>
          <w:rFonts w:hint="eastAsia" w:ascii="Times New Roman" w:hAnsi="Times New Roman" w:eastAsia="仿宋_GB2312" w:cs="Times New Roman"/>
          <w:b/>
          <w:bCs/>
          <w:kern w:val="0"/>
          <w:sz w:val="32"/>
          <w:szCs w:val="32"/>
          <w:lang w:val="en-US" w:eastAsia="zh-CN"/>
        </w:rPr>
        <w:t>。</w:t>
      </w:r>
      <w:r>
        <w:rPr>
          <w:rFonts w:ascii="Times New Roman" w:hAnsi="Times New Roman" w:eastAsia="仿宋_GB2312" w:cs="Times New Roman"/>
          <w:kern w:val="0"/>
          <w:sz w:val="32"/>
          <w:szCs w:val="32"/>
        </w:rPr>
        <w:t>组织对2024年度</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个新增重大政策和</w:t>
      </w:r>
      <w:r>
        <w:rPr>
          <w:rFonts w:hint="eastAsia" w:ascii="Times New Roman" w:hAnsi="Times New Roman" w:eastAsia="仿宋_GB2312" w:cs="Times New Roman"/>
          <w:sz w:val="32"/>
          <w:szCs w:val="32"/>
          <w:lang w:val="en-US" w:eastAsia="zh-CN"/>
        </w:rPr>
        <w:t>23</w:t>
      </w:r>
      <w:r>
        <w:rPr>
          <w:rFonts w:ascii="Times New Roman" w:hAnsi="Times New Roman" w:eastAsia="仿宋_GB2312" w:cs="Times New Roman"/>
          <w:kern w:val="0"/>
          <w:sz w:val="32"/>
          <w:szCs w:val="32"/>
        </w:rPr>
        <w:t>个重大项目开展事前绩效评估，共涉及资金</w:t>
      </w:r>
      <w:r>
        <w:rPr>
          <w:rFonts w:hint="eastAsia" w:ascii="Times New Roman" w:hAnsi="Times New Roman" w:eastAsia="仿宋_GB2312" w:cs="Times New Roman"/>
          <w:kern w:val="0"/>
          <w:sz w:val="32"/>
          <w:szCs w:val="32"/>
          <w:lang w:val="en-US" w:eastAsia="zh-CN"/>
        </w:rPr>
        <w:t>999.3</w:t>
      </w:r>
      <w:r>
        <w:rPr>
          <w:rFonts w:ascii="Times New Roman" w:hAnsi="Times New Roman" w:eastAsia="仿宋_GB2312" w:cs="Times New Roman"/>
          <w:kern w:val="0"/>
          <w:sz w:val="32"/>
          <w:szCs w:val="32"/>
        </w:rPr>
        <w:t>万元。</w:t>
      </w:r>
    </w:p>
    <w:p w14:paraId="03AE0BEF">
      <w:pPr>
        <w:overflowPunct w:val="0"/>
        <w:spacing w:line="600" w:lineRule="exact"/>
        <w:ind w:firstLine="640" w:firstLineChars="200"/>
        <w:rPr>
          <w:rFonts w:ascii="Times New Roman" w:hAnsi="Times New Roman" w:eastAsia="仿宋_GB2312" w:cs="Times New Roman"/>
          <w:bCs/>
          <w:sz w:val="32"/>
          <w:szCs w:val="32"/>
        </w:rPr>
      </w:pPr>
      <w:r>
        <w:rPr>
          <w:rFonts w:ascii="Times New Roman" w:hAnsi="Times New Roman" w:eastAsia="楷体_GB2312" w:cs="Times New Roman"/>
          <w:b/>
          <w:bCs/>
          <w:sz w:val="32"/>
          <w:szCs w:val="32"/>
        </w:rPr>
        <w:t>（二）绩效评价结果。</w:t>
      </w:r>
      <w:r>
        <w:rPr>
          <w:rFonts w:ascii="Times New Roman" w:hAnsi="Times New Roman" w:eastAsia="仿宋_GB2312" w:cs="Times New Roman"/>
          <w:b/>
          <w:bCs/>
          <w:kern w:val="0"/>
          <w:sz w:val="32"/>
          <w:szCs w:val="32"/>
        </w:rPr>
        <w:t>一是绩效自评结果。</w:t>
      </w:r>
      <w:r>
        <w:rPr>
          <w:rFonts w:ascii="Times New Roman" w:hAnsi="Times New Roman" w:eastAsia="仿宋_GB2312" w:cs="Times New Roman"/>
          <w:kern w:val="0"/>
          <w:sz w:val="32"/>
          <w:szCs w:val="32"/>
        </w:rPr>
        <w:t>2024年度本部门整体支出</w:t>
      </w:r>
      <w:r>
        <w:rPr>
          <w:rFonts w:ascii="Times New Roman" w:hAnsi="Times New Roman" w:eastAsia="仿宋_GB2312" w:cs="Times New Roman"/>
          <w:sz w:val="32"/>
          <w:szCs w:val="32"/>
        </w:rPr>
        <w:t>全年预算数</w:t>
      </w:r>
      <w:r>
        <w:rPr>
          <w:rFonts w:hint="eastAsia" w:ascii="Times New Roman" w:hAnsi="Times New Roman" w:eastAsia="仿宋_GB2312" w:cs="Times New Roman"/>
          <w:sz w:val="32"/>
          <w:szCs w:val="32"/>
          <w:lang w:val="en-US" w:eastAsia="zh-CN"/>
        </w:rPr>
        <w:t>2087.74</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lang w:val="en-US" w:eastAsia="zh-CN"/>
        </w:rPr>
        <w:t>2065.56</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98.94</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，绩效自评得分</w:t>
      </w:r>
      <w:r>
        <w:rPr>
          <w:rFonts w:hint="eastAsia" w:ascii="Times New Roman" w:hAnsi="Times New Roman" w:eastAsia="仿宋_GB2312" w:cs="Times New Roman"/>
          <w:kern w:val="0"/>
          <w:sz w:val="32"/>
          <w:szCs w:val="32"/>
          <w:lang w:val="en-US" w:eastAsia="zh-CN"/>
        </w:rPr>
        <w:t>96.5</w:t>
      </w:r>
      <w:r>
        <w:rPr>
          <w:rFonts w:ascii="Times New Roman" w:hAnsi="Times New Roman" w:eastAsia="仿宋_GB2312" w:cs="Times New Roman"/>
          <w:sz w:val="32"/>
          <w:szCs w:val="32"/>
        </w:rPr>
        <w:t>分</w:t>
      </w:r>
      <w:r>
        <w:rPr>
          <w:rFonts w:ascii="Times New Roman" w:hAnsi="Times New Roman" w:eastAsia="仿宋_GB2312" w:cs="Times New Roman"/>
          <w:kern w:val="0"/>
          <w:sz w:val="32"/>
          <w:szCs w:val="32"/>
        </w:rPr>
        <w:t>，评价等级为</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优</w:t>
      </w:r>
      <w:r>
        <w:rPr>
          <w:rFonts w:ascii="Times New Roman" w:hAnsi="Times New Roman" w:eastAsia="仿宋_GB2312" w:cs="Times New Roman"/>
          <w:sz w:val="32"/>
          <w:szCs w:val="32"/>
        </w:rPr>
        <w:t>”。绩效目标完成情况：</w:t>
      </w:r>
      <w:r>
        <w:rPr>
          <w:rFonts w:hint="eastAsia" w:ascii="仿宋_GB2312" w:hAnsi="仿宋_GB2312" w:eastAsia="仿宋_GB2312" w:cs="仿宋_GB2312"/>
          <w:color w:val="000000"/>
          <w:kern w:val="0"/>
          <w:sz w:val="32"/>
          <w:szCs w:val="32"/>
        </w:rPr>
        <w:t>民生保障及核心业务领域</w:t>
      </w:r>
      <w:r>
        <w:rPr>
          <w:rFonts w:hint="eastAsia" w:ascii="仿宋_GB2312" w:hAnsi="仿宋_GB2312" w:eastAsia="仿宋_GB2312" w:cs="仿宋_GB2312"/>
          <w:color w:val="000000"/>
          <w:kern w:val="0"/>
          <w:sz w:val="32"/>
          <w:szCs w:val="32"/>
          <w:lang w:eastAsia="zh-CN"/>
        </w:rPr>
        <w:t>等完成较好</w:t>
      </w:r>
      <w:r>
        <w:rPr>
          <w:rFonts w:ascii="Times New Roman" w:hAnsi="Times New Roman" w:eastAsia="仿宋_GB2312" w:cs="Times New Roman"/>
          <w:sz w:val="32"/>
          <w:szCs w:val="32"/>
        </w:rPr>
        <w:t>。发现的主要问题</w:t>
      </w:r>
      <w:r>
        <w:rPr>
          <w:rFonts w:hint="eastAsia" w:ascii="Times New Roman" w:hAnsi="Times New Roman" w:eastAsia="仿宋_GB2312" w:cs="Times New Roman"/>
          <w:sz w:val="32"/>
          <w:szCs w:val="32"/>
          <w:lang w:eastAsia="zh-CN"/>
        </w:rPr>
        <w:t>是</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非税收入的实际征缴收入小于年初预算数，原因是：非税收入为考试费收入，我单位组织考试后由省厅扣除分成后再予以返回。</w:t>
      </w:r>
      <w:r>
        <w:rPr>
          <w:rFonts w:ascii="Times New Roman" w:hAnsi="Times New Roman" w:eastAsia="仿宋_GB2312" w:cs="Times New Roman"/>
          <w:sz w:val="32"/>
          <w:szCs w:val="32"/>
        </w:rPr>
        <w:t>下一步改进措施：</w:t>
      </w:r>
      <w:r>
        <w:rPr>
          <w:rFonts w:hint="eastAsia" w:ascii="Times New Roman" w:hAnsi="Times New Roman" w:eastAsia="仿宋_GB2312" w:cs="Times New Roman"/>
          <w:sz w:val="32"/>
          <w:szCs w:val="32"/>
          <w:lang w:eastAsia="zh-CN"/>
        </w:rPr>
        <w:t>合理预估非税收入，减少预估收入与实际收入的差距</w:t>
      </w:r>
      <w:r>
        <w:rPr>
          <w:rFonts w:ascii="Times New Roman" w:hAnsi="Times New Roman" w:eastAsia="仿宋_GB2312" w:cs="Times New Roman"/>
          <w:kern w:val="0"/>
          <w:sz w:val="32"/>
          <w:szCs w:val="32"/>
        </w:rPr>
        <w:t>。</w:t>
      </w:r>
      <w:r>
        <w:rPr>
          <w:rFonts w:ascii="Times New Roman" w:hAnsi="Times New Roman" w:eastAsia="仿宋_GB2312" w:cs="Times New Roman"/>
          <w:b/>
          <w:bCs/>
          <w:kern w:val="0"/>
          <w:sz w:val="32"/>
          <w:szCs w:val="32"/>
        </w:rPr>
        <w:t>二是部门评价结果</w:t>
      </w:r>
      <w:r>
        <w:rPr>
          <w:rFonts w:hint="eastAsia" w:ascii="Times New Roman" w:hAnsi="Times New Roman" w:eastAsia="仿宋_GB2312" w:cs="Times New Roman"/>
          <w:b/>
          <w:bCs/>
          <w:kern w:val="0"/>
          <w:sz w:val="32"/>
          <w:szCs w:val="32"/>
          <w:lang w:eastAsia="zh-CN"/>
        </w:rPr>
        <w:t>。</w:t>
      </w:r>
      <w:r>
        <w:rPr>
          <w:rFonts w:hint="eastAsia" w:ascii="Times New Roman" w:hAnsi="Times New Roman" w:eastAsia="仿宋_GB2312" w:cs="Times New Roman"/>
          <w:b w:val="0"/>
          <w:bCs w:val="0"/>
          <w:kern w:val="0"/>
          <w:sz w:val="32"/>
          <w:szCs w:val="32"/>
          <w:lang w:val="en-US" w:eastAsia="zh-CN"/>
        </w:rPr>
        <w:t>项目全年预算数999.3万元，执行数1036.96万元，完成预算的103.77%，发现的主要问题及原因：部分项目经费为年中因工作需要追加预算，下一步改进措施：年初项目预算编制时根据工作任务更加精准的预计。</w:t>
      </w:r>
      <w:r>
        <w:rPr>
          <w:rFonts w:ascii="Times New Roman" w:hAnsi="Times New Roman" w:eastAsia="仿宋_GB2312" w:cs="Times New Roman"/>
          <w:b/>
          <w:bCs/>
          <w:kern w:val="0"/>
          <w:sz w:val="32"/>
          <w:szCs w:val="32"/>
        </w:rPr>
        <w:t>三是事前绩效评估结果。</w:t>
      </w:r>
      <w:r>
        <w:rPr>
          <w:rFonts w:ascii="Times New Roman" w:hAnsi="Times New Roman" w:eastAsia="仿宋_GB2312" w:cs="Times New Roman"/>
          <w:kern w:val="0"/>
          <w:sz w:val="32"/>
          <w:szCs w:val="32"/>
        </w:rPr>
        <w:t>2024年度</w:t>
      </w:r>
      <w:r>
        <w:rPr>
          <w:rFonts w:hint="eastAsia" w:ascii="Times New Roman" w:hAnsi="Times New Roman" w:eastAsia="仿宋_GB2312" w:cs="Times New Roman"/>
          <w:sz w:val="32"/>
          <w:szCs w:val="32"/>
          <w:lang w:val="en-US" w:eastAsia="zh-CN"/>
        </w:rPr>
        <w:t>23</w:t>
      </w:r>
      <w:r>
        <w:rPr>
          <w:rFonts w:ascii="Times New Roman" w:hAnsi="Times New Roman" w:eastAsia="仿宋_GB2312" w:cs="Times New Roman"/>
          <w:kern w:val="0"/>
          <w:sz w:val="32"/>
          <w:szCs w:val="32"/>
        </w:rPr>
        <w:t>个重大项目事前绩效评估，其中，</w:t>
      </w:r>
      <w:r>
        <w:rPr>
          <w:rFonts w:hint="eastAsia" w:ascii="Times New Roman" w:hAnsi="Times New Roman" w:eastAsia="仿宋_GB2312" w:cs="Times New Roman"/>
          <w:sz w:val="32"/>
          <w:szCs w:val="32"/>
          <w:lang w:val="en-US" w:eastAsia="zh-CN"/>
        </w:rPr>
        <w:t>23</w:t>
      </w:r>
      <w:r>
        <w:rPr>
          <w:rFonts w:ascii="Times New Roman" w:hAnsi="Times New Roman" w:eastAsia="仿宋_GB2312" w:cs="Times New Roman"/>
          <w:kern w:val="0"/>
          <w:sz w:val="32"/>
          <w:szCs w:val="32"/>
        </w:rPr>
        <w:t>个项目评估通过，涉及资金</w:t>
      </w:r>
      <w:r>
        <w:rPr>
          <w:rFonts w:hint="eastAsia" w:ascii="Times New Roman" w:hAnsi="Times New Roman" w:eastAsia="仿宋_GB2312" w:cs="Times New Roman"/>
          <w:sz w:val="32"/>
          <w:szCs w:val="32"/>
          <w:lang w:val="en-US" w:eastAsia="zh-CN"/>
        </w:rPr>
        <w:t>999.3</w:t>
      </w:r>
      <w:r>
        <w:rPr>
          <w:rFonts w:ascii="Times New Roman" w:hAnsi="Times New Roman" w:eastAsia="仿宋_GB2312" w:cs="Times New Roman"/>
          <w:kern w:val="0"/>
          <w:sz w:val="32"/>
          <w:szCs w:val="32"/>
        </w:rPr>
        <w:t>万元，</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个项目评估不通过，涉及资金</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万元。</w:t>
      </w:r>
    </w:p>
    <w:p w14:paraId="02409B73">
      <w:pPr>
        <w:pStyle w:val="13"/>
        <w:overflowPunct w:val="0"/>
        <w:autoSpaceDE/>
        <w:autoSpaceDN/>
        <w:spacing w:line="600" w:lineRule="exact"/>
        <w:ind w:firstLine="640" w:firstLineChars="200"/>
        <w:jc w:val="both"/>
        <w:rPr>
          <w:rFonts w:ascii="Times New Roman" w:hAnsi="Times New Roman" w:eastAsia="楷体_GB2312" w:cs="Times New Roman"/>
          <w:b/>
          <w:bCs/>
          <w:color w:val="auto"/>
          <w:kern w:val="2"/>
          <w:sz w:val="32"/>
          <w:szCs w:val="32"/>
        </w:rPr>
      </w:pPr>
      <w:r>
        <w:rPr>
          <w:rFonts w:ascii="Times New Roman" w:hAnsi="Times New Roman" w:eastAsia="楷体_GB2312" w:cs="Times New Roman"/>
          <w:b/>
          <w:bCs/>
          <w:color w:val="auto"/>
          <w:kern w:val="2"/>
          <w:sz w:val="32"/>
          <w:szCs w:val="32"/>
        </w:rPr>
        <w:t>（三）评价结果应用情况。</w:t>
      </w:r>
    </w:p>
    <w:p w14:paraId="762A7E72">
      <w:pPr>
        <w:ind w:firstLine="755" w:firstLineChars="236"/>
        <w:rPr>
          <w:rFonts w:hint="eastAsia" w:ascii="仿宋" w:hAnsi="仿宋" w:eastAsia="仿宋" w:cs="仿宋"/>
          <w:w w:val="100"/>
          <w:sz w:val="32"/>
          <w:szCs w:val="32"/>
          <w:lang w:val="en-US" w:eastAsia="zh-CN"/>
        </w:rPr>
      </w:pPr>
      <w:r>
        <w:rPr>
          <w:rFonts w:hint="eastAsia" w:ascii="仿宋" w:hAnsi="仿宋" w:eastAsia="仿宋" w:cs="仿宋"/>
          <w:w w:val="100"/>
          <w:sz w:val="32"/>
          <w:szCs w:val="32"/>
          <w:lang w:val="en-US" w:eastAsia="zh-CN"/>
        </w:rPr>
        <w:t>（一）绩效目标完成情况</w:t>
      </w:r>
    </w:p>
    <w:p w14:paraId="3EE7A033">
      <w:pPr>
        <w:ind w:firstLine="755" w:firstLineChars="236"/>
        <w:rPr>
          <w:rFonts w:hint="eastAsia" w:ascii="仿宋" w:hAnsi="仿宋" w:eastAsia="仿宋" w:cs="仿宋"/>
          <w:w w:val="100"/>
          <w:sz w:val="32"/>
          <w:szCs w:val="32"/>
          <w:lang w:val="en-US" w:eastAsia="zh-CN"/>
        </w:rPr>
      </w:pPr>
      <w:r>
        <w:rPr>
          <w:rFonts w:hint="eastAsia" w:ascii="仿宋" w:hAnsi="仿宋" w:eastAsia="仿宋" w:cs="仿宋"/>
          <w:w w:val="100"/>
          <w:sz w:val="32"/>
          <w:szCs w:val="32"/>
          <w:lang w:val="en-US" w:eastAsia="zh-CN"/>
        </w:rPr>
        <w:t>就业创业目标：城镇新增就业3.75万人（超目标7.1%），职业技能培训2.03万人，离校未就业高校毕业生就业率97.61%，发放创业担保贷款3.74亿元，开发公益性岗位2.35万个，城镇“零就业”家庭动态清零。</w:t>
      </w:r>
    </w:p>
    <w:p w14:paraId="6569BED0">
      <w:pPr>
        <w:ind w:firstLine="755" w:firstLineChars="236"/>
        <w:rPr>
          <w:rFonts w:hint="eastAsia" w:ascii="仿宋" w:hAnsi="仿宋" w:eastAsia="仿宋" w:cs="仿宋"/>
          <w:w w:val="100"/>
          <w:sz w:val="32"/>
          <w:szCs w:val="32"/>
          <w:lang w:val="en-US" w:eastAsia="zh-CN"/>
        </w:rPr>
      </w:pPr>
      <w:r>
        <w:rPr>
          <w:rFonts w:hint="eastAsia" w:ascii="仿宋" w:hAnsi="仿宋" w:eastAsia="仿宋" w:cs="仿宋"/>
          <w:w w:val="100"/>
          <w:sz w:val="32"/>
          <w:szCs w:val="32"/>
          <w:lang w:val="en-US" w:eastAsia="zh-CN"/>
        </w:rPr>
        <w:t>社会保障目标：全市基本养老保险参保359.11万人、工伤保险51.77万人、失业保险33.43万人，基金总收入171.7亿元；企业职工养老待遇连涨20年，城乡居保集体经济补助试点增幅全省前列。</w:t>
      </w:r>
    </w:p>
    <w:p w14:paraId="431F370B">
      <w:pPr>
        <w:ind w:firstLine="755" w:firstLineChars="236"/>
        <w:rPr>
          <w:rFonts w:hint="eastAsia" w:ascii="仿宋" w:hAnsi="仿宋" w:eastAsia="仿宋" w:cs="仿宋"/>
          <w:w w:val="100"/>
          <w:sz w:val="32"/>
          <w:szCs w:val="32"/>
          <w:lang w:val="en-US" w:eastAsia="zh-CN"/>
        </w:rPr>
      </w:pPr>
      <w:r>
        <w:rPr>
          <w:rFonts w:hint="eastAsia" w:ascii="仿宋" w:hAnsi="仿宋" w:eastAsia="仿宋" w:cs="仿宋"/>
          <w:w w:val="100"/>
          <w:sz w:val="32"/>
          <w:szCs w:val="32"/>
          <w:lang w:val="en-US" w:eastAsia="zh-CN"/>
        </w:rPr>
        <w:t>人事人才目标：组织各类考试55场次，参考20余万人次，招聘事业单位人员1638名、“三支一扶”人员40名，引进人才300名，创建“陆港箱包巧匠”等4个劳务品牌。</w:t>
      </w:r>
    </w:p>
    <w:p w14:paraId="70D0F22F">
      <w:pPr>
        <w:ind w:firstLine="755" w:firstLineChars="236"/>
        <w:rPr>
          <w:rFonts w:hint="eastAsia" w:ascii="仿宋" w:hAnsi="仿宋" w:eastAsia="仿宋" w:cs="仿宋"/>
          <w:w w:val="100"/>
          <w:sz w:val="32"/>
          <w:szCs w:val="32"/>
          <w:lang w:val="en-US" w:eastAsia="zh-CN"/>
        </w:rPr>
      </w:pPr>
      <w:r>
        <w:rPr>
          <w:rFonts w:hint="eastAsia" w:ascii="仿宋" w:hAnsi="仿宋" w:eastAsia="仿宋" w:cs="仿宋"/>
          <w:w w:val="100"/>
          <w:sz w:val="32"/>
          <w:szCs w:val="32"/>
          <w:lang w:val="en-US" w:eastAsia="zh-CN"/>
        </w:rPr>
        <w:t>劳动仲裁目标：劳动争议仲裁案件结案率达到90%以上，调解成功率达60%以上，打造“工会+人社”调解工作室17家以上，12333热线服务电话接听率达100%；开展根治欠薪专项行动，解决欠薪案件410件，涉及金额3950.27万元。</w:t>
      </w:r>
    </w:p>
    <w:p w14:paraId="692C66E4">
      <w:pPr>
        <w:ind w:firstLine="755" w:firstLineChars="236"/>
        <w:rPr>
          <w:rFonts w:hint="eastAsia" w:ascii="仿宋" w:hAnsi="仿宋" w:eastAsia="仿宋" w:cs="仿宋"/>
          <w:w w:val="100"/>
          <w:sz w:val="32"/>
          <w:szCs w:val="32"/>
          <w:lang w:val="en-US" w:eastAsia="zh-CN"/>
        </w:rPr>
      </w:pPr>
      <w:r>
        <w:rPr>
          <w:rFonts w:hint="eastAsia" w:ascii="仿宋" w:hAnsi="仿宋" w:eastAsia="仿宋" w:cs="仿宋"/>
          <w:w w:val="100"/>
          <w:sz w:val="32"/>
          <w:szCs w:val="32"/>
          <w:lang w:val="en-US" w:eastAsia="zh-CN"/>
        </w:rPr>
        <w:t>（二）运行成本分析</w:t>
      </w:r>
    </w:p>
    <w:p w14:paraId="30F297FD">
      <w:pPr>
        <w:ind w:firstLine="755" w:firstLineChars="236"/>
        <w:rPr>
          <w:rFonts w:hint="eastAsia" w:ascii="仿宋" w:hAnsi="仿宋" w:eastAsia="仿宋" w:cs="仿宋"/>
          <w:w w:val="100"/>
          <w:sz w:val="32"/>
          <w:szCs w:val="32"/>
          <w:lang w:val="en-US" w:eastAsia="zh-CN"/>
        </w:rPr>
      </w:pPr>
      <w:r>
        <w:rPr>
          <w:rFonts w:hint="eastAsia" w:ascii="仿宋" w:hAnsi="仿宋" w:eastAsia="仿宋" w:cs="仿宋"/>
          <w:w w:val="100"/>
          <w:sz w:val="32"/>
          <w:szCs w:val="32"/>
          <w:lang w:val="en-US" w:eastAsia="zh-CN"/>
        </w:rPr>
        <w:t>资金执行：整体支出执行率103.12%，基本支出控制在预算内，项目支出中就业服务、社保监管等重点领域资金占比65%，行政运行成本较上年下降3.92%。</w:t>
      </w:r>
    </w:p>
    <w:p w14:paraId="04486108">
      <w:pPr>
        <w:ind w:firstLine="755" w:firstLineChars="236"/>
        <w:rPr>
          <w:rFonts w:hint="eastAsia" w:ascii="仿宋" w:hAnsi="仿宋" w:eastAsia="仿宋" w:cs="仿宋"/>
          <w:w w:val="100"/>
          <w:sz w:val="32"/>
          <w:szCs w:val="32"/>
          <w:lang w:val="en-US" w:eastAsia="zh-CN"/>
        </w:rPr>
      </w:pPr>
      <w:r>
        <w:rPr>
          <w:rFonts w:hint="eastAsia" w:ascii="仿宋" w:hAnsi="仿宋" w:eastAsia="仿宋" w:cs="仿宋"/>
          <w:w w:val="100"/>
          <w:sz w:val="32"/>
          <w:szCs w:val="32"/>
          <w:lang w:val="en-US" w:eastAsia="zh-CN"/>
        </w:rPr>
        <w:t>节能降耗：信息化系统升级为低功耗设备，年节电1.2万度，碳排放下降9.6吨；办公费下降12.3%，水电费下降8.5%，通过无纸化办公降低成本。</w:t>
      </w:r>
    </w:p>
    <w:p w14:paraId="78CC83C3">
      <w:pPr>
        <w:ind w:firstLine="755" w:firstLineChars="236"/>
        <w:rPr>
          <w:rFonts w:hint="eastAsia" w:ascii="仿宋" w:hAnsi="仿宋" w:eastAsia="仿宋" w:cs="仿宋"/>
          <w:w w:val="100"/>
          <w:sz w:val="32"/>
          <w:szCs w:val="32"/>
          <w:lang w:val="en-US" w:eastAsia="zh-CN"/>
        </w:rPr>
      </w:pPr>
      <w:r>
        <w:rPr>
          <w:rFonts w:hint="eastAsia" w:ascii="仿宋" w:hAnsi="仿宋" w:eastAsia="仿宋" w:cs="仿宋"/>
          <w:w w:val="100"/>
          <w:sz w:val="32"/>
          <w:szCs w:val="32"/>
          <w:lang w:val="en-US" w:eastAsia="zh-CN"/>
        </w:rPr>
        <w:t>（三）管理效率提升</w:t>
      </w:r>
    </w:p>
    <w:p w14:paraId="2DBA7F01">
      <w:pPr>
        <w:ind w:firstLine="755" w:firstLineChars="236"/>
        <w:rPr>
          <w:rFonts w:hint="eastAsia" w:ascii="仿宋" w:hAnsi="仿宋" w:eastAsia="仿宋" w:cs="仿宋"/>
          <w:w w:val="100"/>
          <w:sz w:val="32"/>
          <w:szCs w:val="32"/>
          <w:lang w:val="en-US" w:eastAsia="zh-CN"/>
        </w:rPr>
      </w:pPr>
      <w:r>
        <w:rPr>
          <w:rFonts w:hint="eastAsia" w:ascii="仿宋" w:hAnsi="仿宋" w:eastAsia="仿宋" w:cs="仿宋"/>
          <w:w w:val="100"/>
          <w:sz w:val="32"/>
          <w:szCs w:val="32"/>
          <w:lang w:val="en-US" w:eastAsia="zh-CN"/>
        </w:rPr>
        <w:t>流程优化：启用“湖南省预算管理一体化系统”，资金审批周期从5天缩短至3天；。</w:t>
      </w:r>
    </w:p>
    <w:p w14:paraId="38DF755F">
      <w:pPr>
        <w:ind w:firstLine="755" w:firstLineChars="236"/>
        <w:rPr>
          <w:rFonts w:hint="eastAsia" w:ascii="仿宋" w:hAnsi="仿宋" w:eastAsia="仿宋" w:cs="仿宋"/>
          <w:w w:val="100"/>
          <w:sz w:val="32"/>
          <w:szCs w:val="32"/>
          <w:lang w:val="en-US" w:eastAsia="zh-CN"/>
        </w:rPr>
      </w:pPr>
      <w:r>
        <w:rPr>
          <w:rFonts w:hint="eastAsia" w:ascii="仿宋" w:hAnsi="仿宋" w:eastAsia="仿宋" w:cs="仿宋"/>
          <w:w w:val="100"/>
          <w:sz w:val="32"/>
          <w:szCs w:val="32"/>
          <w:lang w:val="en-US" w:eastAsia="zh-CN"/>
        </w:rPr>
        <w:t>信息化管理：“码上办”平台覆盖133项业务，线上服务率85%，基层专干数字化操作能力从30%提升至70%。</w:t>
      </w:r>
    </w:p>
    <w:p w14:paraId="65D4BEFE">
      <w:pPr>
        <w:ind w:firstLine="755" w:firstLineChars="236"/>
        <w:rPr>
          <w:rFonts w:hint="eastAsia" w:ascii="仿宋" w:hAnsi="仿宋" w:eastAsia="仿宋" w:cs="仿宋"/>
          <w:w w:val="100"/>
          <w:sz w:val="32"/>
          <w:szCs w:val="32"/>
          <w:lang w:val="en-US" w:eastAsia="zh-CN"/>
        </w:rPr>
      </w:pPr>
      <w:r>
        <w:rPr>
          <w:rFonts w:hint="eastAsia" w:ascii="仿宋" w:hAnsi="仿宋" w:eastAsia="仿宋" w:cs="仿宋"/>
          <w:w w:val="100"/>
          <w:sz w:val="32"/>
          <w:szCs w:val="32"/>
          <w:lang w:val="en-US" w:eastAsia="zh-CN"/>
        </w:rPr>
        <w:t>（四）履职效能与社会效应</w:t>
      </w:r>
    </w:p>
    <w:p w14:paraId="7E2244D7">
      <w:pPr>
        <w:ind w:firstLine="755" w:firstLineChars="236"/>
        <w:rPr>
          <w:rFonts w:hint="eastAsia" w:ascii="仿宋" w:hAnsi="仿宋" w:eastAsia="仿宋" w:cs="仿宋"/>
          <w:w w:val="100"/>
          <w:sz w:val="32"/>
          <w:szCs w:val="32"/>
          <w:lang w:val="en-US" w:eastAsia="zh-CN"/>
        </w:rPr>
      </w:pPr>
      <w:r>
        <w:rPr>
          <w:rFonts w:hint="eastAsia" w:ascii="仿宋" w:hAnsi="仿宋" w:eastAsia="仿宋" w:cs="仿宋"/>
          <w:w w:val="100"/>
          <w:sz w:val="32"/>
          <w:szCs w:val="32"/>
          <w:lang w:val="en-US" w:eastAsia="zh-CN"/>
        </w:rPr>
        <w:t>改革创新：人社驿站改革经验入选“2024年中国改革年度案例”，被国家推广；“四单”培训模式人岗精准适配率90%，带动1.2万名劳动者就近就业。</w:t>
      </w:r>
    </w:p>
    <w:p w14:paraId="12312282">
      <w:pPr>
        <w:ind w:firstLine="755" w:firstLineChars="236"/>
        <w:rPr>
          <w:rFonts w:hint="eastAsia" w:ascii="仿宋" w:hAnsi="仿宋" w:eastAsia="仿宋" w:cs="仿宋"/>
          <w:w w:val="100"/>
          <w:sz w:val="32"/>
          <w:szCs w:val="32"/>
          <w:lang w:val="en-US" w:eastAsia="zh-CN"/>
        </w:rPr>
      </w:pPr>
      <w:r>
        <w:rPr>
          <w:rFonts w:hint="eastAsia" w:ascii="仿宋" w:hAnsi="仿宋" w:eastAsia="仿宋" w:cs="仿宋"/>
          <w:w w:val="100"/>
          <w:sz w:val="32"/>
          <w:szCs w:val="32"/>
          <w:lang w:val="en-US" w:eastAsia="zh-CN"/>
        </w:rPr>
        <w:t>民生保障：根治欠薪为4141名农民工追回工资4923.78万元，国省平台信访量下降8%。</w:t>
      </w:r>
    </w:p>
    <w:p w14:paraId="5FFFC210">
      <w:pPr>
        <w:ind w:firstLine="755" w:firstLineChars="236"/>
        <w:rPr>
          <w:rFonts w:hint="eastAsia" w:ascii="仿宋" w:hAnsi="仿宋" w:eastAsia="仿宋" w:cs="仿宋"/>
          <w:w w:val="100"/>
          <w:sz w:val="32"/>
          <w:szCs w:val="32"/>
          <w:lang w:val="en-US" w:eastAsia="zh-CN"/>
        </w:rPr>
      </w:pPr>
      <w:r>
        <w:rPr>
          <w:rFonts w:hint="eastAsia" w:ascii="仿宋" w:hAnsi="仿宋" w:eastAsia="仿宋" w:cs="仿宋"/>
          <w:w w:val="100"/>
          <w:sz w:val="32"/>
          <w:szCs w:val="32"/>
          <w:lang w:val="en-US" w:eastAsia="zh-CN"/>
        </w:rPr>
        <w:t>（五）可持续影响</w:t>
      </w:r>
    </w:p>
    <w:p w14:paraId="1F9552D5">
      <w:pPr>
        <w:ind w:firstLine="755" w:firstLineChars="236"/>
        <w:rPr>
          <w:rFonts w:hint="eastAsia" w:ascii="仿宋" w:hAnsi="仿宋" w:eastAsia="仿宋" w:cs="仿宋"/>
          <w:w w:val="100"/>
          <w:sz w:val="32"/>
          <w:szCs w:val="32"/>
          <w:lang w:val="en-US" w:eastAsia="zh-CN"/>
        </w:rPr>
      </w:pPr>
      <w:r>
        <w:rPr>
          <w:rFonts w:hint="eastAsia" w:ascii="仿宋" w:hAnsi="仿宋" w:eastAsia="仿宋" w:cs="仿宋"/>
          <w:w w:val="100"/>
          <w:sz w:val="32"/>
          <w:szCs w:val="32"/>
          <w:lang w:val="en-US" w:eastAsia="zh-CN"/>
        </w:rPr>
        <w:t>制度长效化：出台《怀化市企业用工服务保障十二条措施》等12项制度，建立“四张清单”管理机制，将延迟退休改革等纳入常态化工作。</w:t>
      </w:r>
    </w:p>
    <w:p w14:paraId="6C776917">
      <w:pPr>
        <w:ind w:firstLine="755" w:firstLineChars="236"/>
        <w:rPr>
          <w:rFonts w:hint="eastAsia" w:ascii="仿宋" w:hAnsi="仿宋" w:eastAsia="仿宋" w:cs="仿宋"/>
          <w:w w:val="100"/>
          <w:sz w:val="32"/>
          <w:szCs w:val="32"/>
          <w:lang w:val="en-US" w:eastAsia="zh-CN"/>
        </w:rPr>
      </w:pPr>
      <w:r>
        <w:rPr>
          <w:rFonts w:hint="eastAsia" w:ascii="仿宋" w:hAnsi="仿宋" w:eastAsia="仿宋" w:cs="仿宋"/>
          <w:w w:val="100"/>
          <w:sz w:val="32"/>
          <w:szCs w:val="32"/>
          <w:lang w:val="en-US" w:eastAsia="zh-CN"/>
        </w:rPr>
        <w:t>（六）服务对象满意度</w:t>
      </w:r>
    </w:p>
    <w:p w14:paraId="14F3D980">
      <w:pPr>
        <w:ind w:firstLine="755" w:firstLineChars="236"/>
        <w:rPr>
          <w:rFonts w:hint="eastAsia" w:ascii="仿宋" w:hAnsi="仿宋" w:eastAsia="仿宋" w:cs="仿宋"/>
          <w:w w:val="100"/>
          <w:sz w:val="32"/>
          <w:szCs w:val="32"/>
          <w:lang w:val="en-US" w:eastAsia="zh-CN"/>
        </w:rPr>
      </w:pPr>
      <w:r>
        <w:rPr>
          <w:rFonts w:hint="eastAsia" w:ascii="仿宋" w:hAnsi="仿宋" w:eastAsia="仿宋" w:cs="仿宋"/>
          <w:w w:val="100"/>
          <w:sz w:val="32"/>
          <w:szCs w:val="32"/>
          <w:lang w:val="en-US" w:eastAsia="zh-CN"/>
        </w:rPr>
        <w:t>群众满意度：参保群众对社保服务满意度92%，就业帮扶满意度95%，人社驿站便捷度满意度93%，农民工群体对劳动保障监察执法服务满意度90%。</w:t>
      </w:r>
    </w:p>
    <w:p w14:paraId="3370DA05">
      <w:pPr>
        <w:ind w:firstLine="755" w:firstLineChars="236"/>
        <w:rPr>
          <w:rFonts w:hint="eastAsia" w:ascii="仿宋" w:hAnsi="仿宋" w:eastAsia="仿宋" w:cs="仿宋"/>
          <w:w w:val="100"/>
          <w:sz w:val="32"/>
          <w:szCs w:val="32"/>
          <w:lang w:val="en-US" w:eastAsia="zh-CN"/>
        </w:rPr>
      </w:pPr>
      <w:r>
        <w:rPr>
          <w:rFonts w:hint="eastAsia" w:ascii="仿宋" w:hAnsi="仿宋" w:eastAsia="仿宋" w:cs="仿宋"/>
          <w:w w:val="100"/>
          <w:sz w:val="32"/>
          <w:szCs w:val="32"/>
          <w:lang w:val="en-US" w:eastAsia="zh-CN"/>
        </w:rPr>
        <w:t>企业满意度：用人单位对招聘会匹配度满意度85%，对社保降费政策支持度90%；医疗机构对工伤预防协作机制满意度85%，用人单位对劳动仲裁调解满意度95%。</w:t>
      </w:r>
    </w:p>
    <w:p w14:paraId="55F092C7">
      <w:pPr>
        <w:ind w:firstLine="755" w:firstLineChars="236"/>
        <w:rPr>
          <w:rFonts w:hint="eastAsia" w:ascii="仿宋" w:hAnsi="仿宋" w:eastAsia="仿宋" w:cs="仿宋"/>
          <w:w w:val="100"/>
          <w:sz w:val="32"/>
          <w:szCs w:val="32"/>
          <w:lang w:val="en-US" w:eastAsia="zh-CN"/>
        </w:rPr>
      </w:pPr>
      <w:r>
        <w:rPr>
          <w:rFonts w:hint="eastAsia" w:ascii="仿宋" w:hAnsi="仿宋" w:eastAsia="仿宋" w:cs="仿宋"/>
          <w:w w:val="100"/>
          <w:sz w:val="32"/>
          <w:szCs w:val="32"/>
          <w:lang w:val="en-US" w:eastAsia="zh-CN"/>
        </w:rPr>
        <w:t>九、存在的问题及原因分析</w:t>
      </w:r>
    </w:p>
    <w:p w14:paraId="4FDC34BC">
      <w:pPr>
        <w:ind w:firstLine="755" w:firstLineChars="236"/>
        <w:rPr>
          <w:rFonts w:hint="eastAsia" w:ascii="仿宋" w:hAnsi="仿宋" w:eastAsia="仿宋" w:cs="仿宋"/>
          <w:w w:val="100"/>
          <w:sz w:val="32"/>
          <w:szCs w:val="32"/>
          <w:lang w:val="en-US" w:eastAsia="zh-CN"/>
        </w:rPr>
      </w:pPr>
      <w:r>
        <w:rPr>
          <w:rFonts w:hint="eastAsia" w:ascii="仿宋" w:hAnsi="仿宋" w:eastAsia="仿宋" w:cs="仿宋"/>
          <w:w w:val="100"/>
          <w:sz w:val="32"/>
          <w:szCs w:val="32"/>
          <w:lang w:val="en-US" w:eastAsia="zh-CN"/>
        </w:rPr>
        <w:t>1、劳动保障监察执法工作有待加强。各级劳动保障监察机构人员普遍不足，有的县市区劳动保障监察执法人员仅两人，有的县市区撤并执法队伍，与其他部门共用一套人马；全市劳动监察机构普遍未配备专用执法车辆；执法经费严重不足；执法设备配置不全甚至没有配备，严重制约了执法行动的开展。</w:t>
      </w:r>
    </w:p>
    <w:p w14:paraId="72C159E5">
      <w:pPr>
        <w:ind w:firstLine="755" w:firstLineChars="236"/>
        <w:rPr>
          <w:rFonts w:hint="eastAsia" w:ascii="仿宋" w:hAnsi="仿宋" w:eastAsia="仿宋" w:cs="仿宋"/>
          <w:w w:val="100"/>
          <w:sz w:val="32"/>
          <w:szCs w:val="32"/>
          <w:lang w:val="en-US" w:eastAsia="zh-CN"/>
        </w:rPr>
      </w:pPr>
      <w:r>
        <w:rPr>
          <w:rFonts w:hint="eastAsia" w:ascii="仿宋" w:hAnsi="仿宋" w:eastAsia="仿宋" w:cs="仿宋"/>
          <w:w w:val="100"/>
          <w:sz w:val="32"/>
          <w:szCs w:val="32"/>
          <w:lang w:val="en-US" w:eastAsia="zh-CN"/>
        </w:rPr>
        <w:t>2、欠薪现象依然存在。项目施工单位与分包单位结算纠纷，分包单位以讨要工资的名义讨要工程款，组织农民工上访的情况时有发生；还有一些分包单位或者个人编造虚假事实或者采取非法手段讨要农民工工资；有的通过组织未进施工现场工作的社会闲杂人员聚集讨薪，影响社会稳定和根治欠薪工作开展。</w:t>
      </w:r>
    </w:p>
    <w:p w14:paraId="6558A400">
      <w:pPr>
        <w:ind w:firstLine="755" w:firstLineChars="236"/>
        <w:rPr>
          <w:rFonts w:hint="eastAsia" w:ascii="仿宋" w:hAnsi="仿宋" w:eastAsia="仿宋" w:cs="仿宋"/>
          <w:w w:val="100"/>
          <w:sz w:val="32"/>
          <w:szCs w:val="32"/>
          <w:lang w:val="en-US" w:eastAsia="zh-CN"/>
        </w:rPr>
      </w:pPr>
      <w:r>
        <w:rPr>
          <w:rFonts w:hint="eastAsia" w:ascii="仿宋" w:hAnsi="仿宋" w:eastAsia="仿宋" w:cs="仿宋"/>
          <w:w w:val="100"/>
          <w:sz w:val="32"/>
          <w:szCs w:val="32"/>
          <w:lang w:val="en-US" w:eastAsia="zh-CN"/>
        </w:rPr>
        <w:t>十、下一步改进措施</w:t>
      </w:r>
    </w:p>
    <w:p w14:paraId="15522716">
      <w:pPr>
        <w:ind w:firstLine="755" w:firstLineChars="236"/>
        <w:rPr>
          <w:rFonts w:hint="eastAsia" w:ascii="仿宋" w:hAnsi="仿宋" w:eastAsia="仿宋" w:cs="仿宋"/>
          <w:w w:val="100"/>
          <w:sz w:val="32"/>
          <w:szCs w:val="32"/>
          <w:lang w:val="en-US" w:eastAsia="zh-CN"/>
        </w:rPr>
      </w:pPr>
      <w:r>
        <w:rPr>
          <w:rFonts w:hint="eastAsia" w:ascii="仿宋" w:hAnsi="仿宋" w:eastAsia="仿宋" w:cs="仿宋"/>
          <w:w w:val="100"/>
          <w:sz w:val="32"/>
          <w:szCs w:val="32"/>
          <w:lang w:val="en-US" w:eastAsia="zh-CN"/>
        </w:rPr>
        <w:t>1、进一步强化劳动保障监察执法能力建设。争取增加劳动保障监察人员编制，配备专用执法车辆和必要的执法设备，加大执法经费投入，提升执法能力和效率。</w:t>
      </w:r>
    </w:p>
    <w:p w14:paraId="5D0B1A2A">
      <w:pPr>
        <w:ind w:firstLine="755" w:firstLineChars="236"/>
        <w:rPr>
          <w:rFonts w:hint="eastAsia" w:ascii="仿宋" w:hAnsi="仿宋" w:eastAsia="仿宋" w:cs="仿宋"/>
          <w:w w:val="100"/>
          <w:sz w:val="32"/>
          <w:szCs w:val="32"/>
          <w:lang w:val="en-US" w:eastAsia="zh-CN"/>
        </w:rPr>
      </w:pPr>
      <w:r>
        <w:rPr>
          <w:rFonts w:hint="eastAsia" w:ascii="仿宋" w:hAnsi="仿宋" w:eastAsia="仿宋" w:cs="仿宋"/>
          <w:w w:val="100"/>
          <w:sz w:val="32"/>
          <w:szCs w:val="32"/>
          <w:lang w:val="en-US" w:eastAsia="zh-CN"/>
        </w:rPr>
        <w:t>2、进一步强化部门联动解决欠薪问题。加大执法力度，严厉查处欠薪行为。对已存在拖欠工资行为的建筑企业，如不能在规定的时限内解决拖欠问题，按规定对其进行相应的行政处理和处罚，及时递交法院申请强制执行；对涉嫌犯罪的，及时移交公安部门立案查处。严厉打击“以讨要工资名义讨要工程款”违法行为，建议相关部门研究界定讨薪行为，对以不正当手段讨薪的行为进行处罚，对不提供相关材料又不配合政府工作无理取闹的讨薪行为予以严厉打击。</w:t>
      </w:r>
    </w:p>
    <w:p w14:paraId="2DAC1CA0">
      <w:pPr>
        <w:pStyle w:val="13"/>
        <w:jc w:val="center"/>
        <w:rPr>
          <w:rFonts w:ascii="Times New Roman" w:hAnsi="Times New Roman" w:cs="Times New Roman"/>
          <w:sz w:val="72"/>
          <w:szCs w:val="72"/>
        </w:rPr>
      </w:pPr>
    </w:p>
    <w:p w14:paraId="0206E045">
      <w:pPr>
        <w:pStyle w:val="13"/>
        <w:jc w:val="center"/>
        <w:rPr>
          <w:rFonts w:ascii="Times New Roman" w:hAnsi="Times New Roman" w:cs="Times New Roman"/>
          <w:sz w:val="72"/>
          <w:szCs w:val="72"/>
        </w:rPr>
      </w:pPr>
    </w:p>
    <w:p w14:paraId="283C4D3E">
      <w:pPr>
        <w:pStyle w:val="13"/>
        <w:jc w:val="center"/>
        <w:rPr>
          <w:rFonts w:ascii="Times New Roman" w:hAnsi="Times New Roman" w:cs="Times New Roman"/>
          <w:sz w:val="72"/>
          <w:szCs w:val="72"/>
        </w:rPr>
      </w:pPr>
    </w:p>
    <w:p w14:paraId="620668FC">
      <w:pPr>
        <w:pStyle w:val="13"/>
        <w:jc w:val="center"/>
        <w:rPr>
          <w:rFonts w:ascii="Times New Roman" w:hAnsi="Times New Roman" w:cs="Times New Roman"/>
          <w:sz w:val="72"/>
          <w:szCs w:val="72"/>
        </w:rPr>
      </w:pPr>
    </w:p>
    <w:p w14:paraId="6816DBE5">
      <w:pPr>
        <w:pStyle w:val="13"/>
        <w:jc w:val="center"/>
        <w:rPr>
          <w:rFonts w:ascii="Times New Roman" w:hAnsi="Times New Roman" w:cs="Times New Roman"/>
          <w:sz w:val="72"/>
          <w:szCs w:val="72"/>
        </w:rPr>
      </w:pPr>
    </w:p>
    <w:p w14:paraId="330577B5">
      <w:pPr>
        <w:pStyle w:val="13"/>
        <w:jc w:val="center"/>
        <w:rPr>
          <w:rFonts w:ascii="Times New Roman" w:hAnsi="Times New Roman" w:cs="Times New Roman"/>
          <w:sz w:val="72"/>
          <w:szCs w:val="72"/>
        </w:rPr>
      </w:pPr>
    </w:p>
    <w:p w14:paraId="586CB953">
      <w:pPr>
        <w:pStyle w:val="13"/>
        <w:jc w:val="center"/>
        <w:rPr>
          <w:rFonts w:ascii="Times New Roman" w:hAnsi="Times New Roman" w:cs="Times New Roman"/>
          <w:sz w:val="72"/>
          <w:szCs w:val="72"/>
        </w:rPr>
      </w:pPr>
    </w:p>
    <w:p w14:paraId="5348CED6">
      <w:pPr>
        <w:pStyle w:val="13"/>
        <w:jc w:val="center"/>
        <w:rPr>
          <w:rFonts w:ascii="Times New Roman" w:hAnsi="Times New Roman" w:cs="Times New Roman"/>
          <w:sz w:val="72"/>
          <w:szCs w:val="72"/>
        </w:rPr>
      </w:pPr>
    </w:p>
    <w:p w14:paraId="1A02A3FC">
      <w:pPr>
        <w:pStyle w:val="13"/>
        <w:jc w:val="center"/>
        <w:rPr>
          <w:rFonts w:ascii="Times New Roman" w:hAnsi="Times New Roman" w:cs="Times New Roman"/>
          <w:sz w:val="72"/>
          <w:szCs w:val="72"/>
        </w:rPr>
      </w:pPr>
    </w:p>
    <w:p w14:paraId="6447E460">
      <w:pPr>
        <w:pStyle w:val="13"/>
        <w:jc w:val="center"/>
        <w:rPr>
          <w:rFonts w:ascii="Times New Roman" w:hAnsi="Times New Roman" w:cs="Times New Roman"/>
          <w:sz w:val="72"/>
          <w:szCs w:val="72"/>
        </w:rPr>
      </w:pPr>
    </w:p>
    <w:p w14:paraId="5CF71DB9">
      <w:pPr>
        <w:pStyle w:val="13"/>
        <w:jc w:val="both"/>
        <w:rPr>
          <w:rFonts w:ascii="Times New Roman" w:hAnsi="Times New Roman" w:cs="Times New Roman"/>
          <w:sz w:val="72"/>
          <w:szCs w:val="72"/>
        </w:rPr>
      </w:pPr>
    </w:p>
    <w:p w14:paraId="0877BDD3">
      <w:pPr>
        <w:pStyle w:val="13"/>
        <w:spacing w:line="360" w:lineRule="auto"/>
        <w:jc w:val="center"/>
        <w:rPr>
          <w:rFonts w:ascii="Times New Roman" w:hAnsi="Times New Roman" w:eastAsia="方正小标宋_GBK" w:cs="Times New Roman"/>
          <w:sz w:val="52"/>
          <w:szCs w:val="52"/>
        </w:rPr>
      </w:pPr>
    </w:p>
    <w:p w14:paraId="5C0D0868">
      <w:pPr>
        <w:pStyle w:val="13"/>
        <w:spacing w:line="360" w:lineRule="auto"/>
        <w:jc w:val="center"/>
        <w:rPr>
          <w:rFonts w:ascii="Times New Roman" w:hAnsi="Times New Roman" w:eastAsia="方正小标宋_GBK" w:cs="Times New Roman"/>
          <w:sz w:val="52"/>
          <w:szCs w:val="52"/>
        </w:rPr>
      </w:pPr>
    </w:p>
    <w:p w14:paraId="33851C3E">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第四部分    名词解释</w:t>
      </w:r>
    </w:p>
    <w:p w14:paraId="371A26E8">
      <w:pPr>
        <w:widowControl/>
        <w:jc w:val="left"/>
        <w:rPr>
          <w:rFonts w:ascii="Times New Roman" w:hAnsi="Times New Roman" w:cs="Times New Roman"/>
          <w:color w:val="000000"/>
          <w:kern w:val="0"/>
          <w:sz w:val="32"/>
          <w:szCs w:val="32"/>
        </w:rPr>
      </w:pPr>
    </w:p>
    <w:p w14:paraId="71EBB8BE">
      <w:pPr>
        <w:widowControl/>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机关运行经费：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w:t>
      </w:r>
    </w:p>
    <w:p w14:paraId="4763ED8E">
      <w:pPr>
        <w:pStyle w:val="8"/>
        <w:shd w:val="clear" w:color="auto" w:fill="FFFFFF"/>
        <w:spacing w:before="0" w:beforeAutospacing="0" w:after="75" w:afterAutospacing="0" w:line="360" w:lineRule="auto"/>
        <w:ind w:firstLine="646" w:firstLineChars="202"/>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 </w:t>
      </w:r>
    </w:p>
    <w:p w14:paraId="3D7B88A7">
      <w:pPr>
        <w:pStyle w:val="13"/>
        <w:jc w:val="center"/>
        <w:rPr>
          <w:rFonts w:ascii="Times New Roman" w:hAnsi="Times New Roman" w:cs="Times New Roman"/>
          <w:sz w:val="72"/>
          <w:szCs w:val="72"/>
        </w:rPr>
      </w:pPr>
    </w:p>
    <w:p w14:paraId="51F98429">
      <w:pPr>
        <w:pStyle w:val="13"/>
        <w:jc w:val="center"/>
        <w:rPr>
          <w:rFonts w:ascii="Times New Roman" w:hAnsi="Times New Roman" w:cs="Times New Roman"/>
          <w:sz w:val="72"/>
          <w:szCs w:val="72"/>
        </w:rPr>
      </w:pPr>
    </w:p>
    <w:p w14:paraId="39B44665">
      <w:pPr>
        <w:pStyle w:val="13"/>
        <w:jc w:val="center"/>
        <w:rPr>
          <w:rFonts w:ascii="Times New Roman" w:hAnsi="Times New Roman" w:cs="Times New Roman"/>
          <w:sz w:val="72"/>
          <w:szCs w:val="72"/>
        </w:rPr>
      </w:pPr>
    </w:p>
    <w:p w14:paraId="2E1C057A">
      <w:pPr>
        <w:pStyle w:val="13"/>
        <w:jc w:val="center"/>
        <w:rPr>
          <w:rFonts w:ascii="Times New Roman" w:hAnsi="Times New Roman" w:cs="Times New Roman"/>
          <w:sz w:val="72"/>
          <w:szCs w:val="72"/>
        </w:rPr>
      </w:pPr>
    </w:p>
    <w:p w14:paraId="461B28BB">
      <w:pPr>
        <w:pStyle w:val="13"/>
        <w:jc w:val="center"/>
        <w:rPr>
          <w:rFonts w:ascii="Times New Roman" w:hAnsi="Times New Roman" w:cs="Times New Roman"/>
          <w:sz w:val="72"/>
          <w:szCs w:val="72"/>
        </w:rPr>
      </w:pPr>
    </w:p>
    <w:p w14:paraId="3C8168F8">
      <w:pPr>
        <w:pStyle w:val="13"/>
        <w:spacing w:line="360" w:lineRule="auto"/>
        <w:ind w:firstLine="2080" w:firstLineChars="400"/>
        <w:jc w:val="both"/>
        <w:rPr>
          <w:rFonts w:ascii="Times New Roman" w:hAnsi="Times New Roman" w:eastAsia="方正小标宋_GBK" w:cs="Times New Roman"/>
          <w:sz w:val="52"/>
          <w:szCs w:val="52"/>
        </w:rPr>
      </w:pPr>
    </w:p>
    <w:p w14:paraId="20072897">
      <w:pPr>
        <w:pStyle w:val="13"/>
        <w:spacing w:line="360" w:lineRule="auto"/>
        <w:ind w:firstLine="2080" w:firstLineChars="400"/>
        <w:jc w:val="both"/>
        <w:rPr>
          <w:rFonts w:ascii="Times New Roman" w:hAnsi="Times New Roman" w:eastAsia="方正小标宋_GBK" w:cs="Times New Roman"/>
          <w:sz w:val="52"/>
          <w:szCs w:val="52"/>
        </w:rPr>
      </w:pPr>
    </w:p>
    <w:p w14:paraId="0200F825">
      <w:pPr>
        <w:pStyle w:val="13"/>
        <w:spacing w:line="360" w:lineRule="auto"/>
        <w:ind w:firstLine="2080" w:firstLineChars="400"/>
        <w:jc w:val="both"/>
        <w:rPr>
          <w:rFonts w:ascii="Times New Roman" w:hAnsi="Times New Roman" w:eastAsia="方正小标宋_GBK" w:cs="Times New Roman"/>
          <w:sz w:val="52"/>
          <w:szCs w:val="52"/>
        </w:rPr>
      </w:pPr>
    </w:p>
    <w:p w14:paraId="23672150">
      <w:pPr>
        <w:pStyle w:val="13"/>
        <w:spacing w:line="360" w:lineRule="auto"/>
        <w:ind w:firstLine="2080" w:firstLineChars="400"/>
        <w:jc w:val="both"/>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第五部分   附 件</w:t>
      </w:r>
    </w:p>
    <w:p w14:paraId="6C845370">
      <w:pPr>
        <w:pStyle w:val="13"/>
        <w:spacing w:line="600" w:lineRule="exact"/>
        <w:ind w:firstLine="640" w:firstLineChars="200"/>
        <w:rPr>
          <w:rFonts w:ascii="Times New Roman" w:hAnsi="Times New Roman" w:eastAsia="仿宋_GB2312" w:cs="Times New Roman"/>
          <w:sz w:val="32"/>
          <w:szCs w:val="32"/>
        </w:rPr>
      </w:pPr>
    </w:p>
    <w:p w14:paraId="35EFA97B">
      <w:pPr>
        <w:pStyle w:val="13"/>
        <w:jc w:val="center"/>
        <w:rPr>
          <w:rFonts w:ascii="Times New Roman" w:hAnsi="Times New Roman" w:cs="Times New Roman"/>
          <w:sz w:val="72"/>
          <w:szCs w:val="72"/>
        </w:rPr>
      </w:pPr>
    </w:p>
    <w:p w14:paraId="5BC279DD">
      <w:pPr>
        <w:widowControl/>
        <w:jc w:val="center"/>
        <w:rPr>
          <w:rFonts w:hint="eastAsia" w:ascii="仿宋" w:hAnsi="仿宋" w:eastAsia="仿宋" w:cs="仿宋"/>
          <w:b/>
          <w:bCs/>
          <w:sz w:val="44"/>
          <w:szCs w:val="44"/>
        </w:rPr>
      </w:pPr>
    </w:p>
    <w:p w14:paraId="74030D60">
      <w:pPr>
        <w:widowControl/>
        <w:jc w:val="center"/>
        <w:rPr>
          <w:rFonts w:hint="eastAsia" w:ascii="仿宋" w:hAnsi="仿宋" w:eastAsia="仿宋" w:cs="仿宋"/>
          <w:b/>
          <w:bCs/>
          <w:sz w:val="44"/>
          <w:szCs w:val="44"/>
        </w:rPr>
      </w:pPr>
    </w:p>
    <w:p w14:paraId="7926FFE7">
      <w:pPr>
        <w:widowControl/>
        <w:jc w:val="center"/>
        <w:rPr>
          <w:rFonts w:hint="eastAsia" w:ascii="仿宋" w:hAnsi="仿宋" w:eastAsia="仿宋" w:cs="仿宋"/>
          <w:b/>
          <w:bCs/>
          <w:sz w:val="44"/>
          <w:szCs w:val="44"/>
        </w:rPr>
      </w:pPr>
    </w:p>
    <w:p w14:paraId="1F4D2F24">
      <w:pPr>
        <w:widowControl/>
        <w:jc w:val="center"/>
        <w:rPr>
          <w:rFonts w:hint="eastAsia" w:ascii="仿宋" w:hAnsi="仿宋" w:eastAsia="仿宋" w:cs="仿宋"/>
          <w:b/>
          <w:bCs/>
          <w:sz w:val="44"/>
          <w:szCs w:val="44"/>
        </w:rPr>
      </w:pPr>
    </w:p>
    <w:p w14:paraId="37ADE05A">
      <w:pPr>
        <w:widowControl/>
        <w:jc w:val="center"/>
        <w:rPr>
          <w:rFonts w:hint="eastAsia" w:ascii="仿宋" w:hAnsi="仿宋" w:eastAsia="仿宋" w:cs="仿宋"/>
          <w:b/>
          <w:bCs/>
          <w:sz w:val="44"/>
          <w:szCs w:val="44"/>
        </w:rPr>
      </w:pPr>
    </w:p>
    <w:p w14:paraId="006E83AE">
      <w:pPr>
        <w:widowControl/>
        <w:jc w:val="center"/>
        <w:rPr>
          <w:rFonts w:hint="eastAsia" w:ascii="仿宋" w:hAnsi="仿宋" w:eastAsia="仿宋" w:cs="仿宋"/>
          <w:b/>
          <w:bCs/>
          <w:sz w:val="44"/>
          <w:szCs w:val="44"/>
        </w:rPr>
      </w:pPr>
    </w:p>
    <w:p w14:paraId="3688AF8D">
      <w:pPr>
        <w:widowControl/>
        <w:ind w:firstLine="1320" w:firstLineChars="300"/>
        <w:jc w:val="both"/>
        <w:rPr>
          <w:rFonts w:hint="eastAsia" w:ascii="仿宋" w:hAnsi="仿宋" w:eastAsia="仿宋" w:cs="仿宋"/>
          <w:b/>
          <w:bCs/>
          <w:sz w:val="44"/>
          <w:szCs w:val="44"/>
        </w:rPr>
      </w:pPr>
    </w:p>
    <w:p w14:paraId="73925F03">
      <w:pPr>
        <w:widowControl/>
        <w:ind w:firstLine="1320" w:firstLineChars="300"/>
        <w:jc w:val="both"/>
        <w:rPr>
          <w:rFonts w:hint="eastAsia" w:ascii="仿宋" w:hAnsi="仿宋" w:eastAsia="仿宋" w:cs="仿宋"/>
          <w:b/>
          <w:bCs/>
          <w:sz w:val="44"/>
          <w:szCs w:val="44"/>
        </w:rPr>
      </w:pPr>
    </w:p>
    <w:p w14:paraId="5EBA6A89">
      <w:pPr>
        <w:widowControl/>
        <w:ind w:firstLine="1320" w:firstLineChars="300"/>
        <w:jc w:val="both"/>
        <w:rPr>
          <w:rFonts w:hint="eastAsia" w:ascii="仿宋" w:hAnsi="仿宋" w:eastAsia="仿宋" w:cs="仿宋"/>
          <w:b/>
          <w:bCs/>
          <w:sz w:val="44"/>
          <w:szCs w:val="44"/>
        </w:rPr>
      </w:pPr>
    </w:p>
    <w:p w14:paraId="4AA21697">
      <w:pPr>
        <w:widowControl/>
        <w:ind w:firstLine="1320" w:firstLineChars="300"/>
        <w:jc w:val="both"/>
        <w:rPr>
          <w:rFonts w:hint="eastAsia" w:ascii="仿宋" w:hAnsi="仿宋" w:eastAsia="仿宋" w:cs="仿宋"/>
          <w:b/>
          <w:bCs/>
          <w:sz w:val="44"/>
          <w:szCs w:val="44"/>
        </w:rPr>
      </w:pPr>
    </w:p>
    <w:p w14:paraId="628588A6">
      <w:pPr>
        <w:widowControl/>
        <w:ind w:firstLine="1320" w:firstLineChars="300"/>
        <w:jc w:val="both"/>
        <w:rPr>
          <w:rFonts w:hint="eastAsia" w:ascii="仿宋" w:hAnsi="仿宋" w:eastAsia="仿宋" w:cs="仿宋"/>
          <w:b/>
          <w:bCs/>
          <w:sz w:val="44"/>
          <w:szCs w:val="44"/>
        </w:rPr>
      </w:pPr>
    </w:p>
    <w:p w14:paraId="510BF648">
      <w:pPr>
        <w:widowControl/>
        <w:ind w:firstLine="1320" w:firstLineChars="300"/>
        <w:jc w:val="both"/>
        <w:rPr>
          <w:rFonts w:hint="eastAsia" w:ascii="仿宋" w:hAnsi="仿宋" w:eastAsia="仿宋" w:cs="仿宋"/>
          <w:b/>
          <w:bCs/>
          <w:sz w:val="44"/>
          <w:szCs w:val="44"/>
        </w:rPr>
      </w:pPr>
    </w:p>
    <w:p w14:paraId="36378B6B">
      <w:pPr>
        <w:widowControl/>
        <w:ind w:firstLine="1320" w:firstLineChars="300"/>
        <w:jc w:val="both"/>
        <w:rPr>
          <w:rFonts w:ascii="仿宋" w:hAnsi="仿宋" w:eastAsia="仿宋" w:cs="仿宋"/>
          <w:b/>
          <w:bCs/>
          <w:sz w:val="44"/>
          <w:szCs w:val="44"/>
        </w:rPr>
      </w:pPr>
      <w:r>
        <w:rPr>
          <w:rFonts w:hint="eastAsia" w:ascii="仿宋" w:hAnsi="仿宋" w:eastAsia="仿宋" w:cs="仿宋"/>
          <w:b/>
          <w:bCs/>
          <w:sz w:val="44"/>
          <w:szCs w:val="44"/>
        </w:rPr>
        <w:t>怀化市人力资源和社会保障局</w:t>
      </w:r>
    </w:p>
    <w:p w14:paraId="6D8BB085">
      <w:pPr>
        <w:widowControl/>
        <w:jc w:val="center"/>
        <w:rPr>
          <w:rFonts w:hint="eastAsia" w:ascii="仿宋" w:hAnsi="仿宋" w:eastAsia="仿宋" w:cs="仿宋"/>
          <w:b/>
          <w:bCs/>
          <w:sz w:val="44"/>
          <w:szCs w:val="44"/>
          <w:lang w:eastAsia="zh-CN"/>
        </w:rPr>
      </w:pPr>
      <w:r>
        <w:rPr>
          <w:rFonts w:hint="eastAsia" w:ascii="仿宋" w:hAnsi="仿宋" w:eastAsia="仿宋" w:cs="仿宋"/>
          <w:b/>
          <w:bCs/>
          <w:sz w:val="44"/>
          <w:szCs w:val="44"/>
        </w:rPr>
        <w:t>2024年度</w:t>
      </w:r>
      <w:r>
        <w:rPr>
          <w:rFonts w:ascii="仿宋" w:hAnsi="仿宋" w:eastAsia="仿宋" w:cs="仿宋"/>
          <w:b/>
          <w:bCs/>
          <w:sz w:val="44"/>
          <w:szCs w:val="44"/>
        </w:rPr>
        <w:t>整体支出绩效自评报告</w:t>
      </w:r>
    </w:p>
    <w:p w14:paraId="2D911554">
      <w:pPr>
        <w:rPr>
          <w:rFonts w:hint="eastAsia" w:ascii="仿宋" w:hAnsi="仿宋" w:eastAsia="仿宋" w:cs="仿宋"/>
          <w:sz w:val="32"/>
          <w:szCs w:val="32"/>
        </w:rPr>
      </w:pPr>
    </w:p>
    <w:p w14:paraId="76B406EA">
      <w:pPr>
        <w:ind w:firstLine="755" w:firstLineChars="236"/>
        <w:rPr>
          <w:rFonts w:hint="eastAsia" w:ascii="仿宋" w:hAnsi="仿宋" w:eastAsia="仿宋" w:cs="仿宋"/>
          <w:sz w:val="32"/>
          <w:szCs w:val="32"/>
        </w:rPr>
      </w:pPr>
      <w:r>
        <w:rPr>
          <w:rFonts w:hint="eastAsia" w:ascii="仿宋" w:hAnsi="仿宋" w:eastAsia="仿宋" w:cs="仿宋"/>
          <w:sz w:val="32"/>
          <w:szCs w:val="32"/>
        </w:rPr>
        <w:t>一、部门概况</w:t>
      </w:r>
    </w:p>
    <w:p w14:paraId="322135F8">
      <w:pPr>
        <w:ind w:left="0" w:leftChars="0" w:firstLine="681" w:firstLineChars="213"/>
        <w:rPr>
          <w:rFonts w:hint="eastAsia" w:ascii="仿宋" w:hAnsi="仿宋" w:eastAsia="仿宋" w:cs="仿宋"/>
          <w:sz w:val="32"/>
          <w:szCs w:val="32"/>
        </w:rPr>
      </w:pPr>
      <w:r>
        <w:rPr>
          <w:rFonts w:hint="eastAsia" w:ascii="仿宋" w:hAnsi="仿宋" w:eastAsia="仿宋" w:cs="仿宋"/>
          <w:sz w:val="32"/>
          <w:szCs w:val="32"/>
        </w:rPr>
        <w:t>（一）部门基本情况</w:t>
      </w:r>
    </w:p>
    <w:p w14:paraId="39EC9E7E">
      <w:pPr>
        <w:ind w:left="0" w:leftChars="0" w:firstLine="681" w:firstLineChars="213"/>
        <w:rPr>
          <w:rFonts w:hint="eastAsia" w:ascii="仿宋" w:hAnsi="仿宋" w:eastAsia="仿宋" w:cs="仿宋"/>
          <w:b/>
          <w:bCs/>
          <w:w w:val="100"/>
          <w:sz w:val="32"/>
          <w:szCs w:val="32"/>
        </w:rPr>
      </w:pPr>
      <w:r>
        <w:rPr>
          <w:rFonts w:hint="eastAsia" w:ascii="仿宋" w:hAnsi="仿宋" w:eastAsia="仿宋" w:cs="仿宋"/>
          <w:b/>
          <w:bCs/>
          <w:w w:val="100"/>
          <w:sz w:val="32"/>
          <w:szCs w:val="32"/>
        </w:rPr>
        <w:t>局本级</w:t>
      </w:r>
    </w:p>
    <w:p w14:paraId="40268A47">
      <w:pPr>
        <w:ind w:left="0" w:leftChars="0" w:firstLine="681" w:firstLineChars="213"/>
        <w:rPr>
          <w:rFonts w:hint="eastAsia" w:ascii="仿宋" w:hAnsi="仿宋" w:eastAsia="仿宋" w:cs="仿宋"/>
          <w:w w:val="100"/>
          <w:sz w:val="32"/>
          <w:szCs w:val="32"/>
        </w:rPr>
      </w:pPr>
      <w:r>
        <w:rPr>
          <w:rFonts w:hint="eastAsia" w:ascii="仿宋" w:hAnsi="仿宋" w:eastAsia="仿宋" w:cs="仿宋"/>
          <w:w w:val="100"/>
          <w:sz w:val="32"/>
          <w:szCs w:val="32"/>
          <w:lang w:val="en-US" w:eastAsia="zh-CN"/>
        </w:rPr>
        <w:t>1、</w:t>
      </w:r>
      <w:r>
        <w:rPr>
          <w:rFonts w:hint="eastAsia" w:ascii="仿宋" w:hAnsi="仿宋" w:eastAsia="仿宋" w:cs="仿宋"/>
          <w:w w:val="100"/>
          <w:sz w:val="32"/>
          <w:szCs w:val="32"/>
        </w:rPr>
        <w:t>机构设置情况</w:t>
      </w:r>
    </w:p>
    <w:p w14:paraId="46FD0932">
      <w:pPr>
        <w:ind w:left="0" w:leftChars="0" w:firstLine="681" w:firstLineChars="213"/>
        <w:rPr>
          <w:rFonts w:hint="eastAsia" w:ascii="仿宋" w:hAnsi="仿宋" w:eastAsia="仿宋" w:cs="仿宋"/>
          <w:w w:val="100"/>
          <w:sz w:val="32"/>
          <w:szCs w:val="32"/>
        </w:rPr>
      </w:pPr>
      <w:r>
        <w:rPr>
          <w:rFonts w:hint="eastAsia" w:ascii="仿宋" w:hAnsi="仿宋" w:eastAsia="仿宋" w:cs="仿宋"/>
          <w:w w:val="100"/>
          <w:sz w:val="32"/>
          <w:szCs w:val="32"/>
        </w:rPr>
        <w:t>怀化市人力资源和社会保障局作为一级部门预算单位，内设科室为：办公室、法规科（行政审批服务科）、规划财务科、就业促进与失业保险科、人力资源流动管理科、职业能力建设科、专业技术人员管理科、事业单位人事管理科、劳动关系</w:t>
      </w:r>
      <w:r>
        <w:rPr>
          <w:rFonts w:hint="eastAsia" w:ascii="仿宋" w:hAnsi="仿宋" w:eastAsia="仿宋" w:cs="仿宋"/>
          <w:w w:val="100"/>
          <w:sz w:val="32"/>
          <w:szCs w:val="32"/>
          <w:lang w:eastAsia="zh-CN"/>
        </w:rPr>
        <w:t>监察</w:t>
      </w:r>
      <w:r>
        <w:rPr>
          <w:rFonts w:hint="eastAsia" w:ascii="仿宋" w:hAnsi="仿宋" w:eastAsia="仿宋" w:cs="仿宋"/>
          <w:w w:val="100"/>
          <w:sz w:val="32"/>
          <w:szCs w:val="32"/>
        </w:rPr>
        <w:t>科、工资福利科、养老保险科、工伤保险科</w:t>
      </w:r>
      <w:r>
        <w:rPr>
          <w:rFonts w:hint="eastAsia" w:ascii="仿宋" w:hAnsi="仿宋" w:eastAsia="仿宋" w:cs="仿宋"/>
          <w:w w:val="100"/>
          <w:sz w:val="32"/>
          <w:szCs w:val="32"/>
          <w:lang w:eastAsia="zh-CN"/>
        </w:rPr>
        <w:t>（市劳动能力鉴定工作委员会办公室）</w:t>
      </w:r>
      <w:r>
        <w:rPr>
          <w:rFonts w:hint="eastAsia" w:ascii="仿宋" w:hAnsi="仿宋" w:eastAsia="仿宋" w:cs="仿宋"/>
          <w:w w:val="100"/>
          <w:sz w:val="32"/>
          <w:szCs w:val="32"/>
        </w:rPr>
        <w:t>、社会保险基金监管科、表彰奖励</w:t>
      </w:r>
      <w:r>
        <w:rPr>
          <w:rFonts w:hint="eastAsia" w:ascii="仿宋" w:hAnsi="仿宋" w:eastAsia="仿宋" w:cs="仿宋"/>
          <w:w w:val="100"/>
          <w:sz w:val="32"/>
          <w:szCs w:val="32"/>
          <w:lang w:eastAsia="zh-CN"/>
        </w:rPr>
        <w:t>和重点民生实事科（农民工工作科）</w:t>
      </w:r>
      <w:r>
        <w:rPr>
          <w:rFonts w:hint="eastAsia" w:ascii="仿宋" w:hAnsi="仿宋" w:eastAsia="仿宋" w:cs="仿宋"/>
          <w:w w:val="100"/>
          <w:sz w:val="32"/>
          <w:szCs w:val="32"/>
        </w:rPr>
        <w:t>、人事</w:t>
      </w:r>
      <w:r>
        <w:rPr>
          <w:rFonts w:hint="eastAsia" w:ascii="仿宋" w:hAnsi="仿宋" w:eastAsia="仿宋" w:cs="仿宋"/>
          <w:w w:val="100"/>
          <w:sz w:val="32"/>
          <w:szCs w:val="32"/>
          <w:lang w:eastAsia="zh-CN"/>
        </w:rPr>
        <w:t>教育</w:t>
      </w:r>
      <w:r>
        <w:rPr>
          <w:rFonts w:hint="eastAsia" w:ascii="仿宋" w:hAnsi="仿宋" w:eastAsia="仿宋" w:cs="仿宋"/>
          <w:w w:val="100"/>
          <w:sz w:val="32"/>
          <w:szCs w:val="32"/>
        </w:rPr>
        <w:t>科、</w:t>
      </w:r>
      <w:r>
        <w:rPr>
          <w:rFonts w:hint="eastAsia" w:ascii="仿宋" w:hAnsi="仿宋" w:eastAsia="仿宋" w:cs="仿宋"/>
          <w:w w:val="100"/>
          <w:sz w:val="32"/>
          <w:szCs w:val="32"/>
          <w:lang w:eastAsia="zh-CN"/>
        </w:rPr>
        <w:t>另设</w:t>
      </w:r>
      <w:r>
        <w:rPr>
          <w:rFonts w:hint="eastAsia" w:ascii="仿宋" w:hAnsi="仿宋" w:eastAsia="仿宋" w:cs="仿宋"/>
          <w:w w:val="100"/>
          <w:sz w:val="32"/>
          <w:szCs w:val="32"/>
        </w:rPr>
        <w:t>机关党委。</w:t>
      </w:r>
    </w:p>
    <w:p w14:paraId="55711F84">
      <w:pPr>
        <w:ind w:left="0" w:leftChars="0" w:firstLine="681" w:firstLineChars="213"/>
        <w:rPr>
          <w:rFonts w:hint="eastAsia" w:ascii="仿宋" w:hAnsi="仿宋" w:eastAsia="仿宋" w:cs="仿宋"/>
          <w:w w:val="100"/>
          <w:sz w:val="32"/>
          <w:szCs w:val="32"/>
        </w:rPr>
      </w:pPr>
      <w:r>
        <w:rPr>
          <w:rFonts w:hint="eastAsia" w:ascii="仿宋" w:hAnsi="仿宋" w:eastAsia="仿宋" w:cs="仿宋"/>
          <w:w w:val="100"/>
          <w:sz w:val="32"/>
          <w:szCs w:val="32"/>
          <w:lang w:val="en-US" w:eastAsia="zh-CN"/>
        </w:rPr>
        <w:t>2、</w:t>
      </w:r>
      <w:r>
        <w:rPr>
          <w:rFonts w:hint="eastAsia" w:ascii="仿宋" w:hAnsi="仿宋" w:eastAsia="仿宋" w:cs="仿宋"/>
          <w:w w:val="100"/>
          <w:sz w:val="32"/>
          <w:szCs w:val="32"/>
        </w:rPr>
        <w:t>人员编制情况</w:t>
      </w:r>
    </w:p>
    <w:p w14:paraId="5FEEA2DB">
      <w:pPr>
        <w:widowControl/>
        <w:shd w:val="clear" w:color="auto" w:fill="FFFFFF"/>
        <w:ind w:left="0" w:leftChars="0" w:firstLine="681" w:firstLineChars="213"/>
        <w:rPr>
          <w:rFonts w:hint="eastAsia" w:ascii="仿宋" w:hAnsi="仿宋" w:eastAsia="仿宋" w:cs="仿宋"/>
          <w:w w:val="100"/>
          <w:sz w:val="32"/>
          <w:szCs w:val="32"/>
        </w:rPr>
      </w:pPr>
      <w:r>
        <w:rPr>
          <w:rFonts w:hint="eastAsia" w:ascii="仿宋" w:hAnsi="仿宋" w:eastAsia="仿宋" w:cs="仿宋"/>
          <w:w w:val="100"/>
          <w:sz w:val="32"/>
          <w:szCs w:val="32"/>
        </w:rPr>
        <w:t>根据编委核定，截至202</w:t>
      </w:r>
      <w:r>
        <w:rPr>
          <w:rFonts w:hint="eastAsia" w:ascii="仿宋" w:hAnsi="仿宋" w:eastAsia="仿宋" w:cs="仿宋"/>
          <w:w w:val="100"/>
          <w:sz w:val="32"/>
          <w:szCs w:val="32"/>
          <w:lang w:val="en-US" w:eastAsia="zh-CN"/>
        </w:rPr>
        <w:t>4</w:t>
      </w:r>
      <w:r>
        <w:rPr>
          <w:rFonts w:hint="eastAsia" w:ascii="仿宋" w:hAnsi="仿宋" w:eastAsia="仿宋" w:cs="仿宋"/>
          <w:w w:val="100"/>
          <w:sz w:val="32"/>
          <w:szCs w:val="32"/>
        </w:rPr>
        <w:t>年12月31日，怀化市人力资源和社会保障局在职人数72人。</w:t>
      </w:r>
    </w:p>
    <w:p w14:paraId="56E568F7">
      <w:pPr>
        <w:ind w:left="0" w:leftChars="0" w:firstLine="681" w:firstLineChars="213"/>
        <w:rPr>
          <w:rFonts w:hint="eastAsia" w:ascii="仿宋" w:hAnsi="仿宋" w:eastAsia="仿宋" w:cs="仿宋"/>
          <w:w w:val="100"/>
          <w:sz w:val="32"/>
          <w:szCs w:val="32"/>
        </w:rPr>
      </w:pPr>
      <w:r>
        <w:rPr>
          <w:rFonts w:hint="eastAsia" w:ascii="仿宋" w:hAnsi="仿宋" w:eastAsia="仿宋" w:cs="仿宋"/>
          <w:w w:val="100"/>
          <w:sz w:val="32"/>
          <w:szCs w:val="32"/>
          <w:lang w:val="en-US" w:eastAsia="zh-CN"/>
        </w:rPr>
        <w:t>3、</w:t>
      </w:r>
      <w:r>
        <w:rPr>
          <w:rFonts w:hint="eastAsia" w:ascii="仿宋" w:hAnsi="仿宋" w:eastAsia="仿宋" w:cs="仿宋"/>
          <w:w w:val="100"/>
          <w:sz w:val="32"/>
          <w:szCs w:val="32"/>
        </w:rPr>
        <w:t>主要职能职责</w:t>
      </w:r>
    </w:p>
    <w:p w14:paraId="34C8608E">
      <w:pPr>
        <w:widowControl/>
        <w:spacing w:line="450" w:lineRule="atLeast"/>
        <w:ind w:left="0" w:leftChars="0" w:firstLine="681" w:firstLineChars="213"/>
        <w:rPr>
          <w:rFonts w:hint="eastAsia" w:ascii="仿宋" w:hAnsi="仿宋" w:eastAsia="仿宋" w:cs="仿宋"/>
          <w:w w:val="100"/>
          <w:sz w:val="32"/>
          <w:szCs w:val="32"/>
        </w:rPr>
      </w:pPr>
      <w:r>
        <w:rPr>
          <w:rFonts w:hint="eastAsia" w:ascii="仿宋" w:hAnsi="仿宋" w:eastAsia="仿宋" w:cs="仿宋"/>
          <w:w w:val="100"/>
          <w:sz w:val="32"/>
          <w:szCs w:val="32"/>
          <w:lang w:eastAsia="zh-CN"/>
        </w:rPr>
        <w:t>（</w:t>
      </w:r>
      <w:r>
        <w:rPr>
          <w:rFonts w:hint="eastAsia" w:ascii="仿宋" w:hAnsi="仿宋" w:eastAsia="仿宋" w:cs="仿宋"/>
          <w:w w:val="100"/>
          <w:sz w:val="32"/>
          <w:szCs w:val="32"/>
          <w:lang w:val="en-US" w:eastAsia="zh-CN"/>
        </w:rPr>
        <w:t>1</w:t>
      </w:r>
      <w:r>
        <w:rPr>
          <w:rFonts w:hint="eastAsia" w:ascii="仿宋" w:hAnsi="仿宋" w:eastAsia="仿宋" w:cs="仿宋"/>
          <w:w w:val="100"/>
          <w:sz w:val="32"/>
          <w:szCs w:val="32"/>
          <w:lang w:eastAsia="zh-CN"/>
        </w:rPr>
        <w:t>）</w:t>
      </w:r>
      <w:r>
        <w:rPr>
          <w:rFonts w:hint="eastAsia" w:ascii="仿宋" w:hAnsi="仿宋" w:eastAsia="仿宋" w:cs="仿宋"/>
          <w:w w:val="100"/>
          <w:sz w:val="32"/>
          <w:szCs w:val="32"/>
        </w:rPr>
        <w:t>贯彻执行国家、省人力资源和社会保障方针政策和法律法规；拟订全市人力资源和社会保障事业发展规划及实施办法；对全市人力资源和社会保障工作进行综合管理、监督指导、协调服务。</w:t>
      </w:r>
    </w:p>
    <w:p w14:paraId="3488451C">
      <w:pPr>
        <w:widowControl/>
        <w:spacing w:line="450" w:lineRule="atLeast"/>
        <w:ind w:left="0" w:leftChars="0" w:firstLine="681" w:firstLineChars="213"/>
        <w:rPr>
          <w:rFonts w:hint="eastAsia" w:ascii="仿宋" w:hAnsi="仿宋" w:eastAsia="仿宋" w:cs="仿宋"/>
          <w:w w:val="100"/>
          <w:sz w:val="32"/>
          <w:szCs w:val="32"/>
        </w:rPr>
      </w:pPr>
      <w:r>
        <w:rPr>
          <w:rFonts w:hint="eastAsia" w:ascii="仿宋" w:hAnsi="仿宋" w:eastAsia="仿宋" w:cs="仿宋"/>
          <w:w w:val="100"/>
          <w:sz w:val="32"/>
          <w:szCs w:val="32"/>
          <w:lang w:eastAsia="zh-CN"/>
        </w:rPr>
        <w:t>（</w:t>
      </w:r>
      <w:r>
        <w:rPr>
          <w:rFonts w:hint="eastAsia" w:ascii="仿宋" w:hAnsi="仿宋" w:eastAsia="仿宋" w:cs="仿宋"/>
          <w:w w:val="100"/>
          <w:sz w:val="32"/>
          <w:szCs w:val="32"/>
          <w:lang w:val="en-US" w:eastAsia="zh-CN"/>
        </w:rPr>
        <w:t>2</w:t>
      </w:r>
      <w:r>
        <w:rPr>
          <w:rFonts w:hint="eastAsia" w:ascii="仿宋" w:hAnsi="仿宋" w:eastAsia="仿宋" w:cs="仿宋"/>
          <w:w w:val="100"/>
          <w:sz w:val="32"/>
          <w:szCs w:val="32"/>
          <w:lang w:eastAsia="zh-CN"/>
        </w:rPr>
        <w:t>）</w:t>
      </w:r>
      <w:r>
        <w:rPr>
          <w:rFonts w:hint="eastAsia" w:ascii="仿宋" w:hAnsi="仿宋" w:eastAsia="仿宋" w:cs="仿宋"/>
          <w:w w:val="100"/>
          <w:sz w:val="32"/>
          <w:szCs w:val="32"/>
        </w:rPr>
        <w:t>会同有关部门拟订全市人力资源市场发展规划，推动全市人力资源流动政策落实；会同办理负责市直机关、企事业单位有关工作人员的流动调配工作；指导全市建立统一规范的人力资源市场，促进人力资源合理流动、有效配置。</w:t>
      </w:r>
    </w:p>
    <w:p w14:paraId="7390D4EA">
      <w:pPr>
        <w:widowControl/>
        <w:spacing w:line="450" w:lineRule="atLeast"/>
        <w:ind w:left="0" w:leftChars="0" w:firstLine="681" w:firstLineChars="213"/>
        <w:rPr>
          <w:rFonts w:hint="eastAsia" w:ascii="仿宋" w:hAnsi="仿宋" w:eastAsia="仿宋" w:cs="仿宋"/>
          <w:w w:val="100"/>
          <w:sz w:val="32"/>
          <w:szCs w:val="32"/>
        </w:rPr>
      </w:pPr>
      <w:r>
        <w:rPr>
          <w:rFonts w:hint="eastAsia" w:ascii="仿宋" w:hAnsi="仿宋" w:eastAsia="仿宋" w:cs="仿宋"/>
          <w:w w:val="100"/>
          <w:sz w:val="32"/>
          <w:szCs w:val="32"/>
          <w:lang w:eastAsia="zh-CN"/>
        </w:rPr>
        <w:t>（</w:t>
      </w:r>
      <w:r>
        <w:rPr>
          <w:rFonts w:hint="eastAsia" w:ascii="仿宋" w:hAnsi="仿宋" w:eastAsia="仿宋" w:cs="仿宋"/>
          <w:w w:val="100"/>
          <w:sz w:val="32"/>
          <w:szCs w:val="32"/>
          <w:lang w:val="en-US" w:eastAsia="zh-CN"/>
        </w:rPr>
        <w:t>3</w:t>
      </w:r>
      <w:r>
        <w:rPr>
          <w:rFonts w:hint="eastAsia" w:ascii="仿宋" w:hAnsi="仿宋" w:eastAsia="仿宋" w:cs="仿宋"/>
          <w:w w:val="100"/>
          <w:sz w:val="32"/>
          <w:szCs w:val="32"/>
          <w:lang w:eastAsia="zh-CN"/>
        </w:rPr>
        <w:t>）</w:t>
      </w:r>
      <w:r>
        <w:rPr>
          <w:rFonts w:hint="eastAsia" w:ascii="仿宋" w:hAnsi="仿宋" w:eastAsia="仿宋" w:cs="仿宋"/>
          <w:w w:val="100"/>
          <w:sz w:val="32"/>
          <w:szCs w:val="32"/>
        </w:rPr>
        <w:t>负责促进就业工作，拟订和落实全市统筹城乡就业发展规划和实施办法，完善就业创业公共服务体系；拟订和组织落实全市就业援助制度，统筹建立面向城乡劳动者的职业培训制度，牵头落实高校毕业生就业政策，会同有关部门拟订高技能人才培养和激励措施。</w:t>
      </w:r>
    </w:p>
    <w:p w14:paraId="6BB7D4EB">
      <w:pPr>
        <w:widowControl/>
        <w:spacing w:line="450" w:lineRule="atLeast"/>
        <w:ind w:left="0" w:leftChars="0" w:firstLine="681" w:firstLineChars="213"/>
        <w:rPr>
          <w:rFonts w:hint="eastAsia" w:ascii="仿宋" w:hAnsi="仿宋" w:eastAsia="仿宋" w:cs="仿宋"/>
          <w:w w:val="100"/>
          <w:sz w:val="32"/>
          <w:szCs w:val="32"/>
        </w:rPr>
      </w:pPr>
      <w:r>
        <w:rPr>
          <w:rFonts w:hint="eastAsia" w:ascii="仿宋" w:hAnsi="仿宋" w:eastAsia="仿宋" w:cs="仿宋"/>
          <w:w w:val="100"/>
          <w:sz w:val="32"/>
          <w:szCs w:val="32"/>
          <w:lang w:eastAsia="zh-CN"/>
        </w:rPr>
        <w:t>（</w:t>
      </w:r>
      <w:r>
        <w:rPr>
          <w:rFonts w:hint="eastAsia" w:ascii="仿宋" w:hAnsi="仿宋" w:eastAsia="仿宋" w:cs="仿宋"/>
          <w:w w:val="100"/>
          <w:sz w:val="32"/>
          <w:szCs w:val="32"/>
          <w:lang w:val="en-US" w:eastAsia="zh-CN"/>
        </w:rPr>
        <w:t>4</w:t>
      </w:r>
      <w:r>
        <w:rPr>
          <w:rFonts w:hint="eastAsia" w:ascii="仿宋" w:hAnsi="仿宋" w:eastAsia="仿宋" w:cs="仿宋"/>
          <w:w w:val="100"/>
          <w:sz w:val="32"/>
          <w:szCs w:val="32"/>
          <w:lang w:eastAsia="zh-CN"/>
        </w:rPr>
        <w:t>）</w:t>
      </w:r>
      <w:r>
        <w:rPr>
          <w:rFonts w:hint="eastAsia" w:ascii="仿宋" w:hAnsi="仿宋" w:eastAsia="仿宋" w:cs="仿宋"/>
          <w:w w:val="100"/>
          <w:sz w:val="32"/>
          <w:szCs w:val="32"/>
        </w:rPr>
        <w:t>统筹建立覆盖全市城乡社会保障体系，贯彻执行城乡社会保险及其补充保险政策和标准；组织落实机关企事业单位基本养老保险政策；会同有关部门拟订社会保险及其补充保险基金管理和监督办法并实施监管；编制全市社会保险基金预决算草案，参与制定全市社会保障基金投资管理办法；会同有关部门实施全民参保计划并建立全市统一的社会保险公共服务平台。</w:t>
      </w:r>
    </w:p>
    <w:p w14:paraId="4668FF3F">
      <w:pPr>
        <w:widowControl/>
        <w:spacing w:line="450" w:lineRule="atLeast"/>
        <w:ind w:left="0" w:leftChars="0" w:firstLine="681" w:firstLineChars="213"/>
        <w:rPr>
          <w:rFonts w:hint="eastAsia" w:ascii="仿宋" w:hAnsi="仿宋" w:eastAsia="仿宋" w:cs="仿宋"/>
          <w:w w:val="100"/>
          <w:sz w:val="32"/>
          <w:szCs w:val="32"/>
        </w:rPr>
      </w:pPr>
      <w:r>
        <w:rPr>
          <w:rFonts w:hint="eastAsia" w:ascii="仿宋" w:hAnsi="仿宋" w:eastAsia="仿宋" w:cs="仿宋"/>
          <w:w w:val="100"/>
          <w:sz w:val="32"/>
          <w:szCs w:val="32"/>
          <w:lang w:eastAsia="zh-CN"/>
        </w:rPr>
        <w:t>（</w:t>
      </w:r>
      <w:r>
        <w:rPr>
          <w:rFonts w:hint="eastAsia" w:ascii="仿宋" w:hAnsi="仿宋" w:eastAsia="仿宋" w:cs="仿宋"/>
          <w:w w:val="100"/>
          <w:sz w:val="32"/>
          <w:szCs w:val="32"/>
          <w:lang w:val="en-US" w:eastAsia="zh-CN"/>
        </w:rPr>
        <w:t>5</w:t>
      </w:r>
      <w:r>
        <w:rPr>
          <w:rFonts w:hint="eastAsia" w:ascii="仿宋" w:hAnsi="仿宋" w:eastAsia="仿宋" w:cs="仿宋"/>
          <w:w w:val="100"/>
          <w:sz w:val="32"/>
          <w:szCs w:val="32"/>
          <w:lang w:eastAsia="zh-CN"/>
        </w:rPr>
        <w:t>）</w:t>
      </w:r>
      <w:r>
        <w:rPr>
          <w:rFonts w:hint="eastAsia" w:ascii="仿宋" w:hAnsi="仿宋" w:eastAsia="仿宋" w:cs="仿宋"/>
          <w:w w:val="100"/>
          <w:sz w:val="32"/>
          <w:szCs w:val="32"/>
        </w:rPr>
        <w:t>负责全市就业、失业、社会保险基金预测预警和信息引导，拟订应对预案，实施预防、调节和控制，保持就业形势稳定和社会保险基金总体收支平衡。</w:t>
      </w:r>
    </w:p>
    <w:p w14:paraId="6431EB3F">
      <w:pPr>
        <w:widowControl/>
        <w:spacing w:line="450" w:lineRule="atLeast"/>
        <w:ind w:left="0" w:leftChars="0" w:firstLine="681" w:firstLineChars="213"/>
        <w:rPr>
          <w:rFonts w:hint="eastAsia" w:ascii="仿宋" w:hAnsi="仿宋" w:eastAsia="仿宋" w:cs="仿宋"/>
          <w:w w:val="100"/>
          <w:sz w:val="32"/>
          <w:szCs w:val="32"/>
        </w:rPr>
      </w:pPr>
      <w:r>
        <w:rPr>
          <w:rFonts w:hint="eastAsia" w:ascii="仿宋" w:hAnsi="仿宋" w:eastAsia="仿宋" w:cs="仿宋"/>
          <w:w w:val="100"/>
          <w:sz w:val="32"/>
          <w:szCs w:val="32"/>
          <w:lang w:eastAsia="zh-CN"/>
        </w:rPr>
        <w:t>（</w:t>
      </w:r>
      <w:r>
        <w:rPr>
          <w:rFonts w:hint="eastAsia" w:ascii="仿宋" w:hAnsi="仿宋" w:eastAsia="仿宋" w:cs="仿宋"/>
          <w:w w:val="100"/>
          <w:sz w:val="32"/>
          <w:szCs w:val="32"/>
          <w:lang w:val="en-US" w:eastAsia="zh-CN"/>
        </w:rPr>
        <w:t>6</w:t>
      </w:r>
      <w:r>
        <w:rPr>
          <w:rFonts w:hint="eastAsia" w:ascii="仿宋" w:hAnsi="仿宋" w:eastAsia="仿宋" w:cs="仿宋"/>
          <w:w w:val="100"/>
          <w:sz w:val="32"/>
          <w:szCs w:val="32"/>
          <w:lang w:eastAsia="zh-CN"/>
        </w:rPr>
        <w:t>）</w:t>
      </w:r>
      <w:r>
        <w:rPr>
          <w:rFonts w:hint="eastAsia" w:ascii="仿宋" w:hAnsi="仿宋" w:eastAsia="仿宋" w:cs="仿宋"/>
          <w:w w:val="100"/>
          <w:sz w:val="32"/>
          <w:szCs w:val="32"/>
        </w:rPr>
        <w:t>负责全市事业单位工资收入和福利分配综合管理，贯彻执行国家工资和上级福利政策；会同有关部门拟订全市企事业单位人员和离退休人员福利办法并组织实施；建立企事业单位人员工资正常增长和支付保障机制；监督国有企业经营者收入分配政策执行情况和全市工资发放政策的执行情况；按照管理权限承办全市事业单位工作人员及机关工勤人员工资审批工作，负责市直事业单位工作人员因工(公)伤致残鉴定及应享受待遇的审批工作。</w:t>
      </w:r>
    </w:p>
    <w:p w14:paraId="349CC2BF">
      <w:pPr>
        <w:widowControl/>
        <w:spacing w:line="450" w:lineRule="atLeast"/>
        <w:ind w:left="0" w:leftChars="0" w:firstLine="681" w:firstLineChars="213"/>
        <w:rPr>
          <w:rFonts w:hint="eastAsia" w:ascii="仿宋" w:hAnsi="仿宋" w:eastAsia="仿宋" w:cs="仿宋"/>
          <w:w w:val="100"/>
          <w:sz w:val="32"/>
          <w:szCs w:val="32"/>
        </w:rPr>
      </w:pPr>
      <w:r>
        <w:rPr>
          <w:rFonts w:hint="eastAsia" w:ascii="仿宋" w:hAnsi="仿宋" w:eastAsia="仿宋" w:cs="仿宋"/>
          <w:w w:val="100"/>
          <w:sz w:val="32"/>
          <w:szCs w:val="32"/>
          <w:lang w:eastAsia="zh-CN"/>
        </w:rPr>
        <w:t>（</w:t>
      </w:r>
      <w:r>
        <w:rPr>
          <w:rFonts w:hint="eastAsia" w:ascii="仿宋" w:hAnsi="仿宋" w:eastAsia="仿宋" w:cs="仿宋"/>
          <w:w w:val="100"/>
          <w:sz w:val="32"/>
          <w:szCs w:val="32"/>
          <w:lang w:val="en-US" w:eastAsia="zh-CN"/>
        </w:rPr>
        <w:t>7</w:t>
      </w:r>
      <w:r>
        <w:rPr>
          <w:rFonts w:hint="eastAsia" w:ascii="仿宋" w:hAnsi="仿宋" w:eastAsia="仿宋" w:cs="仿宋"/>
          <w:w w:val="100"/>
          <w:sz w:val="32"/>
          <w:szCs w:val="32"/>
          <w:lang w:eastAsia="zh-CN"/>
        </w:rPr>
        <w:t>）</w:t>
      </w:r>
      <w:r>
        <w:rPr>
          <w:rFonts w:hint="eastAsia" w:ascii="仿宋" w:hAnsi="仿宋" w:eastAsia="仿宋" w:cs="仿宋"/>
          <w:w w:val="100"/>
          <w:sz w:val="32"/>
          <w:szCs w:val="32"/>
        </w:rPr>
        <w:t>会同有关部门指导事业单位人事制度改革；监督落实事业单位人员和机关工勤人员管理政策；参与人才管理工作；综合管理全市专业技术人员和专业技术队伍建设工作，综合管理全市专业技术人员和机关事业单位工勤人员的培训和继续教育工作。</w:t>
      </w:r>
    </w:p>
    <w:p w14:paraId="110487BA">
      <w:pPr>
        <w:widowControl/>
        <w:spacing w:line="450" w:lineRule="atLeast"/>
        <w:ind w:left="0" w:leftChars="0" w:firstLine="681" w:firstLineChars="213"/>
        <w:rPr>
          <w:rFonts w:hint="eastAsia" w:ascii="仿宋" w:hAnsi="仿宋" w:eastAsia="仿宋" w:cs="仿宋"/>
          <w:w w:val="100"/>
          <w:sz w:val="32"/>
          <w:szCs w:val="32"/>
        </w:rPr>
      </w:pPr>
      <w:r>
        <w:rPr>
          <w:rFonts w:hint="eastAsia" w:ascii="仿宋" w:hAnsi="仿宋" w:eastAsia="仿宋" w:cs="仿宋"/>
          <w:w w:val="100"/>
          <w:sz w:val="32"/>
          <w:szCs w:val="32"/>
          <w:lang w:eastAsia="zh-CN"/>
        </w:rPr>
        <w:t>（</w:t>
      </w:r>
      <w:r>
        <w:rPr>
          <w:rFonts w:hint="eastAsia" w:ascii="仿宋" w:hAnsi="仿宋" w:eastAsia="仿宋" w:cs="仿宋"/>
          <w:w w:val="100"/>
          <w:sz w:val="32"/>
          <w:szCs w:val="32"/>
          <w:lang w:val="en-US" w:eastAsia="zh-CN"/>
        </w:rPr>
        <w:t>8</w:t>
      </w:r>
      <w:r>
        <w:rPr>
          <w:rFonts w:hint="eastAsia" w:ascii="仿宋" w:hAnsi="仿宋" w:eastAsia="仿宋" w:cs="仿宋"/>
          <w:w w:val="100"/>
          <w:sz w:val="32"/>
          <w:szCs w:val="32"/>
          <w:lang w:eastAsia="zh-CN"/>
        </w:rPr>
        <w:t>）</w:t>
      </w:r>
      <w:r>
        <w:rPr>
          <w:rFonts w:hint="eastAsia" w:ascii="仿宋" w:hAnsi="仿宋" w:eastAsia="仿宋" w:cs="仿宋"/>
          <w:w w:val="100"/>
          <w:sz w:val="32"/>
          <w:szCs w:val="32"/>
        </w:rPr>
        <w:t>牵头推进深化职称制度改革，完善专业技术人员职业资格和博士后管理制度，负责高层次专业技术人才选拔、培养和引进工作，组织有突出贡献专家、享受政府特殊津贴专家的选拔工作；会同有关部门拟定吸引留学人员来怀（回国）工作、定居和国（境）外机构在市内招聘专业技术骨干人才管理政策。</w:t>
      </w:r>
    </w:p>
    <w:p w14:paraId="70577BB0">
      <w:pPr>
        <w:widowControl/>
        <w:spacing w:line="450" w:lineRule="atLeast"/>
        <w:ind w:left="0" w:leftChars="0" w:firstLine="681" w:firstLineChars="213"/>
        <w:rPr>
          <w:rFonts w:hint="eastAsia" w:ascii="仿宋" w:hAnsi="仿宋" w:eastAsia="仿宋" w:cs="仿宋"/>
          <w:w w:val="100"/>
          <w:sz w:val="32"/>
          <w:szCs w:val="32"/>
        </w:rPr>
      </w:pPr>
      <w:r>
        <w:rPr>
          <w:rFonts w:hint="eastAsia" w:ascii="仿宋" w:hAnsi="仿宋" w:eastAsia="仿宋" w:cs="仿宋"/>
          <w:w w:val="100"/>
          <w:sz w:val="32"/>
          <w:szCs w:val="32"/>
          <w:lang w:eastAsia="zh-CN"/>
        </w:rPr>
        <w:t>（</w:t>
      </w:r>
      <w:r>
        <w:rPr>
          <w:rFonts w:hint="eastAsia" w:ascii="仿宋" w:hAnsi="仿宋" w:eastAsia="仿宋" w:cs="仿宋"/>
          <w:w w:val="100"/>
          <w:sz w:val="32"/>
          <w:szCs w:val="32"/>
          <w:lang w:val="en-US" w:eastAsia="zh-CN"/>
        </w:rPr>
        <w:t>9</w:t>
      </w:r>
      <w:r>
        <w:rPr>
          <w:rFonts w:hint="eastAsia" w:ascii="仿宋" w:hAnsi="仿宋" w:eastAsia="仿宋" w:cs="仿宋"/>
          <w:w w:val="100"/>
          <w:sz w:val="32"/>
          <w:szCs w:val="32"/>
          <w:lang w:eastAsia="zh-CN"/>
        </w:rPr>
        <w:t>）</w:t>
      </w:r>
      <w:r>
        <w:rPr>
          <w:rFonts w:hint="eastAsia" w:ascii="仿宋" w:hAnsi="仿宋" w:eastAsia="仿宋" w:cs="仿宋"/>
          <w:w w:val="100"/>
          <w:sz w:val="32"/>
          <w:szCs w:val="32"/>
        </w:rPr>
        <w:t>统筹实施劳动、人事争议调解仲裁制度。牵头落实劳动关系政策，完善劳动关系协调机制，监督实施职工工作时间、休息休假和假期制度，监督落实消除非法使用童工政策和女工、未成年工的特殊劳动保护政策；组织实施劳动监察，协调劳动者维权工作，依法查处重大案件。</w:t>
      </w:r>
    </w:p>
    <w:p w14:paraId="364C8BFE">
      <w:pPr>
        <w:widowControl/>
        <w:spacing w:line="450" w:lineRule="atLeast"/>
        <w:ind w:left="0" w:leftChars="0" w:firstLine="681" w:firstLineChars="213"/>
        <w:rPr>
          <w:rFonts w:hint="eastAsia" w:ascii="仿宋" w:hAnsi="仿宋" w:eastAsia="仿宋" w:cs="仿宋"/>
          <w:w w:val="100"/>
          <w:sz w:val="32"/>
          <w:szCs w:val="32"/>
        </w:rPr>
      </w:pPr>
      <w:r>
        <w:rPr>
          <w:rFonts w:hint="eastAsia" w:ascii="仿宋" w:hAnsi="仿宋" w:eastAsia="仿宋" w:cs="仿宋"/>
          <w:w w:val="100"/>
          <w:sz w:val="32"/>
          <w:szCs w:val="32"/>
          <w:lang w:eastAsia="zh-CN"/>
        </w:rPr>
        <w:t>（</w:t>
      </w:r>
      <w:r>
        <w:rPr>
          <w:rFonts w:hint="eastAsia" w:ascii="仿宋" w:hAnsi="仿宋" w:eastAsia="仿宋" w:cs="仿宋"/>
          <w:w w:val="100"/>
          <w:sz w:val="32"/>
          <w:szCs w:val="32"/>
          <w:lang w:val="en-US" w:eastAsia="zh-CN"/>
        </w:rPr>
        <w:t>10</w:t>
      </w:r>
      <w:r>
        <w:rPr>
          <w:rFonts w:hint="eastAsia" w:ascii="仿宋" w:hAnsi="仿宋" w:eastAsia="仿宋" w:cs="仿宋"/>
          <w:w w:val="100"/>
          <w:sz w:val="32"/>
          <w:szCs w:val="32"/>
          <w:lang w:eastAsia="zh-CN"/>
        </w:rPr>
        <w:t>）</w:t>
      </w:r>
      <w:r>
        <w:rPr>
          <w:rFonts w:hint="eastAsia" w:ascii="仿宋" w:hAnsi="仿宋" w:eastAsia="仿宋" w:cs="仿宋"/>
          <w:w w:val="100"/>
          <w:sz w:val="32"/>
          <w:szCs w:val="32"/>
        </w:rPr>
        <w:t>会同有关部门推动农民工相关政策的落实，拟定全市农民工工作规划，协调解决重点难点问题，维护农民工合法权益。</w:t>
      </w:r>
    </w:p>
    <w:p w14:paraId="3778AB3B">
      <w:pPr>
        <w:widowControl/>
        <w:spacing w:line="450" w:lineRule="atLeast"/>
        <w:ind w:left="0" w:leftChars="0" w:firstLine="681" w:firstLineChars="213"/>
        <w:rPr>
          <w:rFonts w:hint="eastAsia" w:ascii="仿宋" w:hAnsi="仿宋" w:eastAsia="仿宋" w:cs="仿宋"/>
          <w:w w:val="100"/>
          <w:sz w:val="32"/>
          <w:szCs w:val="32"/>
        </w:rPr>
      </w:pPr>
      <w:r>
        <w:rPr>
          <w:rFonts w:hint="eastAsia" w:ascii="仿宋" w:hAnsi="仿宋" w:eastAsia="仿宋" w:cs="仿宋"/>
          <w:w w:val="100"/>
          <w:sz w:val="32"/>
          <w:szCs w:val="32"/>
          <w:lang w:eastAsia="zh-CN"/>
        </w:rPr>
        <w:t>（</w:t>
      </w:r>
      <w:r>
        <w:rPr>
          <w:rFonts w:hint="eastAsia" w:ascii="仿宋" w:hAnsi="仿宋" w:eastAsia="仿宋" w:cs="仿宋"/>
          <w:w w:val="100"/>
          <w:sz w:val="32"/>
          <w:szCs w:val="32"/>
          <w:lang w:val="en-US" w:eastAsia="zh-CN"/>
        </w:rPr>
        <w:t>11</w:t>
      </w:r>
      <w:r>
        <w:rPr>
          <w:rFonts w:hint="eastAsia" w:ascii="仿宋" w:hAnsi="仿宋" w:eastAsia="仿宋" w:cs="仿宋"/>
          <w:w w:val="100"/>
          <w:sz w:val="32"/>
          <w:szCs w:val="32"/>
          <w:lang w:eastAsia="zh-CN"/>
        </w:rPr>
        <w:t>）</w:t>
      </w:r>
      <w:r>
        <w:rPr>
          <w:rFonts w:hint="eastAsia" w:ascii="仿宋" w:hAnsi="仿宋" w:eastAsia="仿宋" w:cs="仿宋"/>
          <w:w w:val="100"/>
          <w:sz w:val="32"/>
          <w:szCs w:val="32"/>
        </w:rPr>
        <w:t>承担为民办实事统筹协调工作，承担会同有关部门组织实施国家、省级荣誉制度和政府表彰奖励制度，承担审核上报国家、省人民政府表彰奖励相关工作，指导和协调全市政府奖励工作，审核以市人民政府名义实施的奖励项。。</w:t>
      </w:r>
    </w:p>
    <w:p w14:paraId="0631DBAB">
      <w:pPr>
        <w:ind w:left="0" w:leftChars="0" w:firstLine="681" w:firstLineChars="213"/>
        <w:rPr>
          <w:rFonts w:hint="eastAsia" w:ascii="仿宋" w:hAnsi="仿宋" w:eastAsia="仿宋" w:cs="仿宋"/>
          <w:w w:val="100"/>
          <w:sz w:val="32"/>
          <w:szCs w:val="32"/>
        </w:rPr>
      </w:pPr>
      <w:r>
        <w:rPr>
          <w:rFonts w:hint="eastAsia" w:ascii="仿宋" w:hAnsi="仿宋" w:eastAsia="仿宋" w:cs="仿宋"/>
          <w:w w:val="100"/>
          <w:sz w:val="32"/>
          <w:szCs w:val="32"/>
          <w:lang w:eastAsia="zh-CN"/>
        </w:rPr>
        <w:t>（</w:t>
      </w:r>
      <w:r>
        <w:rPr>
          <w:rFonts w:hint="eastAsia" w:ascii="仿宋" w:hAnsi="仿宋" w:eastAsia="仿宋" w:cs="仿宋"/>
          <w:w w:val="100"/>
          <w:sz w:val="32"/>
          <w:szCs w:val="32"/>
          <w:lang w:val="en-US" w:eastAsia="zh-CN"/>
        </w:rPr>
        <w:t>12</w:t>
      </w:r>
      <w:r>
        <w:rPr>
          <w:rFonts w:hint="eastAsia" w:ascii="仿宋" w:hAnsi="仿宋" w:eastAsia="仿宋" w:cs="仿宋"/>
          <w:w w:val="100"/>
          <w:sz w:val="32"/>
          <w:szCs w:val="32"/>
          <w:lang w:eastAsia="zh-CN"/>
        </w:rPr>
        <w:t>）</w:t>
      </w:r>
      <w:r>
        <w:rPr>
          <w:rFonts w:hint="eastAsia" w:ascii="仿宋" w:hAnsi="仿宋" w:eastAsia="仿宋" w:cs="仿宋"/>
          <w:w w:val="100"/>
          <w:sz w:val="32"/>
          <w:szCs w:val="32"/>
        </w:rPr>
        <w:t>完成市委、市政府交办的其他任务。</w:t>
      </w:r>
    </w:p>
    <w:p w14:paraId="59B7DDC4">
      <w:pPr>
        <w:ind w:left="0" w:leftChars="0" w:firstLine="681" w:firstLineChars="213"/>
        <w:rPr>
          <w:rFonts w:hint="eastAsia" w:ascii="仿宋" w:hAnsi="仿宋" w:eastAsia="仿宋" w:cs="仿宋"/>
          <w:b/>
          <w:bCs/>
          <w:w w:val="100"/>
          <w:sz w:val="32"/>
          <w:szCs w:val="32"/>
        </w:rPr>
      </w:pPr>
      <w:r>
        <w:rPr>
          <w:rFonts w:hint="eastAsia" w:ascii="仿宋" w:hAnsi="仿宋" w:eastAsia="仿宋" w:cs="仿宋"/>
          <w:b/>
          <w:bCs/>
          <w:w w:val="100"/>
          <w:sz w:val="32"/>
          <w:szCs w:val="32"/>
        </w:rPr>
        <w:t>怀化市养老和工伤保险服务中心</w:t>
      </w:r>
    </w:p>
    <w:p w14:paraId="0BC38FFC">
      <w:pPr>
        <w:ind w:left="0" w:leftChars="0" w:firstLine="681" w:firstLineChars="213"/>
        <w:rPr>
          <w:rFonts w:hint="eastAsia" w:ascii="仿宋" w:hAnsi="仿宋" w:eastAsia="仿宋" w:cs="仿宋"/>
          <w:w w:val="100"/>
          <w:sz w:val="32"/>
          <w:szCs w:val="32"/>
          <w:lang w:val="en-US" w:eastAsia="zh-CN"/>
        </w:rPr>
      </w:pPr>
      <w:r>
        <w:rPr>
          <w:rFonts w:hint="eastAsia" w:ascii="仿宋" w:hAnsi="仿宋" w:eastAsia="仿宋" w:cs="仿宋"/>
          <w:w w:val="100"/>
          <w:sz w:val="32"/>
          <w:szCs w:val="32"/>
          <w:lang w:val="en-US" w:eastAsia="zh-CN"/>
        </w:rPr>
        <w:t>1、机构设置情况</w:t>
      </w:r>
    </w:p>
    <w:p w14:paraId="5C68EEAE">
      <w:pPr>
        <w:ind w:left="0" w:leftChars="0" w:firstLine="681" w:firstLineChars="213"/>
        <w:rPr>
          <w:rFonts w:hint="eastAsia" w:ascii="仿宋" w:hAnsi="仿宋" w:eastAsia="仿宋" w:cs="仿宋"/>
          <w:w w:val="100"/>
          <w:sz w:val="32"/>
          <w:szCs w:val="32"/>
          <w:lang w:val="en-US" w:eastAsia="zh-CN"/>
        </w:rPr>
      </w:pPr>
      <w:r>
        <w:rPr>
          <w:rFonts w:hint="eastAsia" w:ascii="仿宋" w:hAnsi="仿宋" w:eastAsia="仿宋" w:cs="仿宋"/>
          <w:w w:val="100"/>
          <w:sz w:val="32"/>
          <w:szCs w:val="32"/>
          <w:lang w:val="en-US" w:eastAsia="zh-CN"/>
        </w:rPr>
        <w:t>怀化市养老和工伤保险服务中心作为市为怀化市人力资源和社会保障局参照公务员管理副处级二级机关部门预算单位，为2021年10月新组建单位，由原市社会保险服务中心和原市工伤保险服务中心合并而成。其内设机构为：综合部、财务部、基金管理部、业务一部、业务二部、业务三部、业务四部、待遇一部、待遇二部、待遇三部、工伤调查部、下设不具备独立法人正科级分支机构基金稽核中心。</w:t>
      </w:r>
    </w:p>
    <w:p w14:paraId="4CF2CF16">
      <w:pPr>
        <w:ind w:left="0" w:leftChars="0" w:firstLine="681" w:firstLineChars="213"/>
        <w:rPr>
          <w:rFonts w:hint="eastAsia" w:ascii="仿宋" w:hAnsi="仿宋" w:eastAsia="仿宋" w:cs="仿宋"/>
          <w:w w:val="100"/>
          <w:sz w:val="32"/>
          <w:szCs w:val="32"/>
          <w:lang w:val="en-US" w:eastAsia="zh-CN"/>
        </w:rPr>
      </w:pPr>
      <w:r>
        <w:rPr>
          <w:rFonts w:hint="eastAsia" w:ascii="仿宋" w:hAnsi="仿宋" w:eastAsia="仿宋" w:cs="仿宋"/>
          <w:w w:val="100"/>
          <w:sz w:val="32"/>
          <w:szCs w:val="32"/>
          <w:lang w:val="en-US" w:eastAsia="zh-CN"/>
        </w:rPr>
        <w:t>2、人员编制情况</w:t>
      </w:r>
    </w:p>
    <w:p w14:paraId="21412933">
      <w:pPr>
        <w:ind w:left="0" w:leftChars="0" w:firstLine="681" w:firstLineChars="213"/>
        <w:rPr>
          <w:rFonts w:hint="eastAsia" w:ascii="仿宋" w:hAnsi="仿宋" w:eastAsia="仿宋" w:cs="仿宋"/>
          <w:w w:val="100"/>
          <w:sz w:val="32"/>
          <w:szCs w:val="32"/>
          <w:lang w:val="en-US" w:eastAsia="zh-CN"/>
        </w:rPr>
      </w:pPr>
      <w:r>
        <w:rPr>
          <w:rFonts w:hint="eastAsia" w:ascii="仿宋" w:hAnsi="仿宋" w:eastAsia="仿宋" w:cs="仿宋"/>
          <w:w w:val="100"/>
          <w:sz w:val="32"/>
          <w:szCs w:val="32"/>
          <w:lang w:val="en-US" w:eastAsia="zh-CN"/>
        </w:rPr>
        <w:t>截止2024年末，共有在职人员57人，其中参照公务员管理人员49人，其他人员8人。</w:t>
      </w:r>
    </w:p>
    <w:p w14:paraId="74C8C372">
      <w:pPr>
        <w:ind w:left="0" w:leftChars="0" w:firstLine="681" w:firstLineChars="213"/>
        <w:rPr>
          <w:rFonts w:hint="eastAsia" w:ascii="仿宋" w:hAnsi="仿宋" w:eastAsia="仿宋" w:cs="仿宋"/>
          <w:w w:val="100"/>
          <w:sz w:val="32"/>
          <w:szCs w:val="32"/>
          <w:lang w:val="en-US" w:eastAsia="zh-CN"/>
        </w:rPr>
      </w:pPr>
      <w:r>
        <w:rPr>
          <w:rFonts w:hint="eastAsia" w:ascii="仿宋" w:hAnsi="仿宋" w:eastAsia="仿宋" w:cs="仿宋"/>
          <w:w w:val="100"/>
          <w:sz w:val="32"/>
          <w:szCs w:val="32"/>
          <w:lang w:val="en-US" w:eastAsia="zh-CN"/>
        </w:rPr>
        <w:t>3、主要职能职责</w:t>
      </w:r>
    </w:p>
    <w:p w14:paraId="016CE63E">
      <w:pPr>
        <w:ind w:left="0" w:leftChars="0" w:firstLine="681" w:firstLineChars="213"/>
        <w:rPr>
          <w:rFonts w:hint="eastAsia" w:ascii="仿宋" w:hAnsi="仿宋" w:eastAsia="仿宋" w:cs="仿宋"/>
          <w:w w:val="100"/>
          <w:sz w:val="32"/>
          <w:szCs w:val="32"/>
          <w:lang w:val="en-US" w:eastAsia="zh-CN"/>
        </w:rPr>
      </w:pPr>
      <w:r>
        <w:rPr>
          <w:rFonts w:hint="eastAsia" w:ascii="仿宋" w:hAnsi="仿宋" w:eastAsia="仿宋" w:cs="仿宋"/>
          <w:w w:val="100"/>
          <w:sz w:val="32"/>
          <w:szCs w:val="32"/>
          <w:lang w:val="en-US" w:eastAsia="zh-CN"/>
        </w:rPr>
        <w:t xml:space="preserve">（1）贯彻执行国家相关法令法规，落实中央、省、市委、市政府以及上级人力资源和社会保障部门的有关政策和法律法规，为社会保险行政管理提供服务保障。在同级行政主管部门的领导下，积极稳妥地开展养老保险、工伤保险业务经办。 </w:t>
      </w:r>
    </w:p>
    <w:p w14:paraId="19EB11FA">
      <w:pPr>
        <w:ind w:left="0" w:leftChars="0" w:firstLine="681" w:firstLineChars="213"/>
        <w:rPr>
          <w:rFonts w:hint="eastAsia" w:ascii="仿宋" w:hAnsi="仿宋" w:eastAsia="仿宋" w:cs="仿宋"/>
          <w:w w:val="100"/>
          <w:sz w:val="32"/>
          <w:szCs w:val="32"/>
          <w:lang w:val="en-US" w:eastAsia="zh-CN"/>
        </w:rPr>
      </w:pPr>
      <w:r>
        <w:rPr>
          <w:rFonts w:hint="eastAsia" w:ascii="仿宋" w:hAnsi="仿宋" w:eastAsia="仿宋" w:cs="仿宋"/>
          <w:w w:val="100"/>
          <w:sz w:val="32"/>
          <w:szCs w:val="32"/>
          <w:lang w:val="en-US" w:eastAsia="zh-CN"/>
        </w:rPr>
        <w:t xml:space="preserve">（2）承担市本级养老保险、工伤保险经办相关服务工作。 </w:t>
      </w:r>
    </w:p>
    <w:p w14:paraId="043B1560">
      <w:pPr>
        <w:ind w:left="0" w:leftChars="0" w:firstLine="681" w:firstLineChars="213"/>
        <w:rPr>
          <w:rFonts w:hint="eastAsia" w:ascii="仿宋" w:hAnsi="仿宋" w:eastAsia="仿宋" w:cs="仿宋"/>
          <w:w w:val="100"/>
          <w:sz w:val="32"/>
          <w:szCs w:val="32"/>
          <w:lang w:val="en-US" w:eastAsia="zh-CN"/>
        </w:rPr>
      </w:pPr>
      <w:r>
        <w:rPr>
          <w:rFonts w:hint="eastAsia" w:ascii="仿宋" w:hAnsi="仿宋" w:eastAsia="仿宋" w:cs="仿宋"/>
          <w:w w:val="100"/>
          <w:sz w:val="32"/>
          <w:szCs w:val="32"/>
          <w:lang w:val="en-US" w:eastAsia="zh-CN"/>
        </w:rPr>
        <w:t xml:space="preserve">（3）组织实施市本级养老保险、工伤保险基金风险防范工作，负责市本级养老保险、工伤保险稽核监管工作。 </w:t>
      </w:r>
    </w:p>
    <w:p w14:paraId="32628060">
      <w:pPr>
        <w:ind w:left="0" w:leftChars="0" w:firstLine="681" w:firstLineChars="213"/>
        <w:rPr>
          <w:rFonts w:hint="eastAsia" w:ascii="仿宋" w:hAnsi="仿宋" w:eastAsia="仿宋" w:cs="仿宋"/>
          <w:w w:val="100"/>
          <w:sz w:val="32"/>
          <w:szCs w:val="32"/>
          <w:lang w:val="en-US" w:eastAsia="zh-CN"/>
        </w:rPr>
      </w:pPr>
      <w:r>
        <w:rPr>
          <w:rFonts w:hint="eastAsia" w:ascii="仿宋" w:hAnsi="仿宋" w:eastAsia="仿宋" w:cs="仿宋"/>
          <w:w w:val="100"/>
          <w:sz w:val="32"/>
          <w:szCs w:val="32"/>
          <w:lang w:val="en-US" w:eastAsia="zh-CN"/>
        </w:rPr>
        <w:t xml:space="preserve">（4）参与养老保险、工伤保险信息化建设和管理；负责市本级参保人员养老保险、工伤保险个人权益记录管理与服务；负责全市参保人员养老保险、工伤保险数据信息资源的集中管理和分析应用。 </w:t>
      </w:r>
    </w:p>
    <w:p w14:paraId="70274666">
      <w:pPr>
        <w:ind w:left="0" w:leftChars="0" w:firstLine="681" w:firstLineChars="213"/>
        <w:rPr>
          <w:rFonts w:hint="eastAsia" w:ascii="仿宋" w:hAnsi="仿宋" w:eastAsia="仿宋" w:cs="仿宋"/>
          <w:w w:val="100"/>
          <w:sz w:val="32"/>
          <w:szCs w:val="32"/>
          <w:lang w:val="en-US" w:eastAsia="zh-CN"/>
        </w:rPr>
      </w:pPr>
      <w:r>
        <w:rPr>
          <w:rFonts w:hint="eastAsia" w:ascii="仿宋" w:hAnsi="仿宋" w:eastAsia="仿宋" w:cs="仿宋"/>
          <w:w w:val="100"/>
          <w:sz w:val="32"/>
          <w:szCs w:val="32"/>
          <w:lang w:val="en-US" w:eastAsia="zh-CN"/>
        </w:rPr>
        <w:t xml:space="preserve">（5）承办企业职工基本养老保险和工伤保险省级统筹相关的市级经办工作；承办企业职工基本养老保险中央调剂 金、工伤保险省级调剂金制度相关的市级经办工作。 </w:t>
      </w:r>
    </w:p>
    <w:p w14:paraId="01BD07F4">
      <w:pPr>
        <w:ind w:left="0" w:leftChars="0" w:firstLine="681" w:firstLineChars="213"/>
        <w:rPr>
          <w:rFonts w:hint="eastAsia" w:ascii="仿宋" w:hAnsi="仿宋" w:eastAsia="仿宋" w:cs="仿宋"/>
          <w:w w:val="100"/>
          <w:sz w:val="32"/>
          <w:szCs w:val="32"/>
          <w:lang w:val="en-US" w:eastAsia="zh-CN"/>
        </w:rPr>
      </w:pPr>
      <w:r>
        <w:rPr>
          <w:rFonts w:hint="eastAsia" w:ascii="仿宋" w:hAnsi="仿宋" w:eastAsia="仿宋" w:cs="仿宋"/>
          <w:w w:val="100"/>
          <w:sz w:val="32"/>
          <w:szCs w:val="32"/>
          <w:lang w:val="en-US" w:eastAsia="zh-CN"/>
        </w:rPr>
        <w:t xml:space="preserve">（6）负责市本级养老保险、工伤保险参保登记，负责市本级养老保险参保对象的个人账户管理和权益记录，负责市本级工伤调查及待遇支付的事务性工作。 </w:t>
      </w:r>
    </w:p>
    <w:p w14:paraId="1D9BA1EB">
      <w:pPr>
        <w:ind w:left="0" w:leftChars="0" w:firstLine="681" w:firstLineChars="213"/>
        <w:rPr>
          <w:rFonts w:hint="eastAsia" w:ascii="仿宋" w:hAnsi="仿宋" w:eastAsia="仿宋" w:cs="仿宋"/>
          <w:w w:val="100"/>
          <w:sz w:val="32"/>
          <w:szCs w:val="32"/>
          <w:lang w:val="en-US" w:eastAsia="zh-CN"/>
        </w:rPr>
      </w:pPr>
      <w:r>
        <w:rPr>
          <w:rFonts w:hint="eastAsia" w:ascii="仿宋" w:hAnsi="仿宋" w:eastAsia="仿宋" w:cs="仿宋"/>
          <w:w w:val="100"/>
          <w:sz w:val="32"/>
          <w:szCs w:val="32"/>
          <w:lang w:val="en-US" w:eastAsia="zh-CN"/>
        </w:rPr>
        <w:t xml:space="preserve">（7）负责市本级参保人员待遇领取资格审核、待遇核定以及养老金社会化发放的事务性工作。 </w:t>
      </w:r>
    </w:p>
    <w:p w14:paraId="7EDF2F39">
      <w:pPr>
        <w:ind w:left="0" w:leftChars="0" w:firstLine="681" w:firstLineChars="213"/>
        <w:rPr>
          <w:rFonts w:hint="eastAsia" w:ascii="仿宋" w:hAnsi="仿宋" w:eastAsia="仿宋" w:cs="仿宋"/>
          <w:w w:val="100"/>
          <w:sz w:val="32"/>
          <w:szCs w:val="32"/>
          <w:lang w:val="en-US" w:eastAsia="zh-CN"/>
        </w:rPr>
      </w:pPr>
      <w:r>
        <w:rPr>
          <w:rFonts w:hint="eastAsia" w:ascii="仿宋" w:hAnsi="仿宋" w:eastAsia="仿宋" w:cs="仿宋"/>
          <w:w w:val="100"/>
          <w:sz w:val="32"/>
          <w:szCs w:val="32"/>
          <w:lang w:val="en-US" w:eastAsia="zh-CN"/>
        </w:rPr>
        <w:t xml:space="preserve">（8）负责市本级职业年金的归集、经办和待遇核定的事务性工作。 </w:t>
      </w:r>
    </w:p>
    <w:p w14:paraId="7EDC545A">
      <w:pPr>
        <w:ind w:left="0" w:leftChars="0" w:firstLine="681" w:firstLineChars="213"/>
        <w:rPr>
          <w:rFonts w:hint="eastAsia" w:ascii="仿宋" w:hAnsi="仿宋" w:eastAsia="仿宋" w:cs="仿宋"/>
          <w:w w:val="100"/>
          <w:sz w:val="32"/>
          <w:szCs w:val="32"/>
          <w:lang w:val="en-US" w:eastAsia="zh-CN"/>
        </w:rPr>
      </w:pPr>
      <w:r>
        <w:rPr>
          <w:rFonts w:hint="eastAsia" w:ascii="仿宋" w:hAnsi="仿宋" w:eastAsia="仿宋" w:cs="仿宋"/>
          <w:w w:val="100"/>
          <w:sz w:val="32"/>
          <w:szCs w:val="32"/>
          <w:lang w:val="en-US" w:eastAsia="zh-CN"/>
        </w:rPr>
        <w:t xml:space="preserve">（9）负责老工伤人员的资格认定，审核老工伤人员工伤保险待遇的事务性工作。 </w:t>
      </w:r>
    </w:p>
    <w:p w14:paraId="4E7D423A">
      <w:pPr>
        <w:ind w:left="0" w:leftChars="0" w:firstLine="681" w:firstLineChars="213"/>
        <w:rPr>
          <w:rFonts w:hint="eastAsia" w:ascii="仿宋" w:hAnsi="仿宋" w:eastAsia="仿宋" w:cs="仿宋"/>
          <w:w w:val="100"/>
          <w:sz w:val="32"/>
          <w:szCs w:val="32"/>
          <w:lang w:val="en-US" w:eastAsia="zh-CN"/>
        </w:rPr>
      </w:pPr>
      <w:r>
        <w:rPr>
          <w:rFonts w:hint="eastAsia" w:ascii="仿宋" w:hAnsi="仿宋" w:eastAsia="仿宋" w:cs="仿宋"/>
          <w:w w:val="100"/>
          <w:sz w:val="32"/>
          <w:szCs w:val="32"/>
          <w:lang w:val="en-US" w:eastAsia="zh-CN"/>
        </w:rPr>
        <w:t xml:space="preserve">（10）编制、汇总、上报全市养老保险、工伤保险基金预决算、财务和统计报表。 </w:t>
      </w:r>
    </w:p>
    <w:p w14:paraId="0DA33D9B">
      <w:pPr>
        <w:ind w:left="0" w:leftChars="0" w:firstLine="681" w:firstLineChars="213"/>
        <w:rPr>
          <w:rFonts w:hint="eastAsia" w:ascii="仿宋" w:hAnsi="仿宋" w:eastAsia="仿宋" w:cs="仿宋"/>
          <w:w w:val="100"/>
          <w:sz w:val="32"/>
          <w:szCs w:val="32"/>
          <w:lang w:val="en-US" w:eastAsia="zh-CN"/>
        </w:rPr>
      </w:pPr>
      <w:r>
        <w:rPr>
          <w:rFonts w:hint="eastAsia" w:ascii="仿宋" w:hAnsi="仿宋" w:eastAsia="仿宋" w:cs="仿宋"/>
          <w:w w:val="100"/>
          <w:sz w:val="32"/>
          <w:szCs w:val="32"/>
          <w:lang w:val="en-US" w:eastAsia="zh-CN"/>
        </w:rPr>
        <w:t>（11）完成市人力资源和社会保障局交办的其他任务，负责养老保险和工伤保险政策咨询服务。</w:t>
      </w:r>
    </w:p>
    <w:p w14:paraId="37507091">
      <w:pPr>
        <w:ind w:left="0" w:leftChars="0" w:firstLine="681" w:firstLineChars="213"/>
        <w:rPr>
          <w:rFonts w:hint="eastAsia" w:ascii="仿宋" w:hAnsi="仿宋" w:eastAsia="仿宋" w:cs="仿宋"/>
          <w:b/>
          <w:bCs/>
          <w:w w:val="100"/>
          <w:sz w:val="32"/>
          <w:szCs w:val="32"/>
        </w:rPr>
      </w:pPr>
      <w:r>
        <w:rPr>
          <w:rFonts w:hint="eastAsia" w:ascii="仿宋" w:hAnsi="仿宋" w:eastAsia="仿宋" w:cs="仿宋"/>
          <w:b/>
          <w:bCs/>
          <w:w w:val="100"/>
          <w:sz w:val="32"/>
          <w:szCs w:val="32"/>
        </w:rPr>
        <w:t>怀化市劳动人事仲裁院</w:t>
      </w:r>
    </w:p>
    <w:p w14:paraId="4F91CC03">
      <w:pPr>
        <w:ind w:left="0" w:leftChars="0" w:firstLine="681" w:firstLineChars="213"/>
        <w:rPr>
          <w:rFonts w:hint="eastAsia" w:ascii="仿宋" w:hAnsi="仿宋" w:eastAsia="仿宋" w:cs="仿宋"/>
          <w:w w:val="100"/>
          <w:sz w:val="32"/>
          <w:szCs w:val="32"/>
        </w:rPr>
      </w:pPr>
      <w:r>
        <w:rPr>
          <w:rFonts w:hint="eastAsia" w:ascii="仿宋" w:hAnsi="仿宋" w:eastAsia="仿宋" w:cs="仿宋"/>
          <w:w w:val="100"/>
          <w:sz w:val="32"/>
          <w:szCs w:val="32"/>
          <w:lang w:val="en-US" w:eastAsia="zh-CN"/>
        </w:rPr>
        <w:t>1、</w:t>
      </w:r>
      <w:r>
        <w:rPr>
          <w:rFonts w:hint="eastAsia" w:ascii="仿宋" w:hAnsi="仿宋" w:eastAsia="仿宋" w:cs="仿宋"/>
          <w:w w:val="100"/>
          <w:sz w:val="32"/>
          <w:szCs w:val="32"/>
        </w:rPr>
        <w:t>机构设置情况</w:t>
      </w:r>
    </w:p>
    <w:p w14:paraId="2DFB0247">
      <w:pPr>
        <w:ind w:left="0" w:leftChars="0" w:firstLine="681" w:firstLineChars="213"/>
        <w:rPr>
          <w:rFonts w:hint="eastAsia" w:ascii="仿宋" w:hAnsi="仿宋" w:eastAsia="仿宋" w:cs="仿宋"/>
          <w:w w:val="100"/>
          <w:sz w:val="32"/>
          <w:szCs w:val="32"/>
        </w:rPr>
      </w:pPr>
      <w:r>
        <w:rPr>
          <w:rFonts w:hint="eastAsia" w:ascii="仿宋" w:hAnsi="仿宋" w:eastAsia="仿宋" w:cs="仿宋"/>
          <w:w w:val="100"/>
          <w:sz w:val="32"/>
          <w:szCs w:val="32"/>
        </w:rPr>
        <w:t>怀化市劳动人事仲裁院为二级部门预算单位，内设科室为：立案庭、仲裁庭。</w:t>
      </w:r>
    </w:p>
    <w:p w14:paraId="7098602B">
      <w:pPr>
        <w:ind w:left="0" w:leftChars="0" w:firstLine="681" w:firstLineChars="213"/>
        <w:rPr>
          <w:rFonts w:hint="eastAsia" w:ascii="仿宋" w:hAnsi="仿宋" w:eastAsia="仿宋" w:cs="仿宋"/>
          <w:w w:val="100"/>
          <w:sz w:val="32"/>
          <w:szCs w:val="32"/>
        </w:rPr>
      </w:pPr>
      <w:r>
        <w:rPr>
          <w:rFonts w:hint="eastAsia" w:ascii="仿宋" w:hAnsi="仿宋" w:eastAsia="仿宋" w:cs="仿宋"/>
          <w:w w:val="100"/>
          <w:sz w:val="32"/>
          <w:szCs w:val="32"/>
          <w:lang w:val="en-US" w:eastAsia="zh-CN"/>
        </w:rPr>
        <w:t>2、</w:t>
      </w:r>
      <w:r>
        <w:rPr>
          <w:rFonts w:hint="eastAsia" w:ascii="仿宋" w:hAnsi="仿宋" w:eastAsia="仿宋" w:cs="仿宋"/>
          <w:w w:val="100"/>
          <w:sz w:val="32"/>
          <w:szCs w:val="32"/>
        </w:rPr>
        <w:t>人员编制情况</w:t>
      </w:r>
    </w:p>
    <w:p w14:paraId="2A329F9E">
      <w:pPr>
        <w:ind w:left="0" w:leftChars="0" w:firstLine="681" w:firstLineChars="213"/>
        <w:rPr>
          <w:rFonts w:hint="eastAsia" w:ascii="仿宋" w:hAnsi="仿宋" w:eastAsia="仿宋" w:cs="仿宋"/>
          <w:w w:val="100"/>
          <w:sz w:val="32"/>
          <w:szCs w:val="32"/>
        </w:rPr>
      </w:pPr>
      <w:r>
        <w:rPr>
          <w:rFonts w:hint="eastAsia" w:ascii="仿宋" w:hAnsi="仿宋" w:eastAsia="仿宋" w:cs="仿宋"/>
          <w:w w:val="100"/>
          <w:sz w:val="32"/>
          <w:szCs w:val="32"/>
        </w:rPr>
        <w:t>截至202</w:t>
      </w:r>
      <w:r>
        <w:rPr>
          <w:rFonts w:hint="eastAsia" w:ascii="仿宋" w:hAnsi="仿宋" w:eastAsia="仿宋" w:cs="仿宋"/>
          <w:w w:val="100"/>
          <w:sz w:val="32"/>
          <w:szCs w:val="32"/>
          <w:lang w:val="en-US" w:eastAsia="zh-CN"/>
        </w:rPr>
        <w:t>4</w:t>
      </w:r>
      <w:r>
        <w:rPr>
          <w:rFonts w:hint="eastAsia" w:ascii="仿宋" w:hAnsi="仿宋" w:eastAsia="仿宋" w:cs="仿宋"/>
          <w:w w:val="100"/>
          <w:sz w:val="32"/>
          <w:szCs w:val="32"/>
        </w:rPr>
        <w:t>年12月31日，怀化市劳动人事争议仲裁院在职人数</w:t>
      </w:r>
      <w:r>
        <w:rPr>
          <w:rFonts w:hint="eastAsia" w:ascii="仿宋" w:hAnsi="仿宋" w:eastAsia="仿宋" w:cs="仿宋"/>
          <w:w w:val="100"/>
          <w:sz w:val="32"/>
          <w:szCs w:val="32"/>
          <w:lang w:val="en-US" w:eastAsia="zh-CN"/>
        </w:rPr>
        <w:t>1</w:t>
      </w:r>
      <w:r>
        <w:rPr>
          <w:rFonts w:hint="eastAsia" w:ascii="仿宋" w:hAnsi="仿宋" w:eastAsia="仿宋" w:cs="仿宋"/>
          <w:w w:val="100"/>
          <w:sz w:val="32"/>
          <w:szCs w:val="32"/>
        </w:rPr>
        <w:t>6人</w:t>
      </w:r>
      <w:r>
        <w:rPr>
          <w:rFonts w:hint="eastAsia" w:ascii="仿宋" w:hAnsi="仿宋" w:eastAsia="仿宋" w:cs="仿宋"/>
          <w:w w:val="100"/>
          <w:sz w:val="32"/>
          <w:szCs w:val="32"/>
          <w:lang w:eastAsia="zh-CN"/>
        </w:rPr>
        <w:t>，</w:t>
      </w:r>
      <w:r>
        <w:rPr>
          <w:rFonts w:hint="eastAsia" w:ascii="仿宋" w:hAnsi="仿宋" w:eastAsia="仿宋" w:cs="仿宋"/>
          <w:w w:val="100"/>
          <w:sz w:val="32"/>
          <w:szCs w:val="32"/>
          <w:lang w:val="en-US" w:eastAsia="zh-CN"/>
        </w:rPr>
        <w:t>其中参照公务员法管理人员12人，其他人员4人</w:t>
      </w:r>
      <w:r>
        <w:rPr>
          <w:rFonts w:hint="eastAsia" w:ascii="仿宋" w:hAnsi="仿宋" w:eastAsia="仿宋" w:cs="仿宋"/>
          <w:w w:val="100"/>
          <w:sz w:val="32"/>
          <w:szCs w:val="32"/>
        </w:rPr>
        <w:t>。</w:t>
      </w:r>
    </w:p>
    <w:p w14:paraId="5F77C9C4">
      <w:pPr>
        <w:ind w:left="0" w:leftChars="0" w:firstLine="681" w:firstLineChars="213"/>
        <w:rPr>
          <w:rFonts w:hint="eastAsia" w:ascii="仿宋" w:hAnsi="仿宋" w:eastAsia="仿宋" w:cs="仿宋"/>
          <w:w w:val="100"/>
          <w:sz w:val="32"/>
          <w:szCs w:val="32"/>
        </w:rPr>
      </w:pPr>
      <w:r>
        <w:rPr>
          <w:rFonts w:hint="eastAsia" w:ascii="仿宋" w:hAnsi="仿宋" w:eastAsia="仿宋" w:cs="仿宋"/>
          <w:w w:val="100"/>
          <w:sz w:val="32"/>
          <w:szCs w:val="32"/>
          <w:lang w:val="en-US" w:eastAsia="zh-CN"/>
        </w:rPr>
        <w:t>3、</w:t>
      </w:r>
      <w:r>
        <w:rPr>
          <w:rFonts w:hint="eastAsia" w:ascii="仿宋" w:hAnsi="仿宋" w:eastAsia="仿宋" w:cs="仿宋"/>
          <w:w w:val="100"/>
          <w:sz w:val="32"/>
          <w:szCs w:val="32"/>
        </w:rPr>
        <w:t>主要职能职责</w:t>
      </w:r>
    </w:p>
    <w:p w14:paraId="4E1E69E9">
      <w:pPr>
        <w:ind w:left="0" w:leftChars="0" w:firstLine="681" w:firstLineChars="213"/>
        <w:rPr>
          <w:rFonts w:hint="eastAsia" w:ascii="仿宋" w:hAnsi="仿宋" w:eastAsia="仿宋" w:cs="仿宋"/>
          <w:w w:val="100"/>
          <w:sz w:val="32"/>
          <w:szCs w:val="32"/>
        </w:rPr>
      </w:pPr>
      <w:r>
        <w:rPr>
          <w:rFonts w:hint="eastAsia" w:ascii="仿宋" w:hAnsi="仿宋" w:eastAsia="仿宋" w:cs="仿宋"/>
          <w:w w:val="100"/>
          <w:sz w:val="32"/>
          <w:szCs w:val="32"/>
        </w:rPr>
        <w:t>负责贯彻执行劳动保障的有关法律法规，拟定全市劳动争议仲裁中长期规划，承办市本级管辖的劳动争议仲裁案件、管理指导全市劳动争议仲裁工作，培训和评聘全市劳动争议仲裁员、调解员，做好12333热线电话服务和其他工作。</w:t>
      </w:r>
    </w:p>
    <w:p w14:paraId="72AAE4CE">
      <w:pPr>
        <w:ind w:left="0" w:leftChars="0" w:firstLine="681" w:firstLineChars="213"/>
        <w:rPr>
          <w:rFonts w:hint="eastAsia" w:ascii="仿宋" w:hAnsi="仿宋" w:eastAsia="仿宋" w:cs="仿宋"/>
          <w:b/>
          <w:bCs/>
          <w:w w:val="100"/>
          <w:sz w:val="32"/>
          <w:szCs w:val="32"/>
        </w:rPr>
      </w:pPr>
      <w:r>
        <w:rPr>
          <w:rFonts w:hint="eastAsia" w:ascii="仿宋" w:hAnsi="仿宋" w:eastAsia="仿宋" w:cs="仿宋"/>
          <w:b/>
          <w:bCs/>
          <w:w w:val="100"/>
          <w:sz w:val="32"/>
          <w:szCs w:val="32"/>
        </w:rPr>
        <w:t>怀化市就业服务中心</w:t>
      </w:r>
    </w:p>
    <w:p w14:paraId="0A0331E5">
      <w:pPr>
        <w:ind w:left="0" w:leftChars="0" w:firstLine="681" w:firstLineChars="213"/>
        <w:rPr>
          <w:rFonts w:hint="eastAsia" w:ascii="仿宋" w:hAnsi="仿宋" w:eastAsia="仿宋" w:cs="仿宋"/>
          <w:w w:val="100"/>
          <w:sz w:val="32"/>
          <w:szCs w:val="32"/>
        </w:rPr>
      </w:pPr>
      <w:r>
        <w:rPr>
          <w:rFonts w:hint="eastAsia" w:ascii="仿宋" w:hAnsi="仿宋" w:eastAsia="仿宋" w:cs="仿宋"/>
          <w:w w:val="100"/>
          <w:sz w:val="32"/>
          <w:szCs w:val="32"/>
          <w:lang w:val="en-US" w:eastAsia="zh-CN"/>
        </w:rPr>
        <w:t>1、</w:t>
      </w:r>
      <w:r>
        <w:rPr>
          <w:rFonts w:hint="eastAsia" w:ascii="仿宋" w:hAnsi="仿宋" w:eastAsia="仿宋" w:cs="仿宋"/>
          <w:w w:val="100"/>
          <w:sz w:val="32"/>
          <w:szCs w:val="32"/>
        </w:rPr>
        <w:t>机构设置情况</w:t>
      </w:r>
    </w:p>
    <w:p w14:paraId="1776AD8C">
      <w:pPr>
        <w:ind w:left="0" w:leftChars="0" w:firstLine="681" w:firstLineChars="213"/>
        <w:rPr>
          <w:rFonts w:hint="eastAsia" w:ascii="仿宋" w:hAnsi="仿宋" w:eastAsia="仿宋" w:cs="仿宋"/>
          <w:w w:val="100"/>
          <w:sz w:val="32"/>
          <w:szCs w:val="32"/>
        </w:rPr>
      </w:pPr>
      <w:r>
        <w:rPr>
          <w:rFonts w:hint="eastAsia" w:ascii="仿宋" w:hAnsi="仿宋" w:eastAsia="仿宋" w:cs="仿宋"/>
          <w:w w:val="100"/>
          <w:sz w:val="32"/>
          <w:szCs w:val="32"/>
        </w:rPr>
        <w:t>怀化市就业服务中心作为作为怀化市人力资源和社会保障局的二级部门预算单位，内设科室为：综合部、财务和内控稽核部、城乡就业部、创业指导服务部、就业技能服务部、失业保险部、人事档案服务部、企业用工服务中心。</w:t>
      </w:r>
    </w:p>
    <w:p w14:paraId="1EC73239">
      <w:pPr>
        <w:ind w:left="0" w:leftChars="0" w:firstLine="681" w:firstLineChars="213"/>
        <w:rPr>
          <w:rFonts w:hint="eastAsia" w:ascii="仿宋" w:hAnsi="仿宋" w:eastAsia="仿宋" w:cs="仿宋"/>
          <w:w w:val="100"/>
          <w:sz w:val="32"/>
          <w:szCs w:val="32"/>
        </w:rPr>
      </w:pPr>
      <w:r>
        <w:rPr>
          <w:rFonts w:hint="eastAsia" w:ascii="仿宋" w:hAnsi="仿宋" w:eastAsia="仿宋" w:cs="仿宋"/>
          <w:w w:val="100"/>
          <w:sz w:val="32"/>
          <w:szCs w:val="32"/>
          <w:lang w:val="en-US" w:eastAsia="zh-CN"/>
        </w:rPr>
        <w:t>2、</w:t>
      </w:r>
      <w:r>
        <w:rPr>
          <w:rFonts w:hint="eastAsia" w:ascii="仿宋" w:hAnsi="仿宋" w:eastAsia="仿宋" w:cs="仿宋"/>
          <w:w w:val="100"/>
          <w:sz w:val="32"/>
          <w:szCs w:val="32"/>
        </w:rPr>
        <w:t>人员编制情况</w:t>
      </w:r>
    </w:p>
    <w:p w14:paraId="354CF1ED">
      <w:pPr>
        <w:ind w:left="0" w:leftChars="0" w:firstLine="681" w:firstLineChars="213"/>
        <w:rPr>
          <w:rFonts w:hint="eastAsia" w:ascii="仿宋" w:hAnsi="仿宋" w:eastAsia="仿宋" w:cs="仿宋"/>
          <w:w w:val="100"/>
          <w:sz w:val="32"/>
          <w:szCs w:val="32"/>
        </w:rPr>
      </w:pPr>
      <w:r>
        <w:rPr>
          <w:rFonts w:hint="eastAsia" w:ascii="仿宋" w:hAnsi="仿宋" w:eastAsia="仿宋" w:cs="仿宋"/>
          <w:w w:val="100"/>
          <w:sz w:val="32"/>
          <w:szCs w:val="32"/>
        </w:rPr>
        <w:t>截止202</w:t>
      </w:r>
      <w:r>
        <w:rPr>
          <w:rFonts w:hint="eastAsia" w:ascii="仿宋" w:hAnsi="仿宋" w:eastAsia="仿宋" w:cs="仿宋"/>
          <w:w w:val="100"/>
          <w:sz w:val="32"/>
          <w:szCs w:val="32"/>
          <w:lang w:val="en-US" w:eastAsia="zh-CN"/>
        </w:rPr>
        <w:t>4</w:t>
      </w:r>
      <w:r>
        <w:rPr>
          <w:rFonts w:hint="eastAsia" w:ascii="仿宋" w:hAnsi="仿宋" w:eastAsia="仿宋" w:cs="仿宋"/>
          <w:w w:val="100"/>
          <w:sz w:val="32"/>
          <w:szCs w:val="32"/>
        </w:rPr>
        <w:t>年末，共有在职人员</w:t>
      </w:r>
      <w:r>
        <w:rPr>
          <w:rFonts w:hint="eastAsia" w:ascii="仿宋" w:hAnsi="仿宋" w:eastAsia="仿宋" w:cs="仿宋"/>
          <w:w w:val="100"/>
          <w:sz w:val="32"/>
          <w:szCs w:val="32"/>
          <w:lang w:val="en-US" w:eastAsia="zh-CN"/>
        </w:rPr>
        <w:t>52</w:t>
      </w:r>
      <w:r>
        <w:rPr>
          <w:rFonts w:hint="eastAsia" w:ascii="仿宋" w:hAnsi="仿宋" w:eastAsia="仿宋" w:cs="仿宋"/>
          <w:w w:val="100"/>
          <w:sz w:val="32"/>
          <w:szCs w:val="32"/>
        </w:rPr>
        <w:t>人</w:t>
      </w:r>
      <w:r>
        <w:rPr>
          <w:rFonts w:hint="eastAsia" w:ascii="仿宋" w:hAnsi="仿宋" w:eastAsia="仿宋" w:cs="仿宋"/>
          <w:w w:val="100"/>
          <w:sz w:val="32"/>
          <w:szCs w:val="32"/>
          <w:lang w:eastAsia="zh-CN"/>
        </w:rPr>
        <w:t>，</w:t>
      </w:r>
      <w:r>
        <w:rPr>
          <w:rFonts w:hint="eastAsia" w:ascii="仿宋" w:hAnsi="仿宋" w:eastAsia="仿宋" w:cs="仿宋"/>
          <w:w w:val="100"/>
          <w:sz w:val="32"/>
          <w:szCs w:val="32"/>
          <w:lang w:val="en-US" w:eastAsia="zh-CN"/>
        </w:rPr>
        <w:t>其中参照公务员法管理人员18人，事业管理人员和专业技术人员21人，机关和事业工人9人，其他人员4人</w:t>
      </w:r>
      <w:r>
        <w:rPr>
          <w:rFonts w:hint="eastAsia" w:ascii="仿宋" w:hAnsi="仿宋" w:eastAsia="仿宋" w:cs="仿宋"/>
          <w:w w:val="100"/>
          <w:sz w:val="32"/>
          <w:szCs w:val="32"/>
        </w:rPr>
        <w:t>。</w:t>
      </w:r>
    </w:p>
    <w:p w14:paraId="26C00EDE">
      <w:pPr>
        <w:ind w:left="0" w:leftChars="0" w:firstLine="681" w:firstLineChars="213"/>
        <w:rPr>
          <w:rFonts w:hint="eastAsia" w:ascii="仿宋" w:hAnsi="仿宋" w:eastAsia="仿宋" w:cs="仿宋"/>
          <w:w w:val="100"/>
          <w:sz w:val="32"/>
          <w:szCs w:val="32"/>
        </w:rPr>
      </w:pPr>
      <w:r>
        <w:rPr>
          <w:rFonts w:hint="eastAsia" w:ascii="仿宋" w:hAnsi="仿宋" w:eastAsia="仿宋" w:cs="仿宋"/>
          <w:w w:val="100"/>
          <w:sz w:val="32"/>
          <w:szCs w:val="32"/>
          <w:lang w:val="en-US" w:eastAsia="zh-CN"/>
        </w:rPr>
        <w:t>3、</w:t>
      </w:r>
      <w:r>
        <w:rPr>
          <w:rFonts w:hint="eastAsia" w:ascii="仿宋" w:hAnsi="仿宋" w:eastAsia="仿宋" w:cs="仿宋"/>
          <w:w w:val="100"/>
          <w:sz w:val="32"/>
          <w:szCs w:val="32"/>
        </w:rPr>
        <w:t>主要职能职责</w:t>
      </w:r>
    </w:p>
    <w:p w14:paraId="0E632225">
      <w:pPr>
        <w:ind w:left="0" w:leftChars="0" w:firstLine="681" w:firstLineChars="213"/>
        <w:rPr>
          <w:rFonts w:hint="eastAsia" w:ascii="仿宋" w:hAnsi="仿宋" w:eastAsia="仿宋" w:cs="仿宋"/>
          <w:w w:val="100"/>
          <w:sz w:val="32"/>
          <w:szCs w:val="32"/>
        </w:rPr>
      </w:pPr>
      <w:r>
        <w:rPr>
          <w:rFonts w:hint="eastAsia" w:ascii="仿宋" w:hAnsi="仿宋" w:eastAsia="仿宋" w:cs="仿宋"/>
          <w:w w:val="100"/>
          <w:sz w:val="32"/>
          <w:szCs w:val="32"/>
          <w:lang w:eastAsia="zh-CN"/>
        </w:rPr>
        <w:t>（</w:t>
      </w:r>
      <w:r>
        <w:rPr>
          <w:rFonts w:hint="eastAsia" w:ascii="仿宋" w:hAnsi="仿宋" w:eastAsia="仿宋" w:cs="仿宋"/>
          <w:w w:val="100"/>
          <w:sz w:val="32"/>
          <w:szCs w:val="32"/>
          <w:lang w:val="en-US" w:eastAsia="zh-CN"/>
        </w:rPr>
        <w:t>1</w:t>
      </w:r>
      <w:r>
        <w:rPr>
          <w:rFonts w:hint="eastAsia" w:ascii="仿宋" w:hAnsi="仿宋" w:eastAsia="仿宋" w:cs="仿宋"/>
          <w:w w:val="100"/>
          <w:sz w:val="32"/>
          <w:szCs w:val="32"/>
          <w:lang w:eastAsia="zh-CN"/>
        </w:rPr>
        <w:t>）</w:t>
      </w:r>
      <w:r>
        <w:rPr>
          <w:rFonts w:hint="eastAsia" w:ascii="仿宋" w:hAnsi="仿宋" w:eastAsia="仿宋" w:cs="仿宋"/>
          <w:w w:val="100"/>
          <w:sz w:val="32"/>
          <w:szCs w:val="32"/>
        </w:rPr>
        <w:t xml:space="preserve">参与制订促进就业、人才强市和失业保险发展规划及年度计划，为指导推进全市公共就业服务体系建设提供服务。 </w:t>
      </w:r>
    </w:p>
    <w:p w14:paraId="5793F2F4">
      <w:pPr>
        <w:ind w:left="0" w:leftChars="0" w:firstLine="681" w:firstLineChars="213"/>
        <w:rPr>
          <w:rFonts w:hint="eastAsia" w:ascii="仿宋" w:hAnsi="仿宋" w:eastAsia="仿宋" w:cs="仿宋"/>
          <w:w w:val="100"/>
          <w:sz w:val="32"/>
          <w:szCs w:val="32"/>
        </w:rPr>
      </w:pPr>
      <w:r>
        <w:rPr>
          <w:rFonts w:hint="eastAsia" w:ascii="仿宋" w:hAnsi="仿宋" w:eastAsia="仿宋" w:cs="仿宋"/>
          <w:w w:val="100"/>
          <w:sz w:val="32"/>
          <w:szCs w:val="32"/>
          <w:lang w:eastAsia="zh-CN"/>
        </w:rPr>
        <w:t>（</w:t>
      </w:r>
      <w:r>
        <w:rPr>
          <w:rFonts w:hint="eastAsia" w:ascii="仿宋" w:hAnsi="仿宋" w:eastAsia="仿宋" w:cs="仿宋"/>
          <w:w w:val="100"/>
          <w:sz w:val="32"/>
          <w:szCs w:val="32"/>
          <w:lang w:val="en-US" w:eastAsia="zh-CN"/>
        </w:rPr>
        <w:t>2</w:t>
      </w:r>
      <w:r>
        <w:rPr>
          <w:rFonts w:hint="eastAsia" w:ascii="仿宋" w:hAnsi="仿宋" w:eastAsia="仿宋" w:cs="仿宋"/>
          <w:w w:val="100"/>
          <w:sz w:val="32"/>
          <w:szCs w:val="32"/>
          <w:lang w:eastAsia="zh-CN"/>
        </w:rPr>
        <w:t>）</w:t>
      </w:r>
      <w:r>
        <w:rPr>
          <w:rFonts w:hint="eastAsia" w:ascii="仿宋" w:hAnsi="仿宋" w:eastAsia="仿宋" w:cs="仿宋"/>
          <w:w w:val="100"/>
          <w:sz w:val="32"/>
          <w:szCs w:val="32"/>
        </w:rPr>
        <w:t xml:space="preserve">承担组织落实促进就业各项政策措施的相关事务性工作，为高校毕业生、登记失业人员、农村劳动力、脱贫人口、退捕渔民及就业困难人员等群体提供政策咨询、职业指导、岗位信息、就业失业与求职登记、职业培训、就业援助等公共就业服务。 </w:t>
      </w:r>
    </w:p>
    <w:p w14:paraId="0256F230">
      <w:pPr>
        <w:ind w:left="0" w:leftChars="0" w:firstLine="681" w:firstLineChars="213"/>
        <w:rPr>
          <w:rFonts w:hint="eastAsia" w:ascii="仿宋" w:hAnsi="仿宋" w:eastAsia="仿宋" w:cs="仿宋"/>
          <w:w w:val="100"/>
          <w:sz w:val="32"/>
          <w:szCs w:val="32"/>
        </w:rPr>
      </w:pPr>
      <w:r>
        <w:rPr>
          <w:rFonts w:hint="eastAsia" w:ascii="仿宋" w:hAnsi="仿宋" w:eastAsia="仿宋" w:cs="仿宋"/>
          <w:w w:val="100"/>
          <w:sz w:val="32"/>
          <w:szCs w:val="32"/>
          <w:lang w:eastAsia="zh-CN"/>
        </w:rPr>
        <w:t>（</w:t>
      </w:r>
      <w:r>
        <w:rPr>
          <w:rFonts w:hint="eastAsia" w:ascii="仿宋" w:hAnsi="仿宋" w:eastAsia="仿宋" w:cs="仿宋"/>
          <w:w w:val="100"/>
          <w:sz w:val="32"/>
          <w:szCs w:val="32"/>
          <w:lang w:val="en-US" w:eastAsia="zh-CN"/>
        </w:rPr>
        <w:t>3</w:t>
      </w:r>
      <w:r>
        <w:rPr>
          <w:rFonts w:hint="eastAsia" w:ascii="仿宋" w:hAnsi="仿宋" w:eastAsia="仿宋" w:cs="仿宋"/>
          <w:w w:val="100"/>
          <w:sz w:val="32"/>
          <w:szCs w:val="32"/>
          <w:lang w:eastAsia="zh-CN"/>
        </w:rPr>
        <w:t>）</w:t>
      </w:r>
      <w:r>
        <w:rPr>
          <w:rFonts w:hint="eastAsia" w:ascii="仿宋" w:hAnsi="仿宋" w:eastAsia="仿宋" w:cs="仿宋"/>
          <w:w w:val="100"/>
          <w:sz w:val="32"/>
          <w:szCs w:val="32"/>
        </w:rPr>
        <w:t xml:space="preserve">承担组织落实创业带动就业政策措施的相关事务性工作，为各类群体开展创新创业活动提供创业培训、创业指导、创业载体和创业担保贷款等创业服务。 </w:t>
      </w:r>
    </w:p>
    <w:p w14:paraId="78A33835">
      <w:pPr>
        <w:ind w:left="0" w:leftChars="0" w:firstLine="681" w:firstLineChars="213"/>
        <w:rPr>
          <w:rFonts w:hint="eastAsia" w:ascii="仿宋" w:hAnsi="仿宋" w:eastAsia="仿宋" w:cs="仿宋"/>
          <w:w w:val="100"/>
          <w:sz w:val="32"/>
          <w:szCs w:val="32"/>
        </w:rPr>
      </w:pPr>
      <w:r>
        <w:rPr>
          <w:rFonts w:hint="eastAsia" w:ascii="仿宋" w:hAnsi="仿宋" w:eastAsia="仿宋" w:cs="仿宋"/>
          <w:w w:val="100"/>
          <w:sz w:val="32"/>
          <w:szCs w:val="32"/>
          <w:lang w:eastAsia="zh-CN"/>
        </w:rPr>
        <w:t>（</w:t>
      </w:r>
      <w:r>
        <w:rPr>
          <w:rFonts w:hint="eastAsia" w:ascii="仿宋" w:hAnsi="仿宋" w:eastAsia="仿宋" w:cs="仿宋"/>
          <w:w w:val="100"/>
          <w:sz w:val="32"/>
          <w:szCs w:val="32"/>
          <w:lang w:val="en-US" w:eastAsia="zh-CN"/>
        </w:rPr>
        <w:t>4</w:t>
      </w:r>
      <w:r>
        <w:rPr>
          <w:rFonts w:hint="eastAsia" w:ascii="仿宋" w:hAnsi="仿宋" w:eastAsia="仿宋" w:cs="仿宋"/>
          <w:w w:val="100"/>
          <w:sz w:val="32"/>
          <w:szCs w:val="32"/>
          <w:lang w:eastAsia="zh-CN"/>
        </w:rPr>
        <w:t>）</w:t>
      </w:r>
      <w:r>
        <w:rPr>
          <w:rFonts w:hint="eastAsia" w:ascii="仿宋" w:hAnsi="仿宋" w:eastAsia="仿宋" w:cs="仿宋"/>
          <w:w w:val="100"/>
          <w:sz w:val="32"/>
          <w:szCs w:val="32"/>
        </w:rPr>
        <w:t xml:space="preserve">承担组织落实职业技能培训和创业培训相关工作。 </w:t>
      </w:r>
    </w:p>
    <w:p w14:paraId="0FE00A0B">
      <w:pPr>
        <w:ind w:left="0" w:leftChars="0" w:firstLine="681" w:firstLineChars="213"/>
        <w:rPr>
          <w:rFonts w:hint="eastAsia" w:ascii="仿宋" w:hAnsi="仿宋" w:eastAsia="仿宋" w:cs="仿宋"/>
          <w:w w:val="100"/>
          <w:sz w:val="32"/>
          <w:szCs w:val="32"/>
        </w:rPr>
      </w:pPr>
      <w:r>
        <w:rPr>
          <w:rFonts w:hint="eastAsia" w:ascii="仿宋" w:hAnsi="仿宋" w:eastAsia="仿宋" w:cs="仿宋"/>
          <w:w w:val="100"/>
          <w:sz w:val="32"/>
          <w:szCs w:val="32"/>
          <w:lang w:eastAsia="zh-CN"/>
        </w:rPr>
        <w:t>（</w:t>
      </w:r>
      <w:r>
        <w:rPr>
          <w:rFonts w:hint="eastAsia" w:ascii="仿宋" w:hAnsi="仿宋" w:eastAsia="仿宋" w:cs="仿宋"/>
          <w:w w:val="100"/>
          <w:sz w:val="32"/>
          <w:szCs w:val="32"/>
          <w:lang w:val="en-US" w:eastAsia="zh-CN"/>
        </w:rPr>
        <w:t>5</w:t>
      </w:r>
      <w:r>
        <w:rPr>
          <w:rFonts w:hint="eastAsia" w:ascii="仿宋" w:hAnsi="仿宋" w:eastAsia="仿宋" w:cs="仿宋"/>
          <w:w w:val="100"/>
          <w:sz w:val="32"/>
          <w:szCs w:val="32"/>
          <w:lang w:eastAsia="zh-CN"/>
        </w:rPr>
        <w:t>）</w:t>
      </w:r>
      <w:r>
        <w:rPr>
          <w:rFonts w:hint="eastAsia" w:ascii="仿宋" w:hAnsi="仿宋" w:eastAsia="仿宋" w:cs="仿宋"/>
          <w:w w:val="100"/>
          <w:sz w:val="32"/>
          <w:szCs w:val="32"/>
        </w:rPr>
        <w:t xml:space="preserve">承担组织落实失业保险各项政策的相关事务性工作；承担市直企事业等单位失业保险经办服务工作。 </w:t>
      </w:r>
    </w:p>
    <w:p w14:paraId="2A249B79">
      <w:pPr>
        <w:ind w:left="0" w:leftChars="0" w:firstLine="681" w:firstLineChars="213"/>
        <w:rPr>
          <w:rFonts w:hint="eastAsia" w:ascii="仿宋" w:hAnsi="仿宋" w:eastAsia="仿宋" w:cs="仿宋"/>
          <w:w w:val="100"/>
          <w:sz w:val="32"/>
          <w:szCs w:val="32"/>
        </w:rPr>
      </w:pPr>
      <w:r>
        <w:rPr>
          <w:rFonts w:hint="eastAsia" w:ascii="仿宋" w:hAnsi="仿宋" w:eastAsia="仿宋" w:cs="仿宋"/>
          <w:w w:val="100"/>
          <w:sz w:val="32"/>
          <w:szCs w:val="32"/>
          <w:lang w:eastAsia="zh-CN"/>
        </w:rPr>
        <w:t>（</w:t>
      </w:r>
      <w:r>
        <w:rPr>
          <w:rFonts w:hint="eastAsia" w:ascii="仿宋" w:hAnsi="仿宋" w:eastAsia="仿宋" w:cs="仿宋"/>
          <w:w w:val="100"/>
          <w:sz w:val="32"/>
          <w:szCs w:val="32"/>
          <w:lang w:val="en-US" w:eastAsia="zh-CN"/>
        </w:rPr>
        <w:t>6</w:t>
      </w:r>
      <w:r>
        <w:rPr>
          <w:rFonts w:hint="eastAsia" w:ascii="仿宋" w:hAnsi="仿宋" w:eastAsia="仿宋" w:cs="仿宋"/>
          <w:w w:val="100"/>
          <w:sz w:val="32"/>
          <w:szCs w:val="32"/>
          <w:lang w:eastAsia="zh-CN"/>
        </w:rPr>
        <w:t>）</w:t>
      </w:r>
      <w:r>
        <w:rPr>
          <w:rFonts w:hint="eastAsia" w:ascii="仿宋" w:hAnsi="仿宋" w:eastAsia="仿宋" w:cs="仿宋"/>
          <w:w w:val="100"/>
          <w:sz w:val="32"/>
          <w:szCs w:val="32"/>
        </w:rPr>
        <w:t xml:space="preserve">承担人力资源开发与服务工作；承担企业高层次人才引进相关工作；承担流动人员人事档案管理相关事务性工作。 </w:t>
      </w:r>
    </w:p>
    <w:p w14:paraId="57EE402F">
      <w:pPr>
        <w:ind w:left="0" w:leftChars="0" w:firstLine="681" w:firstLineChars="213"/>
        <w:rPr>
          <w:rFonts w:hint="eastAsia" w:ascii="仿宋" w:hAnsi="仿宋" w:eastAsia="仿宋" w:cs="仿宋"/>
          <w:w w:val="100"/>
          <w:sz w:val="32"/>
          <w:szCs w:val="32"/>
        </w:rPr>
      </w:pPr>
      <w:r>
        <w:rPr>
          <w:rFonts w:hint="eastAsia" w:ascii="仿宋" w:hAnsi="仿宋" w:eastAsia="仿宋" w:cs="仿宋"/>
          <w:w w:val="100"/>
          <w:sz w:val="32"/>
          <w:szCs w:val="32"/>
          <w:lang w:eastAsia="zh-CN"/>
        </w:rPr>
        <w:t>（</w:t>
      </w:r>
      <w:r>
        <w:rPr>
          <w:rFonts w:hint="eastAsia" w:ascii="仿宋" w:hAnsi="仿宋" w:eastAsia="仿宋" w:cs="仿宋"/>
          <w:w w:val="100"/>
          <w:sz w:val="32"/>
          <w:szCs w:val="32"/>
          <w:lang w:val="en-US" w:eastAsia="zh-CN"/>
        </w:rPr>
        <w:t>7</w:t>
      </w:r>
      <w:r>
        <w:rPr>
          <w:rFonts w:hint="eastAsia" w:ascii="仿宋" w:hAnsi="仿宋" w:eastAsia="仿宋" w:cs="仿宋"/>
          <w:w w:val="100"/>
          <w:sz w:val="32"/>
          <w:szCs w:val="32"/>
          <w:lang w:eastAsia="zh-CN"/>
        </w:rPr>
        <w:t>）</w:t>
      </w:r>
      <w:r>
        <w:rPr>
          <w:rFonts w:hint="eastAsia" w:ascii="仿宋" w:hAnsi="仿宋" w:eastAsia="仿宋" w:cs="仿宋"/>
          <w:w w:val="100"/>
          <w:sz w:val="32"/>
          <w:szCs w:val="32"/>
        </w:rPr>
        <w:t xml:space="preserve">为公共就业服务信息化建设提供技术支持和服务保障；承担就业失业相关统计分析、就业失业信息监测工作。 </w:t>
      </w:r>
    </w:p>
    <w:p w14:paraId="0BAF8100">
      <w:pPr>
        <w:ind w:left="0" w:leftChars="0" w:firstLine="681" w:firstLineChars="213"/>
        <w:rPr>
          <w:rFonts w:hint="eastAsia" w:ascii="仿宋" w:hAnsi="仿宋" w:eastAsia="仿宋" w:cs="仿宋"/>
          <w:w w:val="100"/>
          <w:sz w:val="32"/>
          <w:szCs w:val="32"/>
        </w:rPr>
      </w:pPr>
      <w:r>
        <w:rPr>
          <w:rFonts w:hint="eastAsia" w:ascii="仿宋" w:hAnsi="仿宋" w:eastAsia="仿宋" w:cs="仿宋"/>
          <w:w w:val="100"/>
          <w:sz w:val="32"/>
          <w:szCs w:val="32"/>
          <w:lang w:eastAsia="zh-CN"/>
        </w:rPr>
        <w:t>（</w:t>
      </w:r>
      <w:r>
        <w:rPr>
          <w:rFonts w:hint="eastAsia" w:ascii="仿宋" w:hAnsi="仿宋" w:eastAsia="仿宋" w:cs="仿宋"/>
          <w:w w:val="100"/>
          <w:sz w:val="32"/>
          <w:szCs w:val="32"/>
          <w:lang w:val="en-US" w:eastAsia="zh-CN"/>
        </w:rPr>
        <w:t>8</w:t>
      </w:r>
      <w:r>
        <w:rPr>
          <w:rFonts w:hint="eastAsia" w:ascii="仿宋" w:hAnsi="仿宋" w:eastAsia="仿宋" w:cs="仿宋"/>
          <w:w w:val="100"/>
          <w:sz w:val="32"/>
          <w:szCs w:val="32"/>
          <w:lang w:eastAsia="zh-CN"/>
        </w:rPr>
        <w:t>）</w:t>
      </w:r>
      <w:r>
        <w:rPr>
          <w:rFonts w:hint="eastAsia" w:ascii="仿宋" w:hAnsi="仿宋" w:eastAsia="仿宋" w:cs="仿宋"/>
          <w:w w:val="100"/>
          <w:sz w:val="32"/>
          <w:szCs w:val="32"/>
        </w:rPr>
        <w:t xml:space="preserve">承担市委人才工作领导小组、市就业和农民工工作暨根治拖欠农民工工资工作领导小组涉及就业的日常事务性、服务性工作。 </w:t>
      </w:r>
    </w:p>
    <w:p w14:paraId="34F94006">
      <w:pPr>
        <w:ind w:firstLine="755" w:firstLineChars="236"/>
        <w:rPr>
          <w:rFonts w:hint="eastAsia" w:ascii="仿宋" w:hAnsi="仿宋" w:eastAsia="仿宋" w:cs="仿宋"/>
          <w:w w:val="100"/>
          <w:sz w:val="32"/>
          <w:szCs w:val="32"/>
        </w:rPr>
      </w:pPr>
      <w:r>
        <w:rPr>
          <w:rFonts w:hint="eastAsia" w:ascii="仿宋" w:hAnsi="仿宋" w:eastAsia="仿宋" w:cs="仿宋"/>
          <w:w w:val="100"/>
          <w:sz w:val="32"/>
          <w:szCs w:val="32"/>
          <w:lang w:eastAsia="zh-CN"/>
        </w:rPr>
        <w:t>（</w:t>
      </w:r>
      <w:r>
        <w:rPr>
          <w:rFonts w:hint="eastAsia" w:ascii="仿宋" w:hAnsi="仿宋" w:eastAsia="仿宋" w:cs="仿宋"/>
          <w:w w:val="100"/>
          <w:sz w:val="32"/>
          <w:szCs w:val="32"/>
          <w:lang w:val="en-US" w:eastAsia="zh-CN"/>
        </w:rPr>
        <w:t>9</w:t>
      </w:r>
      <w:r>
        <w:rPr>
          <w:rFonts w:hint="eastAsia" w:ascii="仿宋" w:hAnsi="仿宋" w:eastAsia="仿宋" w:cs="仿宋"/>
          <w:w w:val="100"/>
          <w:sz w:val="32"/>
          <w:szCs w:val="32"/>
          <w:lang w:eastAsia="zh-CN"/>
        </w:rPr>
        <w:t>）</w:t>
      </w:r>
      <w:r>
        <w:rPr>
          <w:rFonts w:hint="eastAsia" w:ascii="仿宋" w:hAnsi="仿宋" w:eastAsia="仿宋" w:cs="仿宋"/>
          <w:w w:val="100"/>
          <w:sz w:val="32"/>
          <w:szCs w:val="32"/>
        </w:rPr>
        <w:t>完成市人力资源和社会保障局交办的其他任务。</w:t>
      </w:r>
    </w:p>
    <w:p w14:paraId="01DE8F15">
      <w:pPr>
        <w:ind w:firstLine="755" w:firstLineChars="236"/>
        <w:rPr>
          <w:rFonts w:hint="eastAsia" w:ascii="仿宋" w:hAnsi="仿宋" w:eastAsia="仿宋" w:cs="仿宋"/>
          <w:w w:val="100"/>
          <w:sz w:val="32"/>
          <w:szCs w:val="32"/>
        </w:rPr>
      </w:pPr>
      <w:r>
        <w:rPr>
          <w:rFonts w:hint="eastAsia" w:ascii="仿宋" w:hAnsi="仿宋" w:eastAsia="仿宋" w:cs="仿宋"/>
          <w:w w:val="100"/>
          <w:sz w:val="32"/>
          <w:szCs w:val="32"/>
        </w:rPr>
        <w:t>（二）整体支出规模、使用方向及范围</w:t>
      </w:r>
    </w:p>
    <w:p w14:paraId="491C2BF9">
      <w:pPr>
        <w:ind w:firstLine="755" w:firstLineChars="236"/>
        <w:rPr>
          <w:rFonts w:hint="eastAsia" w:ascii="仿宋" w:hAnsi="仿宋" w:eastAsia="仿宋" w:cs="仿宋"/>
          <w:w w:val="100"/>
          <w:sz w:val="32"/>
          <w:szCs w:val="32"/>
          <w:lang w:val="en-US" w:eastAsia="zh-CN"/>
        </w:rPr>
      </w:pPr>
      <w:r>
        <w:rPr>
          <w:rFonts w:hint="eastAsia" w:ascii="仿宋" w:hAnsi="仿宋" w:eastAsia="仿宋" w:cs="仿宋"/>
          <w:w w:val="100"/>
          <w:sz w:val="32"/>
          <w:szCs w:val="32"/>
        </w:rPr>
        <w:t>2024年部门整体支出预算</w:t>
      </w:r>
      <w:r>
        <w:rPr>
          <w:rFonts w:hint="eastAsia" w:ascii="仿宋" w:hAnsi="仿宋" w:eastAsia="仿宋" w:cs="仿宋"/>
          <w:w w:val="100"/>
          <w:sz w:val="32"/>
          <w:szCs w:val="32"/>
          <w:lang w:val="en-US" w:eastAsia="zh-CN"/>
        </w:rPr>
        <w:t>3957.82</w:t>
      </w:r>
      <w:r>
        <w:rPr>
          <w:rFonts w:hint="eastAsia" w:ascii="仿宋" w:hAnsi="仿宋" w:eastAsia="仿宋" w:cs="仿宋"/>
          <w:w w:val="100"/>
          <w:sz w:val="32"/>
          <w:szCs w:val="32"/>
        </w:rPr>
        <w:t>万元，实际执行</w:t>
      </w:r>
      <w:r>
        <w:rPr>
          <w:rFonts w:hint="eastAsia" w:ascii="仿宋" w:hAnsi="仿宋" w:eastAsia="仿宋" w:cs="仿宋"/>
          <w:w w:val="100"/>
          <w:sz w:val="32"/>
          <w:szCs w:val="32"/>
          <w:lang w:val="en-US" w:eastAsia="zh-CN"/>
        </w:rPr>
        <w:t>4081.41</w:t>
      </w:r>
      <w:r>
        <w:rPr>
          <w:rFonts w:hint="eastAsia" w:ascii="仿宋" w:hAnsi="仿宋" w:eastAsia="仿宋" w:cs="仿宋"/>
          <w:w w:val="100"/>
          <w:sz w:val="32"/>
          <w:szCs w:val="32"/>
        </w:rPr>
        <w:t>万元，执行率10</w:t>
      </w:r>
      <w:r>
        <w:rPr>
          <w:rFonts w:hint="eastAsia" w:ascii="仿宋" w:hAnsi="仿宋" w:eastAsia="仿宋" w:cs="仿宋"/>
          <w:w w:val="100"/>
          <w:sz w:val="32"/>
          <w:szCs w:val="32"/>
          <w:lang w:val="en-US" w:eastAsia="zh-CN"/>
        </w:rPr>
        <w:t>3</w:t>
      </w:r>
      <w:r>
        <w:rPr>
          <w:rFonts w:hint="eastAsia" w:ascii="仿宋" w:hAnsi="仿宋" w:eastAsia="仿宋" w:cs="仿宋"/>
          <w:w w:val="100"/>
          <w:sz w:val="32"/>
          <w:szCs w:val="32"/>
        </w:rPr>
        <w:t>.</w:t>
      </w:r>
      <w:r>
        <w:rPr>
          <w:rFonts w:hint="eastAsia" w:ascii="仿宋" w:hAnsi="仿宋" w:eastAsia="仿宋" w:cs="仿宋"/>
          <w:w w:val="100"/>
          <w:sz w:val="32"/>
          <w:szCs w:val="32"/>
          <w:lang w:val="en-US" w:eastAsia="zh-CN"/>
        </w:rPr>
        <w:t>12</w:t>
      </w:r>
      <w:r>
        <w:rPr>
          <w:rFonts w:hint="eastAsia" w:ascii="仿宋" w:hAnsi="仿宋" w:eastAsia="仿宋" w:cs="仿宋"/>
          <w:w w:val="100"/>
          <w:sz w:val="32"/>
          <w:szCs w:val="32"/>
        </w:rPr>
        <w:t>%。资金主要用于：基本支出</w:t>
      </w:r>
      <w:r>
        <w:rPr>
          <w:rFonts w:hint="eastAsia" w:ascii="仿宋" w:hAnsi="仿宋" w:eastAsia="仿宋" w:cs="仿宋"/>
          <w:w w:val="100"/>
          <w:sz w:val="32"/>
          <w:szCs w:val="32"/>
          <w:lang w:val="en-US" w:eastAsia="zh-CN"/>
        </w:rPr>
        <w:t>3044.45</w:t>
      </w:r>
      <w:r>
        <w:rPr>
          <w:rFonts w:hint="eastAsia" w:ascii="仿宋" w:hAnsi="仿宋" w:eastAsia="仿宋" w:cs="仿宋"/>
          <w:w w:val="100"/>
          <w:sz w:val="32"/>
          <w:szCs w:val="32"/>
        </w:rPr>
        <w:t>万元，占比7</w:t>
      </w:r>
      <w:r>
        <w:rPr>
          <w:rFonts w:hint="eastAsia" w:ascii="仿宋" w:hAnsi="仿宋" w:eastAsia="仿宋" w:cs="仿宋"/>
          <w:w w:val="100"/>
          <w:sz w:val="32"/>
          <w:szCs w:val="32"/>
          <w:lang w:val="en-US" w:eastAsia="zh-CN"/>
        </w:rPr>
        <w:t>4.59</w:t>
      </w:r>
      <w:r>
        <w:rPr>
          <w:rFonts w:hint="eastAsia" w:ascii="仿宋" w:hAnsi="仿宋" w:eastAsia="仿宋" w:cs="仿宋"/>
          <w:w w:val="100"/>
          <w:sz w:val="32"/>
          <w:szCs w:val="32"/>
        </w:rPr>
        <w:t>%，涵盖人员经费（工资福利、社保缴费等）和公用经费（办公、差旅、会议等），保障机构日常运转。项目支出</w:t>
      </w:r>
      <w:r>
        <w:rPr>
          <w:rFonts w:hint="eastAsia" w:ascii="仿宋" w:hAnsi="仿宋" w:eastAsia="仿宋" w:cs="仿宋"/>
          <w:w w:val="100"/>
          <w:sz w:val="32"/>
          <w:szCs w:val="32"/>
          <w:lang w:val="en-US" w:eastAsia="zh-CN"/>
        </w:rPr>
        <w:t>1036.96万元，占比25.41%，涉及就业服务、社保基金监管、人事考试、劳动能力鉴定、仲裁业务等专项工作，覆盖全市13个县（市、区）的人社公共服务。</w:t>
      </w:r>
    </w:p>
    <w:p w14:paraId="5DB2A23A">
      <w:pPr>
        <w:ind w:firstLine="755" w:firstLineChars="236"/>
        <w:rPr>
          <w:rFonts w:hint="eastAsia" w:ascii="仿宋" w:hAnsi="仿宋" w:eastAsia="仿宋" w:cs="仿宋"/>
          <w:w w:val="100"/>
          <w:sz w:val="32"/>
          <w:szCs w:val="32"/>
          <w:lang w:val="en-US" w:eastAsia="zh-CN"/>
        </w:rPr>
      </w:pPr>
      <w:r>
        <w:rPr>
          <w:rFonts w:hint="eastAsia" w:ascii="仿宋" w:hAnsi="仿宋" w:eastAsia="仿宋" w:cs="仿宋"/>
          <w:w w:val="100"/>
          <w:sz w:val="32"/>
          <w:szCs w:val="32"/>
          <w:lang w:val="en-US" w:eastAsia="zh-CN"/>
        </w:rPr>
        <w:t>二、一般公共预算支出情况</w:t>
      </w:r>
    </w:p>
    <w:p w14:paraId="1F0DF2E4">
      <w:pPr>
        <w:ind w:firstLine="755" w:firstLineChars="236"/>
        <w:rPr>
          <w:rFonts w:hint="eastAsia" w:ascii="仿宋" w:hAnsi="仿宋" w:eastAsia="仿宋" w:cs="仿宋"/>
          <w:w w:val="100"/>
          <w:sz w:val="32"/>
          <w:szCs w:val="32"/>
          <w:lang w:val="en-US" w:eastAsia="zh-CN"/>
        </w:rPr>
      </w:pPr>
      <w:r>
        <w:rPr>
          <w:rFonts w:hint="eastAsia" w:ascii="仿宋" w:hAnsi="仿宋" w:eastAsia="仿宋" w:cs="仿宋"/>
          <w:w w:val="100"/>
          <w:sz w:val="32"/>
          <w:szCs w:val="32"/>
          <w:lang w:val="en-US" w:eastAsia="zh-CN"/>
        </w:rPr>
        <w:t>（一）基本支出</w:t>
      </w:r>
    </w:p>
    <w:p w14:paraId="30AABF49">
      <w:pPr>
        <w:ind w:firstLine="755" w:firstLineChars="236"/>
        <w:rPr>
          <w:rFonts w:hint="eastAsia" w:ascii="仿宋" w:hAnsi="仿宋" w:eastAsia="仿宋" w:cs="仿宋"/>
          <w:w w:val="100"/>
          <w:sz w:val="32"/>
          <w:szCs w:val="32"/>
          <w:lang w:val="en-US" w:eastAsia="zh-CN"/>
        </w:rPr>
      </w:pPr>
      <w:r>
        <w:rPr>
          <w:rFonts w:hint="eastAsia" w:ascii="仿宋" w:hAnsi="仿宋" w:eastAsia="仿宋" w:cs="仿宋"/>
          <w:w w:val="100"/>
          <w:sz w:val="32"/>
          <w:szCs w:val="32"/>
          <w:lang w:val="en-US" w:eastAsia="zh-CN"/>
        </w:rPr>
        <w:t>1、基本支出主要用途及范围</w:t>
      </w:r>
    </w:p>
    <w:p w14:paraId="2F71BB65">
      <w:pPr>
        <w:ind w:firstLine="755" w:firstLineChars="236"/>
        <w:rPr>
          <w:rFonts w:hint="eastAsia" w:ascii="仿宋" w:hAnsi="仿宋" w:eastAsia="仿宋" w:cs="仿宋"/>
          <w:w w:val="100"/>
          <w:sz w:val="32"/>
          <w:szCs w:val="32"/>
          <w:lang w:val="en-US" w:eastAsia="zh-CN"/>
        </w:rPr>
      </w:pPr>
      <w:r>
        <w:rPr>
          <w:rFonts w:hint="eastAsia" w:ascii="仿宋" w:hAnsi="仿宋" w:eastAsia="仿宋" w:cs="仿宋"/>
          <w:w w:val="100"/>
          <w:sz w:val="32"/>
          <w:szCs w:val="32"/>
          <w:lang w:val="en-US" w:eastAsia="zh-CN"/>
        </w:rPr>
        <w:t>基本支出主要用于保障各级人社机构正常运转，包括人员经费和公用经费。</w:t>
      </w:r>
    </w:p>
    <w:p w14:paraId="1C8F56B9">
      <w:pPr>
        <w:ind w:firstLine="755" w:firstLineChars="236"/>
        <w:rPr>
          <w:rFonts w:hint="eastAsia" w:ascii="仿宋" w:hAnsi="仿宋" w:eastAsia="仿宋" w:cs="仿宋"/>
          <w:w w:val="100"/>
          <w:sz w:val="32"/>
          <w:szCs w:val="32"/>
          <w:lang w:val="en-US" w:eastAsia="zh-CN"/>
        </w:rPr>
      </w:pPr>
      <w:r>
        <w:rPr>
          <w:rFonts w:hint="eastAsia" w:ascii="仿宋" w:hAnsi="仿宋" w:eastAsia="仿宋" w:cs="仿宋"/>
          <w:w w:val="100"/>
          <w:sz w:val="32"/>
          <w:szCs w:val="32"/>
          <w:lang w:val="en-US" w:eastAsia="zh-CN"/>
        </w:rPr>
        <w:t>人员经费2731.62万元，占基本支出89.72%，用于发放在职人员基本工资844.50万元、津贴补贴480.6万元、机关事业单位基本养老保险缴费259.8万元、职工基本医疗保险缴费119.25万元、住房公积金221万元，以及离休费、退休费等对个人和家庭的补助274.11万元等。</w:t>
      </w:r>
    </w:p>
    <w:p w14:paraId="6DE0C9E7">
      <w:pPr>
        <w:ind w:firstLine="755" w:firstLineChars="236"/>
        <w:rPr>
          <w:rFonts w:hint="eastAsia" w:ascii="仿宋" w:hAnsi="仿宋" w:eastAsia="仿宋" w:cs="仿宋"/>
          <w:w w:val="100"/>
          <w:sz w:val="32"/>
          <w:szCs w:val="32"/>
          <w:lang w:val="en-US" w:eastAsia="zh-CN"/>
        </w:rPr>
      </w:pPr>
      <w:r>
        <w:rPr>
          <w:rFonts w:hint="eastAsia" w:ascii="仿宋" w:hAnsi="仿宋" w:eastAsia="仿宋" w:cs="仿宋"/>
          <w:w w:val="100"/>
          <w:sz w:val="32"/>
          <w:szCs w:val="32"/>
          <w:lang w:val="en-US" w:eastAsia="zh-CN"/>
        </w:rPr>
        <w:t>公用经费309.49万元，占基本支出10.17%，用于办公费6.9万元、邮电费2.19万元、物业管理费6.56万元、差旅费8万元、工会经费152.3万元、其他交通费用84.3万元、其他商品和服务支出12.32万元等，保障日常办公、会议培训、公务接待等需求。</w:t>
      </w:r>
    </w:p>
    <w:p w14:paraId="6CE46F18">
      <w:pPr>
        <w:ind w:firstLine="755" w:firstLineChars="236"/>
        <w:rPr>
          <w:rFonts w:hint="eastAsia" w:ascii="仿宋" w:hAnsi="仿宋" w:eastAsia="仿宋" w:cs="仿宋"/>
          <w:w w:val="100"/>
          <w:sz w:val="32"/>
          <w:szCs w:val="32"/>
          <w:lang w:val="en-US" w:eastAsia="zh-CN"/>
        </w:rPr>
      </w:pPr>
      <w:r>
        <w:rPr>
          <w:rFonts w:hint="eastAsia" w:ascii="仿宋" w:hAnsi="仿宋" w:eastAsia="仿宋" w:cs="仿宋"/>
          <w:w w:val="100"/>
          <w:sz w:val="32"/>
          <w:szCs w:val="32"/>
          <w:lang w:val="en-US" w:eastAsia="zh-CN"/>
        </w:rPr>
        <w:t>2、“三公”经费使用和管理情况</w:t>
      </w:r>
    </w:p>
    <w:p w14:paraId="62980057">
      <w:pPr>
        <w:ind w:firstLine="755" w:firstLineChars="236"/>
        <w:rPr>
          <w:rFonts w:hint="eastAsia" w:ascii="仿宋" w:hAnsi="仿宋" w:eastAsia="仿宋" w:cs="仿宋"/>
          <w:w w:val="100"/>
          <w:sz w:val="32"/>
          <w:szCs w:val="32"/>
          <w:lang w:val="en-US" w:eastAsia="zh-CN"/>
        </w:rPr>
      </w:pPr>
      <w:r>
        <w:rPr>
          <w:rFonts w:hint="eastAsia" w:ascii="仿宋" w:hAnsi="仿宋" w:eastAsia="仿宋" w:cs="仿宋"/>
          <w:w w:val="100"/>
          <w:sz w:val="32"/>
          <w:szCs w:val="32"/>
          <w:lang w:val="en-US" w:eastAsia="zh-CN"/>
        </w:rPr>
        <w:t>2024年“三公”经费预算24.8万元，实际支出20.18万元，节约4.62万元，执行率81.37%。</w:t>
      </w:r>
    </w:p>
    <w:p w14:paraId="4DBBD173">
      <w:pPr>
        <w:ind w:firstLine="755" w:firstLineChars="236"/>
        <w:rPr>
          <w:rFonts w:hint="eastAsia" w:ascii="仿宋" w:hAnsi="仿宋" w:eastAsia="仿宋" w:cs="仿宋"/>
          <w:w w:val="100"/>
          <w:sz w:val="32"/>
          <w:szCs w:val="32"/>
          <w:lang w:val="en-US" w:eastAsia="zh-CN"/>
        </w:rPr>
      </w:pPr>
      <w:r>
        <w:rPr>
          <w:rFonts w:hint="eastAsia" w:ascii="仿宋" w:hAnsi="仿宋" w:eastAsia="仿宋" w:cs="仿宋"/>
          <w:w w:val="100"/>
          <w:sz w:val="32"/>
          <w:szCs w:val="32"/>
          <w:lang w:val="en-US" w:eastAsia="zh-CN"/>
        </w:rPr>
        <w:t>公务用车运行维护费预算17.1万元，实际支出17.07万元，因车辆调剂使用，运行成本有所降低。</w:t>
      </w:r>
    </w:p>
    <w:p w14:paraId="52996665">
      <w:pPr>
        <w:ind w:firstLine="755" w:firstLineChars="236"/>
        <w:rPr>
          <w:rFonts w:hint="eastAsia" w:ascii="仿宋" w:hAnsi="仿宋" w:eastAsia="仿宋" w:cs="仿宋"/>
          <w:w w:val="100"/>
          <w:sz w:val="32"/>
          <w:szCs w:val="32"/>
          <w:lang w:val="en-US" w:eastAsia="zh-CN"/>
        </w:rPr>
      </w:pPr>
      <w:r>
        <w:rPr>
          <w:rFonts w:hint="eastAsia" w:ascii="仿宋" w:hAnsi="仿宋" w:eastAsia="仿宋" w:cs="仿宋"/>
          <w:w w:val="100"/>
          <w:sz w:val="32"/>
          <w:szCs w:val="32"/>
          <w:lang w:val="en-US" w:eastAsia="zh-CN"/>
        </w:rPr>
        <w:t>公务接待费预算7.7万元，实际支出3.11万元，接待44批次181人次，主要用于省内外人社系统工作交流，严格执行接待标准，未发生公款宴请。</w:t>
      </w:r>
    </w:p>
    <w:p w14:paraId="4361F436">
      <w:pPr>
        <w:ind w:firstLine="755" w:firstLineChars="236"/>
        <w:rPr>
          <w:rFonts w:hint="eastAsia" w:ascii="仿宋" w:hAnsi="仿宋" w:eastAsia="仿宋" w:cs="仿宋"/>
          <w:w w:val="100"/>
          <w:sz w:val="32"/>
          <w:szCs w:val="32"/>
          <w:lang w:val="en-US" w:eastAsia="zh-CN"/>
        </w:rPr>
      </w:pPr>
      <w:r>
        <w:rPr>
          <w:rFonts w:hint="eastAsia" w:ascii="仿宋" w:hAnsi="仿宋" w:eastAsia="仿宋" w:cs="仿宋"/>
          <w:w w:val="100"/>
          <w:sz w:val="32"/>
          <w:szCs w:val="32"/>
          <w:lang w:val="en-US" w:eastAsia="zh-CN"/>
        </w:rPr>
        <w:t>因公出国（境）费预算0万元，全年无该项支出。</w:t>
      </w:r>
    </w:p>
    <w:p w14:paraId="5B1F5C9C">
      <w:pPr>
        <w:ind w:firstLine="755" w:firstLineChars="236"/>
        <w:rPr>
          <w:rFonts w:hint="eastAsia" w:ascii="仿宋" w:hAnsi="仿宋" w:eastAsia="仿宋" w:cs="仿宋"/>
          <w:w w:val="100"/>
          <w:sz w:val="32"/>
          <w:szCs w:val="32"/>
          <w:lang w:val="en-US" w:eastAsia="zh-CN"/>
        </w:rPr>
      </w:pPr>
      <w:r>
        <w:rPr>
          <w:rFonts w:hint="eastAsia" w:ascii="仿宋" w:hAnsi="仿宋" w:eastAsia="仿宋" w:cs="仿宋"/>
          <w:w w:val="100"/>
          <w:sz w:val="32"/>
          <w:szCs w:val="32"/>
          <w:lang w:val="en-US" w:eastAsia="zh-CN"/>
        </w:rPr>
        <w:t>（二）项目支出</w:t>
      </w:r>
    </w:p>
    <w:p w14:paraId="6AD59F48">
      <w:pPr>
        <w:ind w:firstLine="755" w:firstLineChars="236"/>
        <w:rPr>
          <w:rFonts w:hint="eastAsia" w:ascii="仿宋" w:hAnsi="仿宋" w:eastAsia="仿宋" w:cs="仿宋"/>
          <w:w w:val="100"/>
          <w:sz w:val="32"/>
          <w:szCs w:val="32"/>
          <w:lang w:val="en-US" w:eastAsia="zh-CN"/>
        </w:rPr>
      </w:pPr>
      <w:r>
        <w:rPr>
          <w:rFonts w:hint="eastAsia" w:ascii="仿宋" w:hAnsi="仿宋" w:eastAsia="仿宋" w:cs="仿宋"/>
          <w:w w:val="100"/>
          <w:sz w:val="32"/>
          <w:szCs w:val="32"/>
          <w:lang w:val="en-US" w:eastAsia="zh-CN"/>
        </w:rPr>
        <w:t>1、项目资金安排落实、总投入等情况分析</w:t>
      </w:r>
    </w:p>
    <w:p w14:paraId="2EC54F34">
      <w:pPr>
        <w:ind w:firstLine="755" w:firstLineChars="236"/>
        <w:rPr>
          <w:rFonts w:hint="eastAsia" w:ascii="仿宋" w:hAnsi="仿宋" w:eastAsia="仿宋" w:cs="仿宋"/>
          <w:w w:val="100"/>
          <w:sz w:val="32"/>
          <w:szCs w:val="32"/>
          <w:lang w:val="en-US" w:eastAsia="zh-CN"/>
        </w:rPr>
      </w:pPr>
      <w:r>
        <w:rPr>
          <w:rFonts w:hint="eastAsia" w:ascii="仿宋" w:hAnsi="仿宋" w:eastAsia="仿宋" w:cs="仿宋"/>
          <w:w w:val="100"/>
          <w:sz w:val="32"/>
          <w:szCs w:val="32"/>
          <w:lang w:val="en-US" w:eastAsia="zh-CN"/>
        </w:rPr>
        <w:t>项目支出预算999.3万元，实际执行1036.96万元，完成率103.77%，资金来源全部为一般公共预算拨款，具体包括：</w:t>
      </w:r>
    </w:p>
    <w:p w14:paraId="0A7A588C">
      <w:pPr>
        <w:ind w:firstLine="755" w:firstLineChars="236"/>
        <w:rPr>
          <w:rFonts w:hint="eastAsia" w:ascii="仿宋" w:hAnsi="仿宋" w:eastAsia="仿宋" w:cs="仿宋"/>
          <w:w w:val="100"/>
          <w:sz w:val="32"/>
          <w:szCs w:val="32"/>
          <w:lang w:val="en-US" w:eastAsia="zh-CN"/>
        </w:rPr>
      </w:pPr>
      <w:r>
        <w:rPr>
          <w:rFonts w:hint="eastAsia" w:ascii="仿宋" w:hAnsi="仿宋" w:eastAsia="仿宋" w:cs="仿宋"/>
          <w:w w:val="100"/>
          <w:sz w:val="32"/>
          <w:szCs w:val="32"/>
          <w:lang w:val="en-US" w:eastAsia="zh-CN"/>
        </w:rPr>
        <w:t>社会保障和就业支出583.52万元，占项目支出56.27%，用于人力资源和社会保障管理服务、农民工就业创业等。</w:t>
      </w:r>
    </w:p>
    <w:p w14:paraId="57AD1425">
      <w:pPr>
        <w:ind w:firstLine="755" w:firstLineChars="236"/>
        <w:rPr>
          <w:rFonts w:hint="eastAsia" w:ascii="仿宋" w:hAnsi="仿宋" w:eastAsia="仿宋" w:cs="仿宋"/>
          <w:w w:val="100"/>
          <w:sz w:val="32"/>
          <w:szCs w:val="32"/>
          <w:lang w:val="en-US" w:eastAsia="zh-CN"/>
        </w:rPr>
      </w:pPr>
      <w:r>
        <w:rPr>
          <w:rFonts w:hint="eastAsia" w:ascii="仿宋" w:hAnsi="仿宋" w:eastAsia="仿宋" w:cs="仿宋"/>
          <w:w w:val="100"/>
          <w:sz w:val="32"/>
          <w:szCs w:val="32"/>
          <w:lang w:val="en-US" w:eastAsia="zh-CN"/>
        </w:rPr>
        <w:t>社保基金监管类411.83万元，占39.72%，用于社保基金监管工作经费、企业社保基金双轨核算等。</w:t>
      </w:r>
    </w:p>
    <w:p w14:paraId="38DA62A6">
      <w:pPr>
        <w:ind w:firstLine="755" w:firstLineChars="236"/>
        <w:rPr>
          <w:rFonts w:hint="eastAsia" w:ascii="仿宋" w:hAnsi="仿宋" w:eastAsia="仿宋" w:cs="仿宋"/>
          <w:w w:val="100"/>
          <w:sz w:val="32"/>
          <w:szCs w:val="32"/>
          <w:lang w:val="en-US" w:eastAsia="zh-CN"/>
        </w:rPr>
      </w:pPr>
      <w:r>
        <w:rPr>
          <w:rFonts w:hint="eastAsia" w:ascii="仿宋" w:hAnsi="仿宋" w:eastAsia="仿宋" w:cs="仿宋"/>
          <w:w w:val="100"/>
          <w:sz w:val="32"/>
          <w:szCs w:val="32"/>
          <w:lang w:val="en-US" w:eastAsia="zh-CN"/>
        </w:rPr>
        <w:t>仲裁及维权类41.61万元，占4.01%，用于劳动人事争议调解仲裁专项业务经费、农民工工资维权等。</w:t>
      </w:r>
    </w:p>
    <w:p w14:paraId="57C8FA9C">
      <w:pPr>
        <w:ind w:firstLine="755" w:firstLineChars="236"/>
        <w:rPr>
          <w:rFonts w:hint="eastAsia" w:ascii="仿宋" w:hAnsi="仿宋" w:eastAsia="仿宋" w:cs="仿宋"/>
          <w:w w:val="100"/>
          <w:sz w:val="32"/>
          <w:szCs w:val="32"/>
          <w:lang w:val="en-US" w:eastAsia="zh-CN"/>
        </w:rPr>
      </w:pPr>
      <w:r>
        <w:rPr>
          <w:rFonts w:hint="eastAsia" w:ascii="仿宋" w:hAnsi="仿宋" w:eastAsia="仿宋" w:cs="仿宋"/>
          <w:w w:val="100"/>
          <w:sz w:val="32"/>
          <w:szCs w:val="32"/>
          <w:lang w:val="en-US" w:eastAsia="zh-CN"/>
        </w:rPr>
        <w:t>2、项目资金实际使用情况分析</w:t>
      </w:r>
    </w:p>
    <w:p w14:paraId="1AC39616">
      <w:pPr>
        <w:ind w:firstLine="755" w:firstLineChars="236"/>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w w:val="100"/>
          <w:sz w:val="32"/>
          <w:szCs w:val="32"/>
          <w:lang w:val="en-US" w:eastAsia="zh-CN"/>
        </w:rPr>
        <w:t>重点项目执行：人力资源和社会保障管理服务经费134.78万元，用于办公大楼维护、社保基金监督及信息化建设。社保基金监管工作经费60.00万元，核查疑点数据3292条，</w:t>
      </w:r>
      <w:r>
        <w:rPr>
          <w:rFonts w:hint="eastAsia" w:ascii="仿宋" w:hAnsi="仿宋" w:eastAsia="仿宋" w:cs="仿宋"/>
          <w:color w:val="000000" w:themeColor="text1"/>
          <w:sz w:val="32"/>
          <w:szCs w:val="32"/>
          <w:highlight w:val="none"/>
          <w:lang w:val="en-US" w:eastAsia="zh-CN"/>
          <w14:textFill>
            <w14:solidFill>
              <w14:schemeClr w14:val="tx1"/>
            </w14:solidFill>
          </w14:textFill>
        </w:rPr>
        <w:t>查处违规违法骗取套取社保基金327人，追回资金90.5万元</w:t>
      </w:r>
      <w:r>
        <w:rPr>
          <w:rFonts w:hint="eastAsia" w:ascii="仿宋" w:hAnsi="仿宋" w:eastAsia="仿宋" w:cs="仿宋"/>
          <w:w w:val="100"/>
          <w:sz w:val="32"/>
          <w:szCs w:val="32"/>
          <w:lang w:val="en-US" w:eastAsia="zh-CN"/>
        </w:rPr>
        <w:t>，建立“一单四制”监管机制，基金安全平稳运行。</w:t>
      </w:r>
      <w:r>
        <w:rPr>
          <w:rFonts w:hint="eastAsia" w:ascii="仿宋" w:hAnsi="仿宋" w:eastAsia="仿宋" w:cs="仿宋"/>
          <w:color w:val="000000" w:themeColor="text1"/>
          <w:sz w:val="32"/>
          <w:szCs w:val="32"/>
          <w:highlight w:val="none"/>
          <w:lang w:val="en-US" w:eastAsia="zh-CN"/>
          <w14:textFill>
            <w14:solidFill>
              <w14:schemeClr w14:val="tx1"/>
            </w14:solidFill>
          </w14:textFill>
        </w:rPr>
        <w:t>平稳开展包括公务员招考、事业单位招聘、职业资格考试等各类人事考试55场次，参考考生达20余万人次零事故，全年公开招聘事业单位工作人员1638名，完成40名“三支一扶”招录工作。</w:t>
      </w:r>
    </w:p>
    <w:p w14:paraId="340E9565">
      <w:pPr>
        <w:ind w:firstLine="755" w:firstLineChars="236"/>
        <w:rPr>
          <w:rFonts w:hint="eastAsia" w:ascii="仿宋" w:hAnsi="仿宋" w:eastAsia="仿宋" w:cs="仿宋"/>
          <w:w w:val="100"/>
          <w:sz w:val="32"/>
          <w:szCs w:val="32"/>
          <w:lang w:val="en-US" w:eastAsia="zh-CN"/>
        </w:rPr>
      </w:pPr>
      <w:r>
        <w:rPr>
          <w:rFonts w:hint="eastAsia" w:ascii="仿宋" w:hAnsi="仿宋" w:eastAsia="仿宋" w:cs="仿宋"/>
          <w:w w:val="100"/>
          <w:sz w:val="32"/>
          <w:szCs w:val="32"/>
          <w:lang w:val="en-US" w:eastAsia="zh-CN"/>
        </w:rPr>
        <w:t>3、项目资金管理情况分析</w:t>
      </w:r>
    </w:p>
    <w:p w14:paraId="37EDB7AD">
      <w:pPr>
        <w:ind w:firstLine="755" w:firstLineChars="236"/>
        <w:rPr>
          <w:rFonts w:hint="eastAsia" w:ascii="仿宋" w:hAnsi="仿宋" w:eastAsia="仿宋" w:cs="仿宋"/>
          <w:w w:val="100"/>
          <w:sz w:val="32"/>
          <w:szCs w:val="32"/>
          <w:lang w:val="en-US" w:eastAsia="zh-CN"/>
        </w:rPr>
      </w:pPr>
      <w:r>
        <w:rPr>
          <w:rFonts w:hint="eastAsia" w:ascii="仿宋" w:hAnsi="仿宋" w:eastAsia="仿宋" w:cs="仿宋"/>
          <w:w w:val="100"/>
          <w:sz w:val="32"/>
          <w:szCs w:val="32"/>
          <w:lang w:val="en-US" w:eastAsia="zh-CN"/>
        </w:rPr>
        <w:t>制度建设：制定《怀化市人社专项资金管理办法》《项目绩效评价操作细则》，明确“预算编制-资金拨付-绩效评价”全流程规范。如社保基金监管经费严格执行“问题清单、交办制、台账制、销号制、通报制”。</w:t>
      </w:r>
    </w:p>
    <w:p w14:paraId="539D6C6F">
      <w:pPr>
        <w:ind w:firstLine="755" w:firstLineChars="236"/>
        <w:rPr>
          <w:rFonts w:hint="eastAsia" w:ascii="仿宋" w:hAnsi="仿宋" w:eastAsia="仿宋" w:cs="仿宋"/>
          <w:w w:val="100"/>
          <w:sz w:val="32"/>
          <w:szCs w:val="32"/>
          <w:lang w:val="en-US" w:eastAsia="zh-CN"/>
        </w:rPr>
      </w:pPr>
      <w:r>
        <w:rPr>
          <w:rFonts w:hint="eastAsia" w:ascii="仿宋" w:hAnsi="仿宋" w:eastAsia="仿宋" w:cs="仿宋"/>
          <w:w w:val="100"/>
          <w:sz w:val="32"/>
          <w:szCs w:val="32"/>
          <w:lang w:val="en-US" w:eastAsia="zh-CN"/>
        </w:rPr>
        <w:t>三、项目组织实施情况</w:t>
      </w:r>
    </w:p>
    <w:p w14:paraId="17F69D7E">
      <w:pPr>
        <w:ind w:firstLine="755" w:firstLineChars="236"/>
        <w:rPr>
          <w:rFonts w:hint="eastAsia" w:ascii="仿宋" w:hAnsi="仿宋" w:eastAsia="仿宋" w:cs="仿宋"/>
          <w:w w:val="100"/>
          <w:sz w:val="32"/>
          <w:szCs w:val="32"/>
          <w:lang w:val="en-US" w:eastAsia="zh-CN"/>
        </w:rPr>
      </w:pPr>
      <w:r>
        <w:rPr>
          <w:rFonts w:hint="eastAsia" w:ascii="仿宋" w:hAnsi="仿宋" w:eastAsia="仿宋" w:cs="仿宋"/>
          <w:w w:val="100"/>
          <w:sz w:val="32"/>
          <w:szCs w:val="32"/>
          <w:lang w:val="en-US" w:eastAsia="zh-CN"/>
        </w:rPr>
        <w:t>（一）项目组织情况分析</w:t>
      </w:r>
    </w:p>
    <w:p w14:paraId="1DA97192">
      <w:pPr>
        <w:ind w:firstLine="755" w:firstLineChars="236"/>
        <w:rPr>
          <w:rFonts w:hint="eastAsia" w:ascii="仿宋" w:hAnsi="仿宋" w:eastAsia="仿宋" w:cs="仿宋"/>
          <w:w w:val="100"/>
          <w:sz w:val="32"/>
          <w:szCs w:val="32"/>
          <w:lang w:val="en-US" w:eastAsia="zh-CN"/>
        </w:rPr>
      </w:pPr>
      <w:r>
        <w:rPr>
          <w:rFonts w:hint="eastAsia" w:ascii="仿宋" w:hAnsi="仿宋" w:eastAsia="仿宋" w:cs="仿宋"/>
          <w:w w:val="100"/>
          <w:sz w:val="32"/>
          <w:szCs w:val="32"/>
          <w:lang w:val="en-US" w:eastAsia="zh-CN"/>
        </w:rPr>
        <w:t>1、项目招投标情况</w:t>
      </w:r>
    </w:p>
    <w:p w14:paraId="7E98914E">
      <w:pPr>
        <w:ind w:firstLine="755" w:firstLineChars="236"/>
        <w:rPr>
          <w:rFonts w:hint="eastAsia" w:ascii="仿宋" w:hAnsi="仿宋" w:eastAsia="仿宋" w:cs="仿宋"/>
          <w:w w:val="100"/>
          <w:sz w:val="32"/>
          <w:szCs w:val="32"/>
          <w:lang w:val="en-US" w:eastAsia="zh-CN"/>
        </w:rPr>
      </w:pPr>
      <w:r>
        <w:rPr>
          <w:rFonts w:hint="eastAsia" w:ascii="仿宋" w:hAnsi="仿宋" w:eastAsia="仿宋" w:cs="仿宋"/>
          <w:w w:val="100"/>
          <w:sz w:val="32"/>
          <w:szCs w:val="32"/>
          <w:lang w:val="en-US" w:eastAsia="zh-CN"/>
        </w:rPr>
        <w:t>2024年项目支出中，涉及政府采购的预算总额为121.43万元，均为货物采购，主要用于办公设备购置及信息化系统运维服务。所有采购项目均严格按照《政府采购法》执行，流程合规，未出现违规操作情况。</w:t>
      </w:r>
    </w:p>
    <w:p w14:paraId="01E7FF00">
      <w:pPr>
        <w:ind w:firstLine="755" w:firstLineChars="236"/>
        <w:rPr>
          <w:rFonts w:hint="eastAsia" w:ascii="仿宋" w:hAnsi="仿宋" w:eastAsia="仿宋" w:cs="仿宋"/>
          <w:w w:val="100"/>
          <w:sz w:val="32"/>
          <w:szCs w:val="32"/>
          <w:lang w:val="en-US" w:eastAsia="zh-CN"/>
        </w:rPr>
      </w:pPr>
      <w:r>
        <w:rPr>
          <w:rFonts w:hint="eastAsia" w:ascii="仿宋" w:hAnsi="仿宋" w:eastAsia="仿宋" w:cs="仿宋"/>
          <w:w w:val="100"/>
          <w:sz w:val="32"/>
          <w:szCs w:val="32"/>
          <w:lang w:val="en-US" w:eastAsia="zh-CN"/>
        </w:rPr>
        <w:t>2、项目调整情况</w:t>
      </w:r>
    </w:p>
    <w:p w14:paraId="1425EC26">
      <w:pPr>
        <w:ind w:firstLine="755" w:firstLineChars="236"/>
        <w:rPr>
          <w:rFonts w:hint="eastAsia" w:ascii="仿宋" w:hAnsi="仿宋" w:eastAsia="仿宋" w:cs="仿宋"/>
          <w:w w:val="100"/>
          <w:sz w:val="32"/>
          <w:szCs w:val="32"/>
          <w:lang w:val="en-US" w:eastAsia="zh-CN"/>
        </w:rPr>
      </w:pPr>
      <w:r>
        <w:rPr>
          <w:rFonts w:hint="eastAsia" w:ascii="仿宋" w:hAnsi="仿宋" w:eastAsia="仿宋" w:cs="仿宋"/>
          <w:w w:val="100"/>
          <w:sz w:val="32"/>
          <w:szCs w:val="32"/>
          <w:lang w:val="en-US" w:eastAsia="zh-CN"/>
        </w:rPr>
        <w:t>无</w:t>
      </w:r>
    </w:p>
    <w:p w14:paraId="11CE08D6">
      <w:pPr>
        <w:ind w:firstLine="755" w:firstLineChars="236"/>
        <w:rPr>
          <w:rFonts w:hint="eastAsia" w:ascii="仿宋" w:hAnsi="仿宋" w:eastAsia="仿宋" w:cs="仿宋"/>
          <w:w w:val="100"/>
          <w:sz w:val="32"/>
          <w:szCs w:val="32"/>
          <w:lang w:val="en-US" w:eastAsia="zh-CN"/>
        </w:rPr>
      </w:pPr>
      <w:r>
        <w:rPr>
          <w:rFonts w:hint="eastAsia" w:ascii="仿宋" w:hAnsi="仿宋" w:eastAsia="仿宋" w:cs="仿宋"/>
          <w:w w:val="100"/>
          <w:sz w:val="32"/>
          <w:szCs w:val="32"/>
          <w:lang w:val="en-US" w:eastAsia="zh-CN"/>
        </w:rPr>
        <w:t>3、项目竣工验收情况</w:t>
      </w:r>
    </w:p>
    <w:p w14:paraId="2A49A23F">
      <w:pPr>
        <w:ind w:firstLine="755" w:firstLineChars="236"/>
        <w:rPr>
          <w:rFonts w:hint="eastAsia" w:ascii="仿宋" w:hAnsi="仿宋" w:eastAsia="仿宋" w:cs="仿宋"/>
          <w:w w:val="100"/>
          <w:sz w:val="32"/>
          <w:szCs w:val="32"/>
          <w:lang w:val="en-US" w:eastAsia="zh-CN"/>
        </w:rPr>
      </w:pPr>
      <w:r>
        <w:rPr>
          <w:rFonts w:hint="eastAsia" w:ascii="仿宋" w:hAnsi="仿宋" w:eastAsia="仿宋" w:cs="仿宋"/>
          <w:w w:val="100"/>
          <w:sz w:val="32"/>
          <w:szCs w:val="32"/>
          <w:lang w:val="en-US" w:eastAsia="zh-CN"/>
        </w:rPr>
        <w:t>所有项目均按计划完成验收，验收流程规范。</w:t>
      </w:r>
    </w:p>
    <w:p w14:paraId="0578D474">
      <w:pPr>
        <w:ind w:firstLine="755" w:firstLineChars="236"/>
        <w:rPr>
          <w:rFonts w:hint="eastAsia" w:ascii="仿宋" w:hAnsi="仿宋" w:eastAsia="仿宋" w:cs="仿宋"/>
          <w:w w:val="100"/>
          <w:sz w:val="32"/>
          <w:szCs w:val="32"/>
          <w:lang w:val="en-US" w:eastAsia="zh-CN"/>
        </w:rPr>
      </w:pPr>
      <w:r>
        <w:rPr>
          <w:rFonts w:hint="eastAsia" w:ascii="仿宋" w:hAnsi="仿宋" w:eastAsia="仿宋" w:cs="仿宋"/>
          <w:w w:val="100"/>
          <w:sz w:val="32"/>
          <w:szCs w:val="32"/>
          <w:lang w:val="en-US" w:eastAsia="zh-CN"/>
        </w:rPr>
        <w:t>人事考试类项目：全年组织公务员考试、事业单位招聘等55场次，参考20余万人次，通过标准化考场监控及考务流程审核，实现“零事故”验收，选拔事业单位人员1638名、“三支一扶”人员40名，结果符合政策要求。</w:t>
      </w:r>
    </w:p>
    <w:p w14:paraId="62996F8D">
      <w:pPr>
        <w:ind w:firstLine="755" w:firstLineChars="236"/>
        <w:rPr>
          <w:rFonts w:hint="eastAsia" w:ascii="仿宋" w:hAnsi="仿宋" w:eastAsia="仿宋" w:cs="仿宋"/>
          <w:w w:val="100"/>
          <w:sz w:val="32"/>
          <w:szCs w:val="32"/>
          <w:lang w:val="en-US" w:eastAsia="zh-CN"/>
        </w:rPr>
      </w:pPr>
      <w:r>
        <w:rPr>
          <w:rFonts w:hint="eastAsia" w:ascii="仿宋" w:hAnsi="仿宋" w:eastAsia="仿宋" w:cs="仿宋"/>
          <w:w w:val="100"/>
          <w:sz w:val="32"/>
          <w:szCs w:val="32"/>
          <w:lang w:val="en-US" w:eastAsia="zh-CN"/>
        </w:rPr>
        <w:t>社保基金监管项目：通过“一单四制”机制，完成3292条疑点数据核查，追回违规资金90.5万元，形成完整的稽核报告及整改验收材料。</w:t>
      </w:r>
    </w:p>
    <w:p w14:paraId="64E638FA">
      <w:pPr>
        <w:ind w:firstLine="755" w:firstLineChars="236"/>
        <w:rPr>
          <w:rFonts w:hint="eastAsia" w:ascii="仿宋" w:hAnsi="仿宋" w:eastAsia="仿宋" w:cs="仿宋"/>
          <w:w w:val="100"/>
          <w:sz w:val="32"/>
          <w:szCs w:val="32"/>
          <w:lang w:val="en-US" w:eastAsia="zh-CN"/>
        </w:rPr>
      </w:pPr>
      <w:r>
        <w:rPr>
          <w:rFonts w:hint="eastAsia" w:ascii="仿宋" w:hAnsi="仿宋" w:eastAsia="仿宋" w:cs="仿宋"/>
          <w:w w:val="100"/>
          <w:sz w:val="32"/>
          <w:szCs w:val="32"/>
          <w:lang w:val="en-US" w:eastAsia="zh-CN"/>
        </w:rPr>
        <w:t>（二）项目管理情况分析</w:t>
      </w:r>
    </w:p>
    <w:p w14:paraId="416160CE">
      <w:pPr>
        <w:ind w:firstLine="755" w:firstLineChars="236"/>
        <w:rPr>
          <w:rFonts w:hint="eastAsia" w:ascii="仿宋" w:hAnsi="仿宋" w:eastAsia="仿宋" w:cs="仿宋"/>
          <w:w w:val="100"/>
          <w:sz w:val="32"/>
          <w:szCs w:val="32"/>
          <w:lang w:val="en-US" w:eastAsia="zh-CN"/>
        </w:rPr>
      </w:pPr>
      <w:r>
        <w:rPr>
          <w:rFonts w:hint="eastAsia" w:ascii="仿宋" w:hAnsi="仿宋" w:eastAsia="仿宋" w:cs="仿宋"/>
          <w:w w:val="100"/>
          <w:sz w:val="32"/>
          <w:szCs w:val="32"/>
          <w:lang w:val="en-US" w:eastAsia="zh-CN"/>
        </w:rPr>
        <w:t>1、项目管理制度建设</w:t>
      </w:r>
    </w:p>
    <w:p w14:paraId="64166D5E">
      <w:pPr>
        <w:ind w:firstLine="755" w:firstLineChars="236"/>
        <w:rPr>
          <w:rFonts w:hint="eastAsia" w:ascii="仿宋" w:hAnsi="仿宋" w:eastAsia="仿宋" w:cs="仿宋"/>
          <w:w w:val="100"/>
          <w:sz w:val="32"/>
          <w:szCs w:val="32"/>
          <w:lang w:val="en-US" w:eastAsia="zh-CN"/>
        </w:rPr>
      </w:pPr>
      <w:r>
        <w:rPr>
          <w:rFonts w:hint="eastAsia" w:ascii="仿宋" w:hAnsi="仿宋" w:eastAsia="仿宋" w:cs="仿宋"/>
          <w:w w:val="100"/>
          <w:sz w:val="32"/>
          <w:szCs w:val="32"/>
          <w:lang w:val="en-US" w:eastAsia="zh-CN"/>
        </w:rPr>
        <w:t>建立《项目管理办法》《绩效目标考核细则》，明确责任分工及验收标准。如基金监管项目实行“科室负责人-分管领导-局长”三级审核，确保检查结果客观。</w:t>
      </w:r>
    </w:p>
    <w:p w14:paraId="37050FE8">
      <w:pPr>
        <w:ind w:firstLine="755" w:firstLineChars="236"/>
        <w:rPr>
          <w:rFonts w:hint="eastAsia" w:ascii="仿宋" w:hAnsi="仿宋" w:eastAsia="仿宋" w:cs="仿宋"/>
          <w:w w:val="100"/>
          <w:sz w:val="32"/>
          <w:szCs w:val="32"/>
          <w:lang w:val="en-US" w:eastAsia="zh-CN"/>
        </w:rPr>
      </w:pPr>
      <w:r>
        <w:rPr>
          <w:rFonts w:hint="eastAsia" w:ascii="仿宋" w:hAnsi="仿宋" w:eastAsia="仿宋" w:cs="仿宋"/>
          <w:w w:val="100"/>
          <w:sz w:val="32"/>
          <w:szCs w:val="32"/>
          <w:lang w:val="en-US" w:eastAsia="zh-CN"/>
        </w:rPr>
        <w:t>2、日常检查监督管理</w:t>
      </w:r>
    </w:p>
    <w:p w14:paraId="191BA2E7">
      <w:pPr>
        <w:ind w:firstLine="755" w:firstLineChars="236"/>
        <w:rPr>
          <w:rFonts w:hint="eastAsia" w:ascii="仿宋" w:hAnsi="仿宋" w:eastAsia="仿宋" w:cs="仿宋"/>
          <w:w w:val="100"/>
          <w:sz w:val="32"/>
          <w:szCs w:val="32"/>
          <w:lang w:val="en-US" w:eastAsia="zh-CN"/>
        </w:rPr>
      </w:pPr>
      <w:r>
        <w:rPr>
          <w:rFonts w:hint="eastAsia" w:ascii="仿宋" w:hAnsi="仿宋" w:eastAsia="仿宋" w:cs="仿宋"/>
          <w:w w:val="100"/>
          <w:sz w:val="32"/>
          <w:szCs w:val="32"/>
          <w:lang w:val="en-US" w:eastAsia="zh-CN"/>
        </w:rPr>
        <w:t>建立项目台账，每月召开推进会，对滞后项目下发《督办函》。</w:t>
      </w:r>
    </w:p>
    <w:p w14:paraId="248581AC">
      <w:pPr>
        <w:ind w:firstLine="755" w:firstLineChars="236"/>
        <w:rPr>
          <w:rFonts w:hint="eastAsia" w:ascii="仿宋" w:hAnsi="仿宋" w:eastAsia="仿宋" w:cs="仿宋"/>
          <w:w w:val="100"/>
          <w:sz w:val="32"/>
          <w:szCs w:val="32"/>
          <w:lang w:val="en-US" w:eastAsia="zh-CN"/>
        </w:rPr>
      </w:pPr>
      <w:r>
        <w:rPr>
          <w:rFonts w:hint="eastAsia" w:ascii="仿宋" w:hAnsi="仿宋" w:eastAsia="仿宋" w:cs="仿宋"/>
          <w:w w:val="100"/>
          <w:sz w:val="32"/>
          <w:szCs w:val="32"/>
          <w:lang w:val="en-US" w:eastAsia="zh-CN"/>
        </w:rPr>
        <w:t>四、资产管理情况</w:t>
      </w:r>
    </w:p>
    <w:p w14:paraId="55708365">
      <w:pPr>
        <w:ind w:firstLine="755" w:firstLineChars="236"/>
        <w:rPr>
          <w:rFonts w:hint="eastAsia" w:ascii="仿宋" w:hAnsi="仿宋" w:eastAsia="仿宋" w:cs="仿宋"/>
          <w:w w:val="100"/>
          <w:sz w:val="32"/>
          <w:szCs w:val="32"/>
          <w:lang w:val="en-US" w:eastAsia="zh-CN"/>
        </w:rPr>
      </w:pPr>
      <w:r>
        <w:rPr>
          <w:rFonts w:hint="eastAsia" w:ascii="仿宋" w:hAnsi="仿宋" w:eastAsia="仿宋" w:cs="仿宋"/>
          <w:w w:val="100"/>
          <w:sz w:val="32"/>
          <w:szCs w:val="32"/>
          <w:lang w:val="en-US" w:eastAsia="zh-CN"/>
        </w:rPr>
        <w:t>（一）制度建设</w:t>
      </w:r>
    </w:p>
    <w:p w14:paraId="5CF805CF">
      <w:pPr>
        <w:ind w:firstLine="755" w:firstLineChars="236"/>
        <w:rPr>
          <w:rFonts w:hint="eastAsia" w:ascii="仿宋" w:hAnsi="仿宋" w:eastAsia="仿宋" w:cs="仿宋"/>
          <w:w w:val="100"/>
          <w:sz w:val="32"/>
          <w:szCs w:val="32"/>
          <w:lang w:val="en-US" w:eastAsia="zh-CN"/>
        </w:rPr>
      </w:pPr>
      <w:r>
        <w:rPr>
          <w:rFonts w:hint="eastAsia" w:ascii="仿宋" w:hAnsi="仿宋" w:eastAsia="仿宋" w:cs="仿宋"/>
          <w:w w:val="100"/>
          <w:sz w:val="32"/>
          <w:szCs w:val="32"/>
          <w:lang w:val="en-US" w:eastAsia="zh-CN"/>
        </w:rPr>
        <w:t>制定《固定资产管理制度》《国有资产处置办法》，实行“一物一卡”台账管理，纳入“湖南省行政事业性国有资产管理系统”。2024年新增办公设备均按政府采购程序采购，配置标准符合规定。</w:t>
      </w:r>
    </w:p>
    <w:p w14:paraId="6E853934">
      <w:pPr>
        <w:ind w:firstLine="755" w:firstLineChars="236"/>
        <w:rPr>
          <w:rFonts w:hint="eastAsia" w:ascii="仿宋" w:hAnsi="仿宋" w:eastAsia="仿宋" w:cs="仿宋"/>
          <w:w w:val="100"/>
          <w:sz w:val="32"/>
          <w:szCs w:val="32"/>
          <w:lang w:val="en-US" w:eastAsia="zh-CN"/>
        </w:rPr>
      </w:pPr>
      <w:r>
        <w:rPr>
          <w:rFonts w:hint="eastAsia" w:ascii="仿宋" w:hAnsi="仿宋" w:eastAsia="仿宋" w:cs="仿宋"/>
          <w:w w:val="100"/>
          <w:sz w:val="32"/>
          <w:szCs w:val="32"/>
          <w:lang w:val="en-US" w:eastAsia="zh-CN"/>
        </w:rPr>
        <w:t>（二）管理措施</w:t>
      </w:r>
    </w:p>
    <w:p w14:paraId="6F60D3BE">
      <w:pPr>
        <w:ind w:firstLine="755" w:firstLineChars="236"/>
        <w:rPr>
          <w:rFonts w:hint="eastAsia" w:ascii="仿宋" w:hAnsi="仿宋" w:eastAsia="仿宋" w:cs="仿宋"/>
          <w:w w:val="100"/>
          <w:sz w:val="32"/>
          <w:szCs w:val="32"/>
          <w:lang w:val="en-US" w:eastAsia="zh-CN"/>
        </w:rPr>
      </w:pPr>
      <w:r>
        <w:rPr>
          <w:rFonts w:hint="eastAsia" w:ascii="仿宋" w:hAnsi="仿宋" w:eastAsia="仿宋" w:cs="仿宋"/>
          <w:w w:val="100"/>
          <w:sz w:val="32"/>
          <w:szCs w:val="32"/>
          <w:lang w:val="en-US" w:eastAsia="zh-CN"/>
        </w:rPr>
        <w:t>加强资产日常管理，定期进行清查盘点，确保账实相符。对固定资产的购置、使用、处置等环节进行全程跟踪记录，提高资产使用效率，避免资产闲置浪费。</w:t>
      </w:r>
    </w:p>
    <w:p w14:paraId="1933D7C4">
      <w:pPr>
        <w:ind w:firstLine="755" w:firstLineChars="236"/>
        <w:rPr>
          <w:rFonts w:hint="eastAsia" w:ascii="仿宋" w:hAnsi="仿宋" w:eastAsia="仿宋" w:cs="仿宋"/>
          <w:w w:val="100"/>
          <w:sz w:val="32"/>
          <w:szCs w:val="32"/>
          <w:lang w:val="en-US" w:eastAsia="zh-CN"/>
        </w:rPr>
      </w:pPr>
      <w:r>
        <w:rPr>
          <w:rFonts w:hint="eastAsia" w:ascii="仿宋" w:hAnsi="仿宋" w:eastAsia="仿宋" w:cs="仿宋"/>
          <w:w w:val="100"/>
          <w:sz w:val="32"/>
          <w:szCs w:val="32"/>
          <w:lang w:val="en-US" w:eastAsia="zh-CN"/>
        </w:rPr>
        <w:t>（三）配置处置的程序</w:t>
      </w:r>
    </w:p>
    <w:p w14:paraId="4344B4BB">
      <w:pPr>
        <w:ind w:firstLine="755" w:firstLineChars="236"/>
        <w:rPr>
          <w:rFonts w:hint="eastAsia" w:ascii="仿宋" w:hAnsi="仿宋" w:eastAsia="仿宋" w:cs="仿宋"/>
          <w:w w:val="100"/>
          <w:sz w:val="32"/>
          <w:szCs w:val="32"/>
          <w:lang w:val="en-US" w:eastAsia="zh-CN"/>
        </w:rPr>
      </w:pPr>
      <w:r>
        <w:rPr>
          <w:rFonts w:hint="eastAsia" w:ascii="仿宋" w:hAnsi="仿宋" w:eastAsia="仿宋" w:cs="仿宋"/>
          <w:w w:val="100"/>
          <w:sz w:val="32"/>
          <w:szCs w:val="32"/>
          <w:lang w:val="en-US" w:eastAsia="zh-CN"/>
        </w:rPr>
        <w:t>资产配置：申请→汇总→审核→审批→采购→验收登记。</w:t>
      </w:r>
    </w:p>
    <w:p w14:paraId="798D189F">
      <w:pPr>
        <w:ind w:firstLine="755" w:firstLineChars="236"/>
        <w:rPr>
          <w:rFonts w:hint="eastAsia" w:ascii="仿宋" w:hAnsi="仿宋" w:eastAsia="仿宋" w:cs="仿宋"/>
          <w:w w:val="100"/>
          <w:sz w:val="32"/>
          <w:szCs w:val="32"/>
          <w:lang w:val="en-US" w:eastAsia="zh-CN"/>
        </w:rPr>
      </w:pPr>
      <w:r>
        <w:rPr>
          <w:rFonts w:hint="eastAsia" w:ascii="仿宋" w:hAnsi="仿宋" w:eastAsia="仿宋" w:cs="仿宋"/>
          <w:w w:val="100"/>
          <w:sz w:val="32"/>
          <w:szCs w:val="32"/>
          <w:lang w:val="en-US" w:eastAsia="zh-CN"/>
        </w:rPr>
        <w:t>资产处置：使用部门提出报废申请→技术鉴定→财务核实→领导审批→报市机关事务局审核、市财政局审批→处置。2024年处置移交到市机关事务局公物仓电脑38台，过程全程留痕。</w:t>
      </w:r>
    </w:p>
    <w:p w14:paraId="04B838C3">
      <w:pPr>
        <w:ind w:firstLine="755" w:firstLineChars="236"/>
        <w:rPr>
          <w:rFonts w:hint="eastAsia" w:ascii="仿宋" w:hAnsi="仿宋" w:eastAsia="仿宋" w:cs="仿宋"/>
          <w:w w:val="100"/>
          <w:sz w:val="32"/>
          <w:szCs w:val="32"/>
          <w:lang w:val="en-US" w:eastAsia="zh-CN"/>
        </w:rPr>
      </w:pPr>
      <w:r>
        <w:rPr>
          <w:rFonts w:hint="eastAsia" w:ascii="仿宋" w:hAnsi="仿宋" w:eastAsia="仿宋" w:cs="仿宋"/>
          <w:w w:val="100"/>
          <w:sz w:val="32"/>
          <w:szCs w:val="32"/>
          <w:lang w:val="en-US" w:eastAsia="zh-CN"/>
        </w:rPr>
        <w:t>五、政府性基金预算支出情况</w:t>
      </w:r>
    </w:p>
    <w:p w14:paraId="6DC47D55">
      <w:pPr>
        <w:ind w:firstLine="755" w:firstLineChars="236"/>
        <w:rPr>
          <w:rFonts w:hint="eastAsia" w:ascii="仿宋" w:hAnsi="仿宋" w:eastAsia="仿宋" w:cs="仿宋"/>
          <w:w w:val="100"/>
          <w:sz w:val="32"/>
          <w:szCs w:val="32"/>
          <w:lang w:val="en-US" w:eastAsia="zh-CN"/>
        </w:rPr>
      </w:pPr>
      <w:r>
        <w:rPr>
          <w:rFonts w:hint="eastAsia" w:ascii="仿宋" w:hAnsi="仿宋" w:eastAsia="仿宋" w:cs="仿宋"/>
          <w:w w:val="100"/>
          <w:sz w:val="32"/>
          <w:szCs w:val="32"/>
          <w:lang w:val="en-US" w:eastAsia="zh-CN"/>
        </w:rPr>
        <w:t>2024年度无政府性基金预算支出。</w:t>
      </w:r>
    </w:p>
    <w:p w14:paraId="4E1A4E13">
      <w:pPr>
        <w:ind w:firstLine="755" w:firstLineChars="236"/>
        <w:rPr>
          <w:rFonts w:hint="eastAsia" w:ascii="仿宋" w:hAnsi="仿宋" w:eastAsia="仿宋" w:cs="仿宋"/>
          <w:w w:val="100"/>
          <w:sz w:val="32"/>
          <w:szCs w:val="32"/>
          <w:lang w:val="en-US" w:eastAsia="zh-CN"/>
        </w:rPr>
      </w:pPr>
      <w:r>
        <w:rPr>
          <w:rFonts w:hint="eastAsia" w:ascii="仿宋" w:hAnsi="仿宋" w:eastAsia="仿宋" w:cs="仿宋"/>
          <w:w w:val="100"/>
          <w:sz w:val="32"/>
          <w:szCs w:val="32"/>
          <w:lang w:val="en-US" w:eastAsia="zh-CN"/>
        </w:rPr>
        <w:t>六、国有资本经营预算支出情况</w:t>
      </w:r>
    </w:p>
    <w:p w14:paraId="0FBA6001">
      <w:pPr>
        <w:ind w:firstLine="755" w:firstLineChars="236"/>
        <w:rPr>
          <w:rFonts w:hint="eastAsia" w:ascii="仿宋" w:hAnsi="仿宋" w:eastAsia="仿宋" w:cs="仿宋"/>
          <w:w w:val="100"/>
          <w:sz w:val="32"/>
          <w:szCs w:val="32"/>
          <w:lang w:val="en-US" w:eastAsia="zh-CN"/>
        </w:rPr>
      </w:pPr>
      <w:r>
        <w:rPr>
          <w:rFonts w:hint="eastAsia" w:ascii="仿宋" w:hAnsi="仿宋" w:eastAsia="仿宋" w:cs="仿宋"/>
          <w:w w:val="100"/>
          <w:sz w:val="32"/>
          <w:szCs w:val="32"/>
          <w:lang w:val="en-US" w:eastAsia="zh-CN"/>
        </w:rPr>
        <w:t>2024年度无国有资本经营预算支出。</w:t>
      </w:r>
    </w:p>
    <w:p w14:paraId="3466D61C">
      <w:pPr>
        <w:ind w:firstLine="755" w:firstLineChars="236"/>
        <w:rPr>
          <w:rFonts w:hint="eastAsia" w:ascii="仿宋" w:hAnsi="仿宋" w:eastAsia="仿宋" w:cs="仿宋"/>
          <w:w w:val="100"/>
          <w:sz w:val="32"/>
          <w:szCs w:val="32"/>
          <w:lang w:val="en-US" w:eastAsia="zh-CN"/>
        </w:rPr>
      </w:pPr>
      <w:r>
        <w:rPr>
          <w:rFonts w:hint="eastAsia" w:ascii="仿宋" w:hAnsi="仿宋" w:eastAsia="仿宋" w:cs="仿宋"/>
          <w:w w:val="100"/>
          <w:sz w:val="32"/>
          <w:szCs w:val="32"/>
          <w:lang w:val="en-US" w:eastAsia="zh-CN"/>
        </w:rPr>
        <w:t>七、社会保险基金预算支出情况</w:t>
      </w:r>
    </w:p>
    <w:p w14:paraId="580DE7F2">
      <w:pPr>
        <w:ind w:firstLine="755" w:firstLineChars="236"/>
        <w:rPr>
          <w:rFonts w:hint="eastAsia" w:ascii="仿宋" w:hAnsi="仿宋" w:eastAsia="仿宋" w:cs="仿宋"/>
          <w:w w:val="100"/>
          <w:sz w:val="32"/>
          <w:szCs w:val="32"/>
          <w:lang w:val="en-US" w:eastAsia="zh-CN"/>
        </w:rPr>
      </w:pPr>
      <w:r>
        <w:rPr>
          <w:rFonts w:hint="eastAsia" w:ascii="仿宋" w:hAnsi="仿宋" w:eastAsia="仿宋" w:cs="仿宋"/>
          <w:w w:val="100"/>
          <w:sz w:val="32"/>
          <w:szCs w:val="32"/>
          <w:lang w:val="en-US" w:eastAsia="zh-CN"/>
        </w:rPr>
        <w:t>2024年度无社会保险基金预算支出。</w:t>
      </w:r>
    </w:p>
    <w:p w14:paraId="64E748F2">
      <w:pPr>
        <w:ind w:firstLine="755" w:firstLineChars="236"/>
        <w:rPr>
          <w:rFonts w:hint="eastAsia" w:ascii="仿宋" w:hAnsi="仿宋" w:eastAsia="仿宋" w:cs="仿宋"/>
          <w:w w:val="100"/>
          <w:sz w:val="32"/>
          <w:szCs w:val="32"/>
          <w:lang w:val="en-US" w:eastAsia="zh-CN"/>
        </w:rPr>
      </w:pPr>
      <w:r>
        <w:rPr>
          <w:rFonts w:hint="eastAsia" w:ascii="仿宋" w:hAnsi="仿宋" w:eastAsia="仿宋" w:cs="仿宋"/>
          <w:w w:val="100"/>
          <w:sz w:val="32"/>
          <w:szCs w:val="32"/>
          <w:lang w:val="en-US" w:eastAsia="zh-CN"/>
        </w:rPr>
        <w:t>八、部门整体支出绩效情况</w:t>
      </w:r>
    </w:p>
    <w:p w14:paraId="3BFC3BA4">
      <w:pPr>
        <w:ind w:firstLine="755" w:firstLineChars="236"/>
        <w:rPr>
          <w:rFonts w:hint="eastAsia" w:ascii="仿宋" w:hAnsi="仿宋" w:eastAsia="仿宋" w:cs="仿宋"/>
          <w:w w:val="100"/>
          <w:sz w:val="32"/>
          <w:szCs w:val="32"/>
          <w:lang w:val="en-US" w:eastAsia="zh-CN"/>
        </w:rPr>
      </w:pPr>
      <w:r>
        <w:rPr>
          <w:rFonts w:hint="eastAsia" w:ascii="仿宋" w:hAnsi="仿宋" w:eastAsia="仿宋" w:cs="仿宋"/>
          <w:w w:val="100"/>
          <w:sz w:val="32"/>
          <w:szCs w:val="32"/>
          <w:lang w:val="en-US" w:eastAsia="zh-CN"/>
        </w:rPr>
        <w:t>（一）绩效目标完成情况</w:t>
      </w:r>
    </w:p>
    <w:p w14:paraId="17DE64DC">
      <w:pPr>
        <w:ind w:firstLine="755" w:firstLineChars="236"/>
        <w:rPr>
          <w:rFonts w:hint="eastAsia" w:ascii="仿宋" w:hAnsi="仿宋" w:eastAsia="仿宋" w:cs="仿宋"/>
          <w:w w:val="100"/>
          <w:sz w:val="32"/>
          <w:szCs w:val="32"/>
          <w:lang w:val="en-US" w:eastAsia="zh-CN"/>
        </w:rPr>
      </w:pPr>
      <w:r>
        <w:rPr>
          <w:rFonts w:hint="eastAsia" w:ascii="仿宋" w:hAnsi="仿宋" w:eastAsia="仿宋" w:cs="仿宋"/>
          <w:w w:val="100"/>
          <w:sz w:val="32"/>
          <w:szCs w:val="32"/>
          <w:lang w:val="en-US" w:eastAsia="zh-CN"/>
        </w:rPr>
        <w:t>就业创业目标：城镇新增就业3.75万人（超目标7.1%），职业技能培训2.03万人，离校未就业高校毕业生就业率97.61%，发放创业担保贷款3.74亿元，开发公益性岗位2.35万个，城镇“零就业”家庭动态清零。</w:t>
      </w:r>
    </w:p>
    <w:p w14:paraId="3C28A28D">
      <w:pPr>
        <w:ind w:firstLine="755" w:firstLineChars="236"/>
        <w:rPr>
          <w:rFonts w:hint="eastAsia" w:ascii="仿宋" w:hAnsi="仿宋" w:eastAsia="仿宋" w:cs="仿宋"/>
          <w:w w:val="100"/>
          <w:sz w:val="32"/>
          <w:szCs w:val="32"/>
          <w:lang w:val="en-US" w:eastAsia="zh-CN"/>
        </w:rPr>
      </w:pPr>
      <w:r>
        <w:rPr>
          <w:rFonts w:hint="eastAsia" w:ascii="仿宋" w:hAnsi="仿宋" w:eastAsia="仿宋" w:cs="仿宋"/>
          <w:w w:val="100"/>
          <w:sz w:val="32"/>
          <w:szCs w:val="32"/>
          <w:lang w:val="en-US" w:eastAsia="zh-CN"/>
        </w:rPr>
        <w:t>社会保障目标：全市基本养老保险参保359.11万人、工伤保险51.77万人、失业保险33.43万人，基金总收入171.7亿元；企业职工养老待遇连涨20年，城乡居保集体经济补助试点增幅全省前列。</w:t>
      </w:r>
    </w:p>
    <w:p w14:paraId="2B3347FD">
      <w:pPr>
        <w:ind w:firstLine="755" w:firstLineChars="236"/>
        <w:rPr>
          <w:rFonts w:hint="eastAsia" w:ascii="仿宋" w:hAnsi="仿宋" w:eastAsia="仿宋" w:cs="仿宋"/>
          <w:w w:val="100"/>
          <w:sz w:val="32"/>
          <w:szCs w:val="32"/>
          <w:lang w:val="en-US" w:eastAsia="zh-CN"/>
        </w:rPr>
      </w:pPr>
      <w:r>
        <w:rPr>
          <w:rFonts w:hint="eastAsia" w:ascii="仿宋" w:hAnsi="仿宋" w:eastAsia="仿宋" w:cs="仿宋"/>
          <w:w w:val="100"/>
          <w:sz w:val="32"/>
          <w:szCs w:val="32"/>
          <w:lang w:val="en-US" w:eastAsia="zh-CN"/>
        </w:rPr>
        <w:t>人事人才目标：组织各类考试55场次，参考20余万人次，招聘事业单位人员1638名、“三支一扶”人员40名，引进人才300名，创建“陆港箱包巧匠”等4个劳务品牌。</w:t>
      </w:r>
    </w:p>
    <w:p w14:paraId="560FC293">
      <w:pPr>
        <w:ind w:firstLine="755" w:firstLineChars="236"/>
        <w:rPr>
          <w:rFonts w:hint="eastAsia" w:ascii="仿宋" w:hAnsi="仿宋" w:eastAsia="仿宋" w:cs="仿宋"/>
          <w:w w:val="100"/>
          <w:sz w:val="32"/>
          <w:szCs w:val="32"/>
          <w:lang w:val="en-US" w:eastAsia="zh-CN"/>
        </w:rPr>
      </w:pPr>
      <w:r>
        <w:rPr>
          <w:rFonts w:hint="eastAsia" w:ascii="仿宋" w:hAnsi="仿宋" w:eastAsia="仿宋" w:cs="仿宋"/>
          <w:w w:val="100"/>
          <w:sz w:val="32"/>
          <w:szCs w:val="32"/>
          <w:lang w:val="en-US" w:eastAsia="zh-CN"/>
        </w:rPr>
        <w:t>劳动仲裁目标：劳动争议仲裁案件结案率达到90%以上，调解成功率达60%以上，打造“工会+人社”调解工作室17家以上，12333热线服务电话接听率达100%；开展根治欠薪专项行动，解决欠薪案件410件，涉及金额3950.27万元。</w:t>
      </w:r>
    </w:p>
    <w:p w14:paraId="7A7542B1">
      <w:pPr>
        <w:ind w:firstLine="755" w:firstLineChars="236"/>
        <w:rPr>
          <w:rFonts w:hint="eastAsia" w:ascii="仿宋" w:hAnsi="仿宋" w:eastAsia="仿宋" w:cs="仿宋"/>
          <w:w w:val="100"/>
          <w:sz w:val="32"/>
          <w:szCs w:val="32"/>
          <w:lang w:val="en-US" w:eastAsia="zh-CN"/>
        </w:rPr>
      </w:pPr>
      <w:r>
        <w:rPr>
          <w:rFonts w:hint="eastAsia" w:ascii="仿宋" w:hAnsi="仿宋" w:eastAsia="仿宋" w:cs="仿宋"/>
          <w:w w:val="100"/>
          <w:sz w:val="32"/>
          <w:szCs w:val="32"/>
          <w:lang w:val="en-US" w:eastAsia="zh-CN"/>
        </w:rPr>
        <w:t>（二）运行成本分析</w:t>
      </w:r>
    </w:p>
    <w:p w14:paraId="477D50F4">
      <w:pPr>
        <w:ind w:firstLine="755" w:firstLineChars="236"/>
        <w:rPr>
          <w:rFonts w:hint="eastAsia" w:ascii="仿宋" w:hAnsi="仿宋" w:eastAsia="仿宋" w:cs="仿宋"/>
          <w:w w:val="100"/>
          <w:sz w:val="32"/>
          <w:szCs w:val="32"/>
          <w:lang w:val="en-US" w:eastAsia="zh-CN"/>
        </w:rPr>
      </w:pPr>
      <w:r>
        <w:rPr>
          <w:rFonts w:hint="eastAsia" w:ascii="仿宋" w:hAnsi="仿宋" w:eastAsia="仿宋" w:cs="仿宋"/>
          <w:w w:val="100"/>
          <w:sz w:val="32"/>
          <w:szCs w:val="32"/>
          <w:lang w:val="en-US" w:eastAsia="zh-CN"/>
        </w:rPr>
        <w:t>资金执行：整体支出执行率103.12%，基本支出控制在预算内，项目支出中就业服务、社保监管等重点领域资金占比65%，行政运行成本较上年下降3.92%。</w:t>
      </w:r>
    </w:p>
    <w:p w14:paraId="60E97642">
      <w:pPr>
        <w:ind w:firstLine="755" w:firstLineChars="236"/>
        <w:rPr>
          <w:rFonts w:hint="eastAsia" w:ascii="仿宋" w:hAnsi="仿宋" w:eastAsia="仿宋" w:cs="仿宋"/>
          <w:w w:val="100"/>
          <w:sz w:val="32"/>
          <w:szCs w:val="32"/>
          <w:lang w:val="en-US" w:eastAsia="zh-CN"/>
        </w:rPr>
      </w:pPr>
      <w:r>
        <w:rPr>
          <w:rFonts w:hint="eastAsia" w:ascii="仿宋" w:hAnsi="仿宋" w:eastAsia="仿宋" w:cs="仿宋"/>
          <w:w w:val="100"/>
          <w:sz w:val="32"/>
          <w:szCs w:val="32"/>
          <w:lang w:val="en-US" w:eastAsia="zh-CN"/>
        </w:rPr>
        <w:t>节能降耗：信息化系统升级为低功耗设备，年节电1.2万度，碳排放下降9.6吨；办公费下降12.3%，水电费下降8.5%，通过无纸化办公降低成本。</w:t>
      </w:r>
    </w:p>
    <w:p w14:paraId="13DB803E">
      <w:pPr>
        <w:ind w:firstLine="755" w:firstLineChars="236"/>
        <w:rPr>
          <w:rFonts w:hint="eastAsia" w:ascii="仿宋" w:hAnsi="仿宋" w:eastAsia="仿宋" w:cs="仿宋"/>
          <w:w w:val="100"/>
          <w:sz w:val="32"/>
          <w:szCs w:val="32"/>
          <w:lang w:val="en-US" w:eastAsia="zh-CN"/>
        </w:rPr>
      </w:pPr>
      <w:r>
        <w:rPr>
          <w:rFonts w:hint="eastAsia" w:ascii="仿宋" w:hAnsi="仿宋" w:eastAsia="仿宋" w:cs="仿宋"/>
          <w:w w:val="100"/>
          <w:sz w:val="32"/>
          <w:szCs w:val="32"/>
          <w:lang w:val="en-US" w:eastAsia="zh-CN"/>
        </w:rPr>
        <w:t>（三）管理效率提升</w:t>
      </w:r>
    </w:p>
    <w:p w14:paraId="37D75B11">
      <w:pPr>
        <w:ind w:firstLine="755" w:firstLineChars="236"/>
        <w:rPr>
          <w:rFonts w:hint="eastAsia" w:ascii="仿宋" w:hAnsi="仿宋" w:eastAsia="仿宋" w:cs="仿宋"/>
          <w:w w:val="100"/>
          <w:sz w:val="32"/>
          <w:szCs w:val="32"/>
          <w:lang w:val="en-US" w:eastAsia="zh-CN"/>
        </w:rPr>
      </w:pPr>
      <w:r>
        <w:rPr>
          <w:rFonts w:hint="eastAsia" w:ascii="仿宋" w:hAnsi="仿宋" w:eastAsia="仿宋" w:cs="仿宋"/>
          <w:w w:val="100"/>
          <w:sz w:val="32"/>
          <w:szCs w:val="32"/>
          <w:lang w:val="en-US" w:eastAsia="zh-CN"/>
        </w:rPr>
        <w:t>流程优化：启用“湖南省预算管理一体化系统”，资金审批周期从5天缩短至3天；。</w:t>
      </w:r>
    </w:p>
    <w:p w14:paraId="0CAF3349">
      <w:pPr>
        <w:ind w:firstLine="755" w:firstLineChars="236"/>
        <w:rPr>
          <w:rFonts w:hint="eastAsia" w:ascii="仿宋" w:hAnsi="仿宋" w:eastAsia="仿宋" w:cs="仿宋"/>
          <w:w w:val="100"/>
          <w:sz w:val="32"/>
          <w:szCs w:val="32"/>
          <w:lang w:val="en-US" w:eastAsia="zh-CN"/>
        </w:rPr>
      </w:pPr>
      <w:r>
        <w:rPr>
          <w:rFonts w:hint="eastAsia" w:ascii="仿宋" w:hAnsi="仿宋" w:eastAsia="仿宋" w:cs="仿宋"/>
          <w:w w:val="100"/>
          <w:sz w:val="32"/>
          <w:szCs w:val="32"/>
          <w:lang w:val="en-US" w:eastAsia="zh-CN"/>
        </w:rPr>
        <w:t>信息化管理：“码上办”平台覆盖133项业务，线上服务率85%，基层专干数字化操作能力从30%提升至70%。</w:t>
      </w:r>
    </w:p>
    <w:p w14:paraId="7EF47EE4">
      <w:pPr>
        <w:ind w:firstLine="755" w:firstLineChars="236"/>
        <w:rPr>
          <w:rFonts w:hint="eastAsia" w:ascii="仿宋" w:hAnsi="仿宋" w:eastAsia="仿宋" w:cs="仿宋"/>
          <w:w w:val="100"/>
          <w:sz w:val="32"/>
          <w:szCs w:val="32"/>
          <w:lang w:val="en-US" w:eastAsia="zh-CN"/>
        </w:rPr>
      </w:pPr>
      <w:r>
        <w:rPr>
          <w:rFonts w:hint="eastAsia" w:ascii="仿宋" w:hAnsi="仿宋" w:eastAsia="仿宋" w:cs="仿宋"/>
          <w:w w:val="100"/>
          <w:sz w:val="32"/>
          <w:szCs w:val="32"/>
          <w:lang w:val="en-US" w:eastAsia="zh-CN"/>
        </w:rPr>
        <w:t>（四）履职效能与社会效应</w:t>
      </w:r>
    </w:p>
    <w:p w14:paraId="7629BF8C">
      <w:pPr>
        <w:ind w:firstLine="755" w:firstLineChars="236"/>
        <w:rPr>
          <w:rFonts w:hint="eastAsia" w:ascii="仿宋" w:hAnsi="仿宋" w:eastAsia="仿宋" w:cs="仿宋"/>
          <w:w w:val="100"/>
          <w:sz w:val="32"/>
          <w:szCs w:val="32"/>
          <w:lang w:val="en-US" w:eastAsia="zh-CN"/>
        </w:rPr>
      </w:pPr>
      <w:r>
        <w:rPr>
          <w:rFonts w:hint="eastAsia" w:ascii="仿宋" w:hAnsi="仿宋" w:eastAsia="仿宋" w:cs="仿宋"/>
          <w:w w:val="100"/>
          <w:sz w:val="32"/>
          <w:szCs w:val="32"/>
          <w:lang w:val="en-US" w:eastAsia="zh-CN"/>
        </w:rPr>
        <w:t>改革创新：人社驿站改革经验入选“2024年中国改革年度案例”，被国家推广；“四单”培训模式人岗精准适配率90%，带动1.2万名劳动者就近就业。</w:t>
      </w:r>
    </w:p>
    <w:p w14:paraId="52F02BCD">
      <w:pPr>
        <w:ind w:firstLine="755" w:firstLineChars="236"/>
        <w:rPr>
          <w:rFonts w:hint="eastAsia" w:ascii="仿宋" w:hAnsi="仿宋" w:eastAsia="仿宋" w:cs="仿宋"/>
          <w:w w:val="100"/>
          <w:sz w:val="32"/>
          <w:szCs w:val="32"/>
          <w:lang w:val="en-US" w:eastAsia="zh-CN"/>
        </w:rPr>
      </w:pPr>
      <w:r>
        <w:rPr>
          <w:rFonts w:hint="eastAsia" w:ascii="仿宋" w:hAnsi="仿宋" w:eastAsia="仿宋" w:cs="仿宋"/>
          <w:w w:val="100"/>
          <w:sz w:val="32"/>
          <w:szCs w:val="32"/>
          <w:lang w:val="en-US" w:eastAsia="zh-CN"/>
        </w:rPr>
        <w:t>民生保障：根治欠薪为4141名农民工追回工资4923.78万元，国省平台信访量下降8%。</w:t>
      </w:r>
    </w:p>
    <w:p w14:paraId="094E300A">
      <w:pPr>
        <w:ind w:firstLine="755" w:firstLineChars="236"/>
        <w:rPr>
          <w:rFonts w:hint="eastAsia" w:ascii="仿宋" w:hAnsi="仿宋" w:eastAsia="仿宋" w:cs="仿宋"/>
          <w:w w:val="100"/>
          <w:sz w:val="32"/>
          <w:szCs w:val="32"/>
          <w:lang w:val="en-US" w:eastAsia="zh-CN"/>
        </w:rPr>
      </w:pPr>
      <w:r>
        <w:rPr>
          <w:rFonts w:hint="eastAsia" w:ascii="仿宋" w:hAnsi="仿宋" w:eastAsia="仿宋" w:cs="仿宋"/>
          <w:w w:val="100"/>
          <w:sz w:val="32"/>
          <w:szCs w:val="32"/>
          <w:lang w:val="en-US" w:eastAsia="zh-CN"/>
        </w:rPr>
        <w:t>（五）可持续影响</w:t>
      </w:r>
    </w:p>
    <w:p w14:paraId="535F90FE">
      <w:pPr>
        <w:ind w:firstLine="755" w:firstLineChars="236"/>
        <w:rPr>
          <w:rFonts w:hint="eastAsia" w:ascii="仿宋" w:hAnsi="仿宋" w:eastAsia="仿宋" w:cs="仿宋"/>
          <w:w w:val="100"/>
          <w:sz w:val="32"/>
          <w:szCs w:val="32"/>
          <w:lang w:val="en-US" w:eastAsia="zh-CN"/>
        </w:rPr>
      </w:pPr>
      <w:r>
        <w:rPr>
          <w:rFonts w:hint="eastAsia" w:ascii="仿宋" w:hAnsi="仿宋" w:eastAsia="仿宋" w:cs="仿宋"/>
          <w:w w:val="100"/>
          <w:sz w:val="32"/>
          <w:szCs w:val="32"/>
          <w:lang w:val="en-US" w:eastAsia="zh-CN"/>
        </w:rPr>
        <w:t>制度长效化：出台《怀化市企业用工服务保障十二条措施》等12项制度，建立“四张清单”管理机制，将延迟退休改革等纳入常态化工作。</w:t>
      </w:r>
    </w:p>
    <w:p w14:paraId="657E3A28">
      <w:pPr>
        <w:ind w:firstLine="755" w:firstLineChars="236"/>
        <w:rPr>
          <w:rFonts w:hint="eastAsia" w:ascii="仿宋" w:hAnsi="仿宋" w:eastAsia="仿宋" w:cs="仿宋"/>
          <w:w w:val="100"/>
          <w:sz w:val="32"/>
          <w:szCs w:val="32"/>
          <w:lang w:val="en-US" w:eastAsia="zh-CN"/>
        </w:rPr>
      </w:pPr>
      <w:r>
        <w:rPr>
          <w:rFonts w:hint="eastAsia" w:ascii="仿宋" w:hAnsi="仿宋" w:eastAsia="仿宋" w:cs="仿宋"/>
          <w:w w:val="100"/>
          <w:sz w:val="32"/>
          <w:szCs w:val="32"/>
          <w:lang w:val="en-US" w:eastAsia="zh-CN"/>
        </w:rPr>
        <w:t>（六）服务对象满意度</w:t>
      </w:r>
    </w:p>
    <w:p w14:paraId="35259735">
      <w:pPr>
        <w:ind w:firstLine="755" w:firstLineChars="236"/>
        <w:rPr>
          <w:rFonts w:hint="eastAsia" w:ascii="仿宋" w:hAnsi="仿宋" w:eastAsia="仿宋" w:cs="仿宋"/>
          <w:w w:val="100"/>
          <w:sz w:val="32"/>
          <w:szCs w:val="32"/>
          <w:lang w:val="en-US" w:eastAsia="zh-CN"/>
        </w:rPr>
      </w:pPr>
      <w:r>
        <w:rPr>
          <w:rFonts w:hint="eastAsia" w:ascii="仿宋" w:hAnsi="仿宋" w:eastAsia="仿宋" w:cs="仿宋"/>
          <w:w w:val="100"/>
          <w:sz w:val="32"/>
          <w:szCs w:val="32"/>
          <w:lang w:val="en-US" w:eastAsia="zh-CN"/>
        </w:rPr>
        <w:t>群众满意度：参保群众对社保服务满意度92%，就业帮扶满意度95%，人社驿站便捷度满意度93%，农民工群体对劳动保障监察执法服务满意度90%。</w:t>
      </w:r>
    </w:p>
    <w:p w14:paraId="65A72C51">
      <w:pPr>
        <w:ind w:firstLine="755" w:firstLineChars="236"/>
        <w:rPr>
          <w:rFonts w:hint="eastAsia" w:ascii="仿宋" w:hAnsi="仿宋" w:eastAsia="仿宋" w:cs="仿宋"/>
          <w:w w:val="100"/>
          <w:sz w:val="32"/>
          <w:szCs w:val="32"/>
          <w:lang w:val="en-US" w:eastAsia="zh-CN"/>
        </w:rPr>
      </w:pPr>
      <w:r>
        <w:rPr>
          <w:rFonts w:hint="eastAsia" w:ascii="仿宋" w:hAnsi="仿宋" w:eastAsia="仿宋" w:cs="仿宋"/>
          <w:w w:val="100"/>
          <w:sz w:val="32"/>
          <w:szCs w:val="32"/>
          <w:lang w:val="en-US" w:eastAsia="zh-CN"/>
        </w:rPr>
        <w:t>企业满意度：用人单位对招聘会匹配度满意度85%，对社保降费政策支持度90%；医疗机构对工伤预防协作机制满意度85%，用人单位对劳动仲裁调解满意度95%。</w:t>
      </w:r>
    </w:p>
    <w:p w14:paraId="0685D08E">
      <w:pPr>
        <w:ind w:firstLine="755" w:firstLineChars="236"/>
        <w:rPr>
          <w:rFonts w:hint="eastAsia" w:ascii="仿宋" w:hAnsi="仿宋" w:eastAsia="仿宋" w:cs="仿宋"/>
          <w:w w:val="100"/>
          <w:sz w:val="32"/>
          <w:szCs w:val="32"/>
          <w:lang w:val="en-US" w:eastAsia="zh-CN"/>
        </w:rPr>
      </w:pPr>
      <w:r>
        <w:rPr>
          <w:rFonts w:hint="eastAsia" w:ascii="仿宋" w:hAnsi="仿宋" w:eastAsia="仿宋" w:cs="仿宋"/>
          <w:w w:val="100"/>
          <w:sz w:val="32"/>
          <w:szCs w:val="32"/>
          <w:lang w:val="en-US" w:eastAsia="zh-CN"/>
        </w:rPr>
        <w:t>九、存在的问题及原因分析</w:t>
      </w:r>
    </w:p>
    <w:p w14:paraId="4D49F6C7">
      <w:pPr>
        <w:ind w:firstLine="755" w:firstLineChars="236"/>
        <w:rPr>
          <w:rFonts w:hint="eastAsia" w:ascii="仿宋" w:hAnsi="仿宋" w:eastAsia="仿宋" w:cs="仿宋"/>
          <w:w w:val="100"/>
          <w:sz w:val="32"/>
          <w:szCs w:val="32"/>
          <w:lang w:val="en-US" w:eastAsia="zh-CN"/>
        </w:rPr>
      </w:pPr>
      <w:r>
        <w:rPr>
          <w:rFonts w:hint="eastAsia" w:ascii="仿宋" w:hAnsi="仿宋" w:eastAsia="仿宋" w:cs="仿宋"/>
          <w:w w:val="100"/>
          <w:sz w:val="32"/>
          <w:szCs w:val="32"/>
          <w:lang w:val="en-US" w:eastAsia="zh-CN"/>
        </w:rPr>
        <w:t>1、劳动保障监察执法工作有待加强。各级劳动保障监察机构人员普遍不足，有的县市区劳动保障监察执法人员仅两人，有的县市区撤并执法队伍，与其他部门共用一套人马；全市劳动监察机构普遍未配备专用执法车辆；执法经费严重不足；执法设备配置不全甚至没有配备，严重制约了执法行动的开展。</w:t>
      </w:r>
    </w:p>
    <w:p w14:paraId="13920CA6">
      <w:pPr>
        <w:ind w:firstLine="755" w:firstLineChars="236"/>
        <w:rPr>
          <w:rFonts w:hint="eastAsia" w:ascii="仿宋" w:hAnsi="仿宋" w:eastAsia="仿宋" w:cs="仿宋"/>
          <w:w w:val="100"/>
          <w:sz w:val="32"/>
          <w:szCs w:val="32"/>
          <w:lang w:val="en-US" w:eastAsia="zh-CN"/>
        </w:rPr>
      </w:pPr>
      <w:r>
        <w:rPr>
          <w:rFonts w:hint="eastAsia" w:ascii="仿宋" w:hAnsi="仿宋" w:eastAsia="仿宋" w:cs="仿宋"/>
          <w:w w:val="100"/>
          <w:sz w:val="32"/>
          <w:szCs w:val="32"/>
          <w:lang w:val="en-US" w:eastAsia="zh-CN"/>
        </w:rPr>
        <w:t>2、进一步强化部门联动解决欠薪问题。项目施工单位与分包单位结算纠纷，分包单位以讨要工资的名义讨要工程款，组织农民工上访的情况时有发生；还有一些分包单位或者个人编造虚假事实或者采取非法手段讨要农民工工资；有的通过组织未进施工现场工作的社会闲杂人员聚集讨薪，影响社会稳定和根治欠薪工作开展。</w:t>
      </w:r>
    </w:p>
    <w:p w14:paraId="0E2E39C9">
      <w:pPr>
        <w:ind w:firstLine="755" w:firstLineChars="236"/>
        <w:rPr>
          <w:rFonts w:hint="eastAsia" w:ascii="仿宋" w:hAnsi="仿宋" w:eastAsia="仿宋" w:cs="仿宋"/>
          <w:w w:val="100"/>
          <w:sz w:val="32"/>
          <w:szCs w:val="32"/>
          <w:lang w:val="en-US" w:eastAsia="zh-CN"/>
        </w:rPr>
      </w:pPr>
      <w:r>
        <w:rPr>
          <w:rFonts w:hint="eastAsia" w:ascii="仿宋" w:hAnsi="仿宋" w:eastAsia="仿宋" w:cs="仿宋"/>
          <w:w w:val="100"/>
          <w:sz w:val="32"/>
          <w:szCs w:val="32"/>
          <w:lang w:val="en-US" w:eastAsia="zh-CN"/>
        </w:rPr>
        <w:t>十、下一步改进措施</w:t>
      </w:r>
    </w:p>
    <w:p w14:paraId="32B912C6">
      <w:pPr>
        <w:ind w:firstLine="755" w:firstLineChars="236"/>
        <w:rPr>
          <w:rFonts w:hint="eastAsia" w:ascii="仿宋" w:hAnsi="仿宋" w:eastAsia="仿宋" w:cs="仿宋"/>
          <w:w w:val="100"/>
          <w:sz w:val="32"/>
          <w:szCs w:val="32"/>
          <w:lang w:val="en-US" w:eastAsia="zh-CN"/>
        </w:rPr>
      </w:pPr>
      <w:r>
        <w:rPr>
          <w:rFonts w:hint="eastAsia" w:ascii="仿宋" w:hAnsi="仿宋" w:eastAsia="仿宋" w:cs="仿宋"/>
          <w:w w:val="100"/>
          <w:sz w:val="32"/>
          <w:szCs w:val="32"/>
          <w:lang w:val="en-US" w:eastAsia="zh-CN"/>
        </w:rPr>
        <w:t>1、进一步强化劳动保障监察执法能力建设。争取增加劳动保障监察人员编制，配备专用执法车辆和必要的执法设备，加大执法经费投入，提升执法能力和效率。</w:t>
      </w:r>
    </w:p>
    <w:p w14:paraId="6CBB7D41">
      <w:pPr>
        <w:ind w:firstLine="755" w:firstLineChars="236"/>
        <w:rPr>
          <w:rFonts w:hint="eastAsia" w:ascii="仿宋" w:hAnsi="仿宋" w:eastAsia="仿宋" w:cs="仿宋"/>
          <w:w w:val="100"/>
          <w:sz w:val="32"/>
          <w:szCs w:val="32"/>
          <w:lang w:val="en-US" w:eastAsia="zh-CN"/>
        </w:rPr>
      </w:pPr>
      <w:r>
        <w:rPr>
          <w:rFonts w:hint="eastAsia" w:ascii="仿宋" w:hAnsi="仿宋" w:eastAsia="仿宋" w:cs="仿宋"/>
          <w:w w:val="100"/>
          <w:sz w:val="32"/>
          <w:szCs w:val="32"/>
          <w:lang w:val="en-US" w:eastAsia="zh-CN"/>
        </w:rPr>
        <w:t>2、进一步强化部门联动解决欠薪问题。加大执法力度，严厉查处欠薪行为。对已存在拖欠工资行为的建筑企业，如不能在规定的时限内解决拖欠问题，按规定对其进行相应的行政处理和处罚，及时递交法院申请强制执行；对涉嫌犯罪的，及时移交公安部门立案查处。严厉打击“以讨要工资名义讨要工程款”违法行为，建议相关部门研究界定讨薪行为，对以不正当手段讨薪的行为进行处罚，对不提供相关材料又不配合政府工作无理取闹的讨薪行为予以严厉打击。</w:t>
      </w:r>
    </w:p>
    <w:p w14:paraId="4E669AA1">
      <w:pPr>
        <w:ind w:firstLine="755" w:firstLineChars="236"/>
        <w:rPr>
          <w:rFonts w:hint="eastAsia" w:ascii="仿宋" w:hAnsi="仿宋" w:eastAsia="仿宋" w:cs="仿宋"/>
          <w:w w:val="100"/>
          <w:sz w:val="32"/>
          <w:szCs w:val="32"/>
          <w:lang w:val="en-US" w:eastAsia="zh-CN"/>
        </w:rPr>
      </w:pPr>
      <w:r>
        <w:rPr>
          <w:rFonts w:hint="eastAsia" w:ascii="仿宋" w:hAnsi="仿宋" w:eastAsia="仿宋" w:cs="仿宋"/>
          <w:w w:val="100"/>
          <w:sz w:val="32"/>
          <w:szCs w:val="32"/>
          <w:lang w:val="en-US" w:eastAsia="zh-CN"/>
        </w:rPr>
        <w:t>十一、绩效自评结果拟应用和公开情况</w:t>
      </w:r>
    </w:p>
    <w:p w14:paraId="7BEEFE99">
      <w:pPr>
        <w:ind w:firstLine="755" w:firstLineChars="236"/>
        <w:rPr>
          <w:rFonts w:hint="eastAsia" w:ascii="仿宋" w:hAnsi="仿宋" w:eastAsia="仿宋" w:cs="仿宋"/>
          <w:w w:val="100"/>
          <w:sz w:val="32"/>
          <w:szCs w:val="32"/>
          <w:lang w:val="en-US" w:eastAsia="zh-CN"/>
        </w:rPr>
      </w:pPr>
      <w:r>
        <w:rPr>
          <w:rFonts w:hint="eastAsia" w:ascii="仿宋" w:hAnsi="仿宋" w:eastAsia="仿宋" w:cs="仿宋"/>
          <w:w w:val="100"/>
          <w:sz w:val="32"/>
          <w:szCs w:val="32"/>
          <w:lang w:val="en-US" w:eastAsia="zh-CN"/>
        </w:rPr>
        <w:t>作为2025年预算编制依据，对绩效优良的人社驿站、职业技能培训项目、农民工工资维权、劳动保障监察经费增加预算20%；针对基层短板，新增“基层人才培养”项目，预算100万元，形成“评价-整改-提升”闭环。自评报告经局党组审议后，于2025年3月31日前在官网公示。</w:t>
      </w:r>
    </w:p>
    <w:p w14:paraId="0CD0B65D">
      <w:pPr>
        <w:ind w:firstLine="755" w:firstLineChars="236"/>
        <w:rPr>
          <w:rFonts w:hint="eastAsia" w:ascii="仿宋" w:hAnsi="仿宋" w:eastAsia="仿宋" w:cs="仿宋"/>
          <w:w w:val="100"/>
          <w:sz w:val="32"/>
          <w:szCs w:val="32"/>
          <w:lang w:val="en-US" w:eastAsia="zh-CN"/>
        </w:rPr>
      </w:pPr>
      <w:r>
        <w:rPr>
          <w:rFonts w:hint="eastAsia" w:ascii="仿宋" w:hAnsi="仿宋" w:eastAsia="仿宋" w:cs="仿宋"/>
          <w:w w:val="100"/>
          <w:sz w:val="32"/>
          <w:szCs w:val="32"/>
          <w:lang w:val="en-US" w:eastAsia="zh-CN"/>
        </w:rPr>
        <w:t>十二、其他需要说明的情况</w:t>
      </w:r>
    </w:p>
    <w:p w14:paraId="20D50F37">
      <w:pPr>
        <w:ind w:firstLine="755" w:firstLineChars="236"/>
        <w:rPr>
          <w:rFonts w:hint="eastAsia" w:ascii="仿宋" w:hAnsi="仿宋" w:eastAsia="仿宋" w:cs="仿宋"/>
          <w:w w:val="100"/>
          <w:sz w:val="32"/>
          <w:szCs w:val="32"/>
          <w:lang w:val="en-US" w:eastAsia="zh-CN"/>
        </w:rPr>
      </w:pPr>
      <w:r>
        <w:rPr>
          <w:rFonts w:hint="eastAsia" w:ascii="仿宋" w:hAnsi="仿宋" w:eastAsia="仿宋" w:cs="仿宋"/>
          <w:w w:val="100"/>
          <w:sz w:val="32"/>
          <w:szCs w:val="32"/>
          <w:lang w:val="en-US" w:eastAsia="zh-CN"/>
        </w:rPr>
        <w:t>无</w:t>
      </w:r>
    </w:p>
    <w:p w14:paraId="36112A80">
      <w:pPr>
        <w:pStyle w:val="13"/>
        <w:jc w:val="center"/>
        <w:rPr>
          <w:rFonts w:ascii="Times New Roman" w:hAnsi="Times New Roman" w:cs="Times New Roman"/>
          <w:sz w:val="72"/>
          <w:szCs w:val="72"/>
        </w:rPr>
      </w:pPr>
    </w:p>
    <w:p w14:paraId="477B8E44">
      <w:pPr>
        <w:jc w:val="left"/>
        <w:rPr>
          <w:rFonts w:ascii="Times New Roman" w:hAnsi="Times New Roman" w:cs="Times New Roman"/>
          <w:color w:val="000000"/>
          <w:kern w:val="0"/>
          <w:sz w:val="32"/>
          <w:szCs w:val="32"/>
        </w:rPr>
      </w:pPr>
    </w:p>
    <w:sectPr>
      <w:pgSz w:w="11906" w:h="16838"/>
      <w:pgMar w:top="1417" w:right="1588" w:bottom="1417" w:left="158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10601030101010101"/>
    <w:charset w:val="86"/>
    <w:family w:val="auto"/>
    <w:pitch w:val="default"/>
    <w:sig w:usb0="00000000" w:usb1="00000000" w:usb2="00000010" w:usb3="00000000" w:csb0="00040000" w:csb1="00000000"/>
  </w:font>
  <w:font w:name="方正小标宋_GBK">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8E01EB">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DCF0F4">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A69577">
    <w:pPr>
      <w:pStyle w:val="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CC8FCF">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7B3EAB">
                          <w:pPr>
                            <w:pStyle w:val="5"/>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707B3EAB">
                    <w:pPr>
                      <w:pStyle w:val="5"/>
                    </w:pPr>
                    <w:r>
                      <w:fldChar w:fldCharType="begin"/>
                    </w:r>
                    <w:r>
                      <w:instrText xml:space="preserve"> PAGE  \* MERGEFORMAT </w:instrText>
                    </w:r>
                    <w:r>
                      <w:fldChar w:fldCharType="separate"/>
                    </w:r>
                    <w:r>
                      <w:t>20</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584D779"/>
    <w:multiLevelType w:val="singleLevel"/>
    <w:tmpl w:val="A584D779"/>
    <w:lvl w:ilvl="0" w:tentative="0">
      <w:start w:val="3"/>
      <w:numFmt w:val="decimal"/>
      <w:suff w:val="nothing"/>
      <w:lvlText w:val="%1、"/>
      <w:lvlJc w:val="left"/>
      <w:pPr>
        <w:ind w:left="-10"/>
      </w:pPr>
    </w:lvl>
  </w:abstractNum>
  <w:abstractNum w:abstractNumId="1">
    <w:nsid w:val="59C290A8"/>
    <w:multiLevelType w:val="singleLevel"/>
    <w:tmpl w:val="59C290A8"/>
    <w:lvl w:ilvl="0" w:tentative="0">
      <w:start w:val="7"/>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6F9"/>
    <w:rsid w:val="0000001A"/>
    <w:rsid w:val="0002229B"/>
    <w:rsid w:val="000273BD"/>
    <w:rsid w:val="0003620C"/>
    <w:rsid w:val="00040CBC"/>
    <w:rsid w:val="000415B7"/>
    <w:rsid w:val="00041E3F"/>
    <w:rsid w:val="00055DAA"/>
    <w:rsid w:val="00061F7B"/>
    <w:rsid w:val="000658A3"/>
    <w:rsid w:val="00074155"/>
    <w:rsid w:val="00080785"/>
    <w:rsid w:val="000A3F69"/>
    <w:rsid w:val="000B20F1"/>
    <w:rsid w:val="000C5742"/>
    <w:rsid w:val="00103957"/>
    <w:rsid w:val="00152C6D"/>
    <w:rsid w:val="00162D39"/>
    <w:rsid w:val="001678BD"/>
    <w:rsid w:val="00182373"/>
    <w:rsid w:val="001A67DB"/>
    <w:rsid w:val="001B67D1"/>
    <w:rsid w:val="001C3C29"/>
    <w:rsid w:val="001D2B79"/>
    <w:rsid w:val="001D51E5"/>
    <w:rsid w:val="001E080D"/>
    <w:rsid w:val="001E53D0"/>
    <w:rsid w:val="001F0C3B"/>
    <w:rsid w:val="00202C82"/>
    <w:rsid w:val="00214427"/>
    <w:rsid w:val="00220689"/>
    <w:rsid w:val="00221AFD"/>
    <w:rsid w:val="00226CB7"/>
    <w:rsid w:val="00252450"/>
    <w:rsid w:val="00264552"/>
    <w:rsid w:val="00264EF9"/>
    <w:rsid w:val="00265724"/>
    <w:rsid w:val="0027426B"/>
    <w:rsid w:val="00296D60"/>
    <w:rsid w:val="002E0A30"/>
    <w:rsid w:val="0030077D"/>
    <w:rsid w:val="003130C4"/>
    <w:rsid w:val="00316C4B"/>
    <w:rsid w:val="0032192B"/>
    <w:rsid w:val="0033283E"/>
    <w:rsid w:val="003479BD"/>
    <w:rsid w:val="0037197D"/>
    <w:rsid w:val="003768D5"/>
    <w:rsid w:val="003926B9"/>
    <w:rsid w:val="003C2E17"/>
    <w:rsid w:val="003C47E6"/>
    <w:rsid w:val="003C4FC2"/>
    <w:rsid w:val="00401F9A"/>
    <w:rsid w:val="00416E61"/>
    <w:rsid w:val="0042790C"/>
    <w:rsid w:val="004506F9"/>
    <w:rsid w:val="00462315"/>
    <w:rsid w:val="004717A2"/>
    <w:rsid w:val="00473DF3"/>
    <w:rsid w:val="00487911"/>
    <w:rsid w:val="00490F48"/>
    <w:rsid w:val="00491741"/>
    <w:rsid w:val="004B0CEE"/>
    <w:rsid w:val="004C2A0A"/>
    <w:rsid w:val="004F5EFB"/>
    <w:rsid w:val="00500E5F"/>
    <w:rsid w:val="005122EF"/>
    <w:rsid w:val="0051441A"/>
    <w:rsid w:val="00517C33"/>
    <w:rsid w:val="00517D5F"/>
    <w:rsid w:val="00523644"/>
    <w:rsid w:val="0054069E"/>
    <w:rsid w:val="00544866"/>
    <w:rsid w:val="00552A3D"/>
    <w:rsid w:val="00574CC8"/>
    <w:rsid w:val="005767CC"/>
    <w:rsid w:val="00590D9F"/>
    <w:rsid w:val="00595D26"/>
    <w:rsid w:val="005A74E6"/>
    <w:rsid w:val="005B404E"/>
    <w:rsid w:val="005D4D55"/>
    <w:rsid w:val="005E0E6C"/>
    <w:rsid w:val="005E2CFB"/>
    <w:rsid w:val="005F2103"/>
    <w:rsid w:val="005F3D1C"/>
    <w:rsid w:val="005F4189"/>
    <w:rsid w:val="006171EE"/>
    <w:rsid w:val="0062378F"/>
    <w:rsid w:val="00641842"/>
    <w:rsid w:val="00651EEC"/>
    <w:rsid w:val="00686673"/>
    <w:rsid w:val="00691E8C"/>
    <w:rsid w:val="006A22C4"/>
    <w:rsid w:val="006A351B"/>
    <w:rsid w:val="006B0422"/>
    <w:rsid w:val="006C1B53"/>
    <w:rsid w:val="006D7730"/>
    <w:rsid w:val="006E5284"/>
    <w:rsid w:val="006F3EB5"/>
    <w:rsid w:val="006F56C8"/>
    <w:rsid w:val="00702E34"/>
    <w:rsid w:val="00704395"/>
    <w:rsid w:val="00710FE7"/>
    <w:rsid w:val="00717621"/>
    <w:rsid w:val="00720FF1"/>
    <w:rsid w:val="00727A53"/>
    <w:rsid w:val="007502DE"/>
    <w:rsid w:val="00787B42"/>
    <w:rsid w:val="007C4539"/>
    <w:rsid w:val="007F3657"/>
    <w:rsid w:val="00810F0C"/>
    <w:rsid w:val="00811AA2"/>
    <w:rsid w:val="00812ED5"/>
    <w:rsid w:val="008277D9"/>
    <w:rsid w:val="0084478C"/>
    <w:rsid w:val="0086638C"/>
    <w:rsid w:val="008764FA"/>
    <w:rsid w:val="008A1079"/>
    <w:rsid w:val="008A3E8D"/>
    <w:rsid w:val="008A5055"/>
    <w:rsid w:val="008D17F4"/>
    <w:rsid w:val="009237C4"/>
    <w:rsid w:val="00944C48"/>
    <w:rsid w:val="00950252"/>
    <w:rsid w:val="00967F5D"/>
    <w:rsid w:val="009A0F95"/>
    <w:rsid w:val="009B3ADF"/>
    <w:rsid w:val="009C31C5"/>
    <w:rsid w:val="009C3B52"/>
    <w:rsid w:val="009E6817"/>
    <w:rsid w:val="009E6E9A"/>
    <w:rsid w:val="00A01D2B"/>
    <w:rsid w:val="00A1392A"/>
    <w:rsid w:val="00A42218"/>
    <w:rsid w:val="00A70249"/>
    <w:rsid w:val="00A70B02"/>
    <w:rsid w:val="00A71D9F"/>
    <w:rsid w:val="00A92E9F"/>
    <w:rsid w:val="00AB18FF"/>
    <w:rsid w:val="00B26269"/>
    <w:rsid w:val="00B33BEA"/>
    <w:rsid w:val="00B57C9F"/>
    <w:rsid w:val="00B63572"/>
    <w:rsid w:val="00B845B3"/>
    <w:rsid w:val="00B85D8B"/>
    <w:rsid w:val="00BB4A40"/>
    <w:rsid w:val="00BD6022"/>
    <w:rsid w:val="00BD6C3E"/>
    <w:rsid w:val="00BE3674"/>
    <w:rsid w:val="00C10681"/>
    <w:rsid w:val="00C10822"/>
    <w:rsid w:val="00C15C89"/>
    <w:rsid w:val="00C27C0D"/>
    <w:rsid w:val="00C3049A"/>
    <w:rsid w:val="00C31B1E"/>
    <w:rsid w:val="00C32F2E"/>
    <w:rsid w:val="00C73888"/>
    <w:rsid w:val="00C77645"/>
    <w:rsid w:val="00CE04C3"/>
    <w:rsid w:val="00CE34BE"/>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12B7519"/>
    <w:rsid w:val="05A2224D"/>
    <w:rsid w:val="0D132C19"/>
    <w:rsid w:val="10BB15FD"/>
    <w:rsid w:val="11561326"/>
    <w:rsid w:val="129C545E"/>
    <w:rsid w:val="13231C83"/>
    <w:rsid w:val="1A136006"/>
    <w:rsid w:val="1A7840BB"/>
    <w:rsid w:val="1B000A94"/>
    <w:rsid w:val="1D97DEFF"/>
    <w:rsid w:val="1DA3286F"/>
    <w:rsid w:val="1DFF72E5"/>
    <w:rsid w:val="1EFC6F07"/>
    <w:rsid w:val="25840E4D"/>
    <w:rsid w:val="2B0322FE"/>
    <w:rsid w:val="2FDF85B8"/>
    <w:rsid w:val="2FFFEE04"/>
    <w:rsid w:val="32CE2FBA"/>
    <w:rsid w:val="33CB12A8"/>
    <w:rsid w:val="34DF85B0"/>
    <w:rsid w:val="39D54C2E"/>
    <w:rsid w:val="3B8F36BC"/>
    <w:rsid w:val="3EAD617A"/>
    <w:rsid w:val="430345BA"/>
    <w:rsid w:val="46244F73"/>
    <w:rsid w:val="47DF7B50"/>
    <w:rsid w:val="491FF225"/>
    <w:rsid w:val="498B5309"/>
    <w:rsid w:val="4EB81735"/>
    <w:rsid w:val="4FFD214C"/>
    <w:rsid w:val="529A65BD"/>
    <w:rsid w:val="53394028"/>
    <w:rsid w:val="5777D4F5"/>
    <w:rsid w:val="59214AA1"/>
    <w:rsid w:val="59DD8326"/>
    <w:rsid w:val="5DEF592A"/>
    <w:rsid w:val="5EF01A3F"/>
    <w:rsid w:val="5FC6BB1E"/>
    <w:rsid w:val="5FF720F1"/>
    <w:rsid w:val="64AD03D2"/>
    <w:rsid w:val="657131AE"/>
    <w:rsid w:val="663D12E2"/>
    <w:rsid w:val="66E0683D"/>
    <w:rsid w:val="67EE31DB"/>
    <w:rsid w:val="67FF5C0B"/>
    <w:rsid w:val="682E5386"/>
    <w:rsid w:val="6AE362CD"/>
    <w:rsid w:val="6EFC0924"/>
    <w:rsid w:val="6FB74722"/>
    <w:rsid w:val="6FEF8B7E"/>
    <w:rsid w:val="70003AAC"/>
    <w:rsid w:val="71A6591B"/>
    <w:rsid w:val="737D59BA"/>
    <w:rsid w:val="76283D5C"/>
    <w:rsid w:val="77C10421"/>
    <w:rsid w:val="77C37683"/>
    <w:rsid w:val="79D19834"/>
    <w:rsid w:val="79FF515B"/>
    <w:rsid w:val="7E9E1962"/>
    <w:rsid w:val="7E9F11B4"/>
    <w:rsid w:val="7F37EC1E"/>
    <w:rsid w:val="7F7DCD9D"/>
    <w:rsid w:val="7F970A6F"/>
    <w:rsid w:val="7FC1FFF3"/>
    <w:rsid w:val="7FC69637"/>
    <w:rsid w:val="7FDF8620"/>
    <w:rsid w:val="7FE8C8F7"/>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3">
    <w:name w:val="Body Text First Indent 2"/>
    <w:basedOn w:val="2"/>
    <w:next w:val="1"/>
    <w:unhideWhenUsed/>
    <w:qFormat/>
    <w:uiPriority w:val="99"/>
    <w:pPr>
      <w:ind w:firstLine="420" w:firstLineChars="200"/>
    </w:pPr>
  </w:style>
  <w:style w:type="paragraph" w:styleId="4">
    <w:name w:val="Balloon Text"/>
    <w:basedOn w:val="1"/>
    <w:link w:val="15"/>
    <w:semiHidden/>
    <w:unhideWhenUsed/>
    <w:qFormat/>
    <w:uiPriority w:val="99"/>
    <w:rPr>
      <w:sz w:val="18"/>
      <w:szCs w:val="18"/>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footnote text"/>
    <w:basedOn w:val="1"/>
    <w:next w:val="3"/>
    <w:semiHidden/>
    <w:qFormat/>
    <w:uiPriority w:val="0"/>
    <w:pPr>
      <w:snapToGrid w:val="0"/>
      <w:jc w:val="left"/>
    </w:pPr>
    <w:rPr>
      <w:sz w:val="18"/>
      <w:szCs w:val="18"/>
    </w:rPr>
  </w:style>
  <w:style w:type="paragraph" w:styleId="8">
    <w:name w:val="Normal (Web)"/>
    <w:basedOn w:val="1"/>
    <w:unhideWhenUsed/>
    <w:qFormat/>
    <w:uiPriority w:val="99"/>
    <w:pPr>
      <w:spacing w:before="100" w:beforeAutospacing="1" w:after="100" w:afterAutospacing="1"/>
    </w:pPr>
  </w:style>
  <w:style w:type="character" w:customStyle="1" w:styleId="11">
    <w:name w:val="页眉 Char"/>
    <w:basedOn w:val="10"/>
    <w:link w:val="6"/>
    <w:qFormat/>
    <w:uiPriority w:val="99"/>
    <w:rPr>
      <w:sz w:val="18"/>
      <w:szCs w:val="18"/>
    </w:rPr>
  </w:style>
  <w:style w:type="character" w:customStyle="1" w:styleId="12">
    <w:name w:val="页脚 Char"/>
    <w:basedOn w:val="10"/>
    <w:link w:val="5"/>
    <w:qFormat/>
    <w:uiPriority w:val="99"/>
    <w:rPr>
      <w:sz w:val="18"/>
      <w:szCs w:val="18"/>
    </w:rPr>
  </w:style>
  <w:style w:type="paragraph" w:customStyle="1" w:styleId="13">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4">
    <w:name w:val="List Paragraph"/>
    <w:basedOn w:val="1"/>
    <w:qFormat/>
    <w:uiPriority w:val="34"/>
    <w:pPr>
      <w:ind w:firstLine="420" w:firstLineChars="200"/>
    </w:pPr>
  </w:style>
  <w:style w:type="character" w:customStyle="1" w:styleId="15">
    <w:name w:val="批注框文本 Char"/>
    <w:basedOn w:val="10"/>
    <w:link w:val="4"/>
    <w:semiHidden/>
    <w:qFormat/>
    <w:uiPriority w:val="99"/>
    <w:rPr>
      <w:sz w:val="18"/>
      <w:szCs w:val="18"/>
    </w:rPr>
  </w:style>
  <w:style w:type="character" w:customStyle="1" w:styleId="16">
    <w:name w:val="font01"/>
    <w:basedOn w:val="10"/>
    <w:qFormat/>
    <w:uiPriority w:val="0"/>
    <w:rPr>
      <w:rFonts w:hint="eastAsia" w:ascii="宋体" w:hAnsi="宋体" w:eastAsia="宋体" w:cs="宋体"/>
      <w:color w:val="000000"/>
      <w:sz w:val="22"/>
      <w:szCs w:val="22"/>
      <w:u w:val="none"/>
    </w:rPr>
  </w:style>
  <w:style w:type="character" w:customStyle="1" w:styleId="17">
    <w:name w:val="font21"/>
    <w:basedOn w:val="10"/>
    <w:qFormat/>
    <w:uiPriority w:val="0"/>
    <w:rPr>
      <w:rFonts w:hint="eastAsia" w:ascii="宋体" w:hAnsi="宋体" w:eastAsia="宋体" w:cs="宋体"/>
      <w:color w:val="000000"/>
      <w:sz w:val="24"/>
      <w:szCs w:val="24"/>
      <w:u w:val="none"/>
    </w:rPr>
  </w:style>
  <w:style w:type="character" w:customStyle="1" w:styleId="18">
    <w:name w:val="font11"/>
    <w:basedOn w:val="10"/>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40</Pages>
  <Words>8321</Words>
  <Characters>9082</Characters>
  <Lines>69</Lines>
  <Paragraphs>19</Paragraphs>
  <TotalTime>10</TotalTime>
  <ScaleCrop>false</ScaleCrop>
  <LinksUpToDate>false</LinksUpToDate>
  <CharactersWithSpaces>9112</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2025-08-18T10:17:00Z</dcterms:created>
  <dc:creator>李航 null</dc:creator>
  <cp:lastModifiedBy>dj</cp:lastModifiedBy>
  <cp:lastPrinted>2024-08-08T18:20:00Z</cp:lastPrinted>
  <dcterms:modified xsi:type="dcterms:W3CDTF">2025-10-09T02:36:31Z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BB7B6AA21D207914D6FDA268992A22D6</vt:lpwstr>
  </property>
  <property fmtid="{D5CDD505-2E9C-101B-9397-08002B2CF9AE}" pid="4" name="KSOTemplateDocerSaveRecord">
    <vt:lpwstr>eyJoZGlkIjoiYzhmNWM0MzM0YjMyZTJlN2MxZmM0YzBlNWJkZGFlYTUiLCJ1c2VySWQiOiI3MjI1NzQyODgifQ==</vt:lpwstr>
  </property>
</Properties>
</file>