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2B4E1">
      <w:pPr>
        <w:pStyle w:val="14"/>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3555E">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9E3555E">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667ED713">
      <w:pPr>
        <w:pStyle w:val="14"/>
        <w:jc w:val="center"/>
        <w:rPr>
          <w:sz w:val="56"/>
          <w:szCs w:val="56"/>
        </w:rPr>
      </w:pPr>
    </w:p>
    <w:p w14:paraId="12AC21D3">
      <w:pPr>
        <w:pStyle w:val="14"/>
        <w:jc w:val="center"/>
        <w:rPr>
          <w:sz w:val="84"/>
          <w:szCs w:val="84"/>
        </w:rPr>
      </w:pPr>
    </w:p>
    <w:p w14:paraId="001870D8">
      <w:pPr>
        <w:pStyle w:val="14"/>
        <w:jc w:val="center"/>
        <w:rPr>
          <w:sz w:val="84"/>
          <w:szCs w:val="84"/>
        </w:rPr>
      </w:pPr>
    </w:p>
    <w:p w14:paraId="68DA95D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C75A073">
      <w:pPr>
        <w:pStyle w:val="14"/>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怀化市卫生健康委员会</w:t>
      </w:r>
    </w:p>
    <w:p w14:paraId="6C4DACDA">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57E98CBF">
      <w:pPr>
        <w:pStyle w:val="14"/>
        <w:jc w:val="center"/>
        <w:rPr>
          <w:rFonts w:hint="eastAsia" w:ascii="方正小标宋_GBK" w:hAnsi="方正小标宋_GBK" w:eastAsia="方正小标宋_GBK" w:cs="方正小标宋_GBK"/>
          <w:sz w:val="56"/>
          <w:szCs w:val="56"/>
        </w:rPr>
      </w:pPr>
    </w:p>
    <w:p w14:paraId="28005B92">
      <w:pPr>
        <w:pStyle w:val="14"/>
        <w:jc w:val="center"/>
        <w:rPr>
          <w:sz w:val="56"/>
          <w:szCs w:val="56"/>
        </w:rPr>
      </w:pPr>
    </w:p>
    <w:p w14:paraId="42C7DC42">
      <w:pPr>
        <w:pStyle w:val="14"/>
        <w:jc w:val="center"/>
        <w:rPr>
          <w:sz w:val="56"/>
          <w:szCs w:val="56"/>
        </w:rPr>
      </w:pPr>
    </w:p>
    <w:p w14:paraId="135FBD4F">
      <w:pPr>
        <w:pStyle w:val="14"/>
        <w:jc w:val="center"/>
        <w:rPr>
          <w:sz w:val="56"/>
          <w:szCs w:val="56"/>
        </w:rPr>
      </w:pPr>
    </w:p>
    <w:p w14:paraId="6AD7E50D">
      <w:pPr>
        <w:pStyle w:val="14"/>
        <w:jc w:val="center"/>
        <w:rPr>
          <w:sz w:val="32"/>
          <w:szCs w:val="32"/>
        </w:rPr>
      </w:pPr>
    </w:p>
    <w:p w14:paraId="48B8C7DA">
      <w:pPr>
        <w:pStyle w:val="14"/>
        <w:jc w:val="center"/>
        <w:rPr>
          <w:sz w:val="32"/>
          <w:szCs w:val="32"/>
        </w:rPr>
      </w:pPr>
    </w:p>
    <w:p w14:paraId="367DDADF">
      <w:pPr>
        <w:pStyle w:val="14"/>
        <w:jc w:val="center"/>
        <w:rPr>
          <w:sz w:val="32"/>
          <w:szCs w:val="32"/>
        </w:rPr>
      </w:pPr>
    </w:p>
    <w:p w14:paraId="7F3EE005">
      <w:pPr>
        <w:pStyle w:val="14"/>
        <w:jc w:val="center"/>
        <w:rPr>
          <w:sz w:val="32"/>
          <w:szCs w:val="32"/>
        </w:rPr>
      </w:pPr>
    </w:p>
    <w:p w14:paraId="4CB690AB">
      <w:pPr>
        <w:pStyle w:val="14"/>
        <w:spacing w:line="500" w:lineRule="exact"/>
        <w:jc w:val="center"/>
        <w:rPr>
          <w:b/>
          <w:sz w:val="36"/>
          <w:szCs w:val="28"/>
        </w:rPr>
      </w:pPr>
      <w:r>
        <w:rPr>
          <w:rFonts w:hint="eastAsia"/>
          <w:b/>
          <w:sz w:val="36"/>
          <w:szCs w:val="28"/>
        </w:rPr>
        <w:t>目录</w:t>
      </w:r>
    </w:p>
    <w:p w14:paraId="63F859A3">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怀化市卫生健康委员会</w:t>
      </w:r>
      <w:r>
        <w:rPr>
          <w:rFonts w:hint="eastAsia" w:ascii="黑体" w:hAnsi="黑体" w:eastAsia="黑体" w:cs="黑体"/>
          <w:b w:val="0"/>
          <w:bCs/>
          <w:sz w:val="28"/>
          <w:szCs w:val="28"/>
        </w:rPr>
        <w:t>概况</w:t>
      </w:r>
    </w:p>
    <w:p w14:paraId="164290DB">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15F933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E64546C">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2973DCB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00BF574">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AFA65D5">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47DE3F22">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8C28267">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BF503EE">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C6A4923">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EA3BC1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15A27B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873F1FE">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360064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EE80C2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58F369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26C7CB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59F6BF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4E75685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082434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7402250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002560C">
      <w:pPr>
        <w:autoSpaceDE w:val="0"/>
        <w:autoSpaceDN w:val="0"/>
        <w:adjustRightInd w:val="0"/>
        <w:spacing w:line="500" w:lineRule="exact"/>
        <w:ind w:firstLine="700" w:firstLineChars="25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九、国有资本经营预算收入支出决算情况</w:t>
      </w:r>
    </w:p>
    <w:p w14:paraId="4666EB3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519E06E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1DD4EDF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715250FF">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1C6C5390">
      <w:pPr>
        <w:pStyle w:val="14"/>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02A91E80">
      <w:pPr>
        <w:pStyle w:val="14"/>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F795E25">
      <w:pPr>
        <w:pStyle w:val="14"/>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7F125C7E">
      <w:pPr>
        <w:pStyle w:val="14"/>
        <w:spacing w:line="500" w:lineRule="exact"/>
        <w:rPr>
          <w:rFonts w:hint="eastAsia" w:ascii="黑体" w:hAnsi="黑体" w:eastAsia="黑体" w:cs="黑体"/>
          <w:b w:val="0"/>
          <w:bCs/>
          <w:sz w:val="28"/>
          <w:szCs w:val="28"/>
        </w:rPr>
      </w:pPr>
    </w:p>
    <w:p w14:paraId="370E6A1D">
      <w:pPr>
        <w:jc w:val="center"/>
        <w:rPr>
          <w:sz w:val="72"/>
          <w:szCs w:val="72"/>
        </w:rPr>
      </w:pPr>
    </w:p>
    <w:p w14:paraId="2F385455">
      <w:pPr>
        <w:jc w:val="center"/>
        <w:rPr>
          <w:sz w:val="72"/>
          <w:szCs w:val="72"/>
        </w:rPr>
      </w:pPr>
    </w:p>
    <w:p w14:paraId="578352DE">
      <w:pPr>
        <w:jc w:val="center"/>
        <w:rPr>
          <w:sz w:val="72"/>
          <w:szCs w:val="72"/>
        </w:rPr>
      </w:pPr>
    </w:p>
    <w:p w14:paraId="48758037">
      <w:pPr>
        <w:jc w:val="center"/>
        <w:rPr>
          <w:sz w:val="72"/>
          <w:szCs w:val="72"/>
        </w:rPr>
      </w:pPr>
    </w:p>
    <w:p w14:paraId="63C875B5">
      <w:pPr>
        <w:rPr>
          <w:rFonts w:hint="eastAsia" w:ascii="方正小标宋_GBK" w:hAnsi="方正小标宋_GBK" w:eastAsia="方正小标宋_GBK" w:cs="方正小标宋_GBK"/>
          <w:sz w:val="72"/>
          <w:szCs w:val="72"/>
        </w:rPr>
      </w:pPr>
    </w:p>
    <w:p w14:paraId="50DA70DD">
      <w:pPr>
        <w:pStyle w:val="14"/>
        <w:jc w:val="center"/>
        <w:rPr>
          <w:rFonts w:hint="eastAsia" w:ascii="方正小标宋_GBK" w:hAnsi="方正小标宋_GBK" w:eastAsia="方正小标宋_GBK" w:cs="方正小标宋_GBK"/>
          <w:sz w:val="84"/>
          <w:szCs w:val="84"/>
        </w:rPr>
      </w:pPr>
    </w:p>
    <w:p w14:paraId="08304072">
      <w:pPr>
        <w:pStyle w:val="14"/>
        <w:jc w:val="center"/>
        <w:rPr>
          <w:rFonts w:hint="eastAsia" w:ascii="方正小标宋_GBK" w:hAnsi="方正小标宋_GBK" w:eastAsia="方正小标宋_GBK" w:cs="方正小标宋_GBK"/>
          <w:sz w:val="84"/>
          <w:szCs w:val="84"/>
        </w:rPr>
      </w:pPr>
    </w:p>
    <w:p w14:paraId="505A64CA">
      <w:pPr>
        <w:pStyle w:val="14"/>
        <w:jc w:val="center"/>
        <w:rPr>
          <w:rFonts w:hint="eastAsia" w:ascii="方正小标宋_GBK" w:hAnsi="方正小标宋_GBK" w:eastAsia="方正小标宋_GBK" w:cs="方正小标宋_GBK"/>
          <w:sz w:val="84"/>
          <w:szCs w:val="84"/>
        </w:rPr>
      </w:pPr>
    </w:p>
    <w:p w14:paraId="7D42D08B">
      <w:pPr>
        <w:pStyle w:val="14"/>
        <w:jc w:val="center"/>
        <w:rPr>
          <w:rFonts w:hint="eastAsia" w:ascii="方正小标宋_GBK" w:hAnsi="方正小标宋_GBK" w:eastAsia="方正小标宋_GBK" w:cs="方正小标宋_GBK"/>
          <w:sz w:val="84"/>
          <w:szCs w:val="84"/>
        </w:rPr>
      </w:pPr>
    </w:p>
    <w:p w14:paraId="24F6F79F">
      <w:pPr>
        <w:pStyle w:val="14"/>
        <w:jc w:val="center"/>
        <w:rPr>
          <w:rFonts w:hint="eastAsia" w:ascii="方正小标宋_GBK" w:hAnsi="方正小标宋_GBK" w:eastAsia="方正小标宋_GBK" w:cs="方正小标宋_GBK"/>
          <w:sz w:val="84"/>
          <w:szCs w:val="84"/>
        </w:rPr>
      </w:pPr>
    </w:p>
    <w:p w14:paraId="1663E05E">
      <w:pPr>
        <w:pStyle w:val="14"/>
        <w:jc w:val="center"/>
        <w:rPr>
          <w:rFonts w:hint="eastAsia" w:ascii="方正小标宋_GBK" w:hAnsi="方正小标宋_GBK" w:eastAsia="方正小标宋_GBK" w:cs="方正小标宋_GBK"/>
          <w:sz w:val="84"/>
          <w:szCs w:val="84"/>
        </w:rPr>
      </w:pPr>
    </w:p>
    <w:p w14:paraId="39B788D6">
      <w:pPr>
        <w:pStyle w:val="14"/>
        <w:jc w:val="center"/>
        <w:rPr>
          <w:rFonts w:hint="eastAsia" w:ascii="方正小标宋_GBK" w:hAnsi="方正小标宋_GBK" w:eastAsia="方正小标宋_GBK" w:cs="方正小标宋_GBK"/>
          <w:sz w:val="84"/>
          <w:szCs w:val="84"/>
        </w:rPr>
      </w:pPr>
    </w:p>
    <w:p w14:paraId="23D2D2BD">
      <w:pPr>
        <w:pStyle w:val="14"/>
        <w:jc w:val="center"/>
        <w:rPr>
          <w:rFonts w:hint="eastAsia" w:ascii="方正小标宋_GBK" w:hAnsi="方正小标宋_GBK" w:eastAsia="方正小标宋_GBK" w:cs="方正小标宋_GBK"/>
          <w:sz w:val="84"/>
          <w:szCs w:val="84"/>
        </w:rPr>
      </w:pPr>
    </w:p>
    <w:p w14:paraId="56D5EDC3">
      <w:pPr>
        <w:pStyle w:val="14"/>
        <w:jc w:val="center"/>
        <w:rPr>
          <w:rFonts w:hint="eastAsia" w:ascii="方正小标宋_GBK" w:hAnsi="方正小标宋_GBK" w:eastAsia="方正小标宋_GBK" w:cs="方正小标宋_GBK"/>
          <w:sz w:val="84"/>
          <w:szCs w:val="84"/>
        </w:rPr>
      </w:pPr>
    </w:p>
    <w:p w14:paraId="375B702C">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3F679938">
      <w:pPr>
        <w:pStyle w:val="14"/>
        <w:jc w:val="center"/>
        <w:rPr>
          <w:rFonts w:hint="eastAsia" w:ascii="方正小标宋_GBK" w:hAnsi="方正小标宋_GBK" w:eastAsia="方正小标宋_GBK" w:cs="方正小标宋_GBK"/>
          <w:sz w:val="84"/>
          <w:szCs w:val="84"/>
        </w:rPr>
      </w:pPr>
    </w:p>
    <w:p w14:paraId="503C2285">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怀化市卫生健康委员会</w:t>
      </w:r>
      <w:r>
        <w:rPr>
          <w:rFonts w:hint="eastAsia" w:ascii="方正小标宋_GBK" w:hAnsi="方正小标宋_GBK" w:eastAsia="方正小标宋_GBK" w:cs="方正小标宋_GBK"/>
          <w:sz w:val="84"/>
          <w:szCs w:val="84"/>
        </w:rPr>
        <w:t>概况</w:t>
      </w:r>
    </w:p>
    <w:p w14:paraId="6F09DD2D">
      <w:pPr>
        <w:jc w:val="center"/>
        <w:rPr>
          <w:rFonts w:hint="eastAsia" w:ascii="方正小标宋_GBK" w:hAnsi="方正小标宋_GBK" w:eastAsia="方正小标宋_GBK" w:cs="方正小标宋_GBK"/>
          <w:sz w:val="72"/>
          <w:szCs w:val="72"/>
        </w:rPr>
      </w:pPr>
    </w:p>
    <w:p w14:paraId="6DDDD7F0">
      <w:pPr>
        <w:jc w:val="center"/>
        <w:rPr>
          <w:rFonts w:hint="eastAsia" w:ascii="方正小标宋_GBK" w:hAnsi="方正小标宋_GBK" w:eastAsia="方正小标宋_GBK" w:cs="方正小标宋_GBK"/>
          <w:sz w:val="72"/>
          <w:szCs w:val="72"/>
        </w:rPr>
      </w:pPr>
    </w:p>
    <w:p w14:paraId="1B1476EA">
      <w:pPr>
        <w:jc w:val="center"/>
        <w:rPr>
          <w:sz w:val="72"/>
          <w:szCs w:val="72"/>
        </w:rPr>
      </w:pPr>
    </w:p>
    <w:p w14:paraId="517BB080">
      <w:pPr>
        <w:jc w:val="center"/>
        <w:rPr>
          <w:sz w:val="72"/>
          <w:szCs w:val="72"/>
        </w:rPr>
      </w:pPr>
    </w:p>
    <w:p w14:paraId="38EDB928">
      <w:pPr>
        <w:pStyle w:val="8"/>
      </w:pPr>
    </w:p>
    <w:p w14:paraId="7F9FC322">
      <w:pPr>
        <w:jc w:val="center"/>
        <w:rPr>
          <w:sz w:val="72"/>
          <w:szCs w:val="72"/>
        </w:rPr>
      </w:pPr>
    </w:p>
    <w:p w14:paraId="5A8F3135">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3160EE1F">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贯彻执行国民健康政策及国家卫生健康法律法规，贯彻执行湖南省卫生健康事业发展地方性法规和规章，组织实施全市卫生健康政策、规划、地方标准和技术规范。统筹规划全市卫生健康服务资源配置，指导区域卫生健康规划的编制和实施。制定并组织实施推进卫生健康基本公共服务均等化、普惠化、便捷化和公共资源向基层延伸等政策措施。</w:t>
      </w:r>
    </w:p>
    <w:p w14:paraId="4395D8D1">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协调推进全市深化医药卫生体制改革，研究提出全市深化医药卫生体制改革政策与措施的建议。组织深化公立医院综合改革，推进管办分离，健全现代医院管理制度，制定并组织实施推动卫生健康公共服务提供主体多元化、提供方式多样化的政策措施，提出医疗服务和药品价格政策的建议。</w:t>
      </w:r>
    </w:p>
    <w:p w14:paraId="709750C1">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制定并组织落实全市</w:t>
      </w:r>
      <w:r>
        <w:rPr>
          <w:rFonts w:hint="eastAsia" w:ascii="仿宋_GB2312" w:hAnsi="仿宋_GB2312" w:eastAsia="仿宋_GB2312" w:cs="仿宋_GB2312"/>
          <w:sz w:val="32"/>
          <w:szCs w:val="32"/>
          <w:lang w:eastAsia="zh-CN"/>
        </w:rPr>
        <w:t>疾病预防控制规划、免疫规划以及严重危害人民健康公共卫生问题的干预措施。负责卫生应急工作，组织指导突发公共卫生事件的预防控制和各类突发公共事件的医疗卫生救援。承担传染病疫情信息发布工作。</w:t>
      </w:r>
    </w:p>
    <w:p w14:paraId="3AFCB96E">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（四）组织拟订并协调落实应对人口老龄化政策措施，推进老年健康服务体系建设和医养结合工作。</w:t>
      </w:r>
    </w:p>
    <w:p w14:paraId="51B25F86">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贯彻执行国家药物政策和国家基本药物制度，开展药品使用监测、临床综合评价和短缺药品预警。组织开展食品安全风险监测评估，贯彻执行食品安全标准，负责食源性疾病及与食品安全事故有关的流行病学调查。</w:t>
      </w:r>
    </w:p>
    <w:p w14:paraId="3913A061">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（六）负责职责范围内的职业卫生、放射卫生、环境卫生、学校卫生、公共场所卫生、饮用水卫生等公共卫生的监督管理。负责传染病防治监督，健全卫生健康综合监督体系。</w:t>
      </w:r>
    </w:p>
    <w:p w14:paraId="28CADB19">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制定医疗机构、医疗服务行业管理办法并监督实施，建立医疗服务评价和监督管理体系。会同有关部门实施卫生健康专业技术人员资格标准。制定并组织实施医疗服务规范、标准和卫生健康专业技术人员执业规则、服务规范。</w:t>
      </w:r>
    </w:p>
    <w:p w14:paraId="3C509414">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（八）负责计划生育管理和服务工作，开展人口监测预警，研究提出人口与家庭发展相关政策建议，完善计划生育政策。</w:t>
      </w:r>
    </w:p>
    <w:p w14:paraId="27AE99A5">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（九）指导全市卫生健康工作，指导基层医疗卫生、妇幼健康服务体系建设，加强全科医生队伍建设。推进卫生健康科技创新发展。</w:t>
      </w:r>
    </w:p>
    <w:p w14:paraId="36EC5F48">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负责全市健康教育、健康促进和卫生健康信息化建设等工作。组织实施卫生国际交流合作与援外工作，开展与港澳台的交流与合作。</w:t>
      </w:r>
    </w:p>
    <w:p w14:paraId="2B8662D4">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（十一）负责全市保健对象的医疗保健工作，负责重要来宾、重要会议与重大活动的医疗卫生保障工作，指导全市保健工作。</w:t>
      </w:r>
    </w:p>
    <w:p w14:paraId="1705BFA0">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（十二）指导市计划生育协会的业务工作。</w:t>
      </w:r>
    </w:p>
    <w:p w14:paraId="228F4FE2">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（十三）完成市委、市政府交办的其他任务。</w:t>
      </w:r>
    </w:p>
    <w:p w14:paraId="4F04F92F">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十四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职能转变。市卫生健康委应当牢固树立大卫生、大健康理念，推动实施健康怀化战略，以改革创新为动力，以促健康、转模式、强基层、重保障为着力点，把以治病为中心转变到以人民健康为中心，为人民群众提供全方位全周期健康报务。一是更加注重预防为主和健康促进，加强预防控制重大疾病工作，积极应付人口老龄化，健全健康服务体系。二是更加注重工作重心下移和资源下沉，推进卫生健康公共资源向基层延伸、向农村覆盖、向边远地区和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14:paraId="19510F5E">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（十五）有关职责分工。</w:t>
      </w:r>
    </w:p>
    <w:p w14:paraId="5CDB0544">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与市发展和改革委的有关职责分工。市卫生健康委负责开展人口监测预警工作，贯彻生育政策，研究提出与生育相关的人口数量、素质、结构、分布方面的政策建议，促进生育政策和相关经济社会政策配套衔接，参与制定人口发展规划和政策，落实国家、省、市人口发展规划中的有关任务。市发展和改革委负责组织监督和评估人口变动情况及趋势影响，建立人口预测预报制度，开展重大决策人口影响评估，完善重大人口政策咨询机制，研究提出全市人口发展战略，拟定人口发展规划和人口政策，研究提出人口与经济、社会、资源、环境协调可持续发展，以及统筹促进人口长期均衡发展的政策建议。</w:t>
      </w:r>
    </w:p>
    <w:p w14:paraId="34B61C3B">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与市民政局的有关职责分工。市卫生健康委负责拟订应对人口老龄化、医养结合政策措施，综合协调、督促指导、组织推进老龄事业发展，承担老年疾病防治、老年人医疗照护、老年人心理健康与关怀服务等老年健康工作。市民政局负责统筹推进、督促指导、监督管理养老服务工作，负责牵头落实养老服务地方性法规，拟订养老服务体系建设规划、政策、标准并组织实施，承担老年人福利和特殊困难老年人救助工作。</w:t>
      </w:r>
    </w:p>
    <w:p w14:paraId="095AF50C">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与市市场监督管理局的有关职责分开。市卫生健康委负责食品安全风险监测工作，会同市市场监督管理局等部门制定、实施食品安全风险监测计划。市卫生健康委对通过食品安全风险监测或者接到举报发现食品可能存在安全隐患的，应当及时将相关信息通报市市场监督管理局，立即采取措施。市市场监督管理局在监督管理工作中发现需要进行食品安全风险评估的，应当及时向市卫生健康委提出建议。市市场监督管理局会同市卫生健康委建立重大药品不良反应和医疗器械不良事件相互通报机制和联合处置机制。</w:t>
      </w:r>
    </w:p>
    <w:p w14:paraId="525FA7B7">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四是与市医疗保障局的有关职责分工。市卫生健康委、市医疗保障局等部门在医疗、医保、医药等方面加强制度、政策和信息衔接，建立沟通协商机制，协同推进改革，提高医疗资源使用效率和医疗保障水平。</w:t>
      </w:r>
    </w:p>
    <w:p w14:paraId="3913F6BD">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怀化市疾病预防控制中心属市卫健委下属事业单位。承担着七大职能：</w:t>
      </w:r>
    </w:p>
    <w:p w14:paraId="3B57547F">
      <w:pPr>
        <w:keepNext w:val="0"/>
        <w:keepLines w:val="0"/>
        <w:pageBreakBefore w:val="0"/>
        <w:widowControl/>
        <w:kinsoku/>
        <w:wordWrap/>
        <w:overflowPunct/>
        <w:topLinePunct w:val="0"/>
        <w:autoSpaceDE/>
        <w:autoSpaceDN/>
        <w:bidi w:val="0"/>
        <w:adjustRightInd/>
        <w:snapToGrid/>
        <w:spacing w:line="500" w:lineRule="auto"/>
        <w:ind w:right="0" w:rightChars="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传染病、寄生虫病、地方病、非传染病等预防与控制；突发公共卫生事件和灾害疫情应急处置；疫情及健康相关因素信息管理，开展疾病监测，收集、报告、分析和评价疾病与健康危害因素等公共卫生信息；健康危害因素监测与干预，开展食源性、职业性、放射性、环境性等疾病的监测评价和流行病学调查，开展公众健康和营养状况监测与评价，提出干预策略与措施；疾病病原微生物检测、鉴定和物理、化学因子检测、评价；健康教育与健康促进，对公众进行健康指导和不良健康行为干预；疾病预防控制技术管理与应用研究指导等。</w:t>
      </w:r>
    </w:p>
    <w:p w14:paraId="2EAD5991">
      <w:pPr>
        <w:keepNext w:val="0"/>
        <w:keepLines w:val="0"/>
        <w:pageBreakBefore w:val="0"/>
        <w:widowControl/>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Times New Roman" w:hAnsi="Times New Roman" w:eastAsia="仿宋_GB2312" w:cs="仿宋_GB2312"/>
          <w:color w:val="auto"/>
          <w:sz w:val="32"/>
          <w:szCs w:val="32"/>
        </w:rPr>
      </w:pPr>
      <w:r>
        <w:rPr>
          <w:rFonts w:hint="eastAsia" w:ascii="仿宋_GB2312" w:hAnsi="仿宋_GB2312" w:eastAsia="仿宋_GB2312" w:cs="仿宋_GB2312"/>
          <w:sz w:val="32"/>
          <w:szCs w:val="32"/>
          <w:lang w:val="en-US" w:eastAsia="zh-CN"/>
        </w:rPr>
        <w:t>怀化市卫生计生综合监督执法局属市卫健委下属事业单位。承担实施卫生计生专项整治和日常监督检查；对公共场所卫生、生活饮用水卫生、学校卫生及消毒产品和涉及饮用水卫生安全产品进行监督检查；对医疗机构、采供血机构及其从业人员的执业活动进行监督检查，查处违法行为；打击非法行医和非法采供血；整顿和规范医疗服务秩序；对医疗卫生机构的放射诊疗、职业健康检查和职业病诊断工作进行监督检查，查处违法行为；对医疗机构、采供血机构、疾病预防控制机构的传染病疫情报告、疫情控制措施、消毒隔离制度执行情况、医疗废物处置情况和菌（毒）种管理情况等进行监督检查，查处违法行为；对母婴保健机构、计划生育技术服务机构服务内容和从业人员的行为规范进行监督，依法打击“两非”行为，做好计划生育违法违纪案件的督查督办；行政区域内卫生计生监督信息的收集、核实和上报；受理对违法行为的投诉、举报；开展卫生计生法律法规宣传教育和执法检查；完成卫生计生行政部门、中医药管理部门交办的食品安全、中医药监督等相关工作及职责范围内的工作</w:t>
      </w:r>
      <w:r>
        <w:rPr>
          <w:rFonts w:hint="eastAsia" w:ascii="Times New Roman" w:hAnsi="Times New Roman" w:eastAsia="仿宋_GB2312" w:cs="仿宋_GB2312"/>
          <w:color w:val="auto"/>
          <w:sz w:val="32"/>
          <w:szCs w:val="32"/>
        </w:rPr>
        <w:t>。</w:t>
      </w:r>
    </w:p>
    <w:p w14:paraId="4DA7E576">
      <w:pPr>
        <w:keepNext w:val="0"/>
        <w:keepLines w:val="0"/>
        <w:pageBreakBefore w:val="0"/>
        <w:widowControl/>
        <w:kinsoku/>
        <w:wordWrap/>
        <w:overflowPunct/>
        <w:topLinePunct w:val="0"/>
        <w:autoSpaceDE/>
        <w:autoSpaceDN/>
        <w:bidi w:val="0"/>
        <w:adjustRightInd/>
        <w:snapToGrid/>
        <w:spacing w:line="500" w:lineRule="auto"/>
        <w:ind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中心血站属市卫健委下属事业单位。全面承担怀化市13个县市区无偿献血者的招募、血液的采集与制备、临床用血供应以及指导；承担我市辖区内血液储存的质量控制及中心血库的质量控制，保障全市各医疗机构临床用血。</w:t>
      </w:r>
    </w:p>
    <w:p w14:paraId="0FFBB6C2">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7122F4E">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44D7E427">
      <w:pPr>
        <w:widowControl/>
        <w:spacing w:line="60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仿宋_GB2312" w:cs="仿宋_GB2312"/>
          <w:bCs/>
          <w:kern w:val="0"/>
          <w:sz w:val="32"/>
          <w:szCs w:val="32"/>
          <w:lang w:val="en-US" w:eastAsia="zh-CN"/>
        </w:rPr>
        <w:t>怀化市卫生健康委员会</w:t>
      </w:r>
      <w:r>
        <w:rPr>
          <w:rFonts w:hint="eastAsia" w:ascii="仿宋_GB2312" w:hAnsi="仿宋_GB2312" w:eastAsia="仿宋_GB2312" w:cs="仿宋_GB2312"/>
          <w:sz w:val="32"/>
          <w:szCs w:val="32"/>
          <w:lang w:eastAsia="zh-CN"/>
        </w:rPr>
        <w:t>作为一级部门预算单位，内设科室为：</w:t>
      </w:r>
      <w:r>
        <w:rPr>
          <w:rFonts w:hint="eastAsia" w:ascii="仿宋_GB2312" w:hAnsi="仿宋_GB2312" w:eastAsia="仿宋_GB2312" w:cs="仿宋_GB2312"/>
          <w:sz w:val="32"/>
          <w:szCs w:val="32"/>
          <w:lang w:val="en-US" w:eastAsia="zh-CN"/>
        </w:rPr>
        <w:t>办公室、人事科、规划发展与信息化科、财务科、法规和行政审批服务科、体制改革科（医改办公室）、疾病预防控制科（卫生应急办公室、突发公共卫生事件应急指挥中心）、医政医管科（保健工作办公室）、基层卫生健康科、中医药管理科、科技教育科、综合监督科（食品安全标准与监测科）、药物政策与基本药物制度科、爱卫科、老龄健康科、妇幼健康科、职业健康科、人口监测与家庭发展科、宣传科、机关党委、机关纪委、市卫生健康信息统计中心、市卫生健康教育考试中心、市国家基本公共卫生管理服务中心、市医学会办公室、市紧急救援中心、市卫生健康药具管理服务中心、市医疗管理服务指导中心等28个科室。</w:t>
      </w:r>
    </w:p>
    <w:p w14:paraId="5AB9353C">
      <w:pPr>
        <w:widowControl/>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疾病预防控制中心单位内设机构13个科室，包括：办公室、财务科、行政后勤科、人事科、流行病预防控制科、皮肤病性病防治科、地方病慢病控制科、卫生监测科、结核病防治科、职业病防治科、检验科、健康教育科、生物制品科</w:t>
      </w:r>
      <w:r>
        <w:rPr>
          <w:rFonts w:hint="eastAsia" w:ascii="Times New Roman" w:hAnsi="Times New Roman" w:eastAsia="仿宋_GB2312" w:cs="仿宋_GB2312"/>
          <w:bCs/>
          <w:kern w:val="0"/>
          <w:sz w:val="32"/>
          <w:szCs w:val="32"/>
          <w:lang w:eastAsia="zh-CN"/>
        </w:rPr>
        <w:t>。</w:t>
      </w:r>
    </w:p>
    <w:p w14:paraId="3ADEC6BA">
      <w:pPr>
        <w:widowControl/>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卫生计生综合监督执法局作为二级部门预算单位，内设科室为：办公室、人事科、稽查科、受理发证科、公共场所卫生监督科、传染病防治与学校卫生监督科、食品安全科、职业与放射卫生监督科、医疗机构执业监督科。</w:t>
      </w:r>
    </w:p>
    <w:p w14:paraId="19082B18">
      <w:pPr>
        <w:widowControl/>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怀化市中心血站作为怀化市卫生健康委员会的二级部门预算单位，设置11个内设工作机构，分别为：办公室、人力资源部、财务部、后勤保障部、宣传信息部、献血服务部、机采部、血液制备部、血液供应部、血液检验部、质量管理部。</w:t>
      </w:r>
    </w:p>
    <w:p w14:paraId="34BACB87">
      <w:pPr>
        <w:widowControl/>
        <w:spacing w:line="600" w:lineRule="exact"/>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en-US" w:eastAsia="zh-CN"/>
        </w:rPr>
        <w:t>怀化市卫生健康委员会</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怀化市卫生健康委员会</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val="en-US" w:eastAsia="zh-CN"/>
        </w:rPr>
        <w:t>及市疾病预防控制中心、市卫生计生综合监督执法局、市中心血站等3个委二级机构</w:t>
      </w:r>
      <w:r>
        <w:rPr>
          <w:rFonts w:hint="eastAsia" w:ascii="Times New Roman" w:hAnsi="Times New Roman" w:eastAsia="仿宋_GB2312" w:cs="仿宋_GB2312"/>
          <w:bCs/>
          <w:kern w:val="0"/>
          <w:sz w:val="32"/>
          <w:szCs w:val="32"/>
          <w:lang w:eastAsia="zh-CN"/>
        </w:rPr>
        <w:t>。</w:t>
      </w:r>
    </w:p>
    <w:p w14:paraId="55246EA8">
      <w:pPr>
        <w:jc w:val="left"/>
        <w:rPr>
          <w:rFonts w:ascii="仿宋_GB2312" w:eastAsia="仿宋_GB2312" w:hAnsiTheme="minorEastAsia"/>
          <w:sz w:val="28"/>
          <w:szCs w:val="32"/>
        </w:rPr>
      </w:pPr>
    </w:p>
    <w:p w14:paraId="016058BB">
      <w:pPr>
        <w:jc w:val="center"/>
        <w:rPr>
          <w:rFonts w:ascii="黑体" w:hAnsi="黑体" w:eastAsia="黑体"/>
          <w:sz w:val="28"/>
          <w:szCs w:val="28"/>
        </w:rPr>
      </w:pPr>
    </w:p>
    <w:p w14:paraId="149854CE">
      <w:pPr>
        <w:jc w:val="center"/>
        <w:rPr>
          <w:rFonts w:ascii="黑体" w:hAnsi="黑体" w:eastAsia="黑体"/>
          <w:sz w:val="28"/>
          <w:szCs w:val="28"/>
        </w:rPr>
      </w:pPr>
    </w:p>
    <w:p w14:paraId="52970A3B">
      <w:pPr>
        <w:jc w:val="center"/>
        <w:rPr>
          <w:rFonts w:ascii="黑体" w:hAnsi="黑体" w:eastAsia="黑体"/>
          <w:sz w:val="28"/>
          <w:szCs w:val="28"/>
        </w:rPr>
      </w:pPr>
    </w:p>
    <w:p w14:paraId="72F8DDAD">
      <w:pPr>
        <w:jc w:val="center"/>
        <w:rPr>
          <w:rFonts w:ascii="黑体" w:hAnsi="黑体" w:eastAsia="黑体"/>
          <w:sz w:val="28"/>
          <w:szCs w:val="28"/>
        </w:rPr>
      </w:pPr>
    </w:p>
    <w:p w14:paraId="4EBA7E93">
      <w:pPr>
        <w:jc w:val="center"/>
        <w:rPr>
          <w:rFonts w:ascii="黑体" w:hAnsi="黑体" w:eastAsia="黑体"/>
          <w:sz w:val="28"/>
          <w:szCs w:val="28"/>
        </w:rPr>
      </w:pPr>
    </w:p>
    <w:p w14:paraId="66CD90FE">
      <w:pPr>
        <w:jc w:val="center"/>
        <w:rPr>
          <w:rFonts w:ascii="黑体" w:hAnsi="黑体" w:eastAsia="黑体"/>
          <w:sz w:val="28"/>
          <w:szCs w:val="28"/>
        </w:rPr>
      </w:pPr>
    </w:p>
    <w:p w14:paraId="12DAD6BE">
      <w:pPr>
        <w:jc w:val="center"/>
        <w:rPr>
          <w:rFonts w:ascii="黑体" w:hAnsi="黑体" w:eastAsia="黑体"/>
          <w:sz w:val="28"/>
          <w:szCs w:val="28"/>
        </w:rPr>
      </w:pPr>
    </w:p>
    <w:p w14:paraId="785C6A77">
      <w:pPr>
        <w:jc w:val="center"/>
        <w:rPr>
          <w:rFonts w:ascii="黑体" w:hAnsi="黑体" w:eastAsia="黑体"/>
          <w:sz w:val="28"/>
          <w:szCs w:val="28"/>
        </w:rPr>
      </w:pPr>
    </w:p>
    <w:p w14:paraId="0FA7617E">
      <w:pPr>
        <w:jc w:val="center"/>
        <w:rPr>
          <w:rFonts w:ascii="黑体" w:hAnsi="黑体" w:eastAsia="黑体"/>
          <w:sz w:val="28"/>
          <w:szCs w:val="28"/>
        </w:rPr>
      </w:pPr>
    </w:p>
    <w:p w14:paraId="314C7AF9">
      <w:pPr>
        <w:jc w:val="center"/>
        <w:rPr>
          <w:sz w:val="72"/>
          <w:szCs w:val="72"/>
        </w:rPr>
      </w:pPr>
    </w:p>
    <w:p w14:paraId="490BE74B">
      <w:pPr>
        <w:pStyle w:val="14"/>
        <w:jc w:val="center"/>
        <w:rPr>
          <w:rFonts w:hint="eastAsia" w:ascii="方正小标宋_GBK" w:hAnsi="方正小标宋_GBK" w:eastAsia="方正小标宋_GBK" w:cs="方正小标宋_GBK"/>
          <w:sz w:val="84"/>
          <w:szCs w:val="84"/>
        </w:rPr>
      </w:pPr>
    </w:p>
    <w:p w14:paraId="3B1C94CC">
      <w:pPr>
        <w:pStyle w:val="14"/>
        <w:jc w:val="center"/>
        <w:rPr>
          <w:rFonts w:hint="eastAsia" w:ascii="方正小标宋_GBK" w:hAnsi="方正小标宋_GBK" w:eastAsia="方正小标宋_GBK" w:cs="方正小标宋_GBK"/>
          <w:sz w:val="84"/>
          <w:szCs w:val="84"/>
        </w:rPr>
      </w:pPr>
    </w:p>
    <w:p w14:paraId="31DB6630">
      <w:pPr>
        <w:pStyle w:val="14"/>
        <w:jc w:val="center"/>
        <w:rPr>
          <w:rFonts w:hint="eastAsia" w:ascii="方正小标宋_GBK" w:hAnsi="方正小标宋_GBK" w:eastAsia="方正小标宋_GBK" w:cs="方正小标宋_GBK"/>
          <w:sz w:val="84"/>
          <w:szCs w:val="84"/>
        </w:rPr>
      </w:pPr>
    </w:p>
    <w:p w14:paraId="67D621ED">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1A1FE59">
      <w:pPr>
        <w:pStyle w:val="14"/>
        <w:jc w:val="center"/>
        <w:rPr>
          <w:rFonts w:hint="eastAsia" w:ascii="方正小标宋_GBK" w:hAnsi="方正小标宋_GBK" w:eastAsia="方正小标宋_GBK" w:cs="方正小标宋_GBK"/>
          <w:sz w:val="84"/>
          <w:szCs w:val="84"/>
        </w:rPr>
      </w:pPr>
    </w:p>
    <w:p w14:paraId="3DB85077">
      <w:pPr>
        <w:pStyle w:val="14"/>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rPr>
        <w:t>部门决算表</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lang w:val="en-US" w:eastAsia="zh-CN"/>
        </w:rPr>
        <w:t>详见附件一</w:t>
      </w:r>
      <w:r>
        <w:rPr>
          <w:rFonts w:hint="eastAsia" w:ascii="方正小标宋_GBK" w:hAnsi="方正小标宋_GBK" w:eastAsia="方正小标宋_GBK" w:cs="方正小标宋_GBK"/>
          <w:sz w:val="84"/>
          <w:szCs w:val="84"/>
          <w:lang w:eastAsia="zh-CN"/>
        </w:rPr>
        <w:t>）</w:t>
      </w:r>
    </w:p>
    <w:p w14:paraId="59C7AD4C">
      <w:pPr>
        <w:autoSpaceDE w:val="0"/>
        <w:autoSpaceDN w:val="0"/>
        <w:adjustRightInd w:val="0"/>
        <w:ind w:left="315" w:leftChars="150"/>
        <w:jc w:val="left"/>
        <w:rPr>
          <w:rFonts w:ascii="宋体" w:eastAsia="宋体" w:cs="宋体"/>
          <w:kern w:val="0"/>
          <w:sz w:val="24"/>
          <w:szCs w:val="24"/>
        </w:rPr>
      </w:pPr>
    </w:p>
    <w:p w14:paraId="6CA32067">
      <w:pPr>
        <w:autoSpaceDE w:val="0"/>
        <w:autoSpaceDN w:val="0"/>
        <w:adjustRightInd w:val="0"/>
        <w:ind w:left="315" w:leftChars="150"/>
        <w:jc w:val="left"/>
        <w:rPr>
          <w:rFonts w:ascii="宋体" w:eastAsia="宋体" w:cs="宋体"/>
          <w:kern w:val="0"/>
          <w:sz w:val="24"/>
          <w:szCs w:val="24"/>
        </w:rPr>
      </w:pPr>
    </w:p>
    <w:p w14:paraId="414AC83C">
      <w:pPr>
        <w:autoSpaceDE w:val="0"/>
        <w:autoSpaceDN w:val="0"/>
        <w:adjustRightInd w:val="0"/>
        <w:ind w:left="315" w:leftChars="150"/>
        <w:jc w:val="left"/>
        <w:rPr>
          <w:rFonts w:ascii="宋体" w:eastAsia="宋体" w:cs="宋体"/>
          <w:kern w:val="0"/>
          <w:sz w:val="24"/>
          <w:szCs w:val="24"/>
        </w:rPr>
      </w:pPr>
    </w:p>
    <w:p w14:paraId="023327B6">
      <w:pPr>
        <w:widowControl/>
        <w:jc w:val="both"/>
        <w:rPr>
          <w:sz w:val="72"/>
          <w:szCs w:val="72"/>
        </w:rPr>
        <w:sectPr>
          <w:pgSz w:w="11906" w:h="16838"/>
          <w:pgMar w:top="720" w:right="720" w:bottom="720" w:left="720" w:header="851" w:footer="992" w:gutter="0"/>
          <w:cols w:space="425" w:num="1"/>
          <w:docGrid w:type="lines" w:linePitch="312" w:charSpace="0"/>
        </w:sectPr>
      </w:pPr>
      <w:r>
        <w:rPr>
          <w:rFonts w:ascii="黑体" w:hAnsi="黑体" w:eastAsia="黑体"/>
          <w:szCs w:val="21"/>
        </w:rPr>
        <w:br w:type="page"/>
      </w:r>
    </w:p>
    <w:p w14:paraId="0B390B22">
      <w:pPr>
        <w:pStyle w:val="14"/>
        <w:rPr>
          <w:sz w:val="72"/>
          <w:szCs w:val="72"/>
        </w:rPr>
      </w:pPr>
    </w:p>
    <w:p w14:paraId="6DDD6CA4">
      <w:pPr>
        <w:pStyle w:val="14"/>
        <w:rPr>
          <w:sz w:val="72"/>
          <w:szCs w:val="72"/>
        </w:rPr>
      </w:pPr>
    </w:p>
    <w:p w14:paraId="7E5CB8D2">
      <w:pPr>
        <w:pStyle w:val="14"/>
        <w:rPr>
          <w:sz w:val="72"/>
          <w:szCs w:val="72"/>
        </w:rPr>
      </w:pPr>
    </w:p>
    <w:p w14:paraId="79C5C643">
      <w:pPr>
        <w:pStyle w:val="14"/>
        <w:jc w:val="center"/>
        <w:rPr>
          <w:sz w:val="72"/>
          <w:szCs w:val="72"/>
        </w:rPr>
      </w:pPr>
    </w:p>
    <w:p w14:paraId="7E1B65C9">
      <w:pPr>
        <w:pStyle w:val="14"/>
        <w:jc w:val="center"/>
        <w:rPr>
          <w:rFonts w:hint="eastAsia" w:ascii="方正小标宋_GBK" w:hAnsi="方正小标宋_GBK" w:eastAsia="方正小标宋_GBK" w:cs="方正小标宋_GBK"/>
          <w:sz w:val="72"/>
          <w:szCs w:val="72"/>
        </w:rPr>
      </w:pPr>
    </w:p>
    <w:p w14:paraId="001B1079">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CCDEFA8">
      <w:pPr>
        <w:pStyle w:val="14"/>
        <w:jc w:val="center"/>
        <w:rPr>
          <w:rFonts w:hint="eastAsia" w:ascii="方正小标宋_GBK" w:hAnsi="方正小标宋_GBK" w:eastAsia="方正小标宋_GBK" w:cs="方正小标宋_GBK"/>
          <w:sz w:val="70"/>
          <w:szCs w:val="70"/>
        </w:rPr>
      </w:pPr>
    </w:p>
    <w:p w14:paraId="4EC7983C">
      <w:pPr>
        <w:pStyle w:val="14"/>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7EBC466">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C2B74C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4F11225B">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18892.26</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4638.92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19.71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1、疫情形势好转，2023年市本级</w:t>
      </w:r>
      <w:r>
        <w:rPr>
          <w:rFonts w:hint="eastAsia" w:ascii="Times New Roman" w:hAnsi="Times New Roman" w:eastAsia="仿宋_GB2312"/>
          <w:sz w:val="32"/>
          <w:szCs w:val="32"/>
        </w:rPr>
        <w:t>新冠疫情防控经费开支</w:t>
      </w:r>
      <w:r>
        <w:rPr>
          <w:rFonts w:hint="eastAsia" w:ascii="Times New Roman" w:hAnsi="Times New Roman" w:eastAsia="仿宋_GB2312"/>
          <w:sz w:val="32"/>
          <w:szCs w:val="32"/>
          <w:lang w:val="en-US" w:eastAsia="zh-CN"/>
        </w:rPr>
        <w:t>同比减少3817.73万元；2、</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怀化市疾病预防控制中心整体搬迁</w:t>
      </w:r>
      <w:r>
        <w:rPr>
          <w:rFonts w:hint="eastAsia" w:ascii="Times New Roman" w:hAnsi="Times New Roman" w:eastAsia="仿宋_GB2312"/>
          <w:sz w:val="32"/>
          <w:szCs w:val="32"/>
        </w:rPr>
        <w:t>建设资金</w:t>
      </w:r>
      <w:r>
        <w:rPr>
          <w:rFonts w:hint="eastAsia" w:ascii="Times New Roman" w:hAnsi="Times New Roman" w:eastAsia="仿宋_GB2312"/>
          <w:sz w:val="32"/>
          <w:szCs w:val="32"/>
          <w:lang w:val="en-US" w:eastAsia="zh-CN"/>
        </w:rPr>
        <w:t>开支697.24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同比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1988.25万元。</w:t>
      </w:r>
    </w:p>
    <w:p w14:paraId="6980AF0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71528E4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18892.26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16400.1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86.81</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2229.97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11.8</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262.19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1.39</w:t>
      </w:r>
      <w:r>
        <w:rPr>
          <w:rFonts w:hint="eastAsia" w:ascii="Times New Roman" w:hAnsi="Times New Roman" w:eastAsia="仿宋_GB2312"/>
          <w:sz w:val="32"/>
          <w:szCs w:val="32"/>
        </w:rPr>
        <w:t>%。</w:t>
      </w:r>
    </w:p>
    <w:p w14:paraId="7AE0DCB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EB542C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18892.26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6825.31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36.13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12066.95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63.87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8C0AA6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4151399">
      <w:pPr>
        <w:pStyle w:val="14"/>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16400.1</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4847.11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22.81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1、疫情形势好转，2023年市本级</w:t>
      </w:r>
      <w:r>
        <w:rPr>
          <w:rFonts w:ascii="仿宋_GB2312" w:hAnsi="宋体" w:eastAsia="仿宋_GB2312" w:cs="仿宋_GB2312"/>
          <w:i w:val="0"/>
          <w:iCs w:val="0"/>
          <w:caps w:val="0"/>
          <w:color w:val="3D3D3D"/>
          <w:spacing w:val="0"/>
          <w:sz w:val="32"/>
          <w:szCs w:val="32"/>
          <w:shd w:val="clear" w:fill="FFFFFF"/>
        </w:rPr>
        <w:t>新冠疫情防控经费开支</w:t>
      </w:r>
      <w:r>
        <w:rPr>
          <w:rFonts w:hint="eastAsia" w:ascii="仿宋_GB2312" w:hAnsi="宋体" w:eastAsia="仿宋_GB2312" w:cs="仿宋_GB2312"/>
          <w:i w:val="0"/>
          <w:iCs w:val="0"/>
          <w:caps w:val="0"/>
          <w:color w:val="3D3D3D"/>
          <w:spacing w:val="0"/>
          <w:sz w:val="32"/>
          <w:szCs w:val="32"/>
          <w:shd w:val="clear" w:fill="FFFFFF"/>
          <w:lang w:val="en-US" w:eastAsia="zh-CN"/>
        </w:rPr>
        <w:t>同比减少3817.73万元；</w:t>
      </w:r>
      <w:r>
        <w:rPr>
          <w:rFonts w:hint="eastAsia" w:ascii="Times New Roman" w:hAnsi="Times New Roman" w:eastAsia="仿宋_GB2312"/>
          <w:sz w:val="32"/>
          <w:szCs w:val="32"/>
          <w:lang w:val="en-US" w:eastAsia="zh-CN"/>
        </w:rPr>
        <w:t>2</w:t>
      </w:r>
      <w:r>
        <w:rPr>
          <w:rFonts w:hint="eastAsia" w:ascii="仿宋_GB2312" w:hAnsi="宋体" w:eastAsia="仿宋_GB2312" w:cs="仿宋_GB2312"/>
          <w:i w:val="0"/>
          <w:iCs w:val="0"/>
          <w:caps w:val="0"/>
          <w:color w:val="3D3D3D"/>
          <w:spacing w:val="0"/>
          <w:sz w:val="32"/>
          <w:szCs w:val="32"/>
          <w:shd w:val="clear" w:fill="FFFFFF"/>
          <w:lang w:val="en-US" w:eastAsia="zh-CN"/>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w:t>
      </w:r>
      <w:r>
        <w:rPr>
          <w:rFonts w:hint="eastAsia" w:ascii="Times New Roman" w:hAnsi="Times New Roman" w:eastAsia="仿宋_GB2312"/>
          <w:sz w:val="32"/>
          <w:szCs w:val="32"/>
          <w:lang w:eastAsia="zh-CN"/>
        </w:rPr>
        <w:t>怀化市疾病预防控制中心整体搬迁</w:t>
      </w:r>
      <w:r>
        <w:rPr>
          <w:rFonts w:hint="eastAsia" w:ascii="Times New Roman" w:hAnsi="Times New Roman" w:eastAsia="仿宋_GB2312"/>
          <w:sz w:val="32"/>
          <w:szCs w:val="32"/>
        </w:rPr>
        <w:t>建设资金</w:t>
      </w:r>
      <w:r>
        <w:rPr>
          <w:rFonts w:hint="eastAsia" w:ascii="Times New Roman" w:hAnsi="Times New Roman" w:eastAsia="仿宋_GB2312"/>
          <w:sz w:val="32"/>
          <w:szCs w:val="32"/>
          <w:lang w:val="en-US" w:eastAsia="zh-CN"/>
        </w:rPr>
        <w:t>开支697.24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同比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1988.25万元</w:t>
      </w:r>
      <w:r>
        <w:rPr>
          <w:rFonts w:hint="eastAsia" w:ascii="仿宋_GB2312" w:hAnsi="宋体" w:eastAsia="仿宋_GB2312" w:cs="仿宋_GB2312"/>
          <w:i w:val="0"/>
          <w:iCs w:val="0"/>
          <w:caps w:val="0"/>
          <w:color w:val="3D3D3D"/>
          <w:spacing w:val="0"/>
          <w:sz w:val="32"/>
          <w:szCs w:val="32"/>
          <w:shd w:val="clear" w:fill="FFFFFF"/>
          <w:lang w:val="en-US" w:eastAsia="zh-CN"/>
        </w:rPr>
        <w:t>。</w:t>
      </w:r>
    </w:p>
    <w:p w14:paraId="2085D23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438750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1A5C4CCF">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16400.1</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86.81</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4847.11</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22.81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1、疫情形势好转，2023年市本级</w:t>
      </w:r>
      <w:r>
        <w:rPr>
          <w:rFonts w:hint="eastAsia" w:ascii="Times New Roman" w:hAnsi="Times New Roman" w:eastAsia="仿宋_GB2312"/>
          <w:sz w:val="32"/>
          <w:szCs w:val="32"/>
        </w:rPr>
        <w:t>新冠疫情防控经费开支</w:t>
      </w:r>
      <w:r>
        <w:rPr>
          <w:rFonts w:hint="eastAsia" w:ascii="Times New Roman" w:hAnsi="Times New Roman" w:eastAsia="仿宋_GB2312"/>
          <w:sz w:val="32"/>
          <w:szCs w:val="32"/>
          <w:lang w:val="en-US" w:eastAsia="zh-CN"/>
        </w:rPr>
        <w:t>同比减少3817.73万元；2、</w:t>
      </w:r>
      <w:r>
        <w:rPr>
          <w:rFonts w:hint="eastAsia" w:ascii="Times New Roman" w:hAnsi="Times New Roman" w:eastAsia="仿宋_GB2312"/>
          <w:sz w:val="32"/>
          <w:szCs w:val="32"/>
          <w:lang w:eastAsia="zh-CN"/>
        </w:rPr>
        <w:t>怀化市疾病预防控制中心建设项目比上年减少</w:t>
      </w:r>
      <w:r>
        <w:rPr>
          <w:rFonts w:hint="eastAsia" w:ascii="Times New Roman" w:hAnsi="Times New Roman" w:eastAsia="仿宋_GB2312"/>
          <w:sz w:val="32"/>
          <w:szCs w:val="32"/>
          <w:lang w:val="en-US" w:eastAsia="zh-CN"/>
        </w:rPr>
        <w:t>1988.25万元。</w:t>
      </w:r>
    </w:p>
    <w:p w14:paraId="5C6B5C5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24E96E5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16400.1</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207.83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1.27</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19.1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社会保障和就业（类）支出934.88万元，占5.7%；卫生健康（类）支出15238.29万元，占92.93%。</w:t>
      </w:r>
    </w:p>
    <w:p w14:paraId="158B9E7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486225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7237.83</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16400.1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226.59</w:t>
      </w:r>
      <w:r>
        <w:rPr>
          <w:rFonts w:hint="eastAsia" w:ascii="Times New Roman" w:hAnsi="Times New Roman" w:eastAsia="仿宋_GB2312"/>
          <w:sz w:val="32"/>
          <w:szCs w:val="32"/>
        </w:rPr>
        <w:t>%，其中：</w:t>
      </w:r>
    </w:p>
    <w:p w14:paraId="70708C8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val="en-US"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其他组织事务支出</w:t>
      </w:r>
      <w:r>
        <w:rPr>
          <w:rFonts w:hint="eastAsia" w:ascii="Times New Roman" w:hAnsi="Times New Roman" w:eastAsia="仿宋_GB2312"/>
          <w:sz w:val="32"/>
          <w:szCs w:val="32"/>
        </w:rPr>
        <w:t>（项）。</w:t>
      </w:r>
    </w:p>
    <w:p w14:paraId="6A8F79A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15.81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年初预算不包括2023年人才分类认定评审工作追加经费和2023年市直企事业单位引进人才补贴追加经费。</w:t>
      </w:r>
    </w:p>
    <w:p w14:paraId="089946E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val="en-US" w:eastAsia="zh-CN"/>
        </w:rPr>
        <w:t>其他一般公共服务支出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其他一般公共服务支出</w:t>
      </w:r>
      <w:r>
        <w:rPr>
          <w:rFonts w:hint="eastAsia" w:ascii="Times New Roman" w:hAnsi="Times New Roman" w:eastAsia="仿宋_GB2312"/>
          <w:sz w:val="32"/>
          <w:szCs w:val="32"/>
        </w:rPr>
        <w:t>（项）。</w:t>
      </w:r>
    </w:p>
    <w:p w14:paraId="0CC16B3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192.02</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年初预算不包括年中追加干部保健经费120万、2023年</w:t>
      </w:r>
      <w:r>
        <w:rPr>
          <w:rFonts w:hint="eastAsia" w:ascii="Times New Roman" w:hAnsi="Times New Roman" w:eastAsia="仿宋_GB2312"/>
          <w:sz w:val="32"/>
          <w:szCs w:val="32"/>
          <w:lang w:eastAsia="zh-CN"/>
        </w:rPr>
        <w:t>预防性健康体检专项经费</w:t>
      </w:r>
      <w:r>
        <w:rPr>
          <w:rFonts w:hint="eastAsia" w:ascii="Times New Roman" w:hAnsi="Times New Roman" w:eastAsia="仿宋_GB2312"/>
          <w:sz w:val="32"/>
          <w:szCs w:val="32"/>
          <w:lang w:val="en-US" w:eastAsia="zh-CN"/>
        </w:rPr>
        <w:t>24.62万元和省级下拨传染病防治经费47.39万元。</w:t>
      </w:r>
    </w:p>
    <w:p w14:paraId="534BBC7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其他教育支出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其他教育支出</w:t>
      </w:r>
      <w:r>
        <w:rPr>
          <w:rFonts w:hint="eastAsia" w:ascii="Times New Roman" w:hAnsi="Times New Roman" w:eastAsia="仿宋_GB2312"/>
          <w:sz w:val="32"/>
          <w:szCs w:val="32"/>
        </w:rPr>
        <w:t>（项）。</w:t>
      </w:r>
    </w:p>
    <w:p w14:paraId="63DEF3C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年初预算不包括年中追加2023年</w:t>
      </w:r>
      <w:r>
        <w:rPr>
          <w:rFonts w:hint="eastAsia" w:ascii="Times New Roman" w:hAnsi="Times New Roman" w:eastAsia="仿宋_GB2312"/>
          <w:sz w:val="32"/>
          <w:szCs w:val="32"/>
        </w:rPr>
        <w:t>市直学校结核病筛查经费</w:t>
      </w:r>
      <w:r>
        <w:rPr>
          <w:rFonts w:hint="eastAsia" w:ascii="Times New Roman" w:hAnsi="Times New Roman" w:eastAsia="仿宋_GB2312"/>
          <w:sz w:val="32"/>
          <w:szCs w:val="32"/>
          <w:lang w:eastAsia="zh-CN"/>
        </w:rPr>
        <w:t>（新生入学结核病筛查）。</w:t>
      </w:r>
    </w:p>
    <w:p w14:paraId="0D9E5B2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机关事业单位基本养老保险支出</w:t>
      </w:r>
      <w:r>
        <w:rPr>
          <w:rFonts w:hint="eastAsia" w:ascii="Times New Roman" w:hAnsi="Times New Roman" w:eastAsia="仿宋_GB2312"/>
          <w:sz w:val="32"/>
          <w:szCs w:val="32"/>
        </w:rPr>
        <w:t>（项）。</w:t>
      </w:r>
    </w:p>
    <w:p w14:paraId="64CD163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453.9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513.36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113.1</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年初预算不包括2023年市卫健委本级社保退费费用。</w:t>
      </w:r>
    </w:p>
    <w:p w14:paraId="73FB83D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其他行政事业单位养老支出</w:t>
      </w:r>
      <w:r>
        <w:rPr>
          <w:rFonts w:hint="eastAsia" w:ascii="Times New Roman" w:hAnsi="Times New Roman" w:eastAsia="仿宋_GB2312"/>
          <w:sz w:val="32"/>
          <w:szCs w:val="32"/>
        </w:rPr>
        <w:t>（项）。</w:t>
      </w:r>
    </w:p>
    <w:p w14:paraId="283E05B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396.53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114.54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按实际</w:t>
      </w:r>
      <w:r>
        <w:rPr>
          <w:rFonts w:hint="eastAsia" w:ascii="Times New Roman" w:hAnsi="Times New Roman" w:eastAsia="仿宋_GB2312"/>
          <w:sz w:val="32"/>
          <w:szCs w:val="32"/>
          <w:lang w:eastAsia="zh-CN"/>
        </w:rPr>
        <w:t>发放离退休人员春节一次性生活补助。</w:t>
      </w:r>
    </w:p>
    <w:p w14:paraId="6CAD970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其他社会保障和就业支出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其他社会保障和就业支出</w:t>
      </w:r>
      <w:r>
        <w:rPr>
          <w:rFonts w:hint="eastAsia" w:ascii="Times New Roman" w:hAnsi="Times New Roman" w:eastAsia="仿宋_GB2312"/>
          <w:sz w:val="32"/>
          <w:szCs w:val="32"/>
        </w:rPr>
        <w:t>（项）。</w:t>
      </w:r>
    </w:p>
    <w:p w14:paraId="3890523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年初预算不包括年中追加医养结合一体化实施方案编制经费20万元和安葬费5万元。</w:t>
      </w:r>
    </w:p>
    <w:p w14:paraId="504BB3A6">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卫生健康管理事务支出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行政运行支出</w:t>
      </w:r>
      <w:r>
        <w:rPr>
          <w:rFonts w:hint="eastAsia" w:ascii="Times New Roman" w:hAnsi="Times New Roman" w:eastAsia="仿宋_GB2312"/>
          <w:sz w:val="32"/>
          <w:szCs w:val="32"/>
        </w:rPr>
        <w:t>（项）。</w:t>
      </w:r>
    </w:p>
    <w:p w14:paraId="3290F50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2272.76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1879.93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82.72</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财政实际下拨资金时功能科目存在差异。</w:t>
      </w:r>
    </w:p>
    <w:p w14:paraId="6DDD89A7">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卫生健康管理事务支出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一般行政管理事务支出</w:t>
      </w:r>
      <w:r>
        <w:rPr>
          <w:rFonts w:hint="eastAsia" w:ascii="Times New Roman" w:hAnsi="Times New Roman" w:eastAsia="仿宋_GB2312"/>
          <w:sz w:val="32"/>
          <w:szCs w:val="32"/>
        </w:rPr>
        <w:t>（项）。</w:t>
      </w:r>
    </w:p>
    <w:p w14:paraId="3697B5B8">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18.72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74.88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1、2023年第四季度财政资金紧张，单位按实际发生的发票进行资金申报；2、坚持专款专用，严格落实专项经费管理。</w:t>
      </w:r>
    </w:p>
    <w:p w14:paraId="2C6A9BFD">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卫生健康管理事务支出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其他卫生健康管理事务支出</w:t>
      </w:r>
      <w:r>
        <w:rPr>
          <w:rFonts w:hint="eastAsia" w:ascii="Times New Roman" w:hAnsi="Times New Roman" w:eastAsia="仿宋_GB2312"/>
          <w:sz w:val="32"/>
          <w:szCs w:val="32"/>
        </w:rPr>
        <w:t>（项）。</w:t>
      </w:r>
    </w:p>
    <w:p w14:paraId="7828040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492.25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633.25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128.64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1、市卫计执法局公招5人，追加公用经费；2、部分非税收入返还考试费年初列为其他支出功能科目，财政实际下拨时为其他卫生健康管理事务支出功能科目。</w:t>
      </w:r>
    </w:p>
    <w:p w14:paraId="377A3A1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基层医疗卫生机构支出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其他基层医疗卫生机构支出</w:t>
      </w:r>
      <w:r>
        <w:rPr>
          <w:rFonts w:hint="eastAsia" w:ascii="Times New Roman" w:hAnsi="Times New Roman" w:eastAsia="仿宋_GB2312"/>
          <w:sz w:val="32"/>
          <w:szCs w:val="32"/>
        </w:rPr>
        <w:t>（项）。</w:t>
      </w:r>
    </w:p>
    <w:p w14:paraId="6A639F4B">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52.26</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年初预算不包括年中追加的</w:t>
      </w:r>
      <w:r>
        <w:rPr>
          <w:rFonts w:hint="eastAsia" w:ascii="Times New Roman" w:hAnsi="Times New Roman" w:eastAsia="仿宋_GB2312"/>
          <w:sz w:val="32"/>
          <w:szCs w:val="32"/>
          <w:lang w:eastAsia="zh-CN"/>
        </w:rPr>
        <w:t>医疗服务与保障能力提升专项经费</w:t>
      </w:r>
      <w:r>
        <w:rPr>
          <w:rFonts w:hint="eastAsia" w:ascii="Times New Roman" w:hAnsi="Times New Roman" w:eastAsia="仿宋_GB2312"/>
          <w:sz w:val="32"/>
          <w:szCs w:val="32"/>
          <w:lang w:val="en-US" w:eastAsia="zh-CN"/>
        </w:rPr>
        <w:t>52.26万元。</w:t>
      </w:r>
    </w:p>
    <w:p w14:paraId="06A4377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公共卫生支出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疾病预防控制机构支出</w:t>
      </w:r>
      <w:r>
        <w:rPr>
          <w:rFonts w:hint="eastAsia" w:ascii="Times New Roman" w:hAnsi="Times New Roman" w:eastAsia="仿宋_GB2312"/>
          <w:sz w:val="32"/>
          <w:szCs w:val="32"/>
        </w:rPr>
        <w:t>（项）。</w:t>
      </w:r>
    </w:p>
    <w:p w14:paraId="7C08D9F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2327.08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2047.54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87.99</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市疾控中心年初预算包含财政保障的住房公积金单位部分的配套经费180.82万元，此笔开支未走单位账户，未在单位决算数中体现。</w:t>
      </w:r>
    </w:p>
    <w:p w14:paraId="29BF3D23">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公共卫生支出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卫生监督机构支出</w:t>
      </w:r>
      <w:r>
        <w:rPr>
          <w:rFonts w:hint="eastAsia" w:ascii="Times New Roman" w:hAnsi="Times New Roman" w:eastAsia="仿宋_GB2312"/>
          <w:sz w:val="32"/>
          <w:szCs w:val="32"/>
        </w:rPr>
        <w:t>（项）。</w:t>
      </w:r>
    </w:p>
    <w:p w14:paraId="26DD015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817.75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612.03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74.84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1、财政资金实际下拨时与年初预算资金的功能科目存在差异；2、市卫计执法局非税项目经费未纳入年初预算。</w:t>
      </w:r>
    </w:p>
    <w:p w14:paraId="2EAF66B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公共卫生支出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采供血机构支出</w:t>
      </w:r>
      <w:r>
        <w:rPr>
          <w:rFonts w:hint="eastAsia" w:ascii="Times New Roman" w:hAnsi="Times New Roman" w:eastAsia="仿宋_GB2312"/>
          <w:sz w:val="32"/>
          <w:szCs w:val="32"/>
        </w:rPr>
        <w:t>（项）。</w:t>
      </w:r>
    </w:p>
    <w:p w14:paraId="622E1D8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312.19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328.73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105.3</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市中心血站年初较上年年初预算编制时在编人员增加13人，该13人为2022年9月入编，且本年通过公开招考在编人员增加7人，从而财政保障的公用经费相应增加。</w:t>
      </w:r>
    </w:p>
    <w:p w14:paraId="1B01745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公共卫生支出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重大公共卫生服务支出</w:t>
      </w:r>
      <w:r>
        <w:rPr>
          <w:rFonts w:hint="eastAsia" w:ascii="Times New Roman" w:hAnsi="Times New Roman" w:eastAsia="仿宋_GB2312"/>
          <w:sz w:val="32"/>
          <w:szCs w:val="32"/>
        </w:rPr>
        <w:t>（项）。</w:t>
      </w:r>
    </w:p>
    <w:p w14:paraId="0371DDB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1045.28</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年初预算不包含年中追加的2023年</w:t>
      </w:r>
      <w:r>
        <w:rPr>
          <w:rFonts w:hint="eastAsia" w:ascii="Times New Roman" w:hAnsi="Times New Roman" w:eastAsia="仿宋_GB2312"/>
          <w:sz w:val="32"/>
          <w:szCs w:val="32"/>
        </w:rPr>
        <w:t>中央补助重大传染病防控专项资金</w:t>
      </w:r>
      <w:r>
        <w:rPr>
          <w:rFonts w:hint="eastAsia" w:ascii="Times New Roman" w:hAnsi="Times New Roman" w:eastAsia="仿宋_GB2312"/>
          <w:sz w:val="32"/>
          <w:szCs w:val="32"/>
          <w:lang w:val="en-US" w:eastAsia="zh-CN"/>
        </w:rPr>
        <w:t>1045.28万元。</w:t>
      </w:r>
    </w:p>
    <w:p w14:paraId="6116D6E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公共卫生支出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突发公共卫生事件应急处理支出</w:t>
      </w:r>
      <w:r>
        <w:rPr>
          <w:rFonts w:hint="eastAsia" w:ascii="Times New Roman" w:hAnsi="Times New Roman" w:eastAsia="仿宋_GB2312"/>
          <w:sz w:val="32"/>
          <w:szCs w:val="32"/>
        </w:rPr>
        <w:t>（项）。</w:t>
      </w:r>
    </w:p>
    <w:p w14:paraId="770ADFC0">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7180.64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年初预算不包括年中</w:t>
      </w:r>
      <w:r>
        <w:rPr>
          <w:rFonts w:hint="eastAsia" w:ascii="Times New Roman" w:hAnsi="Times New Roman" w:eastAsia="仿宋_GB2312"/>
          <w:sz w:val="32"/>
          <w:szCs w:val="32"/>
          <w:lang w:eastAsia="zh-CN"/>
        </w:rPr>
        <w:t>追加</w:t>
      </w:r>
      <w:r>
        <w:rPr>
          <w:rFonts w:hint="eastAsia" w:ascii="Times New Roman" w:hAnsi="Times New Roman" w:eastAsia="仿宋_GB2312"/>
          <w:sz w:val="32"/>
          <w:szCs w:val="32"/>
          <w:lang w:val="zh-CN" w:eastAsia="zh-CN"/>
        </w:rPr>
        <w:t>新冠肺炎疫情防控</w:t>
      </w:r>
      <w:r>
        <w:rPr>
          <w:rFonts w:hint="eastAsia" w:ascii="Times New Roman" w:hAnsi="Times New Roman" w:eastAsia="仿宋_GB2312"/>
          <w:sz w:val="32"/>
          <w:szCs w:val="32"/>
          <w:lang w:eastAsia="zh-CN"/>
        </w:rPr>
        <w:t>防控医务人员补助</w:t>
      </w:r>
      <w:r>
        <w:rPr>
          <w:rFonts w:hint="eastAsia" w:ascii="Times New Roman" w:hAnsi="Times New Roman" w:eastAsia="仿宋_GB2312"/>
          <w:sz w:val="32"/>
          <w:szCs w:val="32"/>
          <w:lang w:val="en-US" w:eastAsia="zh-CN"/>
        </w:rPr>
        <w:t>10.61万元</w:t>
      </w:r>
      <w:r>
        <w:rPr>
          <w:rFonts w:hint="eastAsia" w:ascii="Times New Roman" w:hAnsi="Times New Roman" w:eastAsia="仿宋_GB2312"/>
          <w:sz w:val="32"/>
          <w:szCs w:val="32"/>
          <w:lang w:eastAsia="zh-CN"/>
        </w:rPr>
        <w:t>、</w:t>
      </w:r>
      <w:r>
        <w:rPr>
          <w:rFonts w:hint="eastAsia" w:ascii="Times New Roman" w:hAnsi="Times New Roman" w:eastAsia="仿宋_GB2312" w:cs="黑体"/>
          <w:color w:val="000000"/>
          <w:kern w:val="0"/>
          <w:sz w:val="32"/>
          <w:szCs w:val="32"/>
          <w:lang w:val="en-US" w:eastAsia="zh-CN" w:bidi="ar-SA"/>
        </w:rPr>
        <w:t>追加市本级新冠疫情专户项目经费7170.03万元，即：省拨怀化市新冠肺炎疫情防控经费4000万元、中央拨市财政新冠疫情防控经费3009.57万元、结转上年新冠疫情防控经费160.46万元。</w:t>
      </w:r>
    </w:p>
    <w:p w14:paraId="4B601A5E">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公共卫生支出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其他公共卫生支出</w:t>
      </w:r>
      <w:r>
        <w:rPr>
          <w:rFonts w:hint="eastAsia" w:ascii="Times New Roman" w:hAnsi="Times New Roman" w:eastAsia="仿宋_GB2312"/>
          <w:sz w:val="32"/>
          <w:szCs w:val="32"/>
        </w:rPr>
        <w:t>（项）。</w:t>
      </w:r>
    </w:p>
    <w:p w14:paraId="243EDE45">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71.29</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年初预算不包括</w:t>
      </w:r>
      <w:r>
        <w:rPr>
          <w:rFonts w:hint="eastAsia" w:ascii="Times New Roman" w:hAnsi="Times New Roman" w:eastAsia="仿宋_GB2312" w:cs="黑体"/>
          <w:color w:val="000000"/>
          <w:kern w:val="0"/>
          <w:sz w:val="32"/>
          <w:szCs w:val="32"/>
          <w:lang w:val="en-US" w:eastAsia="zh-CN" w:bidi="ar-SA"/>
        </w:rPr>
        <w:t>年中追加中央、省级专项经费71.29万元。</w:t>
      </w:r>
    </w:p>
    <w:p w14:paraId="42F0668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中医药支出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中医（民族医）药专项支出</w:t>
      </w:r>
      <w:r>
        <w:rPr>
          <w:rFonts w:hint="eastAsia" w:ascii="Times New Roman" w:hAnsi="Times New Roman" w:eastAsia="仿宋_GB2312"/>
          <w:sz w:val="32"/>
          <w:szCs w:val="32"/>
        </w:rPr>
        <w:t>（项）。</w:t>
      </w:r>
    </w:p>
    <w:p w14:paraId="1D488904">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200</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年初预算不包括省级下拨中医药传承创新发展经费200万元。</w:t>
      </w:r>
    </w:p>
    <w:p w14:paraId="465210C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行政单位医疗支出</w:t>
      </w:r>
      <w:r>
        <w:rPr>
          <w:rFonts w:hint="eastAsia" w:ascii="Times New Roman" w:hAnsi="Times New Roman" w:eastAsia="仿宋_GB2312"/>
          <w:sz w:val="32"/>
          <w:szCs w:val="32"/>
        </w:rPr>
        <w:t>（项）。</w:t>
      </w:r>
    </w:p>
    <w:p w14:paraId="51C4470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158.91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178.46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112.3</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1、财政资金实际下拨时与年初预算资金的功能科目存在差异；2、</w:t>
      </w:r>
      <w:r>
        <w:rPr>
          <w:rFonts w:hint="eastAsia" w:ascii="Times New Roman" w:hAnsi="Times New Roman" w:eastAsia="仿宋_GB2312"/>
          <w:sz w:val="32"/>
          <w:szCs w:val="32"/>
          <w:lang w:eastAsia="zh-CN"/>
        </w:rPr>
        <w:t>年中</w:t>
      </w:r>
      <w:r>
        <w:rPr>
          <w:rFonts w:hint="eastAsia" w:ascii="Times New Roman" w:hAnsi="Times New Roman" w:eastAsia="仿宋_GB2312"/>
          <w:sz w:val="32"/>
          <w:szCs w:val="32"/>
          <w:lang w:val="en-US" w:eastAsia="zh-CN"/>
        </w:rPr>
        <w:t>存在职工正常退休。</w:t>
      </w:r>
    </w:p>
    <w:p w14:paraId="2DAC2C5F">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行政事业单位医疗支出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事业单位医疗支出</w:t>
      </w:r>
      <w:r>
        <w:rPr>
          <w:rFonts w:hint="eastAsia" w:ascii="Times New Roman" w:hAnsi="Times New Roman" w:eastAsia="仿宋_GB2312"/>
          <w:sz w:val="32"/>
          <w:szCs w:val="32"/>
        </w:rPr>
        <w:t>（项）。</w:t>
      </w:r>
    </w:p>
    <w:p w14:paraId="77155DE1">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31.79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34.31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107.93</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val="en-US" w:eastAsia="zh-CN"/>
        </w:rPr>
        <w:t>市疾控中心年中</w:t>
      </w:r>
      <w:r>
        <w:rPr>
          <w:rFonts w:hint="eastAsia" w:ascii="Times New Roman" w:hAnsi="Times New Roman" w:eastAsia="仿宋_GB2312"/>
          <w:sz w:val="32"/>
          <w:szCs w:val="32"/>
          <w:lang w:eastAsia="zh-CN"/>
        </w:rPr>
        <w:t>追加建国初期退休干部医疗补贴</w:t>
      </w:r>
      <w:r>
        <w:rPr>
          <w:rFonts w:hint="eastAsia" w:ascii="Times New Roman" w:hAnsi="Times New Roman" w:eastAsia="仿宋_GB2312"/>
          <w:sz w:val="32"/>
          <w:szCs w:val="32"/>
          <w:lang w:val="en-US" w:eastAsia="zh-CN"/>
        </w:rPr>
        <w:t>1.6万元；市中心血站</w:t>
      </w:r>
      <w:r>
        <w:rPr>
          <w:rFonts w:hint="eastAsia" w:ascii="Times New Roman" w:hAnsi="Times New Roman" w:eastAsia="仿宋_GB2312"/>
          <w:sz w:val="32"/>
          <w:szCs w:val="32"/>
          <w:lang w:eastAsia="zh-CN"/>
        </w:rPr>
        <w:t>本年</w:t>
      </w:r>
      <w:r>
        <w:rPr>
          <w:rFonts w:hint="eastAsia" w:ascii="Times New Roman" w:hAnsi="Times New Roman" w:eastAsia="仿宋_GB2312"/>
          <w:sz w:val="32"/>
          <w:szCs w:val="32"/>
          <w:lang w:val="en-US" w:eastAsia="zh-CN"/>
        </w:rPr>
        <w:t>7月</w:t>
      </w:r>
      <w:r>
        <w:rPr>
          <w:rFonts w:hint="eastAsia" w:ascii="Times New Roman" w:hAnsi="Times New Roman" w:eastAsia="仿宋_GB2312"/>
          <w:sz w:val="32"/>
          <w:szCs w:val="32"/>
          <w:lang w:eastAsia="zh-CN"/>
        </w:rPr>
        <w:t>新进在编人员</w:t>
      </w:r>
      <w:r>
        <w:rPr>
          <w:rFonts w:hint="eastAsia" w:ascii="Times New Roman" w:hAnsi="Times New Roman" w:eastAsia="仿宋_GB2312"/>
          <w:sz w:val="32"/>
          <w:szCs w:val="32"/>
          <w:lang w:val="en-US" w:eastAsia="zh-CN"/>
        </w:rPr>
        <w:t>7人，事业单位医疗保险相应增加。</w:t>
      </w:r>
    </w:p>
    <w:p w14:paraId="3F1550C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其他卫生健康支出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其他卫生健康支出</w:t>
      </w:r>
      <w:r>
        <w:rPr>
          <w:rFonts w:hint="eastAsia" w:ascii="Times New Roman" w:hAnsi="Times New Roman" w:eastAsia="仿宋_GB2312"/>
          <w:sz w:val="32"/>
          <w:szCs w:val="32"/>
        </w:rPr>
        <w:t>（项）。</w:t>
      </w:r>
    </w:p>
    <w:p w14:paraId="3A5E724A">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955.84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val="en-US" w:eastAsia="zh-CN"/>
        </w:rPr>
        <w:t>1、市卫健委年中追加创卫经费107.51万元、卫生健康项目经费1.15万元、非税返还考试费101.3万元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2、疾控中心</w:t>
      </w:r>
      <w:r>
        <w:rPr>
          <w:rFonts w:hint="eastAsia" w:ascii="Times New Roman" w:hAnsi="Times New Roman" w:eastAsia="仿宋_GB2312"/>
          <w:sz w:val="32"/>
          <w:szCs w:val="32"/>
        </w:rPr>
        <w:t>上年结转</w:t>
      </w:r>
      <w:r>
        <w:rPr>
          <w:rFonts w:hint="eastAsia" w:ascii="Times New Roman" w:hAnsi="Times New Roman" w:eastAsia="仿宋_GB2312" w:cs="黑体"/>
          <w:color w:val="000000"/>
          <w:kern w:val="0"/>
          <w:sz w:val="32"/>
          <w:szCs w:val="32"/>
          <w:lang w:val="en-US" w:eastAsia="zh-CN" w:bidi="ar-SA"/>
        </w:rPr>
        <w:t>市公共卫生中心一期建设项目经费697.24万元；3、市卫计执法局在职人员2022年度年度考核奖实际下拨时功能科目有差异。</w:t>
      </w:r>
    </w:p>
    <w:p w14:paraId="1CA995D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F0F1DE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5728.38</w:t>
      </w:r>
      <w:r>
        <w:rPr>
          <w:rFonts w:hint="eastAsia" w:ascii="Times New Roman" w:hAnsi="Times New Roman" w:eastAsia="仿宋_GB2312"/>
          <w:sz w:val="32"/>
          <w:szCs w:val="32"/>
        </w:rPr>
        <w:t>万元，其中：</w:t>
      </w:r>
    </w:p>
    <w:p w14:paraId="75D93D94">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5112.02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89.24</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绩效工资、机关事业单位基本养老保险缴费、职工基本医疗保险缴费、其他社会保障缴费、离退休费、抚恤金、生活补助、奖励金、其他对个人和家庭的补助</w:t>
      </w:r>
      <w:r>
        <w:rPr>
          <w:rFonts w:hint="eastAsia" w:ascii="Times New Roman" w:hAnsi="Times New Roman" w:eastAsia="仿宋_GB2312"/>
          <w:sz w:val="32"/>
          <w:szCs w:val="32"/>
          <w:lang w:eastAsia="zh-CN"/>
        </w:rPr>
        <w:t>。</w:t>
      </w:r>
    </w:p>
    <w:p w14:paraId="0A1B296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616.36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10.76</w:t>
      </w:r>
      <w:r>
        <w:rPr>
          <w:rFonts w:hint="eastAsia" w:ascii="Times New Roman" w:hAnsi="Times New Roman" w:eastAsia="仿宋_GB2312"/>
          <w:sz w:val="32"/>
          <w:szCs w:val="32"/>
        </w:rPr>
        <w:t>%，主要包括办公费、印刷费、咨询费、手续费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水电费、邮电费、物业管理费、差率费、维修费、租赁费、会议费、培训费、公务接待费、劳务费、委托业务费、工会经费、福利费、公务用车运行维护费、其他交通费用、税金及附加费用、其他商品和服务支出、办公设备购置</w:t>
      </w:r>
      <w:r>
        <w:rPr>
          <w:rFonts w:hint="eastAsia" w:ascii="Times New Roman" w:hAnsi="Times New Roman" w:eastAsia="仿宋_GB2312"/>
          <w:sz w:val="32"/>
          <w:szCs w:val="32"/>
        </w:rPr>
        <w:t>。</w:t>
      </w:r>
    </w:p>
    <w:p w14:paraId="705ACA6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779778F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15B7F75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141.62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121.71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85.94</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落实过“紧日子”要求，加强部门“三公”经费管理，严格公务接待审批和公务派车审批，压缩公务活动减少公务支出。</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8.38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7.39%</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统计口径调整，2022年统计口径为一般公共预算财政拨款资金，2023年统计口径为财政拨款资金；2、2022年市卫健委本级公务车辆维修费部分在2023年中开支，导致2023年公车运行费同比增加；3、2022年受疫情影响公务活动减少，2023年疫情形势好转公务活动同比增加</w:t>
      </w:r>
      <w:r>
        <w:rPr>
          <w:rFonts w:hint="eastAsia" w:ascii="Times New Roman" w:hAnsi="Times New Roman" w:eastAsia="仿宋_GB2312"/>
          <w:sz w:val="32"/>
          <w:szCs w:val="32"/>
        </w:rPr>
        <w:t>。其中：</w:t>
      </w:r>
    </w:p>
    <w:p w14:paraId="7A25734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39ACAA02">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8.33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55.53</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落实过“紧日子”要求，加强部门“三公”经费管理，严格公务接待审批</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压缩公务活动减少公务支出。</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1.06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14.58%</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2022年受疫情影响公务活动减少，2023年疫情形势好转公务活动同比增加</w:t>
      </w:r>
      <w:r>
        <w:rPr>
          <w:rFonts w:hint="eastAsia" w:ascii="Times New Roman" w:hAnsi="Times New Roman" w:eastAsia="仿宋_GB2312"/>
          <w:sz w:val="32"/>
          <w:szCs w:val="32"/>
        </w:rPr>
        <w:t>。</w:t>
      </w:r>
    </w:p>
    <w:p w14:paraId="1244E129">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3B00D998">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126.62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113.38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89.54</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落实过“紧日子”要求，加强部门“三公”经费管理，严格公务派车审批，压缩公务活动减少公务支出。</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7.32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6.9</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1、统计口径调整，2022年统计口径为一般公共预算财政资金，2023年统计口径为财政拨款资金；2、2022年市卫健委本级公务车辆维修费部分在2023年中开支，导致2023年公车运行费同比增加；3、2022年受疫情影响公务活动减少，2023年疫情形势好转公务活动同比增加</w:t>
      </w:r>
      <w:r>
        <w:rPr>
          <w:rFonts w:hint="eastAsia" w:ascii="Times New Roman" w:hAnsi="Times New Roman" w:eastAsia="仿宋_GB2312"/>
          <w:sz w:val="32"/>
          <w:szCs w:val="32"/>
        </w:rPr>
        <w:t>。</w:t>
      </w:r>
    </w:p>
    <w:p w14:paraId="7FEB8747">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701042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8.33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6.84</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113.38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93.16</w:t>
      </w:r>
      <w:r>
        <w:rPr>
          <w:rFonts w:hint="eastAsia" w:ascii="Times New Roman" w:hAnsi="Times New Roman" w:eastAsia="仿宋_GB2312"/>
          <w:sz w:val="32"/>
          <w:szCs w:val="32"/>
        </w:rPr>
        <w:t>%。其中：</w:t>
      </w:r>
    </w:p>
    <w:p w14:paraId="0595754C">
      <w:pPr>
        <w:pStyle w:val="14"/>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开支内容</w:t>
      </w:r>
      <w:r>
        <w:rPr>
          <w:rFonts w:hint="eastAsia" w:ascii="Times New Roman" w:hAnsi="Times New Roman" w:eastAsia="仿宋_GB2312"/>
          <w:sz w:val="32"/>
          <w:szCs w:val="32"/>
          <w:lang w:eastAsia="zh-CN"/>
        </w:rPr>
        <w:t>。</w:t>
      </w:r>
    </w:p>
    <w:p w14:paraId="01B8BB93">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8.33</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112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686</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上级调研和指导工作、下级汇报工作</w:t>
      </w:r>
      <w:r>
        <w:rPr>
          <w:rFonts w:hint="eastAsia" w:ascii="Times New Roman" w:hAnsi="Times New Roman" w:eastAsia="仿宋_GB2312"/>
          <w:sz w:val="32"/>
          <w:szCs w:val="32"/>
        </w:rPr>
        <w:t>发生的接待支出。</w:t>
      </w:r>
    </w:p>
    <w:p w14:paraId="01C8997B">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126.62</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市卫健委</w:t>
      </w:r>
      <w:r>
        <w:rPr>
          <w:rFonts w:hint="eastAsia" w:ascii="Times New Roman" w:hAnsi="Times New Roman" w:eastAsia="仿宋_GB2312"/>
          <w:sz w:val="32"/>
          <w:szCs w:val="32"/>
        </w:rPr>
        <w:t>本级</w:t>
      </w:r>
      <w:r>
        <w:rPr>
          <w:rFonts w:hint="eastAsia" w:ascii="Times New Roman" w:hAnsi="Times New Roman" w:eastAsia="仿宋_GB2312"/>
          <w:sz w:val="32"/>
          <w:szCs w:val="32"/>
          <w:lang w:val="en-US" w:eastAsia="zh-CN"/>
        </w:rPr>
        <w:t>及</w:t>
      </w:r>
      <w:r>
        <w:rPr>
          <w:rFonts w:hint="eastAsia" w:ascii="Times New Roman" w:hAnsi="Times New Roman" w:eastAsia="仿宋_GB2312"/>
          <w:sz w:val="32"/>
          <w:szCs w:val="32"/>
        </w:rPr>
        <w:t>二级机构</w:t>
      </w:r>
      <w:r>
        <w:rPr>
          <w:rFonts w:hint="eastAsia" w:ascii="Times New Roman" w:hAnsi="Times New Roman" w:eastAsia="仿宋_GB2312"/>
          <w:sz w:val="32"/>
          <w:szCs w:val="32"/>
          <w:lang w:val="en-US" w:eastAsia="zh-CN"/>
        </w:rPr>
        <w:t>本年</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bookmarkStart w:id="0" w:name="_GoBack"/>
      <w:bookmarkEnd w:id="0"/>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126.62</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车辆维修费、油料费、保险费、过路过桥费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辆。</w:t>
      </w:r>
    </w:p>
    <w:p w14:paraId="722166C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A11EAD2">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本部门无政府性基金收支。</w:t>
      </w:r>
    </w:p>
    <w:p w14:paraId="39CEAEF1">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b/>
          <w:color w:val="auto"/>
          <w:sz w:val="32"/>
          <w:szCs w:val="32"/>
          <w:lang w:val="en-US" w:eastAsia="zh-CN"/>
        </w:rPr>
      </w:pPr>
      <w:r>
        <w:rPr>
          <w:rFonts w:hint="eastAsia" w:ascii="Times New Roman" w:hAnsi="Times New Roman" w:eastAsia="仿宋_GB2312"/>
          <w:b/>
          <w:color w:val="auto"/>
          <w:sz w:val="32"/>
          <w:szCs w:val="32"/>
          <w:lang w:val="en-US" w:eastAsia="zh-CN"/>
        </w:rPr>
        <w:t>九、国有资本经营预算收入支出决算情况</w:t>
      </w:r>
    </w:p>
    <w:p w14:paraId="29AFA83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本部门无国有资本经营预算收支。</w:t>
      </w:r>
    </w:p>
    <w:p w14:paraId="07CF15EE">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06FEF6B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359.16</w:t>
      </w:r>
      <w:r>
        <w:rPr>
          <w:rFonts w:hint="eastAsia" w:ascii="Times New Roman" w:hAnsi="Times New Roman" w:eastAsia="仿宋_GB2312"/>
          <w:sz w:val="32"/>
          <w:szCs w:val="32"/>
        </w:rPr>
        <w:t>万元，比上年决算数减少</w:t>
      </w:r>
      <w:r>
        <w:rPr>
          <w:rFonts w:hint="eastAsia" w:ascii="Times New Roman" w:hAnsi="Times New Roman" w:eastAsia="仿宋_GB2312"/>
          <w:sz w:val="32"/>
          <w:szCs w:val="32"/>
          <w:lang w:val="en-US" w:eastAsia="zh-CN"/>
        </w:rPr>
        <w:t>3.85</w:t>
      </w:r>
      <w:r>
        <w:rPr>
          <w:rFonts w:hint="eastAsia" w:ascii="Times New Roman" w:hAnsi="Times New Roman" w:eastAsia="仿宋_GB2312"/>
          <w:sz w:val="32"/>
          <w:szCs w:val="32"/>
        </w:rPr>
        <w:t>万元，降低</w:t>
      </w:r>
      <w:r>
        <w:rPr>
          <w:rFonts w:hint="eastAsia" w:ascii="Times New Roman" w:hAnsi="Times New Roman" w:eastAsia="仿宋_GB2312"/>
          <w:sz w:val="32"/>
          <w:szCs w:val="32"/>
          <w:lang w:val="en-US" w:eastAsia="zh-CN"/>
        </w:rPr>
        <w:t>1.06</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落实过“紧日子”要求，本部门厉行节约，严控办公开支</w:t>
      </w:r>
      <w:r>
        <w:rPr>
          <w:rFonts w:hint="eastAsia" w:ascii="Times New Roman" w:hAnsi="Times New Roman" w:eastAsia="仿宋_GB2312"/>
          <w:sz w:val="32"/>
          <w:szCs w:val="32"/>
        </w:rPr>
        <w:t>。</w:t>
      </w:r>
    </w:p>
    <w:p w14:paraId="5260E9FD">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641E8C35">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0.4</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卫生健康财务半年培训会审</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开展卫生健康财务半年报集中会审培训</w:t>
      </w:r>
      <w:r>
        <w:rPr>
          <w:rFonts w:hint="eastAsia" w:ascii="Times New Roman" w:hAnsi="Times New Roman" w:eastAsia="仿宋_GB2312"/>
          <w:sz w:val="32"/>
          <w:szCs w:val="32"/>
        </w:rPr>
        <w:t>；开支会议费</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eastAsia="zh-CN"/>
        </w:rPr>
        <w:t>参加全国血站绩效管理研讨班</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血站绩效管理研讨</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参加全省临检中心会议，人数</w:t>
      </w:r>
      <w:r>
        <w:rPr>
          <w:rFonts w:hint="eastAsia" w:ascii="Times New Roman" w:hAnsi="Times New Roman" w:eastAsia="仿宋_GB2312"/>
          <w:sz w:val="32"/>
          <w:szCs w:val="32"/>
          <w:lang w:val="en-US" w:eastAsia="zh-CN"/>
        </w:rPr>
        <w:t>1人，内容为临床检验相关政策、标准解读，新技术推广；参加全国献血宣教招募交流会议，人数3人，内容为血站宣传教育招募交流；参加采供血机构实验室室间质量评价总结大会，人数1人，内容为采供血机构实验室室间质量评价总结；参加全国临床输血学术年会，人数1人，内容为临床输血学术交流；参加全国血站站长论坛会议，人数1人，内容为分享血站建设与发展方面的新理念和新举措，共同提高全国血站采供血能力建设和管理水平；参加省医学会输血专业委员会第九届学术年会，人数6人，内容为输血专业方面的知识学习及交流；参加全国血液检验室间质评与质量改进学术会议，人数1人，内容为血液质量管理相关知识的学术交流；参加无偿献血招募及献血服务创新实践研讨会，人数2人，内容为无偿献血宣传学习；参加中南地区输血医学交流会，人数4人，内容为输血相关知识学习交流；召开全市血液管理工作调度会，人数72人，内容为通报2023年全市无偿献血工作进度和部署2024年度招募工作。</w:t>
      </w:r>
    </w:p>
    <w:p w14:paraId="5DF49586">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4.02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其中，开支培训费0.02万元，</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eastAsia="zh-CN"/>
        </w:rPr>
        <w:t>参加城市生活垃圾分类处理培训费</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参加城市生活垃圾分类处理</w:t>
      </w:r>
      <w:r>
        <w:rPr>
          <w:rFonts w:hint="eastAsia" w:ascii="Times New Roman" w:hAnsi="Times New Roman" w:eastAsia="仿宋_GB2312"/>
          <w:sz w:val="32"/>
          <w:szCs w:val="32"/>
          <w:lang w:val="en-US" w:eastAsia="zh-CN"/>
        </w:rPr>
        <w:t>培训；</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3.11</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val="en-US" w:eastAsia="zh-CN"/>
        </w:rPr>
        <w:t>2023年全市二级及以上医疗机构依法执业</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158</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麻醉药品和精神药品规范化管理与使用、临床规范化用血、《病例书写基本规范》有关内容解读；开支培训费0.89万元，用于开展职业健康培训，人数38人，内容为用人单位常见问题剖析、用人单位职业病防治等。</w:t>
      </w:r>
    </w:p>
    <w:p w14:paraId="3B93734A">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2023年本部门未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14:paraId="03D2A4EC">
      <w:pPr>
        <w:pStyle w:val="14"/>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1A085AA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2009.96</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1354.29</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148.24</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507.43</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2009.96</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2009.96</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67.38</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7.38</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25.24</w:t>
      </w:r>
      <w:r>
        <w:rPr>
          <w:rFonts w:hint="eastAsia" w:ascii="Times New Roman" w:hAnsi="Times New Roman" w:eastAsia="仿宋_GB2312"/>
          <w:color w:val="auto"/>
          <w:sz w:val="32"/>
          <w:szCs w:val="32"/>
        </w:rPr>
        <w:t>%。</w:t>
      </w:r>
    </w:p>
    <w:p w14:paraId="236574A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5A9B493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21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14</w:t>
      </w:r>
      <w:r>
        <w:rPr>
          <w:rFonts w:hint="eastAsia" w:ascii="Times New Roman" w:hAnsi="Times New Roman" w:eastAsia="仿宋_GB2312"/>
          <w:color w:val="auto"/>
          <w:sz w:val="32"/>
          <w:szCs w:val="32"/>
        </w:rPr>
        <w:t>辆，其他用车主要是</w:t>
      </w:r>
      <w:r>
        <w:rPr>
          <w:rFonts w:hint="eastAsia" w:ascii="Times New Roman" w:hAnsi="Times New Roman" w:eastAsia="仿宋_GB2312"/>
          <w:color w:val="auto"/>
          <w:sz w:val="32"/>
          <w:szCs w:val="32"/>
          <w:lang w:val="en-US" w:eastAsia="zh-CN"/>
        </w:rPr>
        <w:t>一般业务用车</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13</w:t>
      </w:r>
      <w:r>
        <w:rPr>
          <w:rFonts w:hint="eastAsia" w:ascii="Times New Roman" w:hAnsi="Times New Roman" w:eastAsia="仿宋_GB2312"/>
          <w:color w:val="auto"/>
          <w:sz w:val="32"/>
          <w:szCs w:val="32"/>
        </w:rPr>
        <w:t>台（套）。</w:t>
      </w:r>
    </w:p>
    <w:p w14:paraId="2B78518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0278092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0435C8D1">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仿宋_GB2312" w:cs="楷体"/>
          <w:b/>
          <w:bCs/>
          <w:sz w:val="32"/>
          <w:szCs w:val="32"/>
          <w:lang w:eastAsia="zh-CN"/>
        </w:rPr>
      </w:pPr>
      <w:r>
        <w:rPr>
          <w:rFonts w:hint="eastAsia" w:ascii="Times New Roman" w:hAnsi="Times New Roman" w:eastAsia="仿宋_GB2312"/>
          <w:color w:val="auto"/>
          <w:sz w:val="32"/>
          <w:szCs w:val="32"/>
        </w:rPr>
        <w:t>根据预算绩效管理要求，我部门组织对</w:t>
      </w:r>
      <w:r>
        <w:rPr>
          <w:rFonts w:hint="default" w:ascii="Times New Roman" w:hAnsi="Times New Roman" w:eastAsia="仿宋_GB2312"/>
          <w:color w:val="auto"/>
          <w:sz w:val="32"/>
          <w:szCs w:val="32"/>
        </w:rPr>
        <w:t>怀化市卫生健康委员会本级</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怀化市疾病预防控制中心</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怀化市卫生技术综合监督执法局</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怀化市中心血站等4个单位开展整体支出绩效评价，涉及一般公共预算支出</w:t>
      </w:r>
      <w:r>
        <w:rPr>
          <w:rFonts w:hint="eastAsia" w:ascii="Times New Roman" w:hAnsi="Times New Roman" w:eastAsia="仿宋_GB2312"/>
          <w:color w:val="auto"/>
          <w:sz w:val="32"/>
          <w:szCs w:val="32"/>
          <w:lang w:val="en-US" w:eastAsia="zh-CN"/>
        </w:rPr>
        <w:t>16400.1</w:t>
      </w:r>
      <w:r>
        <w:rPr>
          <w:rFonts w:hint="default" w:ascii="Times New Roman" w:hAnsi="Times New Roman" w:eastAsia="仿宋_GB2312"/>
          <w:color w:val="auto"/>
          <w:sz w:val="32"/>
          <w:szCs w:val="32"/>
        </w:rPr>
        <w:t>万元、政府性基金预算支出0万元、国有资本经营预算财政拨款收入0万元、事业收入</w:t>
      </w:r>
      <w:r>
        <w:rPr>
          <w:rFonts w:hint="eastAsia" w:ascii="Times New Roman" w:hAnsi="Times New Roman" w:eastAsia="仿宋_GB2312"/>
          <w:color w:val="auto"/>
          <w:sz w:val="32"/>
          <w:szCs w:val="32"/>
          <w:lang w:val="en-US" w:eastAsia="zh-CN"/>
        </w:rPr>
        <w:t>2229.97</w:t>
      </w:r>
      <w:r>
        <w:rPr>
          <w:rFonts w:hint="default" w:ascii="Times New Roman" w:hAnsi="Times New Roman" w:eastAsia="仿宋_GB2312"/>
          <w:color w:val="auto"/>
          <w:sz w:val="32"/>
          <w:szCs w:val="32"/>
        </w:rPr>
        <w:t>万元，其他收入</w:t>
      </w:r>
      <w:r>
        <w:rPr>
          <w:rFonts w:hint="eastAsia" w:ascii="Times New Roman" w:hAnsi="Times New Roman" w:eastAsia="仿宋_GB2312"/>
          <w:color w:val="auto"/>
          <w:sz w:val="32"/>
          <w:szCs w:val="32"/>
          <w:lang w:val="en-US" w:eastAsia="zh-CN"/>
        </w:rPr>
        <w:t>262.19</w:t>
      </w:r>
      <w:r>
        <w:rPr>
          <w:rFonts w:hint="default"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其中，基本支出6825.31万元，项目支出12066.95万元，涉及一级项目13个，二级项目26个。</w:t>
      </w:r>
      <w:r>
        <w:rPr>
          <w:rFonts w:hint="default" w:ascii="Times New Roman" w:hAnsi="Times New Roman" w:eastAsia="仿宋_GB2312"/>
          <w:color w:val="auto"/>
          <w:sz w:val="32"/>
          <w:szCs w:val="32"/>
        </w:rPr>
        <w:t>从评价情况来看，预算执行及时有效，达到了绩效目标，建立健全了内部控制制度，有完善的专项经费管理制度，并能有效地执行，保证了专项资金的专款专用</w:t>
      </w:r>
      <w:r>
        <w:rPr>
          <w:rFonts w:hint="eastAsia" w:ascii="Times New Roman" w:hAnsi="Times New Roman" w:eastAsia="仿宋_GB2312"/>
          <w:color w:val="auto"/>
          <w:sz w:val="32"/>
          <w:szCs w:val="32"/>
          <w:lang w:eastAsia="zh-CN"/>
        </w:rPr>
        <w:t>，</w:t>
      </w:r>
      <w:r>
        <w:rPr>
          <w:rFonts w:hint="default" w:ascii="Times New Roman" w:hAnsi="Times New Roman" w:eastAsia="仿宋_GB2312"/>
          <w:color w:val="auto"/>
          <w:sz w:val="32"/>
          <w:szCs w:val="32"/>
        </w:rPr>
        <w:t>大部分专项经费都已使用完毕，各项目都取得了较好的社会效益，有效地控制了各类疫情的暴发和流行，加快推进了健康怀化建设，医药卫生体制改革逐步深入，重点民生实事全面完成，卫生事业发展也得到了有力保障</w:t>
      </w:r>
      <w:r>
        <w:rPr>
          <w:rFonts w:hint="eastAsia" w:ascii="Times New Roman" w:hAnsi="Times New Roman" w:eastAsia="仿宋_GB2312"/>
          <w:color w:val="auto"/>
          <w:sz w:val="32"/>
          <w:szCs w:val="32"/>
          <w:lang w:eastAsia="zh-CN"/>
        </w:rPr>
        <w:t>。</w:t>
      </w:r>
    </w:p>
    <w:p w14:paraId="0DADE74A">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4CA6E968">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w:t>
      </w:r>
      <w:r>
        <w:rPr>
          <w:rFonts w:hint="default" w:ascii="Times New Roman" w:hAnsi="Times New Roman" w:eastAsia="仿宋_GB2312"/>
          <w:color w:val="auto"/>
          <w:sz w:val="32"/>
          <w:szCs w:val="32"/>
          <w:lang w:val="en-US" w:eastAsia="zh-CN"/>
        </w:rPr>
        <w:t>整体绩效目标设定</w:t>
      </w:r>
      <w:r>
        <w:rPr>
          <w:rFonts w:hint="eastAsia" w:ascii="Times New Roman" w:hAnsi="Times New Roman" w:eastAsia="仿宋_GB2312"/>
          <w:color w:val="auto"/>
          <w:sz w:val="32"/>
          <w:szCs w:val="32"/>
          <w:lang w:val="en-US" w:eastAsia="zh-CN"/>
        </w:rPr>
        <w:t>。</w:t>
      </w:r>
    </w:p>
    <w:p w14:paraId="49C6A91B">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2023年全市卫生健康工作坚持以习近平新时代中国特色社会主义思想为指导，深入贯彻落实党的二十大精神，紧紧围绕新时代卫生与健康工作方针，坚决落实上级重大决策部署，坚持以人民健康为中心，奋力推动怀化市卫生健康事业高质量发展。</w:t>
      </w:r>
    </w:p>
    <w:p w14:paraId="5070C8E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市卫健委部门年度年度总体目标为：加快推进区域医疗卫生中心建设；大力实施健康怀化行动；持续深化医疗卫生体制改革；完善公共卫生服务体系；强化重点人群健康保障；积极推进中医药传承创新发展；坚定不移推进“清廉医院”建设等。</w:t>
      </w:r>
    </w:p>
    <w:p w14:paraId="1D1005A8">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仿宋" w:hAnsi="仿宋" w:eastAsia="仿宋" w:cs="仿宋"/>
          <w:sz w:val="32"/>
          <w:szCs w:val="32"/>
          <w:lang w:val="en-US" w:eastAsia="zh-CN"/>
        </w:rPr>
      </w:pPr>
      <w:r>
        <w:rPr>
          <w:rFonts w:hint="eastAsia" w:ascii="Times New Roman" w:hAnsi="Times New Roman" w:eastAsia="仿宋_GB2312"/>
          <w:color w:val="auto"/>
          <w:sz w:val="32"/>
          <w:szCs w:val="32"/>
          <w:lang w:val="en-US" w:eastAsia="zh-CN"/>
        </w:rPr>
        <w:t>2、</w:t>
      </w:r>
      <w:r>
        <w:rPr>
          <w:rFonts w:hint="eastAsia" w:ascii="仿宋" w:hAnsi="仿宋" w:eastAsia="仿宋" w:cs="仿宋"/>
          <w:sz w:val="32"/>
          <w:szCs w:val="32"/>
          <w:lang w:val="en-US" w:eastAsia="zh-CN"/>
        </w:rPr>
        <w:t>职责履行及履职效益。</w:t>
      </w:r>
    </w:p>
    <w:p w14:paraId="02E8960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一是打造“两张”名片。打造五省边区区域医疗中心。贯彻落实省委主要来怀调研精神，把建设区域医疗中心作为建设区域中心城市的突破口、切入点。市委主要领导召开专题会议研究区域医疗中心建设工作，新增3000万人才引进资金用于医疗和教育方面；制定《怀化市建设五省边区区域医疗中心工作思路》。新晃县、会同县人民医院纳入省级边界类区域医疗中心建设项目，怀化市第二人民医院（靖州院区）、新晃县、会同县、通道县人民医院纳入县级医院能力提升项目。打造湖南省国家中医药综合改革示范区先导区。成立市委书记、市长双组长制的中医药工作协调小组。实现县级公立中医医院全覆盖，2家县级中医医院创建三级中医医院。孙光荣国医大师工作室、刘良院士工作站落户怀化。开设“西学中”培训班10个，在培学员1025人，选送540余人参加省级培训。出台《进一步加强医疗保障支持中医药传承创新发展十条措施》，颁布实施《怀化市民族民间医药保护和促进条例》。湖南医药学院侗医药研究实验室成功入选国家级重点实验室培育单位，为全国唯一一个研究侗医药的实验室。全市中药材种植总面积达140.8万亩，居全省第一，培育市级以上中药材农业产业化龙头企业51家。</w:t>
      </w:r>
    </w:p>
    <w:p w14:paraId="45A98D2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二是推进“三项”服务。推进基层医疗卫生服务，完成大专本土化招聘培养121人、农村订单定向本科医学生培养36人。建成数字化预防接种门诊17个，累计完成110个基层重点专科建设。加快推进乡村一体化管理，实现所有村卫生室的医保门诊统筹报销开通工作。在中方县开展乡村医生等级评定试点，全县共有150名村医达到评定资格。推进重点民生实事，全市6家县级妇幼保健机构完成标准化建设。湖南医药学院总医院重症床位数和可转化重症床位数均达到编制床位4%的要求。完成69449名农村及城镇低保适龄妇女“两癌”免费检查，完成率101%。推进重点人群服务，高标准通过消除艾滋病、梅毒和乙肝母婴传播国家评估，被专家称赞为“被推荐的确实是天花板”。出台《关于优化生育政策促进人口长期均衡发展的工作方案》《关于加强新时代老龄工作的实施方案》。推进医养结合，全市38家二级及以上公立综合医院设老年病科33家，比例达86.8%。综合医院、康复医院、护理院和基层医疗卫生机构成为老年友善机构占比达84%。积极发展婴幼儿照护服务，全市有5家机构获批中央预算内投资项目，13个县市区均建成一家以上普惠性托育机构。</w:t>
      </w:r>
    </w:p>
    <w:p w14:paraId="5AFEBE4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三是狠抓医药卫生体制改革。市第一人民医院整体划转为湖南医药学院管理，会同县中医院、辰溪县人民医院、辰溪县中医医院、溆浦县人民医院、麻阳县中医医院长期租赁问题整改到位。在全市全面推开紧密型县域医共体建设。DIP支付方式正式上线运行，确定36家医院为第一批试点医院。</w:t>
      </w:r>
    </w:p>
    <w:p w14:paraId="62E43AF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四是狠抓医疗卫生服务体系。印发《进一步明确了市（省）属公立医院定位和发展方向》，推进差异化特色化发展。指导市（省）属医院新增国家级临床重点专科培育项目7个，省级临床重点建设项目21个。加强医疗质量管理，先后开展3次死亡病例质控抽查评审。建成全民健康信息平台，实现省、市、县、乡四级检查检验结果共享调阅。20个县级医院、193个乡镇卫生院实现远程会诊全覆盖、157家乡镇卫生院实现远程诊疗服务，共计15.37万人次享受远程诊疗服务。</w:t>
      </w:r>
    </w:p>
    <w:p w14:paraId="5441A97F">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386AA7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本部门对预算绩效管理学习不够，绩效评价意识有待提升，在部门整体支出绩效评价和专项资金绩效评价中指标设置不够完善，无法完全体现绩效管理目标设置完成性、前瞻性</w:t>
      </w:r>
      <w:r>
        <w:rPr>
          <w:rFonts w:hint="default" w:ascii="Times New Roman" w:hAnsi="Times New Roman" w:eastAsia="仿宋_GB2312"/>
          <w:color w:val="auto"/>
          <w:sz w:val="32"/>
          <w:szCs w:val="32"/>
          <w:lang w:val="en-US" w:eastAsia="zh-CN"/>
        </w:rPr>
        <w:t>。需不断提升预算绩效管理意识，把绩效评价作为各级各部门的日常性工作，建立绩效评价管理工作考核的长效机制，同时加强绩效管理工作人员业务能力培训，提高工作水平，不断适应预算绩效管理新要求</w:t>
      </w:r>
      <w:r>
        <w:rPr>
          <w:rFonts w:hint="eastAsia" w:ascii="Times New Roman" w:hAnsi="Times New Roman" w:eastAsia="仿宋_GB2312"/>
          <w:color w:val="auto"/>
          <w:sz w:val="32"/>
          <w:szCs w:val="32"/>
          <w:lang w:val="en-US" w:eastAsia="zh-CN"/>
        </w:rPr>
        <w:t>。</w:t>
      </w:r>
    </w:p>
    <w:p w14:paraId="575D45CB">
      <w:pPr>
        <w:pStyle w:val="14"/>
        <w:jc w:val="both"/>
        <w:rPr>
          <w:sz w:val="72"/>
          <w:szCs w:val="72"/>
        </w:rPr>
      </w:pPr>
    </w:p>
    <w:p w14:paraId="246BBC50">
      <w:pPr>
        <w:pStyle w:val="14"/>
        <w:jc w:val="center"/>
        <w:rPr>
          <w:sz w:val="72"/>
          <w:szCs w:val="72"/>
        </w:rPr>
      </w:pPr>
    </w:p>
    <w:p w14:paraId="72C4C4E8">
      <w:pPr>
        <w:pStyle w:val="14"/>
        <w:jc w:val="center"/>
        <w:rPr>
          <w:sz w:val="72"/>
          <w:szCs w:val="72"/>
        </w:rPr>
      </w:pPr>
    </w:p>
    <w:p w14:paraId="570B6D40">
      <w:pPr>
        <w:pStyle w:val="14"/>
        <w:jc w:val="both"/>
        <w:rPr>
          <w:rFonts w:hint="eastAsia" w:ascii="方正小标宋_GBK" w:hAnsi="方正小标宋_GBK" w:eastAsia="方正小标宋_GBK" w:cs="方正小标宋_GBK"/>
          <w:sz w:val="72"/>
          <w:szCs w:val="72"/>
        </w:rPr>
      </w:pPr>
    </w:p>
    <w:p w14:paraId="550C3F59">
      <w:pPr>
        <w:pStyle w:val="14"/>
        <w:jc w:val="center"/>
        <w:rPr>
          <w:rFonts w:hint="eastAsia" w:ascii="方正小标宋_GBK" w:hAnsi="方正小标宋_GBK" w:eastAsia="方正小标宋_GBK" w:cs="方正小标宋_GBK"/>
          <w:sz w:val="72"/>
          <w:szCs w:val="72"/>
        </w:rPr>
      </w:pPr>
    </w:p>
    <w:p w14:paraId="26DD16EC">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606C88BF">
      <w:pPr>
        <w:jc w:val="center"/>
        <w:rPr>
          <w:rFonts w:hint="eastAsia" w:ascii="方正小标宋_GBK" w:hAnsi="方正小标宋_GBK" w:eastAsia="方正小标宋_GBK" w:cs="方正小标宋_GBK"/>
          <w:color w:val="000000"/>
          <w:kern w:val="0"/>
          <w:sz w:val="70"/>
          <w:szCs w:val="70"/>
        </w:rPr>
      </w:pPr>
    </w:p>
    <w:p w14:paraId="06415D89">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22C1222">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9661360">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default"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一、财政拨款收入：指本年度从本级财政部门取得的财政拨款，包括一般公共预算财政拨款和政府性基金预算财政拨款。</w:t>
      </w:r>
    </w:p>
    <w:p w14:paraId="450A5ED9">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二、事业收入：指事业单位开展专业业务活动及其辅助活动取得的收入；事业单位收到的财政专户实际核拨的教育收费等资金在此反映。</w:t>
      </w:r>
    </w:p>
    <w:p w14:paraId="6D3974CE">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三、其他收入：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填列在本项内。</w:t>
      </w:r>
    </w:p>
    <w:p w14:paraId="7A6F8904">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四、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7D4067A3">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五、项目支出：指在基本支出之外为完成特定行政任务和事业发展目标所发生的支出。</w:t>
      </w:r>
    </w:p>
    <w:p w14:paraId="20C87B61">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lang w:val="en-US" w:eastAsia="zh-CN"/>
        </w:rPr>
      </w:pPr>
      <w:r>
        <w:rPr>
          <w:rFonts w:hint="default" w:ascii="Times New Roman" w:hAnsi="Times New Roman" w:eastAsia="仿宋_GB2312"/>
          <w:color w:val="auto"/>
          <w:sz w:val="32"/>
          <w:szCs w:val="32"/>
          <w:lang w:val="en-US" w:eastAsia="zh-CN"/>
        </w:rPr>
        <w:t>六、“三公”经费：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CC2AB4F">
      <w:pPr>
        <w:pStyle w:val="14"/>
        <w:jc w:val="center"/>
        <w:rPr>
          <w:sz w:val="72"/>
          <w:szCs w:val="72"/>
        </w:rPr>
      </w:pPr>
    </w:p>
    <w:p w14:paraId="080E5BF9">
      <w:pPr>
        <w:pStyle w:val="14"/>
        <w:jc w:val="center"/>
        <w:rPr>
          <w:sz w:val="72"/>
          <w:szCs w:val="72"/>
        </w:rPr>
      </w:pPr>
    </w:p>
    <w:p w14:paraId="729AB3A1">
      <w:pPr>
        <w:pStyle w:val="14"/>
        <w:jc w:val="center"/>
        <w:rPr>
          <w:sz w:val="72"/>
          <w:szCs w:val="72"/>
        </w:rPr>
      </w:pPr>
    </w:p>
    <w:p w14:paraId="6375BF6C">
      <w:pPr>
        <w:rPr>
          <w:sz w:val="72"/>
          <w:szCs w:val="72"/>
        </w:rPr>
      </w:pPr>
    </w:p>
    <w:p w14:paraId="3C50DB40">
      <w:pPr>
        <w:pStyle w:val="2"/>
        <w:rPr>
          <w:sz w:val="72"/>
          <w:szCs w:val="72"/>
        </w:rPr>
      </w:pPr>
    </w:p>
    <w:p w14:paraId="772677E6">
      <w:pPr>
        <w:pStyle w:val="3"/>
        <w:rPr>
          <w:sz w:val="72"/>
          <w:szCs w:val="72"/>
        </w:rPr>
      </w:pPr>
    </w:p>
    <w:p w14:paraId="277DBCD2">
      <w:pPr>
        <w:pStyle w:val="4"/>
        <w:rPr>
          <w:sz w:val="72"/>
          <w:szCs w:val="72"/>
        </w:rPr>
      </w:pPr>
    </w:p>
    <w:p w14:paraId="34C1EA34"/>
    <w:p w14:paraId="3EA615CB">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95D1490">
      <w:pPr>
        <w:pStyle w:val="14"/>
        <w:jc w:val="center"/>
        <w:rPr>
          <w:rFonts w:hint="eastAsia" w:ascii="方正小标宋_GBK" w:hAnsi="方正小标宋_GBK" w:eastAsia="方正小标宋_GBK" w:cs="方正小标宋_GBK"/>
          <w:sz w:val="70"/>
          <w:szCs w:val="70"/>
        </w:rPr>
      </w:pPr>
    </w:p>
    <w:p w14:paraId="39E8DF2E">
      <w:pPr>
        <w:pStyle w:val="14"/>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16BC8313">
      <w:pPr>
        <w:rPr>
          <w:sz w:val="72"/>
          <w:szCs w:val="72"/>
        </w:rPr>
      </w:pPr>
      <w:r>
        <w:rPr>
          <w:sz w:val="72"/>
          <w:szCs w:val="72"/>
        </w:rPr>
        <w:br w:type="page"/>
      </w:r>
    </w:p>
    <w:p w14:paraId="57D1EF80">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一、2023年度部门决算公开表</w:t>
      </w:r>
    </w:p>
    <w:p w14:paraId="418CD361">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二、2023年度部门整体支出绩效自评报告。</w:t>
      </w:r>
    </w:p>
    <w:p w14:paraId="670435A1">
      <w:pPr>
        <w:pStyle w:val="14"/>
        <w:jc w:val="center"/>
        <w:rPr>
          <w:sz w:val="72"/>
          <w:szCs w:val="72"/>
        </w:rPr>
      </w:pPr>
    </w:p>
    <w:p w14:paraId="53174082">
      <w:pPr>
        <w:pStyle w:val="14"/>
        <w:jc w:val="center"/>
        <w:rPr>
          <w:sz w:val="72"/>
          <w:szCs w:val="72"/>
        </w:rPr>
      </w:pPr>
    </w:p>
    <w:p w14:paraId="6335227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YTJmNDFjNDFkYjRjNTBmMTgxNmI0YjM2N2I2MTk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12DE3"/>
    <w:rsid w:val="00C3049A"/>
    <w:rsid w:val="00C31B1E"/>
    <w:rsid w:val="00C77645"/>
    <w:rsid w:val="00CE04C3"/>
    <w:rsid w:val="00CE76A0"/>
    <w:rsid w:val="00D03026"/>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AE3368"/>
    <w:rsid w:val="065868F5"/>
    <w:rsid w:val="09426E4C"/>
    <w:rsid w:val="0DF742E8"/>
    <w:rsid w:val="0DFA7935"/>
    <w:rsid w:val="0F3F1AA3"/>
    <w:rsid w:val="0F707EAE"/>
    <w:rsid w:val="10B3586D"/>
    <w:rsid w:val="11005262"/>
    <w:rsid w:val="114809B7"/>
    <w:rsid w:val="1651030E"/>
    <w:rsid w:val="17AA5F28"/>
    <w:rsid w:val="1A501008"/>
    <w:rsid w:val="1D322C47"/>
    <w:rsid w:val="1D97DEFF"/>
    <w:rsid w:val="1DFF72E5"/>
    <w:rsid w:val="1EFC6F07"/>
    <w:rsid w:val="227855A0"/>
    <w:rsid w:val="2297354C"/>
    <w:rsid w:val="232E2A04"/>
    <w:rsid w:val="25DD396C"/>
    <w:rsid w:val="28902F18"/>
    <w:rsid w:val="2A1C2CB5"/>
    <w:rsid w:val="2D7E6FED"/>
    <w:rsid w:val="2D8172D3"/>
    <w:rsid w:val="2E150147"/>
    <w:rsid w:val="2FDF85B8"/>
    <w:rsid w:val="2FFFEE04"/>
    <w:rsid w:val="32560D2E"/>
    <w:rsid w:val="334E7C57"/>
    <w:rsid w:val="34DF85B0"/>
    <w:rsid w:val="3578720D"/>
    <w:rsid w:val="37A75B88"/>
    <w:rsid w:val="38F372D7"/>
    <w:rsid w:val="390037A2"/>
    <w:rsid w:val="39A83150"/>
    <w:rsid w:val="3B8F36BC"/>
    <w:rsid w:val="3CAD3C40"/>
    <w:rsid w:val="3E9F580B"/>
    <w:rsid w:val="4010076E"/>
    <w:rsid w:val="40AE11A3"/>
    <w:rsid w:val="42B5384F"/>
    <w:rsid w:val="48384D06"/>
    <w:rsid w:val="491FF225"/>
    <w:rsid w:val="49C10D2B"/>
    <w:rsid w:val="4C2A3F95"/>
    <w:rsid w:val="4E37780E"/>
    <w:rsid w:val="4FFD214C"/>
    <w:rsid w:val="53051C89"/>
    <w:rsid w:val="56554CD5"/>
    <w:rsid w:val="5777D4F5"/>
    <w:rsid w:val="57A557E8"/>
    <w:rsid w:val="596F4300"/>
    <w:rsid w:val="59DD8326"/>
    <w:rsid w:val="5A074538"/>
    <w:rsid w:val="5DEF592A"/>
    <w:rsid w:val="5FC6BB1E"/>
    <w:rsid w:val="5FF720F1"/>
    <w:rsid w:val="60194FC5"/>
    <w:rsid w:val="637C7D45"/>
    <w:rsid w:val="66703465"/>
    <w:rsid w:val="66B45A48"/>
    <w:rsid w:val="67FF5C0B"/>
    <w:rsid w:val="680E1188"/>
    <w:rsid w:val="69B55D5F"/>
    <w:rsid w:val="6AF97ECD"/>
    <w:rsid w:val="6EFC0924"/>
    <w:rsid w:val="6FB74722"/>
    <w:rsid w:val="6FEF8B7E"/>
    <w:rsid w:val="71A6591B"/>
    <w:rsid w:val="73090EC9"/>
    <w:rsid w:val="737D59BA"/>
    <w:rsid w:val="75640639"/>
    <w:rsid w:val="77C37683"/>
    <w:rsid w:val="79CD0EA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12701</Words>
  <Characters>13701</Characters>
  <Lines>63</Lines>
  <Paragraphs>18</Paragraphs>
  <TotalTime>0</TotalTime>
  <ScaleCrop>false</ScaleCrop>
  <LinksUpToDate>false</LinksUpToDate>
  <CharactersWithSpaces>13713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张晔1398133251</cp:lastModifiedBy>
  <cp:lastPrinted>2024-08-08T10:20:00Z</cp:lastPrinted>
  <dcterms:modified xsi:type="dcterms:W3CDTF">2024-09-25T02:18:12Z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26D2FA39F7734075BFD4F67CEBFDFC19_12</vt:lpwstr>
  </property>
</Properties>
</file>