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6B26A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附件5</w:t>
      </w:r>
    </w:p>
    <w:p w14:paraId="3C97A12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061C4A53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</w:p>
    <w:p w14:paraId="3B6FFC2D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2024年度怀化市卫生计生综合监督执法局</w:t>
      </w:r>
    </w:p>
    <w:p w14:paraId="6323504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部门（单位）整体支出</w:t>
      </w:r>
    </w:p>
    <w:p w14:paraId="5AD8FC5E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280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</w:p>
    <w:p w14:paraId="0790C8D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280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  <w:t>绩效自评报告</w:t>
      </w:r>
    </w:p>
    <w:p w14:paraId="3EB9AEA8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2800" w:firstLineChars="700"/>
        <w:jc w:val="both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</w:p>
    <w:p w14:paraId="7445C239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2800" w:firstLineChars="70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0"/>
          <w:szCs w:val="40"/>
          <w:shd w:val="clear" w:fill="FFFFFF"/>
          <w:lang w:val="en-US" w:eastAsia="zh-CN"/>
        </w:rPr>
      </w:pPr>
    </w:p>
    <w:p w14:paraId="7F33D6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D2BB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23739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2CF4C1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327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BD7E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0F99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0A5B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0C2B4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6AAD8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53FD8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 w14:paraId="774F0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3C39CE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02E27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</w:t>
      </w:r>
    </w:p>
    <w:p w14:paraId="585AD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0C39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        单位名称（盖章）：</w:t>
      </w:r>
    </w:p>
    <w:p w14:paraId="5BF93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1F16B6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一、部门概况</w:t>
      </w:r>
    </w:p>
    <w:p w14:paraId="0B4EC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（一）部门（单位）基本情况。</w:t>
      </w:r>
    </w:p>
    <w:p w14:paraId="15C7282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机构设置情况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3749B49B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设置公共场所卫生监督科、食品安全科、职业防治与放射卫生监督科、医疗机构执业监督科、传染病防治与学校监督科、稽查科、受理发证科、办公室、人事科9个职能科室。</w:t>
      </w:r>
    </w:p>
    <w:p w14:paraId="349E5DEB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人员编制情况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1C5571D8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怀化市卫生计生综合监督执法局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参照公务员法管理事业单位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事业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编制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2024年年末在职人员43人，较上年减少2人，主要原因是：调出1人，退休1人；退休人员33人，较上年增加1人，主要原因是：退休1人。</w:t>
      </w:r>
    </w:p>
    <w:p w14:paraId="4A828EE4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主要职能职责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7FE5EC2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实施卫生计生专项整治和日常监督检查；对公共场所卫生、生活饮用水卫生、学校卫生及消毒产品和涉及饮用水卫生安全产品进行监督检查；对医疗机构、采供血机构及其从业人员的执业活动进行监督检查，查处违法行为；打击非法行医和非法采供血；整顿和规范医疗服务秩序；对医疗卫生机构的放射诊疗、职业健康检查和职业病诊断工作进行监督检查，查处违法行为；对医疗机构、采供血机构、疾病预防控制机构的传染病疫情报告、疫情控制措施、消毒隔离制度执行情况、医疗废物处置情况和菌（毒）种管理情况等进行监督检查，查处违法行为；对母婴保健机构、计划生育技术服务机构服务内容和从业人员的行为规范进行监督，依法打击“两非”行为，做好计划生育违法违纪案件的督查督办；行政区域内卫生计生监督信息的收集、核实和上报；受理对违法行为的投诉、举报；开展卫生计生法律法规宣传教育和执法检查；完成卫生计生行政部门、中医药管理部门交办的食品安全、中医药监督等相关工作及职责范围内的工作。</w:t>
      </w:r>
    </w:p>
    <w:p w14:paraId="4559ACEF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绩效目标设定情况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5D3CB72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Chars="0" w:right="0" w:rightChars="0" w:firstLine="640" w:firstLineChars="200"/>
        <w:textAlignment w:val="auto"/>
        <w:rPr>
          <w:rFonts w:hint="default" w:asci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年度总目标为：提高政治站位，持续加强政治机关建设；突出工作重点，持续推进卫生监督事业发展；盯紧干部队伍素质建设，提高卫生执法水平。　</w:t>
      </w:r>
    </w:p>
    <w:p w14:paraId="7E4BF4C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部门（单位）整体支出规模、使用方向和主要内容、涉及范围等。</w:t>
      </w:r>
    </w:p>
    <w:p w14:paraId="3DA6BE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2024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年总支出为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891.54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万元，其中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基本支出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759.35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万元、项目支出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132.19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资金按照我局收支管理制度进行管理，经领导审批后方可列支。</w:t>
      </w:r>
    </w:p>
    <w:p w14:paraId="1F95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二、一般公共预算支出情况</w:t>
      </w:r>
    </w:p>
    <w:p w14:paraId="6A023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（一）基本支出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07ACCC60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left="640" w:right="0" w:firstLine="0"/>
        <w:textAlignment w:val="auto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1.基本支出情况</w:t>
      </w:r>
      <w:r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。</w:t>
      </w:r>
    </w:p>
    <w:p w14:paraId="5D1143E6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基本支出主要用于保障局本级各部门、机构正常运转及日常工作任务而发生的支出，包括人员经费、一般商品和服务支出经费。</w:t>
      </w:r>
    </w:p>
    <w:p w14:paraId="09C12CFC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全年共发生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一般公共预算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基本支出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756.67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万元，其中：工资福利支出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623.57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万元（基本工资1754358元、津贴补贴1075148元、奖金1486048元、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伙食补助费123090元、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机关事业单位基本养老保险缴费604448.8元、职工基本医疗保险缴费231369.44元、其他社会保障缴费460007.83元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住房公积金501181元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）、商品和服务支出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73.2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万元（办公费19842.87元、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电费22940.06元、邮电费4077.87元、差旅费6259元、维修（护）费2250元、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公务接待费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6336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工会经费214839.44元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、福利费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46520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元、公务用车运行维护费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10000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元、其他交通费用341977.67元、其他商品和服务支出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56977.9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元），对个人和家庭补助支出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59.9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万元（生活补助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572546.6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元、奖励金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26480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元）。</w:t>
      </w:r>
    </w:p>
    <w:p w14:paraId="7F437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“三公”经费严格按照预算支出，控制在预算内。在支出管理方面，我们坚决贯彻落实省《党政机关厉行节约反对浪费条例》的精神，严格执行中央“八项规定”。</w:t>
      </w:r>
    </w:p>
    <w:p w14:paraId="676386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（二）项目支出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1324F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项目资金（包括财政资金、自筹资金等）安排落实、总投入等情况分析。</w:t>
      </w:r>
    </w:p>
    <w:p w14:paraId="5F6B1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2024年项目资金均为财政性资金，全年预算数为192.56万元，全年执行数为132.19万元，执行率为68.65%万元。</w:t>
      </w:r>
    </w:p>
    <w:p w14:paraId="1F94C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项目资金（主要指财政资金）实际使用情况分析。</w:t>
      </w:r>
    </w:p>
    <w:p w14:paraId="20AEE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全年共发生项目支出132.19万元。</w:t>
      </w:r>
    </w:p>
    <w:p w14:paraId="267EDB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（1）医疗服务与保障能力提升。</w:t>
      </w:r>
    </w:p>
    <w:p w14:paraId="04ACB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 xml:space="preserve"> 医疗服务与保障能力提升项目资金实际使用34.85万元，其中：专用设备购置34.85万元。</w:t>
      </w:r>
    </w:p>
    <w:p w14:paraId="4D726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（2）创建经费。</w:t>
      </w:r>
    </w:p>
    <w:p w14:paraId="17CA6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创建经费项目资金实际使用11.66万元，其中：办公费2.17万元、印刷费0.33万元、邮电费1.57万元、差旅费0.12万元、培训费1.96万元、公务用车运行维护费1.06万元、其他交通费用0.17万元、其他商品和服务支出4.28万元。</w:t>
      </w:r>
    </w:p>
    <w:p w14:paraId="43569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（3）医疗卫生行业综合监督。</w:t>
      </w:r>
    </w:p>
    <w:p w14:paraId="010FE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医疗卫生行业综合监督项目资金实际使用9.22万元，其中：办公费0.22万元、邮电费0.5万元、差旅费4.83万元、培训费2万元、公务用车运行维护费1.58万元、办公设备购置0.09万元。</w:t>
      </w:r>
    </w:p>
    <w:p w14:paraId="5DCC2D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（4）职业健康监督执法。</w:t>
      </w:r>
    </w:p>
    <w:p w14:paraId="31ABD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职业健康监督执法项目资金实际使用3.96万元，其中：办公费0.41万元、邮电费0.3万元、差旅费2.39万元、培训费0.16万元、公务用车运行维护费0.7万元。</w:t>
      </w:r>
    </w:p>
    <w:p w14:paraId="24336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（5）安全饮水监督执法。</w:t>
      </w:r>
    </w:p>
    <w:p w14:paraId="7FF4F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安全饮水监督执法项目资金实际使用8.66万元，其中：办公费0.21万元、邮电费0.3万元、差旅费2.75万元、培训费1.35万元、公务用车运行维护费1.71万元、其他交通费用0.33万元、其他商品和服务支出2.01万元。</w:t>
      </w:r>
    </w:p>
    <w:p w14:paraId="0F6A5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（6）医疗污水及医疗废物监督执法。</w:t>
      </w:r>
    </w:p>
    <w:p w14:paraId="0081C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医疗污水及医疗废物监督执法项目资金实际使用8.23万元，其中：办公费0.02万元、邮电费0.5万元、差旅费3.31万元、培训费3万元、公务用车运行维护费0.9万元、其他商品和服务支出0.5万元。</w:t>
      </w:r>
    </w:p>
    <w:p w14:paraId="28786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（7）“双随机、一公开”监管。</w:t>
      </w:r>
    </w:p>
    <w:p w14:paraId="4209D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“双随机、一公开”监管项目资金实际使用3.78万元，其中：办公费0.04万元、邮电费0.3万元、差旅费1.87万元、培训费1.5万元、公务用车运行维护费0.07万元。</w:t>
      </w:r>
    </w:p>
    <w:p w14:paraId="5F3FE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（8）卫生监督综合经费。</w:t>
      </w:r>
    </w:p>
    <w:p w14:paraId="5AE39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卫生监督综合经费项目资金实际使用14.83万元，其中：电费0.87万元、物业管理费9.15万元、培训费0.19万元、公务用车运行维护费1万元、其他商品和服务支出3.55万元、办公设备购置费0.07万元。</w:t>
      </w:r>
    </w:p>
    <w:p w14:paraId="0E4D4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（9）公共卫生项目。</w:t>
      </w:r>
    </w:p>
    <w:p w14:paraId="0D4FB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公共卫生项目项目资金实际使用4万元，其中：差旅费4万元。</w:t>
      </w:r>
    </w:p>
    <w:p w14:paraId="638C6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（10）创卫专项经费。</w:t>
      </w:r>
    </w:p>
    <w:p w14:paraId="4C91D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创卫专项经费项目资金实际使用33万元，其中：印刷费0.72万元、培训费0.28万元、其他商品和服务支出32万元。</w:t>
      </w:r>
    </w:p>
    <w:p w14:paraId="1D04E3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项目资金管理情况分析，主要包括管理制度、办法的制订及执行情况。</w:t>
      </w:r>
    </w:p>
    <w:p w14:paraId="22B33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 xml:space="preserve">    为全面实施预算绩效管理，建立科学、合理的项目支出绩效评价管理体系，提高财政资源配置效率和使用效益，根据《中华人民共和国预算法》、《中共中央国务院关于全面实施预算绩效管理的意见》和《财政部项目支出绩效管理办法》等有关规定，制定了我局的《项目支出绩效管理制度》，在制定绩效目标和进行绩效评价时与项目相关的业务科室充分参与，根据绩效目标的完成情况，逐步完善下一年绩效目标。</w:t>
      </w:r>
    </w:p>
    <w:p w14:paraId="47AF9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三、项目组织实施情况</w:t>
      </w:r>
    </w:p>
    <w:p w14:paraId="709674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（一）项目组织情况分析，主要包括项目招投标、调整、竣工验收等情况。</w:t>
      </w:r>
    </w:p>
    <w:p w14:paraId="60465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我局无需要招投标的项目，非特殊情况项目任务当年不进行调整，项目资金涉及采购验收时，由使用科室人员和办公室人员联合验收。</w:t>
      </w:r>
    </w:p>
    <w:p w14:paraId="4E7AED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项目管理情况分析，主要包括项目管理制度建设、日常检查监督管理等情况。</w:t>
      </w:r>
    </w:p>
    <w:p w14:paraId="37A461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项目管理按照我</w:t>
      </w:r>
      <w:bookmarkStart w:id="0" w:name="_GoBack"/>
      <w:bookmarkEnd w:id="0"/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局《项目支出绩效管理制度》、《财务管理制度》和《政府采购内部控制管理制度》执行，项目运行半年时进行绩效监控，推进项目实施。</w:t>
      </w:r>
    </w:p>
    <w:p w14:paraId="6681E1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四、资产管理情况</w:t>
      </w:r>
    </w:p>
    <w:p w14:paraId="62247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（一）资产的配置情况。</w:t>
      </w:r>
    </w:p>
    <w:p w14:paraId="29694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2024年我局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配置固定资产35.01万元（账面原值，下同）。从资产类别分析，配置房屋和构筑物0.00万元，占0.00%；配置设备34.94万元，占99.81%；配置文物和陈列品0.00万元，占0.00%；配置图书和档案0.00万元，占0.00%；配置家具和用具0.07万元，占0.19%；配置特种动植物0.00万元，占0.00%。从配置方式分析，建设0.00万元，占0.00%；新购35.01万元，占100.00%；调拨0.00万元，占0.00%；接受捐赠0.00万元，占0.00%；置换0.00万元，占0.00%；其他方式新增0.00万元，占0.00%。</w:t>
      </w:r>
    </w:p>
    <w:p w14:paraId="1E915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我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配置无形资产0.00万元。从资产类别分析，配置专利0.00万元，占0.00%；配置非专利技术0.00万元，占0.00%；配置土地使用权0.00万元，占0.00%；配置计算机软件0.00万元，占0.00%。从配置方式分析，建设0.00万元，占0.00%；新购0.00万元，占0.00%；调拨0.00万元，占0.00%；接受捐赠0.00万元，占0.00%；置换0.00万元，占0.00%；其他方式新增0.00万元，占0.00%。</w:t>
      </w:r>
    </w:p>
    <w:p w14:paraId="10FC1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我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局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配置在建工程0.00万元。</w:t>
      </w:r>
    </w:p>
    <w:p w14:paraId="0240C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资产管理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情况。</w:t>
      </w:r>
    </w:p>
    <w:p w14:paraId="4A4E24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完善制度机制。</w:t>
      </w:r>
    </w:p>
    <w:p w14:paraId="79BA91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我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不断完善资产管理制度体系，包括资产配置、使用、处置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管理，构建了全链条资产管理制度。这有助于提升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管理水平，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高效履职和促进事业发展提供了重要物质保障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59BBF5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优化资产结构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18AC3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对资产进行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定期清查，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及时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摸清家底，确保资产安全完整。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根据业务发展需要，调整固定资产结构，淘汰落后、过剩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的设备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，购置先进、适用资产。通过资产整合，实现了资产优化配置，提高了资产整体效能。</w:t>
      </w:r>
    </w:p>
    <w:p w14:paraId="1D7361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降低了资产成本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ADD1B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我局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积极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通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过竞价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方式购置资产，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吸引了多家供应商参与竞争，形成了买方市场。供应商为了赢得合同，通常会提供较为优惠的价格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不仅节省了资金，还提高了资产管理水平，为单位的健康发展提供了有力保障。同时，还有助于促进公平竞争，维护市场秩序，实现社会资源的优化配置。</w:t>
      </w:r>
    </w:p>
    <w:p w14:paraId="758C8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（三）资产处置情况。</w:t>
      </w:r>
    </w:p>
    <w:p w14:paraId="6588A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我局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处置资产21.63万元。从资产类别分析,流动资产0.00万元，占0.00%；固定资产21.63万元，占100.00%；无形资产0.00万元，占0.00%；长期投资0.00万元，占0.00%；在建工程0.00万元，占0.00%；其他资产0.00万元，占0.00%。从处置形式上分析，转让0.00万元，占0.00%；无偿划转0.00万元，占0.00%；对外捐赠0.00万元，占0.00%；置换0.00万元，占0.00%；报废21.63万元，占100.00%；损失核销0.00万元，占0.00%，其他方式0.00万元，占0.00%。</w:t>
      </w:r>
    </w:p>
    <w:p w14:paraId="7C2AA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五、政府性基金预算支出情况</w:t>
      </w:r>
    </w:p>
    <w:p w14:paraId="21D924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无。</w:t>
      </w:r>
    </w:p>
    <w:p w14:paraId="34886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六、国有资本经营预算支出情况</w:t>
      </w:r>
    </w:p>
    <w:p w14:paraId="05063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无。</w:t>
      </w:r>
    </w:p>
    <w:p w14:paraId="3844A8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七、社会保险基金预算支出情况</w:t>
      </w:r>
    </w:p>
    <w:p w14:paraId="58F5A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无。</w:t>
      </w:r>
    </w:p>
    <w:p w14:paraId="387AC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八、部门整体支出绩效情况</w:t>
      </w:r>
    </w:p>
    <w:p w14:paraId="5E57C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（一）综合评价结论。</w:t>
      </w:r>
    </w:p>
    <w:p w14:paraId="72669152"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20" w:lineRule="exact"/>
        <w:ind w:right="0" w:firstLine="64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综合评价自评得分99.29分，详见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“整体支出绩效自评表”。</w:t>
      </w:r>
    </w:p>
    <w:p w14:paraId="4AA2D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（二）“四本预算”支出的绩效目标完成情况。</w:t>
      </w:r>
    </w:p>
    <w:p w14:paraId="7C116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2024年我局整体收入为959.75万元，其中：一般公共预算支出955.17万元、其他资金4.58万元；整体支出为891.54万元，其中：基本支出759.35万元、项目支出132.19万元。完成了年初制定的绩效目标。</w:t>
      </w:r>
    </w:p>
    <w:p w14:paraId="3EB23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1.运行成本。</w:t>
      </w:r>
    </w:p>
    <w:p w14:paraId="04B2D3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（1）成本指标-经济成本指标-整体成本控制</w:t>
      </w:r>
    </w:p>
    <w:p w14:paraId="1385E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年度指标值：≤833.71万元（实际成本控制在预算指标内计20分，每超出成本10%扣0.2分，扣完为止。</w:t>
      </w:r>
    </w:p>
    <w:p w14:paraId="1526E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实际完成值：891.54万元。</w:t>
      </w:r>
    </w:p>
    <w:p w14:paraId="30AD68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得分20分。</w:t>
      </w:r>
    </w:p>
    <w:p w14:paraId="357577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（2）成本指标-社会成本指标、成本指标-生态成本指标不适用。</w:t>
      </w:r>
    </w:p>
    <w:p w14:paraId="02D0CB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2.管理效率。</w:t>
      </w:r>
    </w:p>
    <w:p w14:paraId="2436A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预算执行率年度指标值为100%，实际执行率为92.89%。</w:t>
      </w:r>
    </w:p>
    <w:p w14:paraId="3ABE86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3.履职效能。</w:t>
      </w:r>
    </w:p>
    <w:p w14:paraId="1BB535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年度总体目标是：提高政治站位，持续加强政治机关建设；       突出工作重点，持续推进卫生监督事业发展；盯紧干部队伍素质建设，提高卫生执法水平。</w:t>
      </w:r>
    </w:p>
    <w:p w14:paraId="5F9DF4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实际完成情况：以党的建设为统领，在激发干部动能上出实效；有序推进医疗卫生监督、公共场所卫生监督、生活饮用水与学校卫生监督、传染病防治卫生监督以及职业与放射卫生监督等“六大”卫生监督工作，全面推行综合监督执法模式改革，突出科室整合、市县联合、专项和日常监督结合的沉浸式监督模式，做到了进一次门，办所有事，减少监督频次，减轻服务对象迎检负担；在日常工作业务培训会上，将普法宣传、法制培训列入必须的授课内容，不断强化广大卫生监督执法员依法行政理念。</w:t>
      </w:r>
    </w:p>
    <w:p w14:paraId="4C593E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（1）产出指标-数量指标-重点工作完成数。</w:t>
      </w:r>
    </w:p>
    <w:p w14:paraId="77A2E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年度指标值：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≧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5次，实际完成值：5次,得分15分。我局</w:t>
      </w:r>
      <w:r>
        <w:rPr>
          <w:rFonts w:hint="eastAsia" w:ascii="仿宋" w:hAnsi="仿宋" w:eastAsia="仿宋" w:cs="仿宋"/>
          <w:sz w:val="32"/>
          <w:szCs w:val="32"/>
        </w:rPr>
        <w:t>先后开展了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医疗美容专项整治、打击非法应用人类辅助生殖技术专项活动、精麻药品监督专项行动、职业卫生计划监督执法、</w:t>
      </w:r>
      <w:r>
        <w:rPr>
          <w:rFonts w:hint="eastAsia" w:ascii="仿宋" w:hAnsi="仿宋" w:eastAsia="仿宋" w:cs="仿宋"/>
          <w:sz w:val="32"/>
          <w:szCs w:val="32"/>
        </w:rPr>
        <w:t>农村生活饮用水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等5次专项</w:t>
      </w:r>
      <w:r>
        <w:rPr>
          <w:rFonts w:hint="eastAsia" w:ascii="仿宋" w:hAnsi="仿宋" w:eastAsia="仿宋" w:cs="仿宋"/>
          <w:sz w:val="32"/>
          <w:szCs w:val="32"/>
        </w:rPr>
        <w:t>执法行动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全力护卫群众健康权益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70F9B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（2）产出指标-质量指标-达标完成率。</w:t>
      </w:r>
    </w:p>
    <w:p w14:paraId="2CA522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left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年度指标值：=100%，实际完成值：100%，得分15分。</w:t>
      </w:r>
    </w:p>
    <w:p w14:paraId="3F9D063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（3）产出指标-时效指标-及时完成情况。</w:t>
      </w:r>
    </w:p>
    <w:p w14:paraId="536A47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年度指标值：2024年12月31日之前，实际完成值：2024年12月31日之前，得分10分。</w:t>
      </w:r>
    </w:p>
    <w:p w14:paraId="3712B4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4.社会效应。</w:t>
      </w:r>
    </w:p>
    <w:p w14:paraId="16A0A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（1）效益指标-经济效益指标-减少突发事件对经济的影响。</w:t>
      </w:r>
    </w:p>
    <w:p w14:paraId="003ACE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年度指标值：效果明显，实际完成值：效果明显，得分7分。</w:t>
      </w:r>
    </w:p>
    <w:p w14:paraId="6B6FFD3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（2）效益指标-社会效益指标-保障和提高公众的健康水平。</w:t>
      </w:r>
    </w:p>
    <w:p w14:paraId="5824EC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年度指标值：效果明显，实际完成值：效果明显，得分7分。</w:t>
      </w:r>
    </w:p>
    <w:p w14:paraId="0C271D0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（3）效益指标-生态效益指标不适用。</w:t>
      </w:r>
    </w:p>
    <w:p w14:paraId="67F3F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5.可持续发展能力。</w:t>
      </w:r>
    </w:p>
    <w:p w14:paraId="0057C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效益指标-可持续影响指标-监管服务对象健康安全意识逐步得到提高。</w:t>
      </w:r>
    </w:p>
    <w:p w14:paraId="157B48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年度指标值：效果明显，实际完成值：效果明显，得分6分。</w:t>
      </w:r>
    </w:p>
    <w:p w14:paraId="5429F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6.服务对象满意度。</w:t>
      </w:r>
    </w:p>
    <w:p w14:paraId="468FA9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满意度指标-服务对象满意度指标-社会公众满意度。</w:t>
      </w:r>
    </w:p>
    <w:p w14:paraId="5AFB2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年度指标值：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≧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95%，实际完成值：95%，得分10分。</w:t>
      </w:r>
    </w:p>
    <w:p w14:paraId="7943E2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九、存在的问题及原因分析</w:t>
      </w:r>
    </w:p>
    <w:p w14:paraId="2EAE1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（一）整体支出预算执行率92.89%。</w:t>
      </w:r>
    </w:p>
    <w:p w14:paraId="01FC1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产生偏差的原因是：创卫专项经费、职业健康监督执法等项目预算执行率较低。</w:t>
      </w:r>
    </w:p>
    <w:p w14:paraId="0F1A2B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（二）创卫专项经费预算执行率35.57%。</w:t>
      </w:r>
    </w:p>
    <w:p w14:paraId="2036C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产生偏差的原因是：消毒设施设备改造家数预计100家，实际只有45家申请改造；通过电子卖场竞价后费用远低于预算。</w:t>
      </w:r>
    </w:p>
    <w:p w14:paraId="1CED7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（三）医疗服务与保障能力提升预算执行率99.57%。</w:t>
      </w:r>
    </w:p>
    <w:p w14:paraId="63F1F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产生偏差的原因是：采取竞价的方式采购卫生监督设施设备，竞价后成交的价格与预算存在一定偏差。</w:t>
      </w:r>
    </w:p>
    <w:p w14:paraId="244F1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（四）医疗卫生行业综合监督预算执行率99.89%。</w:t>
      </w:r>
    </w:p>
    <w:p w14:paraId="0F7B7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产生偏差的原因是：采购碎纸机，预算是1000元，实际采购价格是850元。</w:t>
      </w:r>
    </w:p>
    <w:p w14:paraId="1A21E91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职业健康监督执法。</w:t>
      </w:r>
    </w:p>
    <w:p w14:paraId="2398A2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1.执行率90.21%，产生偏差的原因是：与其他科室联合培训，节约了培训费用。</w:t>
      </w:r>
    </w:p>
    <w:p w14:paraId="77F140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.产出指标-数量指标-对存在严重违法行为的单位立案处罚行政处罚案件，年度指标值：≧3件，实际完成值：0件，产生偏差的原因是：我局从事职业健康监督执法的人员严重不足，加上当前优化营商环境政策和柔性执法的相关要求。</w:t>
      </w:r>
    </w:p>
    <w:p w14:paraId="1B0D2B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3.产出指标-质量指标-督促各县区立案，年度指标值：≧2件，实际完成值：3件，产生偏差的原因是：各县市区加大了职业健康监督力度。</w:t>
      </w:r>
    </w:p>
    <w:p w14:paraId="4F0F7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十、下一步改进措施</w:t>
      </w:r>
    </w:p>
    <w:p w14:paraId="2E3B1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一是完善预算编制口径；二是参考同类项目优秀案例，对比自身指标设置的差距，避免指标过多过杂，聚集关键指标，必要时引入第三方机构评估，避免主观性偏差；三是复盘预算编制过程，检查是否存在高估冒算、需求预估偏差等，分析执行阶段是否因项目规范缩减，采购成本降低，加强历史数据积累和分析，参考同类项目实际成本，提高预算编制的准确性。</w:t>
      </w:r>
    </w:p>
    <w:p w14:paraId="6A2EB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十一、绩效自评结果拟应用和公开情况</w:t>
      </w:r>
    </w:p>
    <w:p w14:paraId="5E869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将自评结果应用到下一年绩效目标制定中，并且按照市财政的要求进行公开。</w:t>
      </w:r>
    </w:p>
    <w:p w14:paraId="0D944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highlight w:val="none"/>
          <w:lang w:val="en-US" w:eastAsia="zh-CN"/>
        </w:rPr>
        <w:t>十二、其他需要说明的情况</w:t>
      </w:r>
    </w:p>
    <w:p w14:paraId="0B257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整体支出报告需要以下附件：</w:t>
      </w:r>
    </w:p>
    <w:p w14:paraId="28AC6E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1.部门整体支出绩效评价基础数据表</w:t>
      </w:r>
    </w:p>
    <w:p w14:paraId="54EE27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2.部门整体支出绩效自评表</w:t>
      </w:r>
    </w:p>
    <w:p w14:paraId="70DDF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3.项目支出绩效自评表（每个一级项目支出一张表）</w:t>
      </w:r>
    </w:p>
    <w:p w14:paraId="27085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ind w:firstLine="640" w:firstLineChars="200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无</w:t>
      </w:r>
      <w:r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政府性基金预算、国有资本经营预算和社会保险基金预算支出</w:t>
      </w:r>
      <w:r>
        <w:rPr>
          <w:rFonts w:hint="eastAsia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  <w:t>。</w:t>
      </w:r>
    </w:p>
    <w:p w14:paraId="3B83C2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20" w:lineRule="exact"/>
        <w:textAlignment w:val="auto"/>
        <w:rPr>
          <w:rFonts w:hint="default" w:ascii="Times New Roman Regular" w:hAnsi="Times New Roman Regular" w:eastAsia="仿宋_GB2312" w:cs="Times New Roman Regular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800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4E202E4-09D9-4260-AA04-A90D8418655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B341222-84EF-4140-9030-A05AD7356AB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233F187-8397-429E-9514-B4EF7FAD16D9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5945FEA4-12E4-4672-9ADE-23A1AC88457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5" w:fontKey="{BF67C044-6D6D-4355-9F88-15DCB198225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C8CA9073-0806-44C0-A14A-EB177750AD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8418FA7B-0D2D-48C9-8DE6-CF2361CD95C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E9F91CCB-E809-4D58-A641-AE0DBE03D87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38C5C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DC83DA">
                          <w:pPr>
                            <w:pStyle w:val="4"/>
                          </w:pP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2312" w:hAnsi="方正仿宋_GB2312" w:eastAsia="方正仿宋_GB2312" w:cs="方正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DC83DA">
                    <w:pPr>
                      <w:pStyle w:val="4"/>
                    </w:pP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2312" w:hAnsi="方正仿宋_GB2312" w:eastAsia="方正仿宋_GB2312" w:cs="方正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6C1CD6"/>
    <w:multiLevelType w:val="singleLevel"/>
    <w:tmpl w:val="BE6C1CD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3B44F6A"/>
    <w:multiLevelType w:val="singleLevel"/>
    <w:tmpl w:val="D3B44F6A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BjYmJkZTgyZjQzZTk3ZTUzMWNlNWIzZDJmYjY5OGMifQ=="/>
    <w:docVar w:name="KSO_WPS_MARK_KEY" w:val="9920a277-c0c3-43b4-93d3-1636fe398e0b"/>
  </w:docVars>
  <w:rsids>
    <w:rsidRoot w:val="753C4E9B"/>
    <w:rsid w:val="034C1D5D"/>
    <w:rsid w:val="055C01CC"/>
    <w:rsid w:val="0595609D"/>
    <w:rsid w:val="05E95AA6"/>
    <w:rsid w:val="0C180A78"/>
    <w:rsid w:val="0D276746"/>
    <w:rsid w:val="0D464D9C"/>
    <w:rsid w:val="0DD52794"/>
    <w:rsid w:val="0E0B1B42"/>
    <w:rsid w:val="0E956870"/>
    <w:rsid w:val="0EBB5316"/>
    <w:rsid w:val="1017657C"/>
    <w:rsid w:val="10C666A5"/>
    <w:rsid w:val="10D34B99"/>
    <w:rsid w:val="1223366A"/>
    <w:rsid w:val="125215CE"/>
    <w:rsid w:val="143877FD"/>
    <w:rsid w:val="159C0344"/>
    <w:rsid w:val="15A6719A"/>
    <w:rsid w:val="161517B0"/>
    <w:rsid w:val="17057D07"/>
    <w:rsid w:val="1706617A"/>
    <w:rsid w:val="17FCFFF6"/>
    <w:rsid w:val="184719C8"/>
    <w:rsid w:val="19E805B2"/>
    <w:rsid w:val="1CBF872E"/>
    <w:rsid w:val="1F394761"/>
    <w:rsid w:val="22FE234B"/>
    <w:rsid w:val="24885842"/>
    <w:rsid w:val="24AF7273"/>
    <w:rsid w:val="25A62424"/>
    <w:rsid w:val="26B60E7B"/>
    <w:rsid w:val="277E6F02"/>
    <w:rsid w:val="28726D71"/>
    <w:rsid w:val="288B65D2"/>
    <w:rsid w:val="29990575"/>
    <w:rsid w:val="2AF6742D"/>
    <w:rsid w:val="2AFC2AE6"/>
    <w:rsid w:val="2C071743"/>
    <w:rsid w:val="2FD61B58"/>
    <w:rsid w:val="30B4367E"/>
    <w:rsid w:val="312A2265"/>
    <w:rsid w:val="3199435E"/>
    <w:rsid w:val="31FF7708"/>
    <w:rsid w:val="32236577"/>
    <w:rsid w:val="333F3E43"/>
    <w:rsid w:val="346F60D7"/>
    <w:rsid w:val="34780B0C"/>
    <w:rsid w:val="36D733FE"/>
    <w:rsid w:val="36FC0F5D"/>
    <w:rsid w:val="375773F8"/>
    <w:rsid w:val="393E32BB"/>
    <w:rsid w:val="3AE01ADD"/>
    <w:rsid w:val="3C447E49"/>
    <w:rsid w:val="3EFDDE87"/>
    <w:rsid w:val="41006A35"/>
    <w:rsid w:val="415E19AD"/>
    <w:rsid w:val="419B2857"/>
    <w:rsid w:val="41D71DA8"/>
    <w:rsid w:val="42470693"/>
    <w:rsid w:val="42755200"/>
    <w:rsid w:val="43370708"/>
    <w:rsid w:val="4568104C"/>
    <w:rsid w:val="49747FC0"/>
    <w:rsid w:val="4B321124"/>
    <w:rsid w:val="4C6205A3"/>
    <w:rsid w:val="4C6611ED"/>
    <w:rsid w:val="4D5D3BD3"/>
    <w:rsid w:val="4D783DF7"/>
    <w:rsid w:val="4EB7F892"/>
    <w:rsid w:val="4ED473D9"/>
    <w:rsid w:val="552A0475"/>
    <w:rsid w:val="578D10CB"/>
    <w:rsid w:val="5A5915AC"/>
    <w:rsid w:val="5ABBC979"/>
    <w:rsid w:val="5BFC7B3B"/>
    <w:rsid w:val="5E282CCF"/>
    <w:rsid w:val="5E77C7C6"/>
    <w:rsid w:val="5F667F53"/>
    <w:rsid w:val="5FFFAAE0"/>
    <w:rsid w:val="60AA20C1"/>
    <w:rsid w:val="63780255"/>
    <w:rsid w:val="64AA08E2"/>
    <w:rsid w:val="66347B2F"/>
    <w:rsid w:val="667FD72C"/>
    <w:rsid w:val="67357A7D"/>
    <w:rsid w:val="6796514D"/>
    <w:rsid w:val="68A044D6"/>
    <w:rsid w:val="692C5D69"/>
    <w:rsid w:val="69F341EB"/>
    <w:rsid w:val="6A12486A"/>
    <w:rsid w:val="6ABE64BE"/>
    <w:rsid w:val="6B5F16C5"/>
    <w:rsid w:val="6C5F1FB2"/>
    <w:rsid w:val="6CA67BE1"/>
    <w:rsid w:val="6CF3EA5A"/>
    <w:rsid w:val="6E524719"/>
    <w:rsid w:val="6ED70525"/>
    <w:rsid w:val="735F0AE9"/>
    <w:rsid w:val="7535244A"/>
    <w:rsid w:val="753C4E9B"/>
    <w:rsid w:val="75B54CE0"/>
    <w:rsid w:val="769B7804"/>
    <w:rsid w:val="76CD220E"/>
    <w:rsid w:val="777C610E"/>
    <w:rsid w:val="779FCBF0"/>
    <w:rsid w:val="77F7E21B"/>
    <w:rsid w:val="781113A7"/>
    <w:rsid w:val="791E6510"/>
    <w:rsid w:val="79E2F975"/>
    <w:rsid w:val="7A456C8B"/>
    <w:rsid w:val="7AE55D78"/>
    <w:rsid w:val="7B3BDBF2"/>
    <w:rsid w:val="7C8D4A41"/>
    <w:rsid w:val="7EBDCBBF"/>
    <w:rsid w:val="7EC74CC1"/>
    <w:rsid w:val="7EE6408F"/>
    <w:rsid w:val="7F3EB32E"/>
    <w:rsid w:val="7F5F3F3B"/>
    <w:rsid w:val="7F5FE5E8"/>
    <w:rsid w:val="7F78365F"/>
    <w:rsid w:val="7F7FC8C5"/>
    <w:rsid w:val="7FFDE9AB"/>
    <w:rsid w:val="7FFEB77D"/>
    <w:rsid w:val="7FFFADA2"/>
    <w:rsid w:val="9ED5792A"/>
    <w:rsid w:val="AEFFB886"/>
    <w:rsid w:val="BEFF7926"/>
    <w:rsid w:val="CF12F568"/>
    <w:rsid w:val="DEBF7731"/>
    <w:rsid w:val="E39F96A6"/>
    <w:rsid w:val="E6DFCF67"/>
    <w:rsid w:val="EBB76B61"/>
    <w:rsid w:val="F6D78CAF"/>
    <w:rsid w:val="F7DA3342"/>
    <w:rsid w:val="FBD266D3"/>
    <w:rsid w:val="FBFF7914"/>
    <w:rsid w:val="FDBFA637"/>
    <w:rsid w:val="FE6B70D4"/>
    <w:rsid w:val="FF2C1D8F"/>
    <w:rsid w:val="FF7BB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eastAsia="楷体_GB2312" w:asciiTheme="majorAscii" w:hAnsiTheme="majorAscii" w:cstheme="majorBidi"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unhideWhenUsed/>
    <w:qFormat/>
    <w:uiPriority w:val="0"/>
    <w:pPr>
      <w:spacing w:beforeLines="0" w:afterLines="0"/>
      <w:ind w:firstLine="640" w:firstLineChars="200"/>
    </w:pPr>
    <w:rPr>
      <w:rFonts w:hint="default"/>
      <w:sz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3"/>
    <w:autoRedefine/>
    <w:unhideWhenUsed/>
    <w:qFormat/>
    <w:uiPriority w:val="99"/>
    <w:pPr>
      <w:spacing w:beforeLines="0" w:afterLines="0"/>
      <w:ind w:firstLine="420"/>
    </w:pPr>
    <w:rPr>
      <w:rFonts w:hint="default"/>
      <w:sz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2"/>
    <w:autoRedefine/>
    <w:qFormat/>
    <w:uiPriority w:val="0"/>
    <w:rPr>
      <w:rFonts w:eastAsia="黑体"/>
    </w:rPr>
  </w:style>
  <w:style w:type="paragraph" w:customStyle="1" w:styleId="12">
    <w:name w:val="首行缩进"/>
    <w:basedOn w:val="1"/>
    <w:autoRedefine/>
    <w:qFormat/>
    <w:uiPriority w:val="0"/>
    <w:pPr>
      <w:ind w:firstLine="480" w:firstLineChars="200"/>
    </w:pPr>
    <w:rPr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5388</Words>
  <Characters>6155</Characters>
  <Lines>0</Lines>
  <Paragraphs>0</Paragraphs>
  <TotalTime>11</TotalTime>
  <ScaleCrop>false</ScaleCrop>
  <LinksUpToDate>false</LinksUpToDate>
  <CharactersWithSpaces>6204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2024-02-23T10:03:00Z</dcterms:created>
  <dc:creator>1402836399</dc:creator>
  <cp:lastModifiedBy>苓萱</cp:lastModifiedBy>
  <cp:lastPrinted>2025-04-10T10:25:00Z</cp:lastPrinted>
  <dcterms:modified xsi:type="dcterms:W3CDTF">2025-06-24T02:38:14Z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2E59967559EAD85B47E0F5671AAD0169_43</vt:lpwstr>
  </property>
  <property fmtid="{D5CDD505-2E9C-101B-9397-08002B2CF9AE}" pid="4" name="KSOTemplateDocerSaveRecord">
    <vt:lpwstr>eyJoZGlkIjoiZjNlM2Y2YWE2NTE2MGRiNjk3MjIzM2MyYmY3MDUyMWIiLCJ1c2VySWQiOiIyMzQxMDc1MTEifQ==</vt:lpwstr>
  </property>
</Properties>
</file>