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223CB">
      <w:pPr>
        <w:pStyle w:val="13"/>
        <w:jc w:val="both"/>
        <w:rPr>
          <w:rFonts w:hAnsi="黑体"/>
          <w:sz w:val="36"/>
          <w:szCs w:val="36"/>
        </w:rPr>
      </w:pPr>
      <w:r>
        <w:rPr>
          <w:rFonts w:hint="eastAsia" w:hAnsi="黑体"/>
          <w:sz w:val="36"/>
          <w:szCs w:val="36"/>
        </w:rPr>
        <w:t>附件1</w:t>
      </w:r>
    </w:p>
    <w:p w14:paraId="39F5A485">
      <w:pPr>
        <w:pStyle w:val="13"/>
        <w:jc w:val="center"/>
        <w:rPr>
          <w:rFonts w:ascii="Times New Roman" w:hAnsi="Times New Roman" w:cs="Times New Roman"/>
          <w:sz w:val="56"/>
          <w:szCs w:val="56"/>
        </w:rPr>
      </w:pPr>
    </w:p>
    <w:p w14:paraId="6FF7737C">
      <w:pPr>
        <w:pStyle w:val="13"/>
        <w:jc w:val="center"/>
        <w:rPr>
          <w:rFonts w:ascii="Times New Roman" w:hAnsi="Times New Roman" w:cs="Times New Roman"/>
          <w:sz w:val="84"/>
          <w:szCs w:val="84"/>
        </w:rPr>
      </w:pPr>
    </w:p>
    <w:p w14:paraId="6C1EB931">
      <w:pPr>
        <w:pStyle w:val="13"/>
        <w:jc w:val="center"/>
        <w:rPr>
          <w:rFonts w:ascii="Times New Roman" w:hAnsi="Times New Roman" w:cs="Times New Roman"/>
          <w:sz w:val="84"/>
          <w:szCs w:val="84"/>
        </w:rPr>
      </w:pPr>
    </w:p>
    <w:p w14:paraId="6EC6C10A">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712AA40">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怀化市疾病预防控制中心</w:t>
      </w:r>
      <w:r>
        <w:rPr>
          <w:rFonts w:ascii="Times New Roman" w:hAnsi="Times New Roman" w:eastAsia="方正小标宋简体" w:cs="Times New Roman"/>
          <w:sz w:val="72"/>
          <w:szCs w:val="72"/>
        </w:rPr>
        <w:t>部门决算</w:t>
      </w:r>
    </w:p>
    <w:p w14:paraId="0E92693C">
      <w:pPr>
        <w:pStyle w:val="13"/>
        <w:jc w:val="center"/>
        <w:rPr>
          <w:rFonts w:ascii="Times New Roman" w:hAnsi="Times New Roman" w:eastAsia="方正小标宋_GBK" w:cs="Times New Roman"/>
          <w:sz w:val="56"/>
          <w:szCs w:val="56"/>
        </w:rPr>
      </w:pPr>
    </w:p>
    <w:p w14:paraId="22665349">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24270A52">
      <w:pPr>
        <w:pStyle w:val="13"/>
        <w:spacing w:line="600" w:lineRule="exact"/>
        <w:ind w:firstLine="3960" w:firstLineChars="1100"/>
        <w:jc w:val="both"/>
        <w:rPr>
          <w:rFonts w:ascii="Times New Roman" w:hAnsi="Times New Roman" w:cs="Times New Roman"/>
          <w:bCs/>
          <w:sz w:val="36"/>
          <w:szCs w:val="28"/>
        </w:rPr>
      </w:pPr>
      <w:r>
        <w:rPr>
          <w:rFonts w:ascii="Times New Roman" w:hAnsi="Times New Roman" w:cs="Times New Roman"/>
          <w:bCs/>
          <w:sz w:val="36"/>
          <w:szCs w:val="28"/>
        </w:rPr>
        <w:t>目  录</w:t>
      </w:r>
    </w:p>
    <w:p w14:paraId="10AEF348">
      <w:pPr>
        <w:pStyle w:val="13"/>
        <w:spacing w:line="600" w:lineRule="exact"/>
        <w:jc w:val="center"/>
        <w:rPr>
          <w:rFonts w:ascii="Times New Roman" w:hAnsi="Times New Roman" w:cs="Times New Roman"/>
          <w:b/>
          <w:sz w:val="36"/>
          <w:szCs w:val="28"/>
        </w:rPr>
      </w:pPr>
    </w:p>
    <w:p w14:paraId="69A379FD">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怀化市疾病预防控制中心</w:t>
      </w:r>
      <w:r>
        <w:rPr>
          <w:rFonts w:ascii="Times New Roman" w:hAnsi="Times New Roman" w:cs="Times New Roman"/>
          <w:bCs/>
          <w:sz w:val="32"/>
          <w:szCs w:val="32"/>
        </w:rPr>
        <w:t>概况</w:t>
      </w:r>
    </w:p>
    <w:p w14:paraId="4DF2289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4AC1DF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33AB2E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E6DC24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583EA3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619CE6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FDDEE7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C14FED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7D2333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367904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2FD66C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94A44C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D8D727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D859DF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8D4379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2EA526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1D80B5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0DB9EB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278E14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9BC674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D286E4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5153C8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E6C09E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九、</w:t>
      </w:r>
      <w:r>
        <w:rPr>
          <w:rFonts w:hint="eastAsia" w:ascii="Times New Roman" w:hAnsi="Times New Roman" w:eastAsia="仿宋_GB2312" w:cs="Times New Roman"/>
          <w:color w:val="000000"/>
          <w:kern w:val="0"/>
          <w:sz w:val="32"/>
          <w:szCs w:val="32"/>
        </w:rPr>
        <w:t>国有资本经营预算财政拨款支出决算</w:t>
      </w:r>
      <w:r>
        <w:rPr>
          <w:rFonts w:hint="eastAsia" w:ascii="Times New Roman" w:hAnsi="Times New Roman" w:eastAsia="仿宋_GB2312" w:cs="Times New Roman"/>
          <w:color w:val="000000"/>
          <w:kern w:val="0"/>
          <w:sz w:val="32"/>
          <w:szCs w:val="32"/>
          <w:lang w:eastAsia="zh-CN"/>
        </w:rPr>
        <w:t>情况</w:t>
      </w:r>
    </w:p>
    <w:p w14:paraId="5ADDDEE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04A2626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1DBEC0B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2F285B8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1CDE931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5F8F2FB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B9B802F">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AF9EC91">
      <w:pPr>
        <w:pStyle w:val="13"/>
        <w:spacing w:line="600" w:lineRule="exact"/>
        <w:rPr>
          <w:rFonts w:ascii="Times New Roman" w:hAnsi="Times New Roman" w:cs="Times New Roman"/>
          <w:bCs/>
          <w:sz w:val="28"/>
          <w:szCs w:val="28"/>
        </w:rPr>
      </w:pPr>
    </w:p>
    <w:p w14:paraId="79B357C5">
      <w:pPr>
        <w:jc w:val="center"/>
        <w:rPr>
          <w:rFonts w:ascii="Times New Roman" w:hAnsi="Times New Roman" w:cs="Times New Roman"/>
          <w:sz w:val="72"/>
          <w:szCs w:val="72"/>
        </w:rPr>
      </w:pPr>
    </w:p>
    <w:p w14:paraId="6F6106A4">
      <w:pPr>
        <w:jc w:val="center"/>
        <w:rPr>
          <w:rFonts w:ascii="Times New Roman" w:hAnsi="Times New Roman" w:cs="Times New Roman"/>
          <w:sz w:val="72"/>
          <w:szCs w:val="72"/>
        </w:rPr>
      </w:pPr>
    </w:p>
    <w:p w14:paraId="03B97A9F">
      <w:pPr>
        <w:jc w:val="center"/>
        <w:rPr>
          <w:rFonts w:ascii="Times New Roman" w:hAnsi="Times New Roman" w:cs="Times New Roman"/>
          <w:sz w:val="72"/>
          <w:szCs w:val="72"/>
        </w:rPr>
      </w:pPr>
    </w:p>
    <w:p w14:paraId="54A243EF">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6911487">
      <w:pPr>
        <w:rPr>
          <w:rFonts w:ascii="Times New Roman" w:hAnsi="Times New Roman" w:eastAsia="方正小标宋_GBK" w:cs="Times New Roman"/>
          <w:sz w:val="72"/>
          <w:szCs w:val="72"/>
        </w:rPr>
      </w:pPr>
    </w:p>
    <w:p w14:paraId="7DA8D67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EAAB3E0">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怀化市疾病预防控制中心</w:t>
      </w:r>
      <w:r>
        <w:rPr>
          <w:rFonts w:ascii="Times New Roman" w:hAnsi="Times New Roman" w:eastAsia="方正小标宋_GBK" w:cs="Times New Roman"/>
          <w:sz w:val="52"/>
          <w:szCs w:val="52"/>
        </w:rPr>
        <w:t>概况</w:t>
      </w:r>
    </w:p>
    <w:p w14:paraId="7B168451">
      <w:pPr>
        <w:pStyle w:val="3"/>
        <w:ind w:left="0" w:leftChars="0" w:firstLine="0" w:firstLineChars="0"/>
        <w:rPr>
          <w:rFonts w:ascii="Times New Roman" w:hAnsi="Times New Roman" w:cs="Times New Roman"/>
        </w:rPr>
      </w:pPr>
    </w:p>
    <w:p w14:paraId="3E797CE6">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141D061">
      <w:pPr>
        <w:widowControl/>
        <w:spacing w:line="600" w:lineRule="exact"/>
        <w:ind w:firstLine="640" w:firstLineChars="2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怀化市疾病预防控制中心属市卫健委下属事业单位。承担着七大职能：</w:t>
      </w:r>
    </w:p>
    <w:p w14:paraId="44283187">
      <w:pPr>
        <w:widowControl/>
        <w:spacing w:line="600" w:lineRule="exact"/>
        <w:ind w:firstLine="320" w:firstLineChars="1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（一）</w:t>
      </w:r>
      <w:r>
        <w:rPr>
          <w:rFonts w:hint="eastAsia" w:ascii="Times New Roman" w:hAnsi="Times New Roman" w:eastAsia="仿宋_GB2312" w:cs="Times New Roman"/>
          <w:bCs/>
          <w:kern w:val="0"/>
          <w:sz w:val="32"/>
          <w:szCs w:val="32"/>
        </w:rPr>
        <w:t>传染病、寄生虫病、地方病、非传染病等预防与控制；</w:t>
      </w:r>
    </w:p>
    <w:p w14:paraId="202656C3">
      <w:pPr>
        <w:widowControl/>
        <w:spacing w:line="600" w:lineRule="exact"/>
        <w:ind w:firstLine="320" w:firstLineChars="1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（二）</w:t>
      </w:r>
      <w:r>
        <w:rPr>
          <w:rFonts w:hint="eastAsia" w:ascii="Times New Roman" w:hAnsi="Times New Roman" w:eastAsia="仿宋_GB2312" w:cs="Times New Roman"/>
          <w:bCs/>
          <w:kern w:val="0"/>
          <w:sz w:val="32"/>
          <w:szCs w:val="32"/>
        </w:rPr>
        <w:t>突发公共卫生事件和灾害疫情应急处置；</w:t>
      </w:r>
    </w:p>
    <w:p w14:paraId="6AD515B4">
      <w:pPr>
        <w:widowControl/>
        <w:spacing w:line="600" w:lineRule="exact"/>
        <w:ind w:firstLine="320" w:firstLineChars="1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（三）</w:t>
      </w:r>
      <w:r>
        <w:rPr>
          <w:rFonts w:hint="eastAsia" w:ascii="Times New Roman" w:hAnsi="Times New Roman" w:eastAsia="仿宋_GB2312" w:cs="Times New Roman"/>
          <w:bCs/>
          <w:kern w:val="0"/>
          <w:sz w:val="32"/>
          <w:szCs w:val="32"/>
        </w:rPr>
        <w:t>疫情及健康相关因素信息管理，开展疾病监测，收集、报告、分析和评价疾病与健康危害因素等公共卫生信息；</w:t>
      </w:r>
    </w:p>
    <w:p w14:paraId="737701BA">
      <w:pPr>
        <w:widowControl/>
        <w:spacing w:line="600" w:lineRule="exact"/>
        <w:ind w:firstLine="320" w:firstLineChars="1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（四）</w:t>
      </w:r>
      <w:r>
        <w:rPr>
          <w:rFonts w:hint="eastAsia" w:ascii="Times New Roman" w:hAnsi="Times New Roman" w:eastAsia="仿宋_GB2312" w:cs="Times New Roman"/>
          <w:bCs/>
          <w:kern w:val="0"/>
          <w:sz w:val="32"/>
          <w:szCs w:val="32"/>
        </w:rPr>
        <w:t>健康危害因素监测与干预，开展食源性、职业性、放射性、环境性等疾病的监测评价和流行病学调查，开展公众健康和营养状况监测与评价，提出干预策略与措施；</w:t>
      </w:r>
    </w:p>
    <w:p w14:paraId="4FAA5C63">
      <w:pPr>
        <w:widowControl/>
        <w:spacing w:line="600" w:lineRule="exact"/>
        <w:ind w:firstLine="320" w:firstLineChars="1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（五）</w:t>
      </w:r>
      <w:r>
        <w:rPr>
          <w:rFonts w:hint="eastAsia" w:ascii="Times New Roman" w:hAnsi="Times New Roman" w:eastAsia="仿宋_GB2312" w:cs="Times New Roman"/>
          <w:bCs/>
          <w:kern w:val="0"/>
          <w:sz w:val="32"/>
          <w:szCs w:val="32"/>
        </w:rPr>
        <w:t>疾病病原微生物检测、鉴定和物理、化学因子检测、评价；</w:t>
      </w:r>
    </w:p>
    <w:p w14:paraId="7DE02972">
      <w:pPr>
        <w:widowControl/>
        <w:spacing w:line="600" w:lineRule="exact"/>
        <w:ind w:firstLine="320" w:firstLineChars="1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（六）</w:t>
      </w:r>
      <w:r>
        <w:rPr>
          <w:rFonts w:hint="eastAsia" w:ascii="Times New Roman" w:hAnsi="Times New Roman" w:eastAsia="仿宋_GB2312" w:cs="Times New Roman"/>
          <w:bCs/>
          <w:kern w:val="0"/>
          <w:sz w:val="32"/>
          <w:szCs w:val="32"/>
        </w:rPr>
        <w:t>健康教育与健康促进，对公众进行健康指导和不良健康行为干预；</w:t>
      </w:r>
    </w:p>
    <w:p w14:paraId="73274BFB">
      <w:pPr>
        <w:widowControl/>
        <w:spacing w:line="600" w:lineRule="exact"/>
        <w:ind w:firstLine="320" w:firstLineChars="1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Times New Roman"/>
          <w:bCs/>
          <w:kern w:val="0"/>
          <w:sz w:val="32"/>
          <w:szCs w:val="32"/>
          <w:lang w:eastAsia="zh-CN"/>
        </w:rPr>
        <w:t>（七）疾病预防控制技术管理与应用研究指导等。</w:t>
      </w:r>
    </w:p>
    <w:p w14:paraId="77B7D13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6A0FD32">
      <w:pPr>
        <w:keepNext w:val="0"/>
        <w:keepLines w:val="0"/>
        <w:pageBreakBefore w:val="0"/>
        <w:widowControl/>
        <w:kinsoku/>
        <w:overflowPunct/>
        <w:topLinePunct w:val="0"/>
        <w:bidi w:val="0"/>
        <w:snapToGrid/>
        <w:spacing w:afterAutospacing="0" w:line="600" w:lineRule="exact"/>
        <w:ind w:firstLine="640" w:firstLineChars="200"/>
        <w:jc w:val="both"/>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怀化市疾病预防控制中心为隶属怀化市卫生健康委员会的二级预算单位。</w:t>
      </w:r>
    </w:p>
    <w:p w14:paraId="70CB43EE">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eastAsia="zh-CN"/>
        </w:rPr>
        <w:t>怀化市疾病预防控制中心</w:t>
      </w:r>
      <w:r>
        <w:rPr>
          <w:rFonts w:hint="eastAsia" w:ascii="Times New Roman" w:hAnsi="Times New Roman" w:eastAsia="仿宋_GB2312" w:cs="仿宋_GB2312"/>
          <w:bCs/>
          <w:kern w:val="0"/>
          <w:sz w:val="32"/>
          <w:szCs w:val="32"/>
        </w:rPr>
        <w:t>单位内设机构</w:t>
      </w:r>
      <w:r>
        <w:rPr>
          <w:rFonts w:hint="eastAsia" w:ascii="Times New Roman" w:hAnsi="Times New Roman" w:eastAsia="仿宋_GB2312" w:cs="仿宋_GB2312"/>
          <w:bCs/>
          <w:kern w:val="0"/>
          <w:sz w:val="32"/>
          <w:szCs w:val="32"/>
          <w:lang w:val="en-US" w:eastAsia="zh-CN"/>
        </w:rPr>
        <w:t>13个科室，</w:t>
      </w:r>
      <w:r>
        <w:rPr>
          <w:rFonts w:hint="eastAsia" w:ascii="Times New Roman" w:hAnsi="Times New Roman" w:eastAsia="仿宋_GB2312" w:cs="仿宋_GB2312"/>
          <w:bCs/>
          <w:kern w:val="0"/>
          <w:sz w:val="32"/>
          <w:szCs w:val="32"/>
        </w:rPr>
        <w:t>包括：</w:t>
      </w:r>
      <w:r>
        <w:rPr>
          <w:rFonts w:hint="eastAsia" w:ascii="Times New Roman" w:hAnsi="Times New Roman" w:eastAsia="仿宋_GB2312" w:cs="仿宋_GB2312"/>
          <w:bCs/>
          <w:kern w:val="0"/>
          <w:sz w:val="32"/>
          <w:szCs w:val="32"/>
          <w:lang w:eastAsia="zh-CN"/>
        </w:rPr>
        <w:t>办公室、财务科、行政后勤科、人事科、流行病预防控制科、皮肤病性病防治科、地方病慢病控制科、卫生监测科、结核病防治科、职业病防治科、检验科、健康教育科、生物制品科。</w:t>
      </w:r>
      <w:r>
        <w:rPr>
          <w:rFonts w:hint="eastAsia" w:ascii="Times New Roman" w:hAnsi="Times New Roman" w:eastAsia="仿宋_GB2312" w:cs="仿宋_GB2312"/>
          <w:bCs/>
          <w:kern w:val="0"/>
          <w:sz w:val="32"/>
          <w:szCs w:val="32"/>
          <w:lang w:val="en-US" w:eastAsia="zh-CN"/>
        </w:rPr>
        <w:t xml:space="preserve"> </w:t>
      </w:r>
    </w:p>
    <w:p w14:paraId="09AE3DD1">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怀化市疾病预防控制中心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w:t>
      </w:r>
      <w:r>
        <w:rPr>
          <w:rFonts w:hint="eastAsia" w:ascii="Times New Roman" w:hAnsi="Times New Roman" w:eastAsia="仿宋_GB2312" w:cs="仿宋_GB2312"/>
          <w:bCs/>
          <w:kern w:val="0"/>
          <w:sz w:val="32"/>
          <w:szCs w:val="32"/>
          <w:lang w:eastAsia="zh-CN"/>
        </w:rPr>
        <w:t>仅本单位。</w:t>
      </w:r>
    </w:p>
    <w:p w14:paraId="1354A712">
      <w:pPr>
        <w:widowControl/>
        <w:spacing w:line="600" w:lineRule="exact"/>
        <w:rPr>
          <w:rFonts w:hint="eastAsia" w:ascii="Times New Roman" w:hAnsi="Times New Roman" w:eastAsia="仿宋_GB2312" w:cs="仿宋_GB2312"/>
          <w:bCs/>
          <w:kern w:val="0"/>
          <w:sz w:val="32"/>
          <w:szCs w:val="32"/>
        </w:rPr>
      </w:pPr>
    </w:p>
    <w:p w14:paraId="115638DF">
      <w:pPr>
        <w:jc w:val="left"/>
        <w:rPr>
          <w:rFonts w:ascii="Times New Roman" w:hAnsi="Times New Roman" w:eastAsia="仿宋_GB2312" w:cs="Times New Roman"/>
          <w:sz w:val="28"/>
          <w:szCs w:val="32"/>
        </w:rPr>
      </w:pPr>
    </w:p>
    <w:p w14:paraId="39112FBE">
      <w:pPr>
        <w:jc w:val="center"/>
        <w:rPr>
          <w:rFonts w:ascii="Times New Roman" w:hAnsi="Times New Roman" w:eastAsia="黑体" w:cs="Times New Roman"/>
          <w:sz w:val="28"/>
          <w:szCs w:val="28"/>
        </w:rPr>
      </w:pPr>
    </w:p>
    <w:p w14:paraId="0A2F87DA">
      <w:pPr>
        <w:jc w:val="center"/>
        <w:rPr>
          <w:rFonts w:ascii="Times New Roman" w:hAnsi="Times New Roman" w:eastAsia="黑体" w:cs="Times New Roman"/>
          <w:sz w:val="28"/>
          <w:szCs w:val="28"/>
        </w:rPr>
      </w:pPr>
    </w:p>
    <w:p w14:paraId="6965E550">
      <w:pPr>
        <w:jc w:val="center"/>
        <w:rPr>
          <w:rFonts w:ascii="Times New Roman" w:hAnsi="Times New Roman" w:eastAsia="黑体" w:cs="Times New Roman"/>
          <w:sz w:val="28"/>
          <w:szCs w:val="28"/>
        </w:rPr>
      </w:pPr>
    </w:p>
    <w:p w14:paraId="4DB78D8F">
      <w:pPr>
        <w:jc w:val="center"/>
        <w:rPr>
          <w:rFonts w:ascii="Times New Roman" w:hAnsi="Times New Roman" w:eastAsia="黑体" w:cs="Times New Roman"/>
          <w:sz w:val="28"/>
          <w:szCs w:val="28"/>
        </w:rPr>
      </w:pPr>
    </w:p>
    <w:p w14:paraId="7B8AB154">
      <w:pPr>
        <w:jc w:val="center"/>
        <w:rPr>
          <w:rFonts w:ascii="Times New Roman" w:hAnsi="Times New Roman" w:eastAsia="黑体" w:cs="Times New Roman"/>
          <w:sz w:val="28"/>
          <w:szCs w:val="28"/>
        </w:rPr>
      </w:pPr>
    </w:p>
    <w:p w14:paraId="2312E48C">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D79FA7D">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353F0E56">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21152A4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681C468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2B87AFEA">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71C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8D35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1E8CC34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B773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C3E3B">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898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D13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7C34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4F3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1F888A8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394D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0297A">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C332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614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994F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DBB2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3260F35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B96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B118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761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4753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77AA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AF73">
            <w:pPr>
              <w:jc w:val="right"/>
              <w:rPr>
                <w:rFonts w:ascii="Times New Roman" w:hAnsi="Times New Roman" w:eastAsia="仿宋_GB2312" w:cs="Times New Roman"/>
                <w:color w:val="000000"/>
                <w:sz w:val="22"/>
              </w:rPr>
            </w:pPr>
          </w:p>
        </w:tc>
      </w:tr>
      <w:tr w14:paraId="7D8169E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7474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FE64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F5D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206A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797A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0390">
            <w:pPr>
              <w:jc w:val="right"/>
              <w:rPr>
                <w:rFonts w:ascii="Times New Roman" w:hAnsi="Times New Roman" w:eastAsia="仿宋_GB2312" w:cs="Times New Roman"/>
                <w:color w:val="000000"/>
                <w:sz w:val="22"/>
              </w:rPr>
            </w:pPr>
          </w:p>
        </w:tc>
      </w:tr>
      <w:tr w14:paraId="130928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D9F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31A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75B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833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834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E4C3">
            <w:pPr>
              <w:jc w:val="right"/>
              <w:rPr>
                <w:rFonts w:ascii="Times New Roman" w:hAnsi="Times New Roman" w:eastAsia="仿宋_GB2312" w:cs="Times New Roman"/>
                <w:color w:val="000000"/>
                <w:sz w:val="22"/>
              </w:rPr>
            </w:pPr>
          </w:p>
        </w:tc>
      </w:tr>
      <w:tr w14:paraId="5CA2D29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C047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0C1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486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1256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685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86E7">
            <w:pPr>
              <w:jc w:val="right"/>
              <w:rPr>
                <w:rFonts w:ascii="Times New Roman" w:hAnsi="Times New Roman" w:eastAsia="仿宋_GB2312" w:cs="Times New Roman"/>
                <w:color w:val="000000"/>
                <w:sz w:val="22"/>
              </w:rPr>
            </w:pPr>
          </w:p>
        </w:tc>
      </w:tr>
      <w:tr w14:paraId="7CE9528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B2C2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D5F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7EE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2C4F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663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6393">
            <w:pPr>
              <w:jc w:val="right"/>
              <w:rPr>
                <w:rFonts w:ascii="Times New Roman" w:hAnsi="Times New Roman" w:eastAsia="仿宋_GB2312" w:cs="Times New Roman"/>
                <w:color w:val="000000"/>
                <w:sz w:val="22"/>
              </w:rPr>
            </w:pPr>
          </w:p>
        </w:tc>
      </w:tr>
      <w:tr w14:paraId="792877F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E07C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D77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3A3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AA16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B20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71EA">
            <w:pPr>
              <w:jc w:val="right"/>
              <w:rPr>
                <w:rFonts w:ascii="Times New Roman" w:hAnsi="Times New Roman" w:eastAsia="仿宋_GB2312" w:cs="Times New Roman"/>
                <w:color w:val="000000"/>
                <w:sz w:val="22"/>
              </w:rPr>
            </w:pPr>
          </w:p>
        </w:tc>
      </w:tr>
      <w:tr w14:paraId="0D026D3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396B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A29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797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DA4F">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7D8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71A6">
            <w:pPr>
              <w:jc w:val="right"/>
              <w:rPr>
                <w:rFonts w:ascii="Times New Roman" w:hAnsi="Times New Roman" w:eastAsia="仿宋_GB2312" w:cs="Times New Roman"/>
                <w:color w:val="000000"/>
                <w:sz w:val="22"/>
              </w:rPr>
            </w:pPr>
          </w:p>
        </w:tc>
      </w:tr>
      <w:tr w14:paraId="3CF78D4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842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F3D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E47B">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BD3D">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E98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5326">
            <w:pPr>
              <w:jc w:val="center"/>
              <w:rPr>
                <w:rFonts w:ascii="Times New Roman" w:hAnsi="Times New Roman" w:eastAsia="仿宋_GB2312" w:cs="Times New Roman"/>
                <w:color w:val="000000"/>
                <w:sz w:val="22"/>
              </w:rPr>
            </w:pPr>
          </w:p>
        </w:tc>
      </w:tr>
      <w:tr w14:paraId="38459A7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278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64F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89E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C480">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70F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2AAE">
            <w:pPr>
              <w:rPr>
                <w:rFonts w:ascii="Times New Roman" w:hAnsi="Times New Roman" w:eastAsia="仿宋_GB2312" w:cs="Times New Roman"/>
                <w:b/>
                <w:color w:val="000000"/>
                <w:sz w:val="22"/>
              </w:rPr>
            </w:pPr>
          </w:p>
        </w:tc>
      </w:tr>
      <w:tr w14:paraId="1E059FB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805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04F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205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00E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194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9FEB">
            <w:pPr>
              <w:rPr>
                <w:rFonts w:ascii="Times New Roman" w:hAnsi="Times New Roman" w:eastAsia="仿宋_GB2312" w:cs="Times New Roman"/>
                <w:color w:val="000000"/>
                <w:sz w:val="22"/>
              </w:rPr>
            </w:pPr>
          </w:p>
        </w:tc>
      </w:tr>
      <w:tr w14:paraId="2F251D5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67F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845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D22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C4B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AEE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CB3E">
            <w:pPr>
              <w:rPr>
                <w:rFonts w:ascii="Times New Roman" w:hAnsi="Times New Roman" w:eastAsia="仿宋_GB2312" w:cs="Times New Roman"/>
                <w:color w:val="000000"/>
                <w:sz w:val="22"/>
              </w:rPr>
            </w:pPr>
          </w:p>
        </w:tc>
      </w:tr>
      <w:tr w14:paraId="2179E3F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284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294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6E5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AAB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36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4E37">
            <w:pPr>
              <w:rPr>
                <w:rFonts w:ascii="Times New Roman" w:hAnsi="Times New Roman" w:eastAsia="仿宋_GB2312" w:cs="Times New Roman"/>
                <w:color w:val="000000"/>
                <w:sz w:val="22"/>
              </w:rPr>
            </w:pPr>
          </w:p>
        </w:tc>
      </w:tr>
      <w:tr w14:paraId="4107DF7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FC3E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EC67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C19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B892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3939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0CBD">
            <w:pPr>
              <w:rPr>
                <w:rFonts w:ascii="Times New Roman" w:hAnsi="Times New Roman" w:eastAsia="仿宋_GB2312" w:cs="Times New Roman"/>
                <w:b/>
                <w:color w:val="000000"/>
                <w:sz w:val="22"/>
              </w:rPr>
            </w:pPr>
          </w:p>
        </w:tc>
      </w:tr>
    </w:tbl>
    <w:p w14:paraId="49FD82A9">
      <w:pPr>
        <w:widowControl/>
        <w:jc w:val="left"/>
        <w:textAlignment w:val="center"/>
        <w:rPr>
          <w:rFonts w:ascii="Times New Roman" w:hAnsi="Times New Roman" w:eastAsia="宋体" w:cs="Times New Roman"/>
          <w:color w:val="000000"/>
          <w:kern w:val="0"/>
          <w:sz w:val="24"/>
          <w:szCs w:val="24"/>
          <w:lang w:bidi="ar"/>
        </w:rPr>
      </w:pPr>
    </w:p>
    <w:p w14:paraId="13EE684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5BC0B70F">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FC870AE">
      <w:pPr>
        <w:widowControl/>
        <w:spacing w:line="400" w:lineRule="exact"/>
        <w:jc w:val="center"/>
        <w:textAlignment w:val="center"/>
        <w:rPr>
          <w:rFonts w:ascii="Times New Roman" w:hAnsi="Times New Roman" w:eastAsia="黑体" w:cs="Times New Roman"/>
          <w:color w:val="000000"/>
          <w:kern w:val="0"/>
          <w:sz w:val="32"/>
          <w:szCs w:val="32"/>
          <w:lang w:bidi="ar"/>
        </w:rPr>
      </w:pPr>
    </w:p>
    <w:p w14:paraId="52C6AB9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73BA85C3">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1A8530A">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3C92260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A04DAF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93752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EF52A7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CCBE7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21467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47DC33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D9942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1A5A5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1577D24">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A455C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4D8F3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6C52AE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2B0E8F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3A0CF5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17A82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5B1897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7DEF890">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E4EC3D9">
            <w:pPr>
              <w:rPr>
                <w:rFonts w:ascii="Times New Roman" w:hAnsi="Times New Roman" w:eastAsia="仿宋_GB2312" w:cs="Times New Roman"/>
                <w:sz w:val="24"/>
                <w:szCs w:val="24"/>
              </w:rPr>
            </w:pPr>
          </w:p>
        </w:tc>
      </w:tr>
      <w:tr w14:paraId="07D31F51">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37EAB70C">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4AC104A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309E65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E64DF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63F9D0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70591B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F1BA1C6">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F92712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9AF4B1F">
            <w:pPr>
              <w:rPr>
                <w:rFonts w:ascii="Times New Roman" w:hAnsi="Times New Roman" w:eastAsia="仿宋_GB2312" w:cs="Times New Roman"/>
                <w:sz w:val="24"/>
                <w:szCs w:val="24"/>
              </w:rPr>
            </w:pPr>
          </w:p>
        </w:tc>
      </w:tr>
      <w:tr w14:paraId="5E49A551">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F51E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A2B21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90021">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68F06">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E4FFC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A2E3C0">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1C7450">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09B29">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4C0155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E56D46">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DCA9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B443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FFE0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A2F9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9DE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553F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7B238">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E12B7C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4FCDC8">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D672FF">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BF5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2586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5BF6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B12A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C8C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97E5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CED94">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CFA98E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C05EED">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A0A9E3">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840F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09E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4442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74FA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0E08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114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5EC4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D30FAC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45EF43">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99D624">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F0A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FD6D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40A0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3064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D1D5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E7AF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03FD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B5A2E2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6A4A2B">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E3ECDE">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D719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4C04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13D9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88D5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652E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7AB0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3F78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F83696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ED380">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C9D7D">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18E3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964A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BC41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AD47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85C1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D20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0140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114FE5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022CB">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F1BD2C">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6A4E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79A3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AE35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F790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E66E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CD44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830B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296A1B73">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7D8193D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4A0D062">
      <w:pPr>
        <w:widowControl/>
        <w:jc w:val="center"/>
        <w:textAlignment w:val="center"/>
        <w:rPr>
          <w:rFonts w:ascii="Times New Roman" w:hAnsi="Times New Roman" w:eastAsia="黑体" w:cs="Times New Roman"/>
          <w:color w:val="000000"/>
          <w:kern w:val="0"/>
          <w:sz w:val="32"/>
          <w:szCs w:val="32"/>
          <w:lang w:bidi="ar"/>
        </w:rPr>
      </w:pPr>
    </w:p>
    <w:p w14:paraId="2767F53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6BCA25B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E9DB671">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8" w:type="pct"/>
        <w:jc w:val="center"/>
        <w:tblLayout w:type="autofit"/>
        <w:tblCellMar>
          <w:top w:w="0" w:type="dxa"/>
          <w:left w:w="108" w:type="dxa"/>
          <w:bottom w:w="0" w:type="dxa"/>
          <w:right w:w="108" w:type="dxa"/>
        </w:tblCellMar>
      </w:tblPr>
      <w:tblGrid>
        <w:gridCol w:w="2424"/>
        <w:gridCol w:w="1337"/>
        <w:gridCol w:w="1877"/>
        <w:gridCol w:w="1334"/>
        <w:gridCol w:w="1334"/>
        <w:gridCol w:w="1877"/>
        <w:gridCol w:w="1334"/>
        <w:gridCol w:w="2697"/>
      </w:tblGrid>
      <w:tr w14:paraId="6D2E5692">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5B3661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6BF57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747DD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CA27B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26985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96E47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9CE00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3D99C6AA">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C0884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7AB678E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A0FF598">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B72C14F">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1A320DF">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B3E1E9B">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3364531">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6EEECF03">
            <w:pPr>
              <w:widowControl/>
              <w:jc w:val="left"/>
              <w:rPr>
                <w:rFonts w:ascii="Times New Roman" w:hAnsi="Times New Roman" w:eastAsia="仿宋_GB2312" w:cs="Times New Roman"/>
                <w:b/>
                <w:bCs/>
                <w:kern w:val="0"/>
                <w:sz w:val="24"/>
                <w:szCs w:val="24"/>
              </w:rPr>
            </w:pPr>
          </w:p>
        </w:tc>
      </w:tr>
      <w:tr w14:paraId="3CBFEFF1">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549A5C28">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1AF863A2">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800848D">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1BAE9EC">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D3D16BC">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9FB413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3561A56">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1B7D10BF">
            <w:pPr>
              <w:widowControl/>
              <w:jc w:val="left"/>
              <w:rPr>
                <w:rFonts w:ascii="Times New Roman" w:hAnsi="Times New Roman" w:eastAsia="仿宋_GB2312" w:cs="Times New Roman"/>
                <w:kern w:val="0"/>
                <w:sz w:val="24"/>
                <w:szCs w:val="24"/>
              </w:rPr>
            </w:pPr>
          </w:p>
        </w:tc>
      </w:tr>
      <w:tr w14:paraId="316D1B5F">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37E1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0218FAE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3B56EC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3C3E478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71D768D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258908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69DB07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9B82B0B">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2779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7C4461D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267F33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CBFD0A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85DF3E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CC4378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016592C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E10D1A7">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A8A64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534D128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423FF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3849C3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07039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4D0E83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FF27CD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73E098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B2767C8">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821C9D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23FF9CF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1750B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F44986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E46EF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B66628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F3504B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729E2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CC56AC0">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565B3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4D70943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AEB087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10BE5C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79E74B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2BF30B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38F2F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3B5405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0D36881">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EDCE47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76EE8FF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03BC1EA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EDD0BD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F6CE84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75AAF0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8AEC0C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D0ED8B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D6FC6B5">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372CC09">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4E6C5A5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557E242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AD3AC6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22A59D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47FFE1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A96E3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E2DE56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7A51F94">
        <w:tblPrEx>
          <w:tblCellMar>
            <w:top w:w="0" w:type="dxa"/>
            <w:left w:w="108" w:type="dxa"/>
            <w:bottom w:w="0" w:type="dxa"/>
            <w:right w:w="108" w:type="dxa"/>
          </w:tblCellMar>
        </w:tblPrEx>
        <w:trPr>
          <w:trHeight w:val="595"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D61D4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000000" w:fill="FFFFFF"/>
            <w:noWrap/>
            <w:vAlign w:val="center"/>
          </w:tcPr>
          <w:p w14:paraId="4C7D9D2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593C09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570C5D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9C657F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409007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F7E5AE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0AA4C76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2BE12448">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46D0DB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77D92BC1">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A892FE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757AF6B4">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3395AD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696"/>
        <w:gridCol w:w="2636"/>
        <w:gridCol w:w="616"/>
        <w:gridCol w:w="696"/>
        <w:gridCol w:w="1678"/>
        <w:gridCol w:w="1815"/>
        <w:gridCol w:w="1951"/>
      </w:tblGrid>
      <w:tr w14:paraId="43553BE0">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444A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1923D5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732757A5">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689452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AA9200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4980AC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49659C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A8A7F3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205684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0726A9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7A96006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590D2F0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8BFD68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7408A7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683514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7A560B6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03595F4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287A8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4CD521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19E3347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1704C69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70807BF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645BC63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72A4D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4FA2D6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143015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3983E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67931C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393EA9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4FC7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3FAC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34415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755529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EFE00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F5D79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6995FA7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FB5B1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A3871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41AB119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7C6A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AD95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9CA6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A91C29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85B36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B6EB76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70B4FCE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F63CE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33933A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48A892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D85B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ECB2F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D2698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4BE303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6E538D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6366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743A9AB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6266C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687BBC2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6D5943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CD63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A124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73E55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FD3544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FC14D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3E14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264782F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F3519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0E357C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6ABFB4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27A6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7E14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7324A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9A83DE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7786B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1D4E3E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487481E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2243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52159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6DBFE9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D28F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DCD32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12282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FA9A26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33C5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8E8FA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16F76FA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38850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0" w:type="auto"/>
            <w:tcBorders>
              <w:top w:val="nil"/>
              <w:left w:val="nil"/>
              <w:bottom w:val="single" w:color="auto" w:sz="4" w:space="0"/>
              <w:right w:val="single" w:color="auto" w:sz="4" w:space="0"/>
            </w:tcBorders>
            <w:shd w:val="clear" w:color="auto" w:fill="auto"/>
            <w:noWrap/>
            <w:vAlign w:val="center"/>
          </w:tcPr>
          <w:p w14:paraId="00169F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4F8236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632D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73461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316EA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E5D90C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45B66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A204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52E2E6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7615B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9A5E0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1A7FFD1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1B74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D5672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4C1B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1B705D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AE7C19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23E9F3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560BF31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A9233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3FA75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0CEBF18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D4F7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51BB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C6011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7F76DC4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9C8FC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782603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05480BC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F402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2762B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7986A1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E7EC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17518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DD0BF5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F5AEAE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B0A20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7E9BC1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4811018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34C9A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9E89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1976BF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6001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7FB5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914B0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C0B869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DDF1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09443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6C1C116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0B52C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CFF2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580BEE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3EB8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B67E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F6007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CCAF58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6F0E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D54B7D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5E3548A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1AC29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5922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273A3F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75E0B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DC6C6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0ABB8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2C9E37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E5315B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75815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1109016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3EC49BD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3D7873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79C33DD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3E3BB3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2CD6578">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C7181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7C1C6AD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43C9F37">
      <w:pPr>
        <w:widowControl/>
        <w:jc w:val="center"/>
        <w:rPr>
          <w:rFonts w:ascii="Times New Roman" w:hAnsi="Times New Roman" w:eastAsia="方正小标宋_GBK" w:cs="Times New Roman"/>
          <w:kern w:val="0"/>
          <w:sz w:val="36"/>
          <w:szCs w:val="36"/>
        </w:rPr>
      </w:pPr>
    </w:p>
    <w:p w14:paraId="7418C79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5CAC2997">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527AE05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6B571D9">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D5593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A45AD7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09C594E">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B32DA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06A8C3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B10B8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7CD4D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95ACE9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4736D1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DED6E8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CD4E59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0B583F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3BF0C2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7D561E4">
            <w:pPr>
              <w:widowControl/>
              <w:jc w:val="left"/>
              <w:rPr>
                <w:rFonts w:ascii="Times New Roman" w:hAnsi="Times New Roman" w:eastAsia="仿宋_GB2312" w:cs="Times New Roman"/>
                <w:kern w:val="0"/>
                <w:szCs w:val="21"/>
              </w:rPr>
            </w:pPr>
          </w:p>
        </w:tc>
      </w:tr>
      <w:tr w14:paraId="3D2A59BC">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F134B8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6AB5B3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684D0E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777671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7A82740">
            <w:pPr>
              <w:widowControl/>
              <w:jc w:val="left"/>
              <w:rPr>
                <w:rFonts w:ascii="Times New Roman" w:hAnsi="Times New Roman" w:eastAsia="仿宋_GB2312" w:cs="Times New Roman"/>
                <w:kern w:val="0"/>
                <w:szCs w:val="21"/>
              </w:rPr>
            </w:pPr>
          </w:p>
        </w:tc>
      </w:tr>
      <w:tr w14:paraId="400C35A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473AF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97CD1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4C710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6186E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FB1744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644B1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E3278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DFD69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33A51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F1FFA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814F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E003CE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4639738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3ECC9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7AC9C0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B8DAA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39CE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B2AE9A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5FA5BD4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93CF43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87F67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5B738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6DCD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7B0EFB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1C300ED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C07007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2790C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ACDE0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1097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2501981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3BC9619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5917DF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89FCD8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E35FF6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8F0D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DB248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0BE1612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7CF21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1134FD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E95B7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55C8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3BBDBA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6739B0E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242C5CE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143AD2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2838AD6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608D842D">
      <w:pPr>
        <w:widowControl/>
        <w:jc w:val="left"/>
        <w:rPr>
          <w:rFonts w:ascii="Times New Roman" w:hAnsi="Times New Roman" w:eastAsia="仿宋_GB2312" w:cs="Times New Roman"/>
          <w:bCs/>
          <w:kern w:val="0"/>
          <w:szCs w:val="21"/>
        </w:rPr>
      </w:pPr>
    </w:p>
    <w:p w14:paraId="3C2286E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4B58ACD9">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61D6310F">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1256554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2FAB0FC">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A3C4E6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543C8C3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74330C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F5EA0F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DB4D4B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73FC69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B2DD6A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7113828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1C38FC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1DEE51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3FBC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25D7B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3CE6C8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E97D2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669DA5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DDA71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8A655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28DE00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B1F9B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D712E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608A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23BE56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6C5A48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A2B79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50C543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6EA097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829FB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E3FD3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33E578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9829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568A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A6C89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171A4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3952F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25668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CD404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8B015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0A4C48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1FF035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05BE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B79C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4F41A4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3B452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45B5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908D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3D4E3D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716EA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61BA55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54B680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674ED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29B9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CD607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240DE7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401F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4518AB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5B7E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4FF34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C9AC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4CC1AD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6933F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7F18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FDC66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9EEB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D8870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B0960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7D53A9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BAA7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4052F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0756FE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D98AD4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FE4C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E13A0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2A598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BBC20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5D921B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1B77B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3036C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1BFEE9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79ECD0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F2A02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2AE0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14673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62F5E1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31605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77342C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777DA6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1A60E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470572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5A38A6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F07D6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B391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6B3CC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7792F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D00DA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72CF7A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2BBFA0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7E5F7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762E5B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1E4B32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7EE3E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3430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0C5924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78A43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78C5E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C0C84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90E1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72578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19E24F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6290C4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07C7B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D921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50A602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3C5384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79890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50F83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D9996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EAA8B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5493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375A8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E1BF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F25A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203B3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033915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45021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1B880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3BCF8A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EA58C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87E38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708086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8E1E6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C97A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53327C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4F1611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994B2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6E11A4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3B44D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1B99C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A5EE9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29391E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52393A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32DD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056A67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29273F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4C3AF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31F5F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62C9D9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5FD0E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23CA84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6B12FC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923E3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D581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33EFE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5EDE6C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B8E11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0DDE3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2D8817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BCABE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08EB1A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C23D6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6CF5B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4EC6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4AB771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B9AC2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9129E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553CBA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1542C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9C37B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A2543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0D70D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5147A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07D9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4B178C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3CC063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D365A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DE399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3F5EAC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7B151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815C8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C5EF9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63C2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57526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CF376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3AE61A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20520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473384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B08D5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75995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83513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0F074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D7A4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F7B6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670697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4AABB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9C7FF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25B673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802EC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0546F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36F45A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515B3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828BC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2D23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3F432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25FBF1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9D323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6B88E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651A1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9EB0A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E8F3D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537C2F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639C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39F0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3618FF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32EE7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5CB2E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C0B01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4A91CA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056ED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3E30BD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0EB6E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AD53D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4877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1F3A28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657B51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0AFE0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02446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3323FC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B202E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73D8E5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272B7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ADEFC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ECDD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4EE178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52937A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75623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5F54D3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E2B75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EF09D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13201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68FBE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14C5D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1F7E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544D8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2325B0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63119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06CB3E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15BD64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D012F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7B8C02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04DB5E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245A345">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A508770">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D01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7A9326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5C1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95F4D0C">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3690E8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F95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EFA471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A79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5A498125">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1FA0B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2D3F5E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A794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535FF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5FAA6E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6CCD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409208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7B14B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43834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EDB8A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37D38D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FB4EA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701E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565DAA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1C9BE9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BE622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33E9D8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12D1CD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E2D6D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4D6484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215C8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AB777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4CF1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79CB95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04238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9C917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8734D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108792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EB74DF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5B3459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68BE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526FC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59B91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2FBCA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0E9F41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EA88D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64977D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4E808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464B0C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658651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072ED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DDE79D">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96EF08">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FE7E9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01EB0D6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17DDE16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r>
    </w:tbl>
    <w:p w14:paraId="1984BB35">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58600F1">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3196830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118C793F">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86058D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94F7C60">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B367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576A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60BA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4C8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853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765649BB">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E394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F2FE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F3135">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A363C">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574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3E06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0DC3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48589">
            <w:pPr>
              <w:widowControl/>
              <w:jc w:val="center"/>
              <w:rPr>
                <w:rFonts w:ascii="Times New Roman" w:hAnsi="Times New Roman" w:eastAsia="仿宋_GB2312" w:cs="Times New Roman"/>
                <w:color w:val="000000"/>
                <w:sz w:val="24"/>
                <w:szCs w:val="24"/>
              </w:rPr>
            </w:pPr>
          </w:p>
        </w:tc>
      </w:tr>
      <w:tr w14:paraId="30C5F1C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8BD2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5BB7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9043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B530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422B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C014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1BFF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A0CF8">
            <w:pPr>
              <w:jc w:val="center"/>
              <w:rPr>
                <w:rFonts w:ascii="Times New Roman" w:hAnsi="Times New Roman" w:eastAsia="仿宋_GB2312" w:cs="Times New Roman"/>
                <w:color w:val="000000"/>
                <w:sz w:val="24"/>
                <w:szCs w:val="24"/>
              </w:rPr>
            </w:pPr>
          </w:p>
        </w:tc>
      </w:tr>
      <w:tr w14:paraId="33B483B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8186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2B02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7B1F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9CC1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A2D1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9CF9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B048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CF7B0">
            <w:pPr>
              <w:jc w:val="center"/>
              <w:rPr>
                <w:rFonts w:ascii="Times New Roman" w:hAnsi="Times New Roman" w:eastAsia="仿宋_GB2312" w:cs="Times New Roman"/>
                <w:color w:val="000000"/>
                <w:sz w:val="24"/>
                <w:szCs w:val="24"/>
              </w:rPr>
            </w:pPr>
          </w:p>
        </w:tc>
      </w:tr>
      <w:tr w14:paraId="07472BB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C06D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A7A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422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A4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271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85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B5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499F508E">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5C0D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2B77">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7884">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1B7A">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50A8">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9528">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6AD0">
            <w:pPr>
              <w:jc w:val="center"/>
              <w:rPr>
                <w:rFonts w:ascii="Times New Roman" w:hAnsi="Times New Roman" w:eastAsia="仿宋_GB2312" w:cs="Times New Roman"/>
                <w:color w:val="000000"/>
                <w:sz w:val="24"/>
                <w:szCs w:val="24"/>
              </w:rPr>
            </w:pPr>
          </w:p>
        </w:tc>
      </w:tr>
      <w:tr w14:paraId="6539C7F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405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1E29">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180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D8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CB7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B97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F2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47C4">
            <w:pPr>
              <w:rPr>
                <w:rFonts w:ascii="Times New Roman" w:hAnsi="Times New Roman" w:eastAsia="仿宋_GB2312" w:cs="Times New Roman"/>
                <w:color w:val="000000"/>
                <w:sz w:val="24"/>
                <w:szCs w:val="24"/>
              </w:rPr>
            </w:pPr>
          </w:p>
        </w:tc>
      </w:tr>
      <w:tr w14:paraId="4F26F34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FA1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E8A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2E1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570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CB4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897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B06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C9C5">
            <w:pPr>
              <w:rPr>
                <w:rFonts w:ascii="Times New Roman" w:hAnsi="Times New Roman" w:eastAsia="仿宋_GB2312" w:cs="Times New Roman"/>
                <w:color w:val="000000"/>
                <w:sz w:val="24"/>
                <w:szCs w:val="24"/>
              </w:rPr>
            </w:pPr>
          </w:p>
        </w:tc>
      </w:tr>
      <w:tr w14:paraId="56EBF1B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D0D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A42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A67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502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4375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41B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A47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ED68">
            <w:pPr>
              <w:rPr>
                <w:rFonts w:ascii="Times New Roman" w:hAnsi="Times New Roman" w:eastAsia="仿宋_GB2312" w:cs="Times New Roman"/>
                <w:color w:val="000000"/>
                <w:sz w:val="24"/>
                <w:szCs w:val="24"/>
              </w:rPr>
            </w:pPr>
          </w:p>
        </w:tc>
      </w:tr>
      <w:tr w14:paraId="522FE6F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808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580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287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CDA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8A9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772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FB2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4EE5">
            <w:pPr>
              <w:rPr>
                <w:rFonts w:ascii="Times New Roman" w:hAnsi="Times New Roman" w:eastAsia="仿宋_GB2312" w:cs="Times New Roman"/>
                <w:color w:val="000000"/>
                <w:sz w:val="24"/>
                <w:szCs w:val="24"/>
              </w:rPr>
            </w:pPr>
          </w:p>
        </w:tc>
      </w:tr>
      <w:tr w14:paraId="5CD4981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310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09A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353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2E6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D43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30C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0E9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40B8">
            <w:pPr>
              <w:rPr>
                <w:rFonts w:ascii="Times New Roman" w:hAnsi="Times New Roman" w:eastAsia="仿宋_GB2312" w:cs="Times New Roman"/>
                <w:color w:val="000000"/>
                <w:sz w:val="24"/>
                <w:szCs w:val="24"/>
              </w:rPr>
            </w:pPr>
          </w:p>
        </w:tc>
      </w:tr>
      <w:tr w14:paraId="5F49776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058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F63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A71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42C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F20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271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F2F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B26A">
            <w:pPr>
              <w:rPr>
                <w:rFonts w:ascii="Times New Roman" w:hAnsi="Times New Roman" w:eastAsia="仿宋_GB2312" w:cs="Times New Roman"/>
                <w:color w:val="000000"/>
                <w:sz w:val="24"/>
                <w:szCs w:val="24"/>
              </w:rPr>
            </w:pPr>
          </w:p>
        </w:tc>
      </w:tr>
    </w:tbl>
    <w:p w14:paraId="7A10177A">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579EA18F">
      <w:pPr>
        <w:widowControl/>
        <w:jc w:val="left"/>
        <w:textAlignment w:val="center"/>
        <w:rPr>
          <w:rFonts w:ascii="Times New Roman" w:hAnsi="Times New Roman" w:eastAsia="仿宋_GB2312" w:cs="Times New Roman"/>
          <w:color w:val="000000"/>
          <w:kern w:val="0"/>
          <w:sz w:val="24"/>
          <w:szCs w:val="24"/>
          <w:lang w:bidi="ar"/>
        </w:rPr>
      </w:pPr>
    </w:p>
    <w:p w14:paraId="0DA0E17A">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0C57F1BC">
      <w:pPr>
        <w:widowControl/>
        <w:jc w:val="center"/>
        <w:rPr>
          <w:rFonts w:ascii="Times New Roman" w:hAnsi="Times New Roman" w:eastAsia="方正小标宋_GBK" w:cs="Times New Roman"/>
          <w:color w:val="000000"/>
          <w:kern w:val="0"/>
          <w:sz w:val="36"/>
          <w:szCs w:val="36"/>
        </w:rPr>
      </w:pPr>
    </w:p>
    <w:p w14:paraId="5A0842DA">
      <w:pPr>
        <w:widowControl/>
        <w:spacing w:line="400" w:lineRule="exact"/>
        <w:textAlignment w:val="center"/>
        <w:rPr>
          <w:rFonts w:ascii="Times New Roman" w:hAnsi="Times New Roman" w:eastAsia="黑体" w:cs="Times New Roman"/>
          <w:color w:val="000000"/>
          <w:kern w:val="0"/>
          <w:sz w:val="36"/>
          <w:szCs w:val="36"/>
          <w:lang w:bidi="ar"/>
        </w:rPr>
      </w:pPr>
    </w:p>
    <w:p w14:paraId="09C0643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FB73B6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2E42A271">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BE79B6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2ADB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4F9A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72D4696">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5FF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B82A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F0F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1822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5556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09162E13">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4AF4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DA0A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AB2A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A77F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9EE42">
            <w:pPr>
              <w:jc w:val="center"/>
              <w:rPr>
                <w:rFonts w:ascii="Times New Roman" w:hAnsi="Times New Roman" w:eastAsia="仿宋_GB2312" w:cs="Times New Roman"/>
                <w:color w:val="000000"/>
                <w:sz w:val="24"/>
                <w:szCs w:val="24"/>
              </w:rPr>
            </w:pPr>
          </w:p>
        </w:tc>
      </w:tr>
      <w:tr w14:paraId="273B0F6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8AB6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52D6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2D8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7B46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D1031">
            <w:pPr>
              <w:jc w:val="center"/>
              <w:rPr>
                <w:rFonts w:ascii="Times New Roman" w:hAnsi="Times New Roman" w:eastAsia="仿宋_GB2312" w:cs="Times New Roman"/>
                <w:color w:val="000000"/>
                <w:sz w:val="24"/>
                <w:szCs w:val="24"/>
              </w:rPr>
            </w:pPr>
          </w:p>
        </w:tc>
      </w:tr>
      <w:tr w14:paraId="1A14B34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BF6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C7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7F4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E245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79DDCC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D60A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A8C2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D1F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C8FE">
            <w:pPr>
              <w:jc w:val="center"/>
              <w:rPr>
                <w:rFonts w:ascii="Times New Roman" w:hAnsi="Times New Roman" w:eastAsia="仿宋_GB2312" w:cs="Times New Roman"/>
                <w:color w:val="000000"/>
                <w:sz w:val="24"/>
                <w:szCs w:val="24"/>
              </w:rPr>
            </w:pPr>
          </w:p>
        </w:tc>
      </w:tr>
      <w:tr w14:paraId="4BA8CEA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BC9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412ED">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B76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6EB0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B267">
            <w:pPr>
              <w:rPr>
                <w:rFonts w:ascii="Times New Roman" w:hAnsi="Times New Roman" w:eastAsia="仿宋_GB2312" w:cs="Times New Roman"/>
                <w:color w:val="000000"/>
                <w:sz w:val="24"/>
                <w:szCs w:val="24"/>
              </w:rPr>
            </w:pPr>
          </w:p>
        </w:tc>
      </w:tr>
      <w:tr w14:paraId="407006F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952D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A8AC">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F4F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9A4D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803E">
            <w:pPr>
              <w:rPr>
                <w:rFonts w:ascii="Times New Roman" w:hAnsi="Times New Roman" w:eastAsia="仿宋_GB2312" w:cs="Times New Roman"/>
                <w:color w:val="000000"/>
                <w:sz w:val="24"/>
                <w:szCs w:val="24"/>
              </w:rPr>
            </w:pPr>
          </w:p>
        </w:tc>
      </w:tr>
      <w:tr w14:paraId="4B01EAD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DDD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A97C">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EA59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3A5A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2387E">
            <w:pPr>
              <w:rPr>
                <w:rFonts w:ascii="Times New Roman" w:hAnsi="Times New Roman" w:eastAsia="宋体" w:cs="Times New Roman"/>
                <w:color w:val="000000"/>
                <w:sz w:val="24"/>
                <w:szCs w:val="24"/>
              </w:rPr>
            </w:pPr>
          </w:p>
        </w:tc>
      </w:tr>
      <w:tr w14:paraId="2CA594D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334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066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271A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65A7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E9AE">
            <w:pPr>
              <w:rPr>
                <w:rFonts w:ascii="Times New Roman" w:hAnsi="Times New Roman" w:eastAsia="宋体" w:cs="Times New Roman"/>
                <w:color w:val="000000"/>
                <w:sz w:val="24"/>
                <w:szCs w:val="24"/>
              </w:rPr>
            </w:pPr>
          </w:p>
        </w:tc>
      </w:tr>
      <w:tr w14:paraId="78B0F0D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5A0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8D3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C0A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88CF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C1984">
            <w:pPr>
              <w:rPr>
                <w:rFonts w:ascii="Times New Roman" w:hAnsi="Times New Roman" w:eastAsia="宋体" w:cs="Times New Roman"/>
                <w:color w:val="000000"/>
                <w:sz w:val="24"/>
                <w:szCs w:val="24"/>
              </w:rPr>
            </w:pPr>
          </w:p>
        </w:tc>
      </w:tr>
      <w:tr w14:paraId="64E9895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B34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C1C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6C8C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E85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A137">
            <w:pPr>
              <w:rPr>
                <w:rFonts w:ascii="Times New Roman" w:hAnsi="Times New Roman" w:eastAsia="宋体" w:cs="Times New Roman"/>
                <w:color w:val="000000"/>
                <w:sz w:val="24"/>
                <w:szCs w:val="24"/>
              </w:rPr>
            </w:pPr>
          </w:p>
        </w:tc>
      </w:tr>
    </w:tbl>
    <w:p w14:paraId="5C43FFA9">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40528D75">
      <w:pPr>
        <w:widowControl/>
        <w:jc w:val="left"/>
        <w:textAlignment w:val="center"/>
        <w:rPr>
          <w:rFonts w:ascii="Times New Roman" w:hAnsi="Times New Roman" w:eastAsia="宋体" w:cs="Times New Roman"/>
          <w:color w:val="000000"/>
          <w:kern w:val="0"/>
          <w:sz w:val="24"/>
          <w:szCs w:val="24"/>
          <w:lang w:bidi="ar"/>
        </w:rPr>
      </w:pPr>
    </w:p>
    <w:p w14:paraId="0BD37274">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7543D446">
      <w:pPr>
        <w:widowControl/>
        <w:jc w:val="center"/>
        <w:rPr>
          <w:rFonts w:ascii="Times New Roman" w:hAnsi="Times New Roman" w:eastAsia="方正小标宋_GBK" w:cs="Times New Roman"/>
          <w:color w:val="000000"/>
          <w:kern w:val="0"/>
          <w:sz w:val="36"/>
          <w:szCs w:val="36"/>
        </w:rPr>
      </w:pPr>
    </w:p>
    <w:p w14:paraId="22C82A1C">
      <w:pPr>
        <w:pStyle w:val="7"/>
        <w:spacing w:line="400" w:lineRule="exact"/>
        <w:rPr>
          <w:rFonts w:ascii="Times New Roman" w:hAnsi="Times New Roman" w:eastAsia="华文中宋" w:cs="Times New Roman"/>
          <w:color w:val="000000"/>
          <w:kern w:val="0"/>
          <w:sz w:val="32"/>
          <w:szCs w:val="32"/>
          <w:lang w:bidi="ar"/>
        </w:rPr>
      </w:pPr>
    </w:p>
    <w:p w14:paraId="5B6F18C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0F0B87C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4EF5131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2349CD9">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D5881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F4DEE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03D191D">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E8C2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1E8E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5B0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F1D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DE4D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77A9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FAB2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364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4617BCD7">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56F3B">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0F8D">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A1D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618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8D9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E8F3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BDF76">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C73F1">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59C9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2D2F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289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87398">
            <w:pPr>
              <w:jc w:val="center"/>
              <w:rPr>
                <w:rFonts w:ascii="Times New Roman" w:hAnsi="Times New Roman" w:eastAsia="仿宋_GB2312" w:cs="Times New Roman"/>
                <w:color w:val="000000"/>
                <w:sz w:val="22"/>
              </w:rPr>
            </w:pPr>
          </w:p>
        </w:tc>
      </w:tr>
      <w:tr w14:paraId="317956AB">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479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DF7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F2E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FFA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734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522F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9A5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35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686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350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3F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ED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3C13A36">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501F5">
            <w:pPr>
              <w:rPr>
                <w:rFonts w:ascii="Times New Roman" w:hAnsi="Times New Roman" w:eastAsia="仿宋_GB2312" w:cs="Times New Roman"/>
                <w:color w:val="000000"/>
                <w:sz w:val="22"/>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6085">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BB0DA">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C129">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5525">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B89A">
            <w:pP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7C32">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B4F67">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E9882">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46FA5">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A87E">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CDB6">
            <w:pPr>
              <w:rPr>
                <w:rFonts w:ascii="Times New Roman" w:hAnsi="Times New Roman" w:eastAsia="仿宋_GB2312" w:cs="Times New Roman"/>
                <w:color w:val="000000"/>
                <w:sz w:val="22"/>
              </w:rPr>
            </w:pPr>
          </w:p>
        </w:tc>
      </w:tr>
    </w:tbl>
    <w:p w14:paraId="1FD12B37">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2CB966E0">
      <w:pPr>
        <w:autoSpaceDE w:val="0"/>
        <w:autoSpaceDN w:val="0"/>
        <w:adjustRightInd w:val="0"/>
        <w:ind w:left="315" w:leftChars="150"/>
        <w:jc w:val="left"/>
        <w:rPr>
          <w:rFonts w:ascii="Times New Roman" w:hAnsi="Times New Roman" w:eastAsia="宋体" w:cs="Times New Roman"/>
          <w:kern w:val="0"/>
          <w:sz w:val="24"/>
          <w:szCs w:val="24"/>
        </w:rPr>
      </w:pPr>
    </w:p>
    <w:p w14:paraId="0793B91E">
      <w:pPr>
        <w:autoSpaceDE w:val="0"/>
        <w:autoSpaceDN w:val="0"/>
        <w:adjustRightInd w:val="0"/>
        <w:ind w:left="315" w:leftChars="150"/>
        <w:jc w:val="left"/>
        <w:rPr>
          <w:rFonts w:ascii="Times New Roman" w:hAnsi="Times New Roman" w:eastAsia="宋体" w:cs="Times New Roman"/>
          <w:kern w:val="0"/>
          <w:sz w:val="24"/>
          <w:szCs w:val="24"/>
        </w:rPr>
      </w:pPr>
    </w:p>
    <w:p w14:paraId="0EBB28EF">
      <w:pPr>
        <w:autoSpaceDE w:val="0"/>
        <w:autoSpaceDN w:val="0"/>
        <w:adjustRightInd w:val="0"/>
        <w:ind w:left="315" w:leftChars="150"/>
        <w:jc w:val="left"/>
        <w:rPr>
          <w:rFonts w:ascii="Times New Roman" w:hAnsi="Times New Roman" w:eastAsia="宋体" w:cs="Times New Roman"/>
          <w:kern w:val="0"/>
          <w:sz w:val="24"/>
          <w:szCs w:val="24"/>
        </w:rPr>
      </w:pPr>
    </w:p>
    <w:p w14:paraId="2EE661D3">
      <w:pPr>
        <w:autoSpaceDE w:val="0"/>
        <w:autoSpaceDN w:val="0"/>
        <w:adjustRightInd w:val="0"/>
        <w:ind w:left="315" w:leftChars="150"/>
        <w:jc w:val="left"/>
        <w:rPr>
          <w:rFonts w:ascii="Times New Roman" w:hAnsi="Times New Roman" w:eastAsia="宋体" w:cs="Times New Roman"/>
          <w:kern w:val="0"/>
          <w:sz w:val="24"/>
          <w:szCs w:val="24"/>
        </w:rPr>
      </w:pPr>
    </w:p>
    <w:p w14:paraId="67F06032">
      <w:pPr>
        <w:autoSpaceDE w:val="0"/>
        <w:autoSpaceDN w:val="0"/>
        <w:adjustRightInd w:val="0"/>
        <w:ind w:left="315" w:leftChars="150"/>
        <w:jc w:val="left"/>
        <w:rPr>
          <w:rFonts w:ascii="Times New Roman" w:hAnsi="Times New Roman" w:eastAsia="宋体" w:cs="Times New Roman"/>
          <w:kern w:val="0"/>
          <w:sz w:val="24"/>
          <w:szCs w:val="24"/>
        </w:rPr>
      </w:pPr>
    </w:p>
    <w:p w14:paraId="5FB7B48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E7B6410">
      <w:pPr>
        <w:pStyle w:val="13"/>
        <w:rPr>
          <w:rFonts w:ascii="Times New Roman" w:hAnsi="Times New Roman" w:cs="Times New Roman"/>
          <w:sz w:val="72"/>
          <w:szCs w:val="72"/>
        </w:rPr>
      </w:pPr>
    </w:p>
    <w:p w14:paraId="2C363E1B">
      <w:pPr>
        <w:pStyle w:val="13"/>
        <w:rPr>
          <w:rFonts w:ascii="Times New Roman" w:hAnsi="Times New Roman" w:cs="Times New Roman"/>
          <w:sz w:val="72"/>
          <w:szCs w:val="72"/>
        </w:rPr>
      </w:pPr>
    </w:p>
    <w:p w14:paraId="7A1CCD23">
      <w:pPr>
        <w:pStyle w:val="13"/>
        <w:rPr>
          <w:rFonts w:ascii="Times New Roman" w:hAnsi="Times New Roman" w:cs="Times New Roman"/>
          <w:sz w:val="72"/>
          <w:szCs w:val="72"/>
        </w:rPr>
      </w:pPr>
    </w:p>
    <w:p w14:paraId="698022AD">
      <w:pPr>
        <w:pStyle w:val="13"/>
        <w:jc w:val="center"/>
        <w:rPr>
          <w:rFonts w:ascii="Times New Roman" w:hAnsi="Times New Roman" w:cs="Times New Roman"/>
          <w:sz w:val="72"/>
          <w:szCs w:val="72"/>
        </w:rPr>
      </w:pPr>
    </w:p>
    <w:p w14:paraId="0D6FBCDF">
      <w:pPr>
        <w:pStyle w:val="13"/>
        <w:jc w:val="center"/>
        <w:rPr>
          <w:rFonts w:ascii="Times New Roman" w:hAnsi="Times New Roman" w:eastAsia="方正小标宋_GBK" w:cs="Times New Roman"/>
          <w:sz w:val="72"/>
          <w:szCs w:val="72"/>
        </w:rPr>
      </w:pPr>
    </w:p>
    <w:p w14:paraId="39562A4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29F60A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1E4D9EC">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C85612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49251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2024年度收、支总计</w:t>
      </w:r>
      <w:r>
        <w:rPr>
          <w:rFonts w:hint="eastAsia" w:ascii="仿宋_GB2312" w:hAnsi="仿宋_GB2312" w:eastAsia="仿宋_GB2312"/>
          <w:sz w:val="32"/>
          <w:szCs w:val="24"/>
          <w:lang w:val="en-US"/>
        </w:rPr>
        <w:t>8,909.85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2751.21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23.59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sz w:val="32"/>
          <w:szCs w:val="32"/>
        </w:rPr>
        <w:t>从2020年起，因新冠疫情防控的需要，全怀化市的新冠</w:t>
      </w:r>
      <w:r>
        <w:rPr>
          <w:rFonts w:hint="eastAsia" w:ascii="Times New Roman" w:hAnsi="Times New Roman" w:eastAsia="仿宋_GB2312"/>
          <w:sz w:val="32"/>
          <w:szCs w:val="32"/>
          <w:lang w:eastAsia="zh-CN"/>
        </w:rPr>
        <w:t>控</w:t>
      </w:r>
      <w:r>
        <w:rPr>
          <w:rFonts w:hint="eastAsia" w:ascii="Times New Roman" w:hAnsi="Times New Roman" w:eastAsia="仿宋_GB2312"/>
          <w:sz w:val="32"/>
          <w:szCs w:val="32"/>
        </w:rPr>
        <w:t>经费纳入本单位账务管理，202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年怀化市</w:t>
      </w:r>
      <w:r>
        <w:rPr>
          <w:rFonts w:hint="eastAsia" w:ascii="Times New Roman" w:hAnsi="Times New Roman" w:eastAsia="仿宋_GB2312"/>
          <w:sz w:val="32"/>
          <w:szCs w:val="32"/>
          <w:lang w:eastAsia="zh-CN"/>
        </w:rPr>
        <w:t>本级</w:t>
      </w:r>
      <w:r>
        <w:rPr>
          <w:rFonts w:hint="eastAsia" w:ascii="Times New Roman" w:hAnsi="Times New Roman" w:eastAsia="仿宋_GB2312"/>
          <w:sz w:val="32"/>
          <w:szCs w:val="32"/>
        </w:rPr>
        <w:t>新冠防控经费</w:t>
      </w:r>
      <w:r>
        <w:rPr>
          <w:rFonts w:hint="eastAsia" w:ascii="Times New Roman" w:hAnsi="Times New Roman" w:eastAsia="仿宋_GB2312"/>
          <w:sz w:val="32"/>
          <w:szCs w:val="32"/>
          <w:lang w:eastAsia="zh-CN"/>
        </w:rPr>
        <w:t>主要是用于结算</w:t>
      </w:r>
      <w:r>
        <w:rPr>
          <w:rFonts w:hint="eastAsia" w:ascii="Times New Roman" w:hAnsi="Times New Roman" w:eastAsia="仿宋_GB2312"/>
          <w:sz w:val="32"/>
          <w:szCs w:val="32"/>
          <w:lang w:val="en-US" w:eastAsia="zh-CN"/>
        </w:rPr>
        <w:t>2022年疫情防控开支，</w:t>
      </w:r>
      <w:r>
        <w:rPr>
          <w:rFonts w:hint="eastAsia" w:ascii="Times New Roman" w:hAnsi="Times New Roman" w:eastAsia="仿宋_GB2312"/>
          <w:sz w:val="32"/>
          <w:szCs w:val="32"/>
        </w:rPr>
        <w:t>相比上年</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3582.76</w:t>
      </w:r>
      <w:r>
        <w:rPr>
          <w:rFonts w:hint="eastAsia" w:ascii="Times New Roman" w:hAnsi="Times New Roman" w:eastAsia="仿宋_GB2312"/>
          <w:sz w:val="32"/>
          <w:szCs w:val="32"/>
        </w:rPr>
        <w:t>万元；二、202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年本单位</w:t>
      </w:r>
      <w:r>
        <w:rPr>
          <w:rFonts w:hint="eastAsia" w:ascii="Times New Roman" w:hAnsi="Times New Roman" w:eastAsia="仿宋_GB2312"/>
          <w:sz w:val="32"/>
          <w:szCs w:val="32"/>
          <w:lang w:eastAsia="zh-CN"/>
        </w:rPr>
        <w:t>用于怀化市疾病预防控制中心整体搬迁</w:t>
      </w:r>
      <w:r>
        <w:rPr>
          <w:rFonts w:hint="eastAsia" w:ascii="Times New Roman" w:hAnsi="Times New Roman" w:eastAsia="仿宋_GB2312"/>
          <w:sz w:val="32"/>
          <w:szCs w:val="32"/>
        </w:rPr>
        <w:t>建设资金</w:t>
      </w:r>
      <w:r>
        <w:rPr>
          <w:rFonts w:hint="eastAsia" w:ascii="Times New Roman" w:hAnsi="Times New Roman" w:eastAsia="仿宋_GB2312"/>
          <w:sz w:val="32"/>
          <w:szCs w:val="32"/>
          <w:lang w:val="en-US" w:eastAsia="zh-CN"/>
        </w:rPr>
        <w:t>1042.91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，比上年增加</w:t>
      </w:r>
      <w:r>
        <w:rPr>
          <w:rFonts w:hint="eastAsia" w:ascii="Times New Roman" w:hAnsi="Times New Roman" w:eastAsia="仿宋_GB2312"/>
          <w:sz w:val="32"/>
          <w:szCs w:val="32"/>
          <w:lang w:val="en-US" w:eastAsia="zh-CN"/>
        </w:rPr>
        <w:t>345.67万元</w:t>
      </w:r>
      <w:r>
        <w:rPr>
          <w:rFonts w:hint="eastAsia" w:ascii="Times New Roman" w:hAnsi="Times New Roman" w:eastAsia="仿宋_GB2312"/>
          <w:sz w:val="32"/>
          <w:szCs w:val="32"/>
          <w:lang w:eastAsia="zh-CN"/>
        </w:rPr>
        <w:t>。</w:t>
      </w:r>
    </w:p>
    <w:p w14:paraId="1A6F9E1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293BFC5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仿宋_GB2312" w:hAnsi="仿宋_GB2312" w:eastAsia="仿宋_GB2312"/>
          <w:sz w:val="32"/>
          <w:szCs w:val="24"/>
          <w:lang w:val="en-US"/>
        </w:rPr>
        <w:t>8,909.85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8505.52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95.46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296.35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3.33</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107.98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1.21</w:t>
      </w:r>
      <w:r>
        <w:rPr>
          <w:rFonts w:ascii="Times New Roman" w:hAnsi="Times New Roman" w:eastAsia="仿宋_GB2312" w:cs="Times New Roman"/>
          <w:sz w:val="32"/>
          <w:szCs w:val="32"/>
        </w:rPr>
        <w:t>%。</w:t>
      </w:r>
    </w:p>
    <w:p w14:paraId="7545BA3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B0D225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8909.85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3059.28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34.34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5850.57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65.66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31470E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7C9627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8505.52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2725.95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市本级新冠专户结算</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疫情期间尾款，资金投入减少。</w:t>
      </w:r>
    </w:p>
    <w:p w14:paraId="7706C57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F64AA2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86D7F2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8505.52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95.46</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2725.95</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市本级新冠专户结算</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疫情期间尾款，支出减少。</w:t>
      </w:r>
    </w:p>
    <w:p w14:paraId="10DB910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FE09D9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8505.52</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19.06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0.22</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住房保障</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8478.10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99.68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A2185A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2B7F54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2727.58</w:t>
      </w:r>
      <w:r>
        <w:rPr>
          <w:rFonts w:hint="eastAsia" w:ascii="Times New Roman" w:hAnsi="Times New Roman" w:eastAsia="仿宋_GB2312" w:cs="Times New Roman"/>
          <w:sz w:val="32"/>
          <w:szCs w:val="32"/>
        </w:rPr>
        <w:t>万元，支出决算数为</w:t>
      </w:r>
      <w:r>
        <w:rPr>
          <w:rFonts w:hint="default" w:ascii="Times New Roman" w:hAnsi="Times New Roman" w:eastAsia="仿宋_GB2312" w:cs="Times New Roman"/>
          <w:sz w:val="32"/>
          <w:szCs w:val="32"/>
          <w:lang w:val="en-US" w:eastAsia="zh-CN"/>
        </w:rPr>
        <w:t>8505.52</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320.68</w:t>
      </w:r>
      <w:r>
        <w:rPr>
          <w:rFonts w:hint="eastAsia" w:ascii="Times New Roman" w:hAnsi="Times New Roman" w:eastAsia="仿宋_GB2312" w:cs="Times New Roman"/>
          <w:sz w:val="32"/>
          <w:szCs w:val="32"/>
        </w:rPr>
        <w:t>%，其中：</w:t>
      </w:r>
    </w:p>
    <w:p w14:paraId="3E316C8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1、一般公共服务支出（类）组织事务（款）其他组织事务支出（项）。</w:t>
      </w:r>
    </w:p>
    <w:p w14:paraId="343C591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年初预算为0万元，支出决算为</w:t>
      </w:r>
      <w:r>
        <w:rPr>
          <w:rFonts w:hint="default"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万元，决算数大于年初预算数的主要原因是：追加了</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lang w:val="en-US" w:eastAsia="zh-CN"/>
        </w:rPr>
        <w:t>-2024</w:t>
      </w:r>
      <w:r>
        <w:rPr>
          <w:rFonts w:hint="eastAsia" w:ascii="Times New Roman" w:hAnsi="Times New Roman" w:eastAsia="仿宋_GB2312" w:cs="Times New Roman"/>
          <w:sz w:val="32"/>
          <w:szCs w:val="32"/>
          <w:lang w:val="en-US" w:eastAsia="zh-CN"/>
        </w:rPr>
        <w:t>年市直企事业单位引进人才补贴</w:t>
      </w:r>
      <w:r>
        <w:rPr>
          <w:rFonts w:hint="eastAsia" w:ascii="Times New Roman" w:hAnsi="Times New Roman" w:eastAsia="仿宋_GB2312" w:cs="Times New Roman"/>
          <w:sz w:val="32"/>
          <w:szCs w:val="32"/>
          <w:lang w:eastAsia="zh-CN"/>
        </w:rPr>
        <w:t>。</w:t>
      </w:r>
    </w:p>
    <w:p w14:paraId="1EFD3F9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2、教育支出（类）其他教育支出（款）其他教育支出（项）。</w:t>
      </w:r>
    </w:p>
    <w:p w14:paraId="1D27E1E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w:t>
      </w:r>
      <w:r>
        <w:rPr>
          <w:rFonts w:hint="default" w:ascii="Times New Roman" w:hAnsi="Times New Roman" w:eastAsia="仿宋_GB2312" w:cs="Times New Roman"/>
          <w:sz w:val="32"/>
          <w:szCs w:val="32"/>
          <w:lang w:val="en-US" w:eastAsia="zh-CN"/>
        </w:rPr>
        <w:t>19.06</w:t>
      </w:r>
      <w:r>
        <w:rPr>
          <w:rFonts w:hint="eastAsia" w:ascii="Times New Roman" w:hAnsi="Times New Roman" w:eastAsia="仿宋_GB2312" w:cs="Times New Roman"/>
          <w:sz w:val="32"/>
          <w:szCs w:val="32"/>
        </w:rPr>
        <w:t>万元，决算数大于年初预算数的主要原因是：追加了</w:t>
      </w:r>
      <w:r>
        <w:rPr>
          <w:rFonts w:hint="eastAsia"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rPr>
        <w:t>市直学校结核病筛查经费</w:t>
      </w:r>
      <w:r>
        <w:rPr>
          <w:rFonts w:hint="eastAsia" w:ascii="Times New Roman" w:hAnsi="Times New Roman" w:eastAsia="仿宋_GB2312" w:cs="Times New Roman"/>
          <w:sz w:val="32"/>
          <w:szCs w:val="32"/>
          <w:lang w:eastAsia="zh-CN"/>
        </w:rPr>
        <w:t>（新生入学结核病筛查）</w:t>
      </w:r>
      <w:r>
        <w:rPr>
          <w:rFonts w:hint="eastAsia" w:ascii="Times New Roman" w:hAnsi="Times New Roman" w:eastAsia="仿宋_GB2312" w:cs="Times New Roman"/>
          <w:sz w:val="32"/>
          <w:szCs w:val="32"/>
        </w:rPr>
        <w:t>。</w:t>
      </w:r>
    </w:p>
    <w:p w14:paraId="4D81013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卫生健康管理事务</w:t>
      </w:r>
      <w:r>
        <w:rPr>
          <w:rFonts w:hint="eastAsia" w:ascii="Times New Roman" w:hAnsi="Times New Roman" w:eastAsia="仿宋_GB2312" w:cs="Times New Roman"/>
          <w:sz w:val="32"/>
          <w:szCs w:val="32"/>
        </w:rPr>
        <w:t>（款）其他</w:t>
      </w:r>
      <w:r>
        <w:rPr>
          <w:rFonts w:hint="eastAsia" w:ascii="Times New Roman" w:hAnsi="Times New Roman" w:eastAsia="仿宋_GB2312" w:cs="Times New Roman"/>
          <w:sz w:val="32"/>
          <w:szCs w:val="32"/>
          <w:lang w:eastAsia="zh-CN"/>
        </w:rPr>
        <w:t>卫生健康管理事务支出</w:t>
      </w:r>
      <w:r>
        <w:rPr>
          <w:rFonts w:hint="eastAsia" w:ascii="Times New Roman" w:hAnsi="Times New Roman" w:eastAsia="仿宋_GB2312" w:cs="Times New Roman"/>
          <w:sz w:val="32"/>
          <w:szCs w:val="32"/>
        </w:rPr>
        <w:t>（项）。</w:t>
      </w:r>
    </w:p>
    <w:p w14:paraId="2B331F7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年初预算为0万元，支出决算为</w:t>
      </w:r>
      <w:r>
        <w:rPr>
          <w:rFonts w:hint="eastAsia" w:ascii="Times New Roman" w:hAnsi="Times New Roman" w:eastAsia="仿宋_GB2312" w:cs="Times New Roman"/>
          <w:sz w:val="32"/>
          <w:szCs w:val="32"/>
          <w:lang w:val="en-US" w:eastAsia="zh-CN"/>
        </w:rPr>
        <w:t>3.22</w:t>
      </w:r>
      <w:r>
        <w:rPr>
          <w:rFonts w:hint="eastAsia" w:ascii="Times New Roman" w:hAnsi="Times New Roman" w:eastAsia="仿宋_GB2312" w:cs="Times New Roman"/>
          <w:sz w:val="32"/>
          <w:szCs w:val="32"/>
        </w:rPr>
        <w:t>万元，决算数大于年初预算数的主要原因是：追加</w:t>
      </w:r>
      <w:r>
        <w:rPr>
          <w:rFonts w:hint="eastAsia" w:ascii="Times New Roman" w:hAnsi="Times New Roman" w:eastAsia="仿宋_GB2312" w:cs="Times New Roman"/>
          <w:sz w:val="32"/>
          <w:szCs w:val="32"/>
          <w:lang w:eastAsia="zh-CN"/>
        </w:rPr>
        <w:t>结转了特别国债设备物资购置经费，支付设备质保金。</w:t>
      </w:r>
    </w:p>
    <w:p w14:paraId="13AC05D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hint="eastAsia"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公立医院</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其他公立医院</w:t>
      </w:r>
      <w:r>
        <w:rPr>
          <w:rFonts w:hint="eastAsia" w:ascii="Times New Roman" w:hAnsi="Times New Roman" w:eastAsia="仿宋_GB2312" w:cs="Times New Roman"/>
          <w:sz w:val="32"/>
          <w:szCs w:val="32"/>
        </w:rPr>
        <w:t>支出（项）</w:t>
      </w:r>
    </w:p>
    <w:p w14:paraId="54E5988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6.26</w:t>
      </w:r>
      <w:r>
        <w:rPr>
          <w:rFonts w:hint="eastAsia"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追加了中央补助医疗服务与保障能力提升经费</w:t>
      </w:r>
      <w:r>
        <w:rPr>
          <w:rFonts w:hint="eastAsia" w:ascii="Times New Roman" w:hAnsi="Times New Roman" w:eastAsia="仿宋_GB2312" w:cs="Times New Roman"/>
          <w:sz w:val="32"/>
          <w:szCs w:val="32"/>
        </w:rPr>
        <w:t>。</w:t>
      </w:r>
    </w:p>
    <w:p w14:paraId="5F1FE46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基层医疗卫生机构支出</w:t>
      </w:r>
      <w:r>
        <w:rPr>
          <w:rFonts w:hint="eastAsia" w:ascii="Times New Roman" w:hAnsi="Times New Roman" w:eastAsia="仿宋_GB2312" w:cs="Times New Roman"/>
          <w:sz w:val="32"/>
          <w:szCs w:val="32"/>
        </w:rPr>
        <w:t>（款）其他</w:t>
      </w:r>
      <w:r>
        <w:rPr>
          <w:rFonts w:hint="eastAsia" w:ascii="Times New Roman" w:hAnsi="Times New Roman" w:eastAsia="仿宋_GB2312" w:cs="Times New Roman"/>
          <w:sz w:val="32"/>
          <w:szCs w:val="32"/>
          <w:lang w:eastAsia="zh-CN"/>
        </w:rPr>
        <w:t>基层医疗卫生机构支出</w:t>
      </w:r>
      <w:r>
        <w:rPr>
          <w:rFonts w:hint="eastAsia" w:ascii="Times New Roman" w:hAnsi="Times New Roman" w:eastAsia="仿宋_GB2312" w:cs="Times New Roman"/>
          <w:sz w:val="32"/>
          <w:szCs w:val="32"/>
        </w:rPr>
        <w:t>（项）</w:t>
      </w:r>
    </w:p>
    <w:p w14:paraId="67E80A1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308.52</w:t>
      </w:r>
      <w:r>
        <w:rPr>
          <w:rFonts w:hint="eastAsia" w:ascii="Times New Roman" w:hAnsi="Times New Roman" w:eastAsia="仿宋_GB2312" w:cs="Times New Roman"/>
          <w:sz w:val="32"/>
          <w:szCs w:val="32"/>
        </w:rPr>
        <w:t>万元，决算数大于预算数的主要原因是：</w:t>
      </w:r>
      <w:r>
        <w:rPr>
          <w:rFonts w:hint="eastAsia" w:ascii="Times New Roman" w:hAnsi="Times New Roman" w:eastAsia="仿宋_GB2312" w:cs="Times New Roman"/>
          <w:sz w:val="32"/>
          <w:szCs w:val="32"/>
          <w:lang w:eastAsia="zh-CN"/>
        </w:rPr>
        <w:t>追加了中央补助医疗服务与保障能力提升经费</w:t>
      </w:r>
      <w:r>
        <w:rPr>
          <w:rFonts w:hint="eastAsia" w:ascii="Times New Roman" w:hAnsi="Times New Roman" w:eastAsia="仿宋_GB2312" w:cs="Times New Roman"/>
          <w:sz w:val="32"/>
          <w:szCs w:val="32"/>
        </w:rPr>
        <w:t>。</w:t>
      </w:r>
    </w:p>
    <w:p w14:paraId="27E7DD3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、卫生健康支出（类）公共卫生（款）疾病预防控制机构（项）</w:t>
      </w:r>
    </w:p>
    <w:p w14:paraId="5A0A631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初预算为2727.58万元，支出决算为6023.06万元，预算数大于决算数的主要原因是：追加了结转上年市本级新冠专户疫情防控补助资金3299.96万元</w:t>
      </w:r>
      <w:r>
        <w:rPr>
          <w:rFonts w:hint="eastAsia" w:ascii="Times New Roman" w:hAnsi="Times New Roman" w:eastAsia="仿宋_GB2312" w:cs="Times New Roman"/>
          <w:sz w:val="32"/>
          <w:szCs w:val="32"/>
        </w:rPr>
        <w:t>。</w:t>
      </w:r>
    </w:p>
    <w:p w14:paraId="6781F0B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卫生健康支出（类）公共卫生（款）重大公共卫生服务（项）</w:t>
      </w:r>
    </w:p>
    <w:p w14:paraId="104A683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初预算为0万元，支出决算为710.88万元，预算数小于决算数的主要原因是：追加了2024年中央补助重大传染病防控经费</w:t>
      </w:r>
      <w:r>
        <w:rPr>
          <w:rFonts w:hint="eastAsia" w:ascii="Times New Roman" w:hAnsi="Times New Roman" w:eastAsia="仿宋_GB2312" w:cs="Times New Roman"/>
          <w:sz w:val="32"/>
          <w:szCs w:val="32"/>
        </w:rPr>
        <w:t>。</w:t>
      </w:r>
    </w:p>
    <w:p w14:paraId="4983723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卫生健康支出（类）公共卫生（款）突发公共卫生事件应急处</w:t>
      </w:r>
      <w:r>
        <w:rPr>
          <w:rFonts w:hint="eastAsia" w:ascii="Times New Roman" w:hAnsi="Times New Roman" w:eastAsia="仿宋_GB2312" w:cs="Times New Roman"/>
          <w:sz w:val="32"/>
          <w:szCs w:val="32"/>
          <w:lang w:eastAsia="zh-CN"/>
        </w:rPr>
        <w:t>置</w:t>
      </w:r>
      <w:r>
        <w:rPr>
          <w:rFonts w:hint="eastAsia" w:ascii="Times New Roman" w:hAnsi="Times New Roman" w:eastAsia="仿宋_GB2312" w:cs="Times New Roman"/>
          <w:sz w:val="32"/>
          <w:szCs w:val="32"/>
        </w:rPr>
        <w:t>（项）</w:t>
      </w:r>
    </w:p>
    <w:p w14:paraId="74E73B9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初预算为0万元，支出决算为315.46万元，决算数大于预算数的主要原因是：追加了2022年疫情期间医务人员临时性工作补助15.46万元及</w:t>
      </w:r>
      <w:r>
        <w:rPr>
          <w:rFonts w:hint="eastAsia" w:ascii="Times New Roman" w:hAnsi="Times New Roman" w:eastAsia="仿宋_GB2312" w:cs="黑体"/>
          <w:color w:val="000000"/>
          <w:kern w:val="0"/>
          <w:sz w:val="32"/>
          <w:szCs w:val="32"/>
          <w:lang w:val="en-US" w:eastAsia="zh-CN" w:bidi="ar-SA"/>
        </w:rPr>
        <w:t>市本级新冠疫情专户项目经费300万元</w:t>
      </w:r>
      <w:r>
        <w:rPr>
          <w:rFonts w:hint="eastAsia" w:ascii="Times New Roman" w:hAnsi="Times New Roman" w:eastAsia="仿宋_GB2312" w:cs="Times New Roman"/>
          <w:sz w:val="32"/>
          <w:szCs w:val="32"/>
          <w:lang w:val="en-US" w:eastAsia="zh-CN"/>
        </w:rPr>
        <w:t>。</w:t>
      </w:r>
    </w:p>
    <w:p w14:paraId="688AE94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卫生健康支出（类）公共卫生（款）其他公共卫生支出（项）</w:t>
      </w:r>
    </w:p>
    <w:p w14:paraId="54E78D0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初预算为0万元，支出决算为66.30万元，决算数大于预算数的主要原因是：年中追加了省级专项经费16.2万元、2024年预防性健康体检专项经费24.60万元及上年结转创卫专项经费25.50万元。</w:t>
      </w:r>
    </w:p>
    <w:p w14:paraId="350BDAF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、卫生健康支出（类）行政事业单位医疗（款）</w:t>
      </w:r>
      <w:r>
        <w:rPr>
          <w:rFonts w:hint="eastAsia" w:ascii="Times New Roman" w:hAnsi="Times New Roman" w:eastAsia="仿宋_GB2312" w:cs="Times New Roman"/>
          <w:sz w:val="32"/>
          <w:szCs w:val="32"/>
          <w:lang w:eastAsia="zh-CN"/>
        </w:rPr>
        <w:t>其他行政</w:t>
      </w:r>
      <w:r>
        <w:rPr>
          <w:rFonts w:hint="eastAsia" w:ascii="Times New Roman" w:hAnsi="Times New Roman" w:eastAsia="仿宋_GB2312" w:cs="Times New Roman"/>
          <w:sz w:val="32"/>
          <w:szCs w:val="32"/>
        </w:rPr>
        <w:t>单位医疗</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w:t>
      </w:r>
    </w:p>
    <w:p w14:paraId="45FA529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，支出预算为</w:t>
      </w:r>
      <w:r>
        <w:rPr>
          <w:rFonts w:hint="eastAsia" w:ascii="Times New Roman" w:hAnsi="Times New Roman" w:eastAsia="仿宋_GB2312" w:cs="Times New Roman"/>
          <w:sz w:val="32"/>
          <w:szCs w:val="32"/>
          <w:lang w:val="en-US" w:eastAsia="zh-CN"/>
        </w:rPr>
        <w:t>0.8</w:t>
      </w:r>
      <w:r>
        <w:rPr>
          <w:rFonts w:hint="eastAsia" w:ascii="Times New Roman" w:hAnsi="Times New Roman" w:eastAsia="仿宋_GB2312" w:cs="Times New Roman"/>
          <w:sz w:val="32"/>
          <w:szCs w:val="32"/>
        </w:rPr>
        <w:t>万元，决算数大于预算数的主要原因是：</w:t>
      </w:r>
      <w:r>
        <w:rPr>
          <w:rFonts w:hint="eastAsia" w:ascii="Times New Roman" w:hAnsi="Times New Roman" w:eastAsia="仿宋_GB2312" w:cs="Times New Roman"/>
          <w:sz w:val="32"/>
          <w:szCs w:val="32"/>
          <w:lang w:eastAsia="zh-CN"/>
        </w:rPr>
        <w:t>追加了建国初期退休干部医疗补贴</w:t>
      </w:r>
      <w:r>
        <w:rPr>
          <w:rFonts w:hint="eastAsia" w:ascii="Times New Roman" w:hAnsi="Times New Roman" w:eastAsia="仿宋_GB2312" w:cs="Times New Roman"/>
          <w:sz w:val="32"/>
          <w:szCs w:val="32"/>
        </w:rPr>
        <w:t>。</w:t>
      </w:r>
    </w:p>
    <w:p w14:paraId="04D42BA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卫生健康支出（类）</w:t>
      </w:r>
      <w:r>
        <w:rPr>
          <w:rFonts w:hint="eastAsia" w:ascii="Times New Roman" w:hAnsi="Times New Roman" w:eastAsia="仿宋_GB2312" w:cs="Times New Roman"/>
          <w:sz w:val="32"/>
          <w:szCs w:val="32"/>
          <w:lang w:eastAsia="zh-CN"/>
        </w:rPr>
        <w:t>疾病预防控制事务</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其他疾病预防控制事务</w:t>
      </w:r>
      <w:r>
        <w:rPr>
          <w:rFonts w:hint="eastAsia" w:ascii="Times New Roman" w:hAnsi="Times New Roman" w:eastAsia="仿宋_GB2312" w:cs="Times New Roman"/>
          <w:sz w:val="32"/>
          <w:szCs w:val="32"/>
        </w:rPr>
        <w:t>支出（项）</w:t>
      </w:r>
      <w:r>
        <w:rPr>
          <w:rFonts w:hint="eastAsia" w:ascii="Times New Roman" w:hAnsi="Times New Roman" w:eastAsia="仿宋_GB2312" w:cs="Times New Roman"/>
          <w:sz w:val="32"/>
          <w:szCs w:val="32"/>
          <w:lang w:eastAsia="zh-CN"/>
        </w:rPr>
        <w:t>。</w:t>
      </w:r>
    </w:p>
    <w:p w14:paraId="6F49771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，支出预算为</w:t>
      </w:r>
      <w:r>
        <w:rPr>
          <w:rFonts w:hint="eastAsia" w:ascii="Times New Roman" w:hAnsi="Times New Roman" w:eastAsia="仿宋_GB2312" w:cs="Times New Roman"/>
          <w:sz w:val="32"/>
          <w:szCs w:val="32"/>
          <w:lang w:val="en-US" w:eastAsia="zh-CN"/>
        </w:rPr>
        <w:t>0.69</w:t>
      </w:r>
      <w:r>
        <w:rPr>
          <w:rFonts w:hint="eastAsia" w:ascii="Times New Roman" w:hAnsi="Times New Roman" w:eastAsia="仿宋_GB2312" w:cs="Times New Roman"/>
          <w:sz w:val="32"/>
          <w:szCs w:val="32"/>
        </w:rPr>
        <w:t>万元，决算数大于预算数的主要原因是：</w:t>
      </w:r>
      <w:r>
        <w:rPr>
          <w:rFonts w:hint="eastAsia" w:ascii="Times New Roman" w:hAnsi="Times New Roman" w:eastAsia="仿宋_GB2312" w:cs="Times New Roman"/>
          <w:sz w:val="32"/>
          <w:szCs w:val="32"/>
          <w:lang w:eastAsia="zh-CN"/>
        </w:rPr>
        <w:t>追加了遗属生活补助</w:t>
      </w:r>
      <w:r>
        <w:rPr>
          <w:rFonts w:hint="eastAsia" w:ascii="Times New Roman" w:hAnsi="Times New Roman" w:eastAsia="仿宋_GB2312" w:cs="Times New Roman"/>
          <w:sz w:val="32"/>
          <w:szCs w:val="32"/>
        </w:rPr>
        <w:t>。</w:t>
      </w:r>
    </w:p>
    <w:p w14:paraId="55FF967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lang w:val="en-US"/>
        </w:rPr>
        <w:t>9</w:t>
      </w:r>
      <w:r>
        <w:rPr>
          <w:rFonts w:hint="eastAsia" w:ascii="Times New Roman" w:hAnsi="Times New Roman" w:eastAsia="仿宋_GB2312" w:cs="Times New Roman"/>
          <w:sz w:val="32"/>
          <w:szCs w:val="32"/>
        </w:rPr>
        <w:t>、卫生健康支出（类）其他卫生健康支出（款）其他卫生健康支出（项）</w:t>
      </w:r>
    </w:p>
    <w:p w14:paraId="784F68E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年初预算为0，支出预算为</w:t>
      </w:r>
      <w:r>
        <w:rPr>
          <w:rFonts w:hint="eastAsia" w:ascii="Times New Roman" w:hAnsi="Times New Roman" w:eastAsia="仿宋_GB2312" w:cs="Times New Roman"/>
          <w:sz w:val="32"/>
          <w:szCs w:val="32"/>
          <w:lang w:val="en-US" w:eastAsia="zh-CN"/>
        </w:rPr>
        <w:t>1042.91</w:t>
      </w:r>
      <w:r>
        <w:rPr>
          <w:rFonts w:hint="eastAsia" w:ascii="Times New Roman" w:hAnsi="Times New Roman" w:eastAsia="仿宋_GB2312" w:cs="Times New Roman"/>
          <w:sz w:val="32"/>
          <w:szCs w:val="32"/>
        </w:rPr>
        <w:t>万元，决算数大于预算数的主要原因是：结转</w:t>
      </w:r>
      <w:r>
        <w:rPr>
          <w:rFonts w:hint="eastAsia" w:ascii="Times New Roman" w:hAnsi="Times New Roman" w:eastAsia="仿宋_GB2312" w:cs="Times New Roman"/>
          <w:sz w:val="32"/>
          <w:szCs w:val="32"/>
          <w:lang w:eastAsia="zh-CN"/>
        </w:rPr>
        <w:t>了上年</w:t>
      </w:r>
      <w:r>
        <w:rPr>
          <w:rFonts w:hint="eastAsia" w:ascii="Times New Roman" w:hAnsi="Times New Roman" w:eastAsia="仿宋_GB2312" w:cs="Times New Roman"/>
          <w:sz w:val="32"/>
          <w:szCs w:val="32"/>
          <w:lang w:val="en-US" w:eastAsia="zh-CN"/>
        </w:rPr>
        <w:t>市公共卫生中心一期建设项目（即怀化市疾病预防控制中心建设项目）经费</w:t>
      </w:r>
      <w:r>
        <w:rPr>
          <w:rFonts w:hint="eastAsia" w:ascii="Times New Roman" w:hAnsi="Times New Roman" w:eastAsia="仿宋_GB2312" w:cs="Times New Roman"/>
          <w:sz w:val="32"/>
          <w:szCs w:val="32"/>
        </w:rPr>
        <w:t>。</w:t>
      </w:r>
    </w:p>
    <w:p w14:paraId="2C2EF1D3">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住房保障支出（类）住房改革支出（款）住房公积金（项）</w:t>
      </w:r>
    </w:p>
    <w:p w14:paraId="355E658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年初预算为0，支出预算为</w:t>
      </w:r>
      <w:r>
        <w:rPr>
          <w:rFonts w:hint="eastAsia" w:ascii="Times New Roman" w:hAnsi="Times New Roman" w:eastAsia="仿宋_GB2312" w:cs="Times New Roman"/>
          <w:sz w:val="32"/>
          <w:szCs w:val="32"/>
          <w:lang w:val="en-US" w:eastAsia="zh-CN"/>
        </w:rPr>
        <w:t>1.36</w:t>
      </w:r>
      <w:r>
        <w:rPr>
          <w:rFonts w:hint="eastAsia" w:ascii="Times New Roman" w:hAnsi="Times New Roman" w:eastAsia="仿宋_GB2312" w:cs="Times New Roman"/>
          <w:sz w:val="32"/>
          <w:szCs w:val="32"/>
        </w:rPr>
        <w:t>万元，决算数大于预算数的主要原因是：</w:t>
      </w:r>
      <w:r>
        <w:rPr>
          <w:rFonts w:hint="eastAsia" w:ascii="Times New Roman" w:hAnsi="Times New Roman" w:eastAsia="仿宋_GB2312" w:cs="Times New Roman"/>
          <w:sz w:val="32"/>
          <w:szCs w:val="32"/>
          <w:lang w:eastAsia="zh-CN"/>
        </w:rPr>
        <w:t>追加了住房公积金财政配套指标</w:t>
      </w:r>
      <w:r>
        <w:rPr>
          <w:rFonts w:hint="eastAsia" w:ascii="Times New Roman" w:hAnsi="Times New Roman" w:eastAsia="仿宋_GB2312" w:cs="Times New Roman"/>
          <w:sz w:val="32"/>
          <w:szCs w:val="32"/>
        </w:rPr>
        <w:t>。</w:t>
      </w:r>
    </w:p>
    <w:p w14:paraId="68D49BC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3EE5F9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2660.95</w:t>
      </w:r>
      <w:r>
        <w:rPr>
          <w:rFonts w:ascii="Times New Roman" w:hAnsi="Times New Roman" w:eastAsia="仿宋_GB2312" w:cs="Times New Roman"/>
          <w:sz w:val="32"/>
          <w:szCs w:val="32"/>
        </w:rPr>
        <w:t>万元，其中：</w:t>
      </w:r>
    </w:p>
    <w:p w14:paraId="5F22843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2431.52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91.38</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、绩效工资、机关事业单位基本养老保险缴费、职工基本医疗补助缴费、其他社会保障缴费、住房公积金、其他工资福利支出、抚恤金、生活补助、医疗费补助、奖励金、其他对个人和家庭的补助</w:t>
      </w:r>
      <w:r>
        <w:rPr>
          <w:rFonts w:ascii="Times New Roman" w:hAnsi="Times New Roman" w:eastAsia="仿宋_GB2312" w:cs="Times New Roman"/>
          <w:sz w:val="32"/>
          <w:szCs w:val="32"/>
        </w:rPr>
        <w:t>。</w:t>
      </w:r>
    </w:p>
    <w:p w14:paraId="723CFE4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229.44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8.62</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eastAsia="zh-CN"/>
        </w:rPr>
        <w:t>水费、电费、邮电费、差旅费、维修（护）费、培训费、公务接待费、专用材料费、劳务费、委托业务费、工会经费、福利费、公车运行维护费、其他交通费、其他商品服务支出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p>
    <w:p w14:paraId="46EC4457">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0C44A10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4C27909">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default" w:ascii="Times New Roman" w:hAnsi="Times New Roman" w:eastAsia="仿宋_GB2312" w:cs="Times New Roman"/>
          <w:sz w:val="32"/>
          <w:szCs w:val="32"/>
          <w:lang w:val="en-US"/>
        </w:rPr>
        <w:t>32.20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rPr>
        <w:t>32.20</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相比上年数减少</w:t>
      </w:r>
      <w:r>
        <w:rPr>
          <w:rFonts w:hint="eastAsia" w:ascii="Times New Roman" w:hAnsi="Times New Roman" w:eastAsia="仿宋_GB2312" w:cs="Times New Roman"/>
          <w:sz w:val="32"/>
          <w:szCs w:val="32"/>
          <w:lang w:val="en-US" w:eastAsia="zh-CN"/>
        </w:rPr>
        <w:t>3.24万元，</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严格执行有关政策制度，杜绝浪费，一切从简</w:t>
      </w:r>
      <w:r>
        <w:rPr>
          <w:rFonts w:ascii="Times New Roman" w:hAnsi="Times New Roman" w:eastAsia="仿宋_GB2312" w:cs="Times New Roman"/>
          <w:sz w:val="32"/>
          <w:szCs w:val="32"/>
        </w:rPr>
        <w:t>。</w:t>
      </w:r>
    </w:p>
    <w:p w14:paraId="7E9B4449">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DFC875C">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，本单位无此项开支</w:t>
      </w:r>
      <w:r>
        <w:rPr>
          <w:rFonts w:hint="eastAsia" w:ascii="Times New Roman" w:hAnsi="Times New Roman" w:eastAsia="仿宋_GB2312"/>
          <w:sz w:val="32"/>
          <w:szCs w:val="32"/>
        </w:rPr>
        <w:t>。</w:t>
      </w:r>
    </w:p>
    <w:p w14:paraId="5A969F7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30.26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30.26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4.72</w:t>
      </w:r>
      <w:r>
        <w:rPr>
          <w:rFonts w:ascii="Times New Roman" w:hAnsi="Times New Roman" w:eastAsia="仿宋_GB2312" w:cs="Times New Roman"/>
          <w:sz w:val="32"/>
          <w:szCs w:val="32"/>
        </w:rPr>
        <w:t>%。其中：</w:t>
      </w:r>
    </w:p>
    <w:p w14:paraId="19D735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本单位无此项开支</w:t>
      </w:r>
      <w:r>
        <w:rPr>
          <w:rFonts w:hint="eastAsia" w:ascii="Times New Roman" w:hAnsi="Times New Roman" w:eastAsia="仿宋_GB2312"/>
          <w:sz w:val="32"/>
          <w:szCs w:val="32"/>
        </w:rPr>
        <w:t>。</w:t>
      </w:r>
    </w:p>
    <w:p w14:paraId="13194A0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30.26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30.26</w:t>
      </w:r>
      <w:r>
        <w:rPr>
          <w:rFonts w:ascii="Times New Roman" w:hAnsi="Times New Roman" w:eastAsia="仿宋_GB2312" w:cs="Times New Roman"/>
          <w:sz w:val="32"/>
          <w:szCs w:val="32"/>
        </w:rPr>
        <w:t>万元，</w:t>
      </w:r>
    </w:p>
    <w:p w14:paraId="14DFF37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车辆油料费</w:t>
      </w:r>
      <w:r>
        <w:rPr>
          <w:rFonts w:hint="eastAsia" w:ascii="Times New Roman" w:hAnsi="Times New Roman" w:eastAsia="仿宋_GB2312" w:cs="Times New Roman"/>
          <w:sz w:val="32"/>
          <w:szCs w:val="32"/>
          <w:lang w:val="en-US" w:eastAsia="zh-CN"/>
        </w:rPr>
        <w:t>13.06万元、车辆维修费11.82万元、车辆保险费2.25万元及过路年检费用3.13万元</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4.72</w:t>
      </w:r>
      <w:r>
        <w:rPr>
          <w:rFonts w:ascii="Times New Roman" w:hAnsi="Times New Roman" w:eastAsia="仿宋_GB2312" w:cs="Times New Roman"/>
          <w:sz w:val="32"/>
          <w:szCs w:val="32"/>
        </w:rPr>
        <w:t>%。决算数小于上年数的主要原因是</w:t>
      </w:r>
      <w:r>
        <w:rPr>
          <w:rFonts w:hint="eastAsia" w:ascii="仿宋_GB2312" w:hAnsi="仿宋" w:eastAsia="仿宋_GB2312"/>
          <w:sz w:val="32"/>
          <w:szCs w:val="32"/>
        </w:rPr>
        <w:t>加强公务用车管理</w:t>
      </w:r>
      <w:r>
        <w:rPr>
          <w:rFonts w:hint="eastAsia" w:ascii="仿宋_GB2312" w:hAnsi="仿宋" w:eastAsia="仿宋_GB2312"/>
          <w:sz w:val="32"/>
          <w:szCs w:val="32"/>
          <w:lang w:eastAsia="zh-CN"/>
        </w:rPr>
        <w:t>，严格执行车辆管理制度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辆。</w:t>
      </w:r>
    </w:p>
    <w:p w14:paraId="23095F2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1.75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47.55</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本单位严格执行《党政机关厉行节约反对浪费条例》、《党政机关国内公务接待管理规定》和《湖南省党政机关国内公务接待管理办法》，进一步规范公务用餐</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150</w:t>
      </w:r>
      <w:r>
        <w:rPr>
          <w:rFonts w:ascii="Times New Roman" w:hAnsi="Times New Roman" w:eastAsia="仿宋_GB2312" w:cs="Times New Roman"/>
          <w:sz w:val="32"/>
          <w:szCs w:val="32"/>
        </w:rPr>
        <w:t>人次，主要是</w:t>
      </w:r>
      <w:r>
        <w:rPr>
          <w:rFonts w:hint="eastAsia" w:ascii="仿宋_GB2312" w:hAnsi="仿宋" w:eastAsia="仿宋_GB2312"/>
          <w:sz w:val="32"/>
          <w:szCs w:val="32"/>
        </w:rPr>
        <w:t>区外相关单位交流学习</w:t>
      </w:r>
      <w:r>
        <w:rPr>
          <w:rFonts w:hint="eastAsia" w:ascii="Times New Roman" w:hAnsi="Times New Roman" w:eastAsia="仿宋_GB2312"/>
          <w:sz w:val="32"/>
          <w:szCs w:val="32"/>
        </w:rPr>
        <w:t>发生的接待支出。</w:t>
      </w:r>
    </w:p>
    <w:p w14:paraId="0C5BCAB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C193707">
      <w:pPr>
        <w:pStyle w:val="13"/>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66D5AFE">
      <w:pPr>
        <w:pStyle w:val="13"/>
        <w:overflowPunct w:val="0"/>
        <w:autoSpaceDE/>
        <w:autoSpaceDN/>
        <w:spacing w:line="600" w:lineRule="exact"/>
        <w:ind w:firstLine="640" w:firstLineChars="200"/>
        <w:jc w:val="both"/>
        <w:rPr>
          <w:rFonts w:hint="eastAsia" w:ascii="Times New Roman" w:hAnsi="Times New Roman" w:eastAsia="仿宋_GB2312"/>
          <w:b/>
          <w:color w:val="auto"/>
          <w:sz w:val="32"/>
          <w:szCs w:val="32"/>
          <w:lang w:eastAsia="zh-CN"/>
        </w:rPr>
      </w:pPr>
      <w:r>
        <w:rPr>
          <w:rFonts w:hint="eastAsia" w:ascii="Times New Roman" w:hAnsi="Times New Roman" w:cs="Times New Roman"/>
          <w:bCs/>
          <w:sz w:val="32"/>
          <w:szCs w:val="32"/>
          <w:lang w:eastAsia="zh-CN"/>
        </w:rPr>
        <w:t>九、</w:t>
      </w:r>
      <w:r>
        <w:rPr>
          <w:rFonts w:hint="eastAsia" w:ascii="Times New Roman" w:hAnsi="Times New Roman" w:cs="Times New Roman"/>
          <w:bCs/>
          <w:sz w:val="32"/>
          <w:szCs w:val="32"/>
        </w:rPr>
        <w:t>国有资本经营预算财政拨款支出决算</w:t>
      </w:r>
      <w:r>
        <w:rPr>
          <w:rFonts w:hint="eastAsia" w:ascii="Times New Roman" w:hAnsi="Times New Roman" w:cs="Times New Roman"/>
          <w:bCs/>
          <w:sz w:val="32"/>
          <w:szCs w:val="32"/>
          <w:lang w:eastAsia="zh-CN"/>
        </w:rPr>
        <w:t>情况</w:t>
      </w:r>
    </w:p>
    <w:p w14:paraId="15E919D6">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b/>
          <w:color w:val="auto"/>
          <w:sz w:val="32"/>
          <w:szCs w:val="32"/>
          <w:lang w:val="en-US" w:eastAsia="zh-CN"/>
        </w:rPr>
        <w:t xml:space="preserve">   </w:t>
      </w:r>
      <w:r>
        <w:rPr>
          <w:rFonts w:hint="eastAsia" w:ascii="Times New Roman" w:hAnsi="Times New Roman" w:eastAsia="仿宋_GB2312"/>
          <w:b w:val="0"/>
          <w:bCs/>
          <w:color w:val="auto"/>
          <w:sz w:val="32"/>
          <w:szCs w:val="32"/>
          <w:lang w:val="en-US" w:eastAsia="zh-CN"/>
        </w:rPr>
        <w:t xml:space="preserve"> 2024年国有资本经营预算财政拨款收入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074131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7BECB6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49510E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116FB186">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0.26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为档案业务培训费</w:t>
      </w:r>
      <w:r>
        <w:rPr>
          <w:rFonts w:hint="eastAsia" w:ascii="Times New Roman" w:hAnsi="Times New Roman" w:eastAsia="仿宋_GB2312" w:cs="Times New Roman"/>
          <w:sz w:val="32"/>
          <w:szCs w:val="32"/>
          <w:lang w:val="en-US" w:eastAsia="zh-CN"/>
        </w:rPr>
        <w:t>0.19万元</w:t>
      </w:r>
      <w:r>
        <w:rPr>
          <w:rFonts w:hint="eastAsia" w:ascii="Times New Roman" w:hAnsi="Times New Roman" w:eastAsia="仿宋_GB2312" w:cs="Times New Roman"/>
          <w:sz w:val="32"/>
          <w:szCs w:val="32"/>
          <w:lang w:eastAsia="zh-CN"/>
        </w:rPr>
        <w:t>及财务继续教育培训费</w:t>
      </w:r>
      <w:r>
        <w:rPr>
          <w:rFonts w:hint="eastAsia" w:ascii="Times New Roman" w:hAnsi="Times New Roman" w:eastAsia="仿宋_GB2312" w:cs="Times New Roman"/>
          <w:sz w:val="32"/>
          <w:szCs w:val="32"/>
          <w:lang w:val="en-US" w:eastAsia="zh-CN"/>
        </w:rPr>
        <w:t>0.07万元</w:t>
      </w:r>
      <w:r>
        <w:rPr>
          <w:rFonts w:ascii="Times New Roman" w:hAnsi="Times New Roman" w:eastAsia="楷体" w:cs="Times New Roman"/>
          <w:b/>
          <w:bCs/>
          <w:i/>
          <w:color w:val="auto"/>
          <w:sz w:val="32"/>
          <w:szCs w:val="32"/>
        </w:rPr>
        <w:t>（注：三类会议、培训活动，节庆、晚会、论坛、赛事等活动，请分项列明活动计划及经费预算情况）</w:t>
      </w:r>
    </w:p>
    <w:p w14:paraId="63F6D39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7035CC0B">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760.11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599.33</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11.46</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149.32</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760.11</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760.11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41896358">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0C5A9BF7">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olor w:val="auto"/>
          <w:sz w:val="32"/>
          <w:szCs w:val="32"/>
          <w:lang w:eastAsia="zh-CN"/>
        </w:rPr>
        <w:t>业务用车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8</w:t>
      </w:r>
      <w:r>
        <w:rPr>
          <w:rFonts w:ascii="Times New Roman" w:hAnsi="Times New Roman" w:eastAsia="仿宋_GB2312" w:cs="Times New Roman"/>
          <w:color w:val="auto"/>
          <w:sz w:val="32"/>
          <w:szCs w:val="32"/>
        </w:rPr>
        <w:t>台（套）。</w:t>
      </w:r>
    </w:p>
    <w:p w14:paraId="6B08AB82">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6A4CDBD">
      <w:pPr>
        <w:overflowPunct w:val="0"/>
        <w:spacing w:line="600" w:lineRule="exact"/>
        <w:ind w:left="18" w:leftChars="9" w:firstLine="617" w:firstLineChars="193"/>
        <w:rPr>
          <w:rFonts w:hint="eastAsia" w:ascii="Times New Roman" w:hAnsi="Times New Roman" w:eastAsia="仿宋_GB2312" w:cs="Times New Roman"/>
          <w:b/>
          <w:bCs/>
          <w:sz w:val="32"/>
          <w:szCs w:val="32"/>
          <w:lang w:val="en-US" w:eastAsia="zh-CN"/>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default" w:ascii="Times New Roman" w:hAnsi="Times New Roman" w:eastAsia="仿宋_GB2312" w:cs="Times New Roman"/>
          <w:kern w:val="0"/>
          <w:sz w:val="32"/>
          <w:szCs w:val="32"/>
          <w:lang w:val="en-US"/>
        </w:rPr>
        <w:t>26</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5844.57</w:t>
      </w:r>
      <w:r>
        <w:rPr>
          <w:rFonts w:ascii="Times New Roman" w:hAnsi="Times New Roman" w:eastAsia="仿宋_GB2312" w:cs="Times New Roman"/>
          <w:kern w:val="0"/>
          <w:sz w:val="32"/>
          <w:szCs w:val="32"/>
        </w:rPr>
        <w:t>万元。其中，一般公共预算项目</w:t>
      </w:r>
      <w:r>
        <w:rPr>
          <w:rFonts w:hint="default" w:ascii="Times New Roman" w:hAnsi="Times New Roman" w:eastAsia="仿宋_GB2312" w:cs="Times New Roman"/>
          <w:kern w:val="0"/>
          <w:sz w:val="32"/>
          <w:szCs w:val="32"/>
          <w:lang w:val="en-US"/>
        </w:rPr>
        <w:t>26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5844.57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3248B84F">
      <w:pPr>
        <w:overflowPunct w:val="0"/>
        <w:spacing w:line="600" w:lineRule="exact"/>
        <w:ind w:firstLine="640" w:firstLineChars="200"/>
        <w:rPr>
          <w:rFonts w:hint="eastAsia" w:ascii="仿宋" w:hAnsi="仿宋" w:eastAsia="仿宋"/>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default" w:ascii="Times New Roman" w:hAnsi="Times New Roman" w:eastAsia="仿宋_GB2312" w:cs="Times New Roman"/>
          <w:sz w:val="32"/>
          <w:szCs w:val="32"/>
          <w:lang w:val="en-US"/>
        </w:rPr>
        <w:t>12255.85</w:t>
      </w:r>
      <w:r>
        <w:rPr>
          <w:rFonts w:ascii="Times New Roman" w:hAnsi="Times New Roman" w:eastAsia="仿宋_GB2312" w:cs="Times New Roman"/>
          <w:sz w:val="32"/>
          <w:szCs w:val="32"/>
        </w:rPr>
        <w:t>万元，执行数</w:t>
      </w:r>
      <w:r>
        <w:rPr>
          <w:rFonts w:hint="default" w:ascii="Times New Roman" w:hAnsi="Times New Roman" w:eastAsia="仿宋_GB2312" w:cs="Times New Roman"/>
          <w:sz w:val="32"/>
          <w:szCs w:val="32"/>
          <w:lang w:val="en-US"/>
        </w:rPr>
        <w:t>8909.85</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rPr>
        <w:t>72.70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default" w:ascii="Times New Roman" w:hAnsi="Times New Roman" w:eastAsia="仿宋_GB2312" w:cs="Times New Roman"/>
          <w:sz w:val="32"/>
          <w:szCs w:val="32"/>
          <w:lang w:val="en-US"/>
        </w:rPr>
        <w:t>96</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A</w:t>
      </w:r>
      <w:r>
        <w:rPr>
          <w:rFonts w:ascii="Times New Roman" w:hAnsi="Times New Roman" w:eastAsia="仿宋_GB2312" w:cs="Times New Roman"/>
          <w:sz w:val="32"/>
          <w:szCs w:val="32"/>
        </w:rPr>
        <w:t>”。绩效目标完成情况：</w:t>
      </w:r>
      <w:r>
        <w:rPr>
          <w:rFonts w:hint="eastAsia" w:ascii="仿宋" w:hAnsi="仿宋" w:eastAsia="仿宋"/>
          <w:sz w:val="32"/>
          <w:szCs w:val="32"/>
        </w:rPr>
        <w:t>一是数量指标，工资福利发放人数154人，100%完成重大传染病项目工作任务；二是质量指标，有效促进公共卫生服务；三是时效指标，根据资金使用安排，及时支付经费，确保全中心公务运转；四是效益指标，促进全市人民健康生活环境不断提升。</w:t>
      </w:r>
    </w:p>
    <w:p w14:paraId="5D4BAEFC">
      <w:pPr>
        <w:overflowPunct w:val="0"/>
        <w:spacing w:line="600" w:lineRule="exact"/>
        <w:ind w:firstLine="640" w:firstLineChars="200"/>
        <w:rPr>
          <w:rFonts w:hint="eastAsia" w:ascii="仿宋" w:hAnsi="仿宋" w:eastAsia="仿宋" w:cs="Times New Roman"/>
          <w:kern w:val="2"/>
          <w:sz w:val="32"/>
          <w:szCs w:val="32"/>
        </w:rPr>
      </w:pPr>
      <w:r>
        <w:rPr>
          <w:rFonts w:ascii="Times New Roman" w:hAnsi="Times New Roman" w:eastAsia="仿宋_GB2312" w:cs="Times New Roman"/>
          <w:sz w:val="32"/>
          <w:szCs w:val="32"/>
        </w:rPr>
        <w:t>发现的主要问题及原因：</w:t>
      </w:r>
      <w:r>
        <w:rPr>
          <w:rFonts w:hint="eastAsia" w:ascii="仿宋" w:hAnsi="仿宋" w:eastAsia="仿宋" w:cs="Times New Roman"/>
          <w:kern w:val="2"/>
          <w:sz w:val="32"/>
          <w:szCs w:val="32"/>
        </w:rPr>
        <w:t>绩效评价工作机制有待进一步完善，绩效管理和监督工作重视程度不够</w:t>
      </w:r>
      <w:r>
        <w:rPr>
          <w:rFonts w:hint="default" w:ascii="仿宋" w:hAnsi="仿宋" w:eastAsia="仿宋" w:cs="Times New Roman"/>
          <w:kern w:val="2"/>
          <w:sz w:val="32"/>
          <w:szCs w:val="32"/>
          <w:lang w:val="en-US"/>
        </w:rPr>
        <w:t>,</w:t>
      </w:r>
      <w:r>
        <w:rPr>
          <w:rFonts w:hint="eastAsia" w:ascii="仿宋" w:hAnsi="仿宋" w:eastAsia="仿宋" w:cs="Times New Roman"/>
          <w:kern w:val="2"/>
          <w:sz w:val="32"/>
          <w:szCs w:val="32"/>
          <w:lang w:val="en-US" w:eastAsia="zh-CN"/>
        </w:rPr>
        <w:t>财政经费保障力度不够</w:t>
      </w:r>
      <w:r>
        <w:rPr>
          <w:rFonts w:hint="eastAsia" w:ascii="仿宋" w:hAnsi="仿宋" w:eastAsia="仿宋" w:cs="Times New Roman"/>
          <w:kern w:val="2"/>
          <w:sz w:val="32"/>
          <w:szCs w:val="32"/>
        </w:rPr>
        <w:t>。</w:t>
      </w:r>
    </w:p>
    <w:p w14:paraId="06ED92A2">
      <w:pPr>
        <w:overflowPunct w:val="0"/>
        <w:spacing w:line="600" w:lineRule="exact"/>
        <w:ind w:firstLine="640" w:firstLineChars="200"/>
        <w:rPr>
          <w:rFonts w:hint="eastAsia" w:ascii="Times New Roman" w:hAnsi="Times New Roman" w:eastAsia="仿宋_GB2312" w:cs="Times New Roman"/>
          <w:bCs/>
          <w:sz w:val="32"/>
          <w:szCs w:val="32"/>
          <w:lang w:val="en-US" w:eastAsia="zh-CN"/>
        </w:rPr>
      </w:pPr>
      <w:r>
        <w:rPr>
          <w:rFonts w:ascii="Times New Roman" w:hAnsi="Times New Roman" w:eastAsia="仿宋_GB2312" w:cs="Times New Roman"/>
          <w:sz w:val="32"/>
          <w:szCs w:val="32"/>
        </w:rPr>
        <w:t>下一步改进措施：一是</w:t>
      </w:r>
      <w:r>
        <w:rPr>
          <w:rFonts w:hint="eastAsia" w:ascii="仿宋" w:hAnsi="仿宋" w:eastAsia="仿宋" w:cs="Times New Roman"/>
          <w:kern w:val="2"/>
          <w:sz w:val="32"/>
          <w:szCs w:val="32"/>
        </w:rPr>
        <w:t>制定合理的年度工作计划和年度经费支出预算，确保全年经费支出均衡。对经费使用情况及时统计，并将统计情况反馈至各个科室，对不合理的支出及时进行调整，提高经费使用效益。</w:t>
      </w:r>
    </w:p>
    <w:p w14:paraId="776CBEF9">
      <w:pPr>
        <w:pStyle w:val="13"/>
        <w:numPr>
          <w:ilvl w:val="0"/>
          <w:numId w:val="2"/>
        </w:numPr>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7BDDA092">
      <w:pPr>
        <w:overflowPunct w:val="0"/>
        <w:spacing w:line="600" w:lineRule="exact"/>
        <w:ind w:firstLine="640" w:firstLineChars="200"/>
        <w:rPr>
          <w:rFonts w:hint="eastAsia" w:ascii="Times New Roman" w:hAnsi="Times New Roman" w:eastAsia="仿宋_GB2312" w:cs="Times New Roman"/>
          <w:sz w:val="32"/>
          <w:szCs w:val="32"/>
          <w:lang w:eastAsia="zh-CN"/>
        </w:rPr>
      </w:pPr>
      <w:bookmarkStart w:id="3" w:name="_GoBack"/>
      <w:bookmarkEnd w:id="3"/>
      <w:r>
        <w:rPr>
          <w:rFonts w:hint="eastAsia" w:ascii="Times New Roman" w:hAnsi="Times New Roman" w:eastAsia="仿宋_GB2312" w:cs="Times New Roman"/>
          <w:sz w:val="32"/>
          <w:szCs w:val="32"/>
        </w:rPr>
        <w:t>结果应用：自评结果作为2025年预算调整依据，食品安全监测经费拟从5万元增至10万元，用于购置便携式气相色谱仪等新设备</w:t>
      </w:r>
      <w:r>
        <w:rPr>
          <w:rFonts w:hint="eastAsia" w:ascii="Times New Roman" w:hAnsi="Times New Roman" w:eastAsia="仿宋_GB2312" w:cs="Times New Roman"/>
          <w:sz w:val="32"/>
          <w:szCs w:val="32"/>
          <w:lang w:eastAsia="zh-CN"/>
        </w:rPr>
        <w:t>。</w:t>
      </w:r>
    </w:p>
    <w:p w14:paraId="3485C854">
      <w:pPr>
        <w:overflowPunct w:val="0"/>
        <w:spacing w:line="600" w:lineRule="exact"/>
        <w:ind w:firstLine="640" w:firstLineChars="200"/>
        <w:rPr>
          <w:rFonts w:ascii="仿宋" w:hAnsi="仿宋" w:eastAsia="仿宋" w:cs="Times New Roman"/>
          <w:kern w:val="2"/>
          <w:sz w:val="32"/>
          <w:szCs w:val="32"/>
        </w:rPr>
      </w:pPr>
    </w:p>
    <w:p w14:paraId="50F594E7">
      <w:pPr>
        <w:pStyle w:val="13"/>
        <w:numPr>
          <w:numId w:val="0"/>
        </w:numPr>
        <w:overflowPunct w:val="0"/>
        <w:autoSpaceDE/>
        <w:autoSpaceDN/>
        <w:spacing w:line="600" w:lineRule="exact"/>
        <w:jc w:val="both"/>
        <w:rPr>
          <w:rFonts w:ascii="Times New Roman" w:hAnsi="Times New Roman" w:eastAsia="楷体_GB2312" w:cs="Times New Roman"/>
          <w:b/>
          <w:bCs/>
          <w:color w:val="auto"/>
          <w:kern w:val="2"/>
          <w:sz w:val="32"/>
          <w:szCs w:val="32"/>
        </w:rPr>
      </w:pPr>
    </w:p>
    <w:p w14:paraId="385011FC">
      <w:pPr>
        <w:pStyle w:val="13"/>
        <w:jc w:val="center"/>
        <w:rPr>
          <w:rFonts w:ascii="Times New Roman" w:hAnsi="Times New Roman" w:cs="Times New Roman"/>
          <w:sz w:val="72"/>
          <w:szCs w:val="72"/>
        </w:rPr>
      </w:pPr>
    </w:p>
    <w:p w14:paraId="07BEB637">
      <w:pPr>
        <w:pStyle w:val="13"/>
        <w:jc w:val="center"/>
        <w:rPr>
          <w:rFonts w:ascii="Times New Roman" w:hAnsi="Times New Roman" w:cs="Times New Roman"/>
          <w:sz w:val="72"/>
          <w:szCs w:val="72"/>
        </w:rPr>
      </w:pPr>
    </w:p>
    <w:p w14:paraId="6ADF2653">
      <w:pPr>
        <w:pStyle w:val="13"/>
        <w:jc w:val="center"/>
        <w:rPr>
          <w:rFonts w:ascii="Times New Roman" w:hAnsi="Times New Roman" w:cs="Times New Roman"/>
          <w:sz w:val="72"/>
          <w:szCs w:val="72"/>
        </w:rPr>
      </w:pPr>
    </w:p>
    <w:p w14:paraId="0D2A1180">
      <w:pPr>
        <w:pStyle w:val="13"/>
        <w:jc w:val="center"/>
        <w:rPr>
          <w:rFonts w:ascii="Times New Roman" w:hAnsi="Times New Roman" w:cs="Times New Roman"/>
          <w:sz w:val="72"/>
          <w:szCs w:val="72"/>
        </w:rPr>
      </w:pPr>
    </w:p>
    <w:p w14:paraId="035D5783">
      <w:pPr>
        <w:pStyle w:val="13"/>
        <w:jc w:val="center"/>
        <w:rPr>
          <w:rFonts w:ascii="Times New Roman" w:hAnsi="Times New Roman" w:cs="Times New Roman"/>
          <w:sz w:val="72"/>
          <w:szCs w:val="72"/>
        </w:rPr>
      </w:pPr>
    </w:p>
    <w:p w14:paraId="3773E463">
      <w:pPr>
        <w:pStyle w:val="13"/>
        <w:jc w:val="center"/>
        <w:rPr>
          <w:rFonts w:ascii="Times New Roman" w:hAnsi="Times New Roman" w:cs="Times New Roman"/>
          <w:sz w:val="72"/>
          <w:szCs w:val="72"/>
        </w:rPr>
      </w:pPr>
    </w:p>
    <w:p w14:paraId="5E00AD50">
      <w:pPr>
        <w:pStyle w:val="13"/>
        <w:jc w:val="center"/>
        <w:rPr>
          <w:rFonts w:ascii="Times New Roman" w:hAnsi="Times New Roman" w:cs="Times New Roman"/>
          <w:sz w:val="72"/>
          <w:szCs w:val="72"/>
        </w:rPr>
      </w:pPr>
    </w:p>
    <w:p w14:paraId="4CD7C882">
      <w:pPr>
        <w:pStyle w:val="13"/>
        <w:jc w:val="center"/>
        <w:rPr>
          <w:rFonts w:ascii="Times New Roman" w:hAnsi="Times New Roman" w:cs="Times New Roman"/>
          <w:sz w:val="72"/>
          <w:szCs w:val="72"/>
        </w:rPr>
      </w:pPr>
    </w:p>
    <w:p w14:paraId="7E281470">
      <w:pPr>
        <w:pStyle w:val="13"/>
        <w:jc w:val="center"/>
        <w:rPr>
          <w:rFonts w:ascii="Times New Roman" w:hAnsi="Times New Roman" w:cs="Times New Roman"/>
          <w:sz w:val="72"/>
          <w:szCs w:val="72"/>
        </w:rPr>
      </w:pPr>
    </w:p>
    <w:p w14:paraId="2BE1EDAC">
      <w:pPr>
        <w:pStyle w:val="13"/>
        <w:jc w:val="center"/>
        <w:rPr>
          <w:rFonts w:ascii="Times New Roman" w:hAnsi="Times New Roman" w:cs="Times New Roman"/>
          <w:sz w:val="72"/>
          <w:szCs w:val="72"/>
        </w:rPr>
      </w:pPr>
    </w:p>
    <w:p w14:paraId="75CDFB41">
      <w:pPr>
        <w:pStyle w:val="13"/>
        <w:jc w:val="both"/>
        <w:rPr>
          <w:rFonts w:ascii="Times New Roman" w:hAnsi="Times New Roman" w:cs="Times New Roman"/>
          <w:sz w:val="72"/>
          <w:szCs w:val="72"/>
        </w:rPr>
      </w:pPr>
    </w:p>
    <w:p w14:paraId="18B6A84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7A1A000B">
      <w:pPr>
        <w:widowControl/>
        <w:ind w:firstLine="640" w:firstLineChars="200"/>
        <w:jc w:val="left"/>
        <w:rPr>
          <w:rFonts w:ascii="Times New Roman" w:hAnsi="Times New Roman" w:eastAsia="仿宋_GB2312" w:cs="Times New Roman"/>
          <w:color w:val="000000"/>
          <w:kern w:val="0"/>
          <w:sz w:val="32"/>
          <w:szCs w:val="32"/>
        </w:rPr>
      </w:pPr>
    </w:p>
    <w:p w14:paraId="58F34395">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rPr>
        <w:t>财政拨款收入：指本年度从本级财政部门取得的财政拨款，包括一般公共预算财政拨款和政府性基金预算财政拨款。</w:t>
      </w:r>
    </w:p>
    <w:p w14:paraId="0A442BA0">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二、</w:t>
      </w:r>
      <w:r>
        <w:rPr>
          <w:rFonts w:hint="eastAsia" w:ascii="Times New Roman" w:hAnsi="Times New Roman" w:eastAsia="仿宋_GB2312" w:cs="Times New Roman"/>
          <w:color w:val="000000"/>
          <w:kern w:val="0"/>
          <w:sz w:val="32"/>
          <w:szCs w:val="32"/>
        </w:rPr>
        <w:t>事业收入：指事业单位开展专业业务活动及其辅助活动取得的收入；事业单位收到的财政专户实际核拨的教育收费等资金在此反映。</w:t>
      </w:r>
    </w:p>
    <w:p w14:paraId="0D63F833">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三、</w:t>
      </w:r>
      <w:r>
        <w:rPr>
          <w:rFonts w:hint="eastAsia" w:ascii="Times New Roman" w:hAnsi="Times New Roman" w:eastAsia="仿宋_GB2312" w:cs="Times New Roman"/>
          <w:color w:val="000000"/>
          <w:kern w:val="0"/>
          <w:sz w:val="32"/>
          <w:szCs w:val="32"/>
        </w:rPr>
        <w:t>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14:paraId="3B30E108">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四、</w:t>
      </w:r>
      <w:r>
        <w:rPr>
          <w:rFonts w:hint="eastAsia" w:ascii="Times New Roman" w:hAnsi="Times New Roman" w:eastAsia="仿宋_GB2312" w:cs="Times New Roman"/>
          <w:color w:val="000000"/>
          <w:kern w:val="0"/>
          <w:sz w:val="32"/>
          <w:szCs w:val="32"/>
        </w:rPr>
        <w:t>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B9BE327">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五、</w:t>
      </w:r>
      <w:r>
        <w:rPr>
          <w:rFonts w:hint="eastAsia" w:ascii="Times New Roman" w:hAnsi="Times New Roman" w:eastAsia="仿宋_GB2312" w:cs="Times New Roman"/>
          <w:color w:val="000000"/>
          <w:kern w:val="0"/>
          <w:sz w:val="32"/>
          <w:szCs w:val="32"/>
        </w:rPr>
        <w:t>项目支出：指在基本支出之外为完成特定行政任务和事业发展目标所发生的支出。</w:t>
      </w:r>
    </w:p>
    <w:p w14:paraId="3DCA16CE">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六、“三公”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6D79B2F">
      <w:pPr>
        <w:widowControl/>
        <w:ind w:firstLine="640" w:firstLineChars="200"/>
        <w:jc w:val="left"/>
        <w:rPr>
          <w:rFonts w:ascii="Times New Roman" w:hAnsi="Times New Roman" w:eastAsia="仿宋_GB2312" w:cs="Times New Roman"/>
          <w:color w:val="000000"/>
          <w:kern w:val="0"/>
          <w:sz w:val="32"/>
          <w:szCs w:val="32"/>
        </w:rPr>
      </w:pPr>
    </w:p>
    <w:p w14:paraId="062DD560">
      <w:pPr>
        <w:pStyle w:val="13"/>
        <w:ind w:firstLine="640" w:firstLineChars="200"/>
        <w:rPr>
          <w:rFonts w:ascii="Times New Roman" w:hAnsi="Times New Roman" w:cs="Times New Roman" w:eastAsiaTheme="minorEastAsia"/>
          <w:sz w:val="32"/>
          <w:szCs w:val="32"/>
        </w:rPr>
      </w:pPr>
    </w:p>
    <w:p w14:paraId="4CDCD347">
      <w:pPr>
        <w:pStyle w:val="13"/>
        <w:spacing w:line="600" w:lineRule="exact"/>
        <w:ind w:firstLine="640" w:firstLineChars="200"/>
        <w:rPr>
          <w:rFonts w:ascii="Times New Roman" w:hAnsi="Times New Roman" w:eastAsia="楷体_GB2312" w:cs="Times New Roman"/>
          <w:b/>
          <w:bCs/>
          <w:i/>
          <w:color w:val="auto"/>
          <w:sz w:val="32"/>
          <w:szCs w:val="32"/>
        </w:rPr>
      </w:pPr>
      <w:r>
        <w:rPr>
          <w:rFonts w:ascii="Times New Roman" w:hAnsi="Times New Roman" w:eastAsia="楷体_GB2312" w:cs="Times New Roman"/>
          <w:b/>
          <w:bCs/>
          <w:i/>
          <w:color w:val="auto"/>
          <w:sz w:val="32"/>
          <w:szCs w:val="32"/>
        </w:rPr>
        <w:t>（名词解释应包含本部门专有名词，如省财政厅应有对“财政事务”科目的解释，可参考中央相关部门的名词解释）</w:t>
      </w:r>
    </w:p>
    <w:p w14:paraId="14DBA5CA">
      <w:pPr>
        <w:pStyle w:val="13"/>
        <w:jc w:val="center"/>
        <w:rPr>
          <w:rFonts w:ascii="Times New Roman" w:hAnsi="Times New Roman" w:cs="Times New Roman"/>
          <w:sz w:val="72"/>
          <w:szCs w:val="72"/>
        </w:rPr>
      </w:pPr>
    </w:p>
    <w:p w14:paraId="02062C65">
      <w:pPr>
        <w:pStyle w:val="13"/>
        <w:jc w:val="center"/>
        <w:rPr>
          <w:rFonts w:ascii="Times New Roman" w:hAnsi="Times New Roman" w:cs="Times New Roman"/>
          <w:sz w:val="72"/>
          <w:szCs w:val="72"/>
        </w:rPr>
      </w:pPr>
    </w:p>
    <w:p w14:paraId="36B5819C">
      <w:pPr>
        <w:pStyle w:val="13"/>
        <w:jc w:val="center"/>
        <w:rPr>
          <w:rFonts w:ascii="Times New Roman" w:hAnsi="Times New Roman" w:cs="Times New Roman"/>
          <w:sz w:val="72"/>
          <w:szCs w:val="72"/>
        </w:rPr>
      </w:pPr>
    </w:p>
    <w:p w14:paraId="499ACDC4">
      <w:pPr>
        <w:pStyle w:val="13"/>
        <w:jc w:val="center"/>
        <w:rPr>
          <w:rFonts w:ascii="Times New Roman" w:hAnsi="Times New Roman" w:cs="Times New Roman"/>
          <w:sz w:val="72"/>
          <w:szCs w:val="72"/>
        </w:rPr>
      </w:pPr>
    </w:p>
    <w:p w14:paraId="19CBF6D8">
      <w:pPr>
        <w:pStyle w:val="13"/>
        <w:jc w:val="center"/>
        <w:rPr>
          <w:rFonts w:ascii="Times New Roman" w:hAnsi="Times New Roman" w:cs="Times New Roman"/>
          <w:sz w:val="72"/>
          <w:szCs w:val="72"/>
        </w:rPr>
      </w:pPr>
    </w:p>
    <w:p w14:paraId="1FB031CC">
      <w:pPr>
        <w:pStyle w:val="13"/>
        <w:jc w:val="center"/>
        <w:rPr>
          <w:rFonts w:ascii="Times New Roman" w:hAnsi="Times New Roman" w:cs="Times New Roman"/>
          <w:sz w:val="72"/>
          <w:szCs w:val="72"/>
        </w:rPr>
      </w:pPr>
    </w:p>
    <w:p w14:paraId="603867C7">
      <w:pPr>
        <w:pStyle w:val="13"/>
        <w:jc w:val="center"/>
        <w:rPr>
          <w:rFonts w:ascii="Times New Roman" w:hAnsi="Times New Roman" w:cs="Times New Roman"/>
          <w:sz w:val="72"/>
          <w:szCs w:val="72"/>
        </w:rPr>
      </w:pPr>
    </w:p>
    <w:p w14:paraId="1B25B39E">
      <w:pPr>
        <w:pStyle w:val="13"/>
        <w:jc w:val="both"/>
        <w:rPr>
          <w:rFonts w:ascii="Times New Roman" w:hAnsi="Times New Roman" w:cs="Times New Roman"/>
          <w:sz w:val="72"/>
          <w:szCs w:val="72"/>
        </w:rPr>
      </w:pPr>
    </w:p>
    <w:p w14:paraId="1419ABB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048BB08">
      <w:pPr>
        <w:rPr>
          <w:rFonts w:ascii="Times New Roman" w:hAnsi="Times New Roman" w:cs="Times New Roman"/>
          <w:sz w:val="72"/>
          <w:szCs w:val="72"/>
        </w:rPr>
      </w:pPr>
    </w:p>
    <w:p w14:paraId="76EBA795">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5005763D">
      <w:pPr>
        <w:pStyle w:val="13"/>
        <w:ind w:firstLine="1280" w:firstLineChars="400"/>
        <w:rPr>
          <w:rFonts w:ascii="Times New Roman" w:hAnsi="Times New Roman" w:eastAsia="仿宋_GB2312" w:cs="Times New Roman"/>
          <w:sz w:val="32"/>
          <w:szCs w:val="32"/>
        </w:rPr>
      </w:pPr>
    </w:p>
    <w:p w14:paraId="62A4E2A6">
      <w:pPr>
        <w:pStyle w:val="13"/>
        <w:spacing w:line="600" w:lineRule="exact"/>
        <w:ind w:firstLine="640" w:firstLineChars="200"/>
        <w:rPr>
          <w:rFonts w:ascii="Times New Roman" w:hAnsi="Times New Roman" w:eastAsia="仿宋_GB2312" w:cs="Times New Roman"/>
          <w:sz w:val="32"/>
          <w:szCs w:val="32"/>
        </w:rPr>
      </w:pPr>
    </w:p>
    <w:p w14:paraId="7B494CC8">
      <w:pPr>
        <w:pStyle w:val="13"/>
        <w:jc w:val="center"/>
        <w:rPr>
          <w:rFonts w:ascii="Times New Roman" w:hAnsi="Times New Roman" w:cs="Times New Roman"/>
          <w:sz w:val="72"/>
          <w:szCs w:val="72"/>
        </w:rPr>
      </w:pPr>
    </w:p>
    <w:p w14:paraId="4CD46A28">
      <w:pPr>
        <w:pStyle w:val="13"/>
        <w:jc w:val="center"/>
        <w:rPr>
          <w:rFonts w:ascii="Times New Roman" w:hAnsi="Times New Roman" w:cs="Times New Roman"/>
          <w:sz w:val="72"/>
          <w:szCs w:val="72"/>
        </w:rPr>
      </w:pPr>
    </w:p>
    <w:p w14:paraId="5899B08F">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C009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D25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C0C19">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BE26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AB888">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C6AB888">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7BC66A"/>
    <w:multiLevelType w:val="singleLevel"/>
    <w:tmpl w:val="B97BC66A"/>
    <w:lvl w:ilvl="0" w:tentative="0">
      <w:start w:val="10"/>
      <w:numFmt w:val="decimal"/>
      <w:suff w:val="nothing"/>
      <w:lvlText w:val="%1、"/>
      <w:lvlJc w:val="left"/>
    </w:lvl>
  </w:abstractNum>
  <w:abstractNum w:abstractNumId="1">
    <w:nsid w:val="F700EDED"/>
    <w:multiLevelType w:val="singleLevel"/>
    <w:tmpl w:val="F700EDED"/>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3411E7"/>
    <w:rsid w:val="09495FEF"/>
    <w:rsid w:val="0AE11AAD"/>
    <w:rsid w:val="1CE92ABB"/>
    <w:rsid w:val="1D97DEFF"/>
    <w:rsid w:val="1DFF72E5"/>
    <w:rsid w:val="1EFC6F07"/>
    <w:rsid w:val="2FDF85B8"/>
    <w:rsid w:val="2FFFEE04"/>
    <w:rsid w:val="320771EA"/>
    <w:rsid w:val="33925D96"/>
    <w:rsid w:val="34DF85B0"/>
    <w:rsid w:val="34F83874"/>
    <w:rsid w:val="36C95EC8"/>
    <w:rsid w:val="37402742"/>
    <w:rsid w:val="395E5707"/>
    <w:rsid w:val="3B8F36BC"/>
    <w:rsid w:val="3CD235BE"/>
    <w:rsid w:val="491FF225"/>
    <w:rsid w:val="4FFD214C"/>
    <w:rsid w:val="5777D4F5"/>
    <w:rsid w:val="57A92DF9"/>
    <w:rsid w:val="59CC52AE"/>
    <w:rsid w:val="59DD8326"/>
    <w:rsid w:val="5ABE17D2"/>
    <w:rsid w:val="5DEF592A"/>
    <w:rsid w:val="5EDB21BD"/>
    <w:rsid w:val="5FC6BB1E"/>
    <w:rsid w:val="5FF720F1"/>
    <w:rsid w:val="62BF00A6"/>
    <w:rsid w:val="671C36AF"/>
    <w:rsid w:val="67FF5C0B"/>
    <w:rsid w:val="68FB6810"/>
    <w:rsid w:val="6EFC0924"/>
    <w:rsid w:val="6FB74722"/>
    <w:rsid w:val="6FEF8B7E"/>
    <w:rsid w:val="71A6591B"/>
    <w:rsid w:val="737D59BA"/>
    <w:rsid w:val="77C37683"/>
    <w:rsid w:val="79D19834"/>
    <w:rsid w:val="79FF515B"/>
    <w:rsid w:val="7D1E3873"/>
    <w:rsid w:val="7E9E1962"/>
    <w:rsid w:val="7E9F11B4"/>
    <w:rsid w:val="7EAA64E6"/>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1337</Words>
  <Characters>1369</Characters>
  <Lines>69</Lines>
  <Paragraphs>19</Paragraphs>
  <TotalTime>0</TotalTime>
  <ScaleCrop>false</ScaleCrop>
  <LinksUpToDate>false</LinksUpToDate>
  <CharactersWithSpaces>1509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九月</cp:lastModifiedBy>
  <cp:lastPrinted>2024-08-08T18:20:00Z</cp:lastPrinted>
  <dcterms:modified xsi:type="dcterms:W3CDTF">2025-09-24T03:29:58Z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eyJoZGlkIjoiMTQ3NjcyZmViZGMxZDk3MWUzMTZkYjFlZDE0NzUwMjQiLCJ1c2VySWQiOiIzMjQyMjY2MzEifQ==</vt:lpwstr>
  </property>
</Properties>
</file>