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86B26A">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t>附件5</w:t>
      </w:r>
    </w:p>
    <w:p w14:paraId="0D2EDFFE">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0929C5D9">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20E81D27">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right="0" w:firstLine="1200" w:firstLineChars="300"/>
        <w:jc w:val="both"/>
        <w:textAlignment w:val="auto"/>
        <w:rPr>
          <w:rFonts w:hint="eastAsia" w:ascii="方正小标宋_GBK" w:hAnsi="方正小标宋_GBK" w:eastAsia="方正小标宋_GBK" w:cs="方正小标宋_GBK"/>
          <w:i w:val="0"/>
          <w:iCs w:val="0"/>
          <w:caps w:val="0"/>
          <w:color w:val="000000"/>
          <w:spacing w:val="0"/>
          <w:sz w:val="40"/>
          <w:szCs w:val="40"/>
          <w:shd w:val="clear" w:fill="FFFFFF"/>
          <w:lang w:val="en-US" w:eastAsia="zh-CN"/>
        </w:rPr>
      </w:pPr>
      <w:r>
        <w:rPr>
          <w:rFonts w:hint="eastAsia" w:ascii="方正小标宋_GBK" w:hAnsi="方正小标宋_GBK" w:eastAsia="方正小标宋_GBK" w:cs="方正小标宋_GBK"/>
          <w:i w:val="0"/>
          <w:iCs w:val="0"/>
          <w:caps w:val="0"/>
          <w:color w:val="000000"/>
          <w:spacing w:val="0"/>
          <w:sz w:val="40"/>
          <w:szCs w:val="40"/>
          <w:shd w:val="clear" w:fill="FFFFFF"/>
          <w:lang w:val="en-US" w:eastAsia="zh-CN"/>
        </w:rPr>
        <w:t>2024年度怀化市中心血站整体支出</w:t>
      </w:r>
    </w:p>
    <w:p w14:paraId="4711A0D8">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right="0" w:firstLine="2800" w:firstLineChars="700"/>
        <w:jc w:val="both"/>
        <w:textAlignment w:val="auto"/>
        <w:rPr>
          <w:rFonts w:hint="eastAsia" w:ascii="方正小标宋_GBK" w:hAnsi="方正小标宋_GBK" w:eastAsia="方正小标宋_GBK" w:cs="方正小标宋_GBK"/>
          <w:i w:val="0"/>
          <w:iCs w:val="0"/>
          <w:caps w:val="0"/>
          <w:color w:val="000000"/>
          <w:spacing w:val="0"/>
          <w:sz w:val="40"/>
          <w:szCs w:val="40"/>
          <w:shd w:val="clear" w:fill="FFFFFF"/>
          <w:lang w:val="en-US" w:eastAsia="zh-CN"/>
        </w:rPr>
      </w:pPr>
    </w:p>
    <w:p w14:paraId="60B64BD7">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right="0" w:firstLine="2800" w:firstLineChars="700"/>
        <w:jc w:val="both"/>
        <w:textAlignment w:val="auto"/>
        <w:rPr>
          <w:rFonts w:hint="eastAsia" w:ascii="方正小标宋_GBK" w:hAnsi="方正小标宋_GBK" w:eastAsia="方正小标宋_GBK" w:cs="方正小标宋_GBK"/>
          <w:i w:val="0"/>
          <w:iCs w:val="0"/>
          <w:caps w:val="0"/>
          <w:color w:val="000000"/>
          <w:spacing w:val="0"/>
          <w:sz w:val="40"/>
          <w:szCs w:val="40"/>
          <w:shd w:val="clear" w:fill="FFFFFF"/>
          <w:lang w:val="en-US" w:eastAsia="zh-CN"/>
        </w:rPr>
      </w:pPr>
      <w:r>
        <w:rPr>
          <w:rFonts w:hint="eastAsia" w:ascii="方正小标宋_GBK" w:hAnsi="方正小标宋_GBK" w:eastAsia="方正小标宋_GBK" w:cs="方正小标宋_GBK"/>
          <w:i w:val="0"/>
          <w:iCs w:val="0"/>
          <w:caps w:val="0"/>
          <w:color w:val="000000"/>
          <w:spacing w:val="0"/>
          <w:sz w:val="40"/>
          <w:szCs w:val="40"/>
          <w:shd w:val="clear" w:fill="FFFFFF"/>
          <w:lang w:val="en-US" w:eastAsia="zh-CN"/>
        </w:rPr>
        <w:t>绩效自评报告</w:t>
      </w:r>
    </w:p>
    <w:p w14:paraId="2D2CA719">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right="0" w:firstLine="2800" w:firstLineChars="700"/>
        <w:jc w:val="both"/>
        <w:textAlignment w:val="auto"/>
        <w:rPr>
          <w:rFonts w:hint="eastAsia" w:ascii="方正小标宋_GBK" w:hAnsi="方正小标宋_GBK" w:eastAsia="方正小标宋_GBK" w:cs="方正小标宋_GBK"/>
          <w:i w:val="0"/>
          <w:iCs w:val="0"/>
          <w:caps w:val="0"/>
          <w:color w:val="000000"/>
          <w:spacing w:val="0"/>
          <w:sz w:val="40"/>
          <w:szCs w:val="40"/>
          <w:shd w:val="clear" w:fill="FFFFFF"/>
          <w:lang w:val="en-US" w:eastAsia="zh-CN"/>
        </w:rPr>
      </w:pPr>
    </w:p>
    <w:p w14:paraId="013CE5CB">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7628B3AE">
      <w:pPr>
        <w:pStyle w:val="2"/>
        <w:rPr>
          <w:rFonts w:hint="default"/>
          <w:lang w:val="en-US" w:eastAsia="zh-CN"/>
        </w:rPr>
      </w:pPr>
    </w:p>
    <w:p w14:paraId="3FD2D159">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055A8D72">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2F898A6F">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6F17E5A6">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0A535CD1">
      <w:pPr>
        <w:keepNext w:val="0"/>
        <w:keepLines w:val="0"/>
        <w:pageBreakBefore w:val="0"/>
        <w:widowControl w:val="0"/>
        <w:kinsoku/>
        <w:wordWrap/>
        <w:overflowPunct/>
        <w:topLinePunct w:val="0"/>
        <w:autoSpaceDE/>
        <w:autoSpaceDN/>
        <w:bidi w:val="0"/>
        <w:adjustRightInd/>
        <w:snapToGrid w:val="0"/>
        <w:spacing w:line="480" w:lineRule="auto"/>
        <w:ind w:firstLine="640" w:firstLineChars="200"/>
        <w:textAlignment w:val="auto"/>
        <w:rPr>
          <w:rFonts w:hint="default" w:ascii="方正黑体_GBK" w:hAnsi="方正黑体_GBK" w:eastAsia="方正黑体_GBK" w:cs="方正黑体_GBK"/>
          <w:b w:val="0"/>
          <w:bCs w:val="0"/>
          <w:color w:val="auto"/>
          <w:sz w:val="32"/>
          <w:szCs w:val="32"/>
          <w:highlight w:val="none"/>
          <w:lang w:val="en-US" w:eastAsia="zh-CN"/>
        </w:rPr>
      </w:pPr>
    </w:p>
    <w:p w14:paraId="75B64CDE">
      <w:pPr>
        <w:keepNext w:val="0"/>
        <w:keepLines w:val="0"/>
        <w:pageBreakBefore w:val="0"/>
        <w:widowControl w:val="0"/>
        <w:kinsoku/>
        <w:wordWrap/>
        <w:overflowPunct/>
        <w:topLinePunct w:val="0"/>
        <w:autoSpaceDE/>
        <w:autoSpaceDN/>
        <w:bidi w:val="0"/>
        <w:adjustRightInd/>
        <w:snapToGrid w:val="0"/>
        <w:spacing w:line="480" w:lineRule="auto"/>
        <w:ind w:firstLine="1920" w:firstLineChars="600"/>
        <w:textAlignment w:val="auto"/>
        <w:rPr>
          <w:rFonts w:hint="eastAsia" w:ascii="方正黑体_GBK" w:hAnsi="方正黑体_GBK" w:eastAsia="方正黑体_GBK" w:cs="方正黑体_GBK"/>
          <w:b w:val="0"/>
          <w:bCs w:val="0"/>
          <w:color w:val="auto"/>
          <w:sz w:val="32"/>
          <w:szCs w:val="32"/>
          <w:highlight w:val="none"/>
          <w:lang w:val="en-US" w:eastAsia="zh-CN"/>
        </w:rPr>
      </w:pPr>
    </w:p>
    <w:p w14:paraId="2E46FBA4">
      <w:pPr>
        <w:keepNext w:val="0"/>
        <w:keepLines w:val="0"/>
        <w:pageBreakBefore w:val="0"/>
        <w:widowControl w:val="0"/>
        <w:kinsoku/>
        <w:wordWrap/>
        <w:overflowPunct/>
        <w:topLinePunct w:val="0"/>
        <w:autoSpaceDE/>
        <w:autoSpaceDN/>
        <w:bidi w:val="0"/>
        <w:adjustRightInd/>
        <w:snapToGrid w:val="0"/>
        <w:spacing w:line="480" w:lineRule="auto"/>
        <w:ind w:firstLine="1920" w:firstLineChars="600"/>
        <w:textAlignment w:val="auto"/>
        <w:rPr>
          <w:rFonts w:hint="default" w:ascii="方正黑体_GBK" w:hAnsi="方正黑体_GBK" w:eastAsia="方正黑体_GBK" w:cs="方正黑体_GBK"/>
          <w:b w:val="0"/>
          <w:bCs w:val="0"/>
          <w:color w:val="auto"/>
          <w:sz w:val="32"/>
          <w:szCs w:val="32"/>
          <w:highlight w:val="none"/>
          <w:lang w:val="en-US" w:eastAsia="zh-CN"/>
        </w:rPr>
      </w:pPr>
      <w:r>
        <w:rPr>
          <w:rFonts w:hint="eastAsia" w:ascii="方正黑体_GBK" w:hAnsi="方正黑体_GBK" w:eastAsia="方正黑体_GBK" w:cs="方正黑体_GBK"/>
          <w:b w:val="0"/>
          <w:bCs w:val="0"/>
          <w:color w:val="auto"/>
          <w:sz w:val="32"/>
          <w:szCs w:val="32"/>
          <w:highlight w:val="none"/>
          <w:lang w:val="en-US" w:eastAsia="zh-CN"/>
        </w:rPr>
        <w:t>单位负责人：</w:t>
      </w:r>
      <w:r>
        <w:rPr>
          <w:rFonts w:hint="eastAsia" w:ascii="方正黑体_GBK" w:hAnsi="方正黑体_GBK" w:eastAsia="方正黑体_GBK" w:cs="方正黑体_GBK"/>
          <w:b w:val="0"/>
          <w:bCs w:val="0"/>
          <w:color w:val="auto"/>
          <w:sz w:val="32"/>
          <w:szCs w:val="32"/>
          <w:highlight w:val="none"/>
          <w:u w:val="single"/>
          <w:lang w:val="en-US" w:eastAsia="zh-CN"/>
        </w:rPr>
        <w:t xml:space="preserve">                </w:t>
      </w:r>
    </w:p>
    <w:p w14:paraId="0140C25F">
      <w:pPr>
        <w:pStyle w:val="2"/>
        <w:keepNext w:val="0"/>
        <w:keepLines w:val="0"/>
        <w:pageBreakBefore w:val="0"/>
        <w:widowControl w:val="0"/>
        <w:kinsoku/>
        <w:wordWrap/>
        <w:overflowPunct/>
        <w:topLinePunct w:val="0"/>
        <w:autoSpaceDE/>
        <w:autoSpaceDN/>
        <w:bidi w:val="0"/>
        <w:adjustRightInd/>
        <w:spacing w:after="0" w:line="480" w:lineRule="auto"/>
        <w:ind w:left="0" w:leftChars="0" w:firstLine="1920" w:firstLineChars="600"/>
        <w:textAlignment w:val="auto"/>
        <w:rPr>
          <w:rFonts w:hint="default" w:ascii="方正黑体_GBK" w:hAnsi="方正黑体_GBK" w:eastAsia="方正黑体_GBK" w:cs="方正黑体_GBK"/>
          <w:b w:val="0"/>
          <w:bCs w:val="0"/>
          <w:color w:val="auto"/>
          <w:sz w:val="32"/>
          <w:szCs w:val="32"/>
          <w:highlight w:val="none"/>
          <w:lang w:val="en-US" w:eastAsia="zh-CN"/>
        </w:rPr>
      </w:pPr>
      <w:r>
        <w:rPr>
          <w:rFonts w:hint="eastAsia" w:ascii="方正黑体_GBK" w:hAnsi="方正黑体_GBK" w:eastAsia="方正黑体_GBK" w:cs="方正黑体_GBK"/>
          <w:b w:val="0"/>
          <w:bCs w:val="0"/>
          <w:color w:val="auto"/>
          <w:sz w:val="32"/>
          <w:szCs w:val="32"/>
          <w:highlight w:val="none"/>
          <w:lang w:val="en-US" w:eastAsia="zh-CN"/>
        </w:rPr>
        <w:t>分管领导：</w:t>
      </w:r>
      <w:r>
        <w:rPr>
          <w:rFonts w:hint="eastAsia" w:ascii="方正黑体_GBK" w:hAnsi="方正黑体_GBK" w:eastAsia="方正黑体_GBK" w:cs="方正黑体_GBK"/>
          <w:b w:val="0"/>
          <w:bCs w:val="0"/>
          <w:color w:val="auto"/>
          <w:sz w:val="32"/>
          <w:szCs w:val="32"/>
          <w:highlight w:val="none"/>
          <w:u w:val="single"/>
          <w:lang w:val="en-US" w:eastAsia="zh-CN"/>
        </w:rPr>
        <w:t xml:space="preserve">                  </w:t>
      </w:r>
    </w:p>
    <w:p w14:paraId="7D31B4FA">
      <w:pPr>
        <w:pStyle w:val="4"/>
        <w:keepNext w:val="0"/>
        <w:keepLines w:val="0"/>
        <w:pageBreakBefore w:val="0"/>
        <w:widowControl w:val="0"/>
        <w:kinsoku/>
        <w:wordWrap/>
        <w:overflowPunct/>
        <w:topLinePunct w:val="0"/>
        <w:autoSpaceDE/>
        <w:autoSpaceDN/>
        <w:bidi w:val="0"/>
        <w:adjustRightInd/>
        <w:spacing w:after="0" w:line="480" w:lineRule="auto"/>
        <w:ind w:left="0" w:leftChars="0" w:firstLine="1920" w:firstLineChars="600"/>
        <w:textAlignment w:val="auto"/>
        <w:rPr>
          <w:rFonts w:hint="default"/>
          <w:b w:val="0"/>
          <w:bCs w:val="0"/>
          <w:lang w:val="en-US" w:eastAsia="zh-CN"/>
        </w:rPr>
      </w:pPr>
      <w:r>
        <w:rPr>
          <w:rFonts w:hint="eastAsia" w:ascii="方正黑体_GBK" w:hAnsi="方正黑体_GBK" w:eastAsia="方正黑体_GBK" w:cs="方正黑体_GBK"/>
          <w:b w:val="0"/>
          <w:bCs w:val="0"/>
          <w:color w:val="auto"/>
          <w:sz w:val="32"/>
          <w:szCs w:val="32"/>
          <w:highlight w:val="none"/>
          <w:lang w:val="en-US" w:eastAsia="zh-CN"/>
        </w:rPr>
        <w:t>填 报 人：</w:t>
      </w:r>
      <w:r>
        <w:rPr>
          <w:rFonts w:hint="eastAsia" w:ascii="方正黑体_GBK" w:hAnsi="方正黑体_GBK" w:eastAsia="方正黑体_GBK" w:cs="方正黑体_GBK"/>
          <w:b w:val="0"/>
          <w:bCs w:val="0"/>
          <w:color w:val="auto"/>
          <w:sz w:val="32"/>
          <w:szCs w:val="32"/>
          <w:highlight w:val="none"/>
          <w:u w:val="single"/>
          <w:lang w:val="en-US" w:eastAsia="zh-CN"/>
        </w:rPr>
        <w:t xml:space="preserve">                  </w:t>
      </w:r>
    </w:p>
    <w:p w14:paraId="2112E7D7">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4F144999">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2EC54C8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黑体_GBK" w:hAnsi="方正黑体_GBK" w:eastAsia="方正黑体_GBK" w:cs="方正黑体_GBK"/>
          <w:b/>
          <w:bCs/>
          <w:color w:val="auto"/>
          <w:sz w:val="32"/>
          <w:szCs w:val="32"/>
          <w:highlight w:val="none"/>
          <w:lang w:val="en-US" w:eastAsia="zh-CN"/>
        </w:rPr>
      </w:pPr>
      <w:r>
        <w:rPr>
          <w:rFonts w:hint="eastAsia" w:ascii="方正黑体_GBK" w:hAnsi="方正黑体_GBK" w:eastAsia="方正黑体_GBK" w:cs="方正黑体_GBK"/>
          <w:b/>
          <w:bCs/>
          <w:color w:val="auto"/>
          <w:sz w:val="32"/>
          <w:szCs w:val="32"/>
          <w:highlight w:val="none"/>
          <w:lang w:val="en-US" w:eastAsia="zh-CN"/>
        </w:rPr>
        <w:t xml:space="preserve">   </w:t>
      </w:r>
    </w:p>
    <w:p w14:paraId="66037E04">
      <w:pPr>
        <w:keepNext w:val="0"/>
        <w:keepLines w:val="0"/>
        <w:pageBreakBefore w:val="0"/>
        <w:widowControl w:val="0"/>
        <w:kinsoku/>
        <w:wordWrap/>
        <w:overflowPunct/>
        <w:topLinePunct w:val="0"/>
        <w:autoSpaceDE/>
        <w:autoSpaceDN/>
        <w:bidi w:val="0"/>
        <w:adjustRightInd/>
        <w:snapToGrid w:val="0"/>
        <w:spacing w:line="520" w:lineRule="exact"/>
        <w:jc w:val="center"/>
        <w:textAlignment w:val="auto"/>
        <w:rPr>
          <w:rFonts w:hint="eastAsia" w:ascii="方正黑体_GBK" w:hAnsi="方正黑体_GBK" w:eastAsia="方正黑体_GBK" w:cs="方正黑体_GBK"/>
          <w:b/>
          <w:bCs/>
          <w:color w:val="auto"/>
          <w:sz w:val="32"/>
          <w:szCs w:val="32"/>
          <w:highlight w:val="none"/>
          <w:lang w:val="en-US" w:eastAsia="zh-CN"/>
        </w:rPr>
      </w:pPr>
      <w:r>
        <w:rPr>
          <w:rFonts w:hint="eastAsia" w:ascii="方正黑体_GBK" w:hAnsi="方正黑体_GBK" w:eastAsia="方正黑体_GBK" w:cs="方正黑体_GBK"/>
          <w:b/>
          <w:bCs/>
          <w:color w:val="auto"/>
          <w:sz w:val="32"/>
          <w:szCs w:val="32"/>
          <w:highlight w:val="none"/>
          <w:lang w:val="en-US" w:eastAsia="zh-CN"/>
        </w:rPr>
        <w:t>单位名称（盖章）：</w:t>
      </w:r>
    </w:p>
    <w:p w14:paraId="0046B6E5">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eastAsia" w:ascii="方正黑体_GBK" w:hAnsi="方正黑体_GBK" w:eastAsia="方正黑体_GBK" w:cs="方正黑体_GBK"/>
          <w:b w:val="0"/>
          <w:bCs w:val="0"/>
          <w:color w:val="auto"/>
          <w:sz w:val="32"/>
          <w:szCs w:val="32"/>
          <w:highlight w:val="none"/>
          <w:lang w:val="en-US" w:eastAsia="zh-CN"/>
        </w:rPr>
      </w:pPr>
      <w:r>
        <w:rPr>
          <w:rFonts w:hint="eastAsia" w:ascii="方正黑体_GBK" w:hAnsi="方正黑体_GBK" w:eastAsia="方正黑体_GBK" w:cs="方正黑体_GBK"/>
          <w:b/>
          <w:bCs/>
          <w:color w:val="auto"/>
          <w:sz w:val="32"/>
          <w:szCs w:val="32"/>
          <w:highlight w:val="none"/>
          <w:lang w:val="en-US" w:eastAsia="zh-CN"/>
        </w:rPr>
        <w:t xml:space="preserve">                  </w:t>
      </w:r>
      <w:r>
        <w:rPr>
          <w:rFonts w:hint="eastAsia" w:ascii="方正黑体_GBK" w:hAnsi="方正黑体_GBK" w:eastAsia="方正黑体_GBK" w:cs="方正黑体_GBK"/>
          <w:b w:val="0"/>
          <w:bCs w:val="0"/>
          <w:color w:val="auto"/>
          <w:sz w:val="32"/>
          <w:szCs w:val="32"/>
          <w:highlight w:val="none"/>
          <w:lang w:val="en-US" w:eastAsia="zh-CN"/>
        </w:rPr>
        <w:t xml:space="preserve">   </w:t>
      </w:r>
    </w:p>
    <w:p w14:paraId="71AD3DD1">
      <w:pPr>
        <w:keepNext w:val="0"/>
        <w:keepLines w:val="0"/>
        <w:pageBreakBefore w:val="0"/>
        <w:widowControl w:val="0"/>
        <w:kinsoku/>
        <w:wordWrap/>
        <w:overflowPunct/>
        <w:topLinePunct w:val="0"/>
        <w:autoSpaceDE/>
        <w:autoSpaceDN/>
        <w:bidi w:val="0"/>
        <w:adjustRightInd/>
        <w:snapToGrid w:val="0"/>
        <w:spacing w:line="520" w:lineRule="exact"/>
        <w:ind w:firstLine="2880" w:firstLineChars="900"/>
        <w:jc w:val="both"/>
        <w:textAlignment w:val="auto"/>
        <w:rPr>
          <w:rFonts w:hint="default" w:ascii="方正黑体_GBK" w:hAnsi="方正黑体_GBK" w:eastAsia="方正黑体_GBK" w:cs="方正黑体_GBK"/>
          <w:b w:val="0"/>
          <w:bCs w:val="0"/>
          <w:color w:val="auto"/>
          <w:sz w:val="32"/>
          <w:szCs w:val="32"/>
          <w:highlight w:val="none"/>
          <w:lang w:val="en-US" w:eastAsia="zh-CN"/>
        </w:rPr>
      </w:pPr>
      <w:r>
        <w:rPr>
          <w:rFonts w:hint="eastAsia" w:ascii="方正黑体_GBK" w:hAnsi="方正黑体_GBK" w:eastAsia="方正黑体_GBK" w:cs="方正黑体_GBK"/>
          <w:b w:val="0"/>
          <w:bCs w:val="0"/>
          <w:color w:val="auto"/>
          <w:sz w:val="32"/>
          <w:szCs w:val="32"/>
          <w:highlight w:val="none"/>
          <w:lang w:val="en-US" w:eastAsia="zh-CN"/>
        </w:rPr>
        <w:t>2025年 6月 16日</w:t>
      </w:r>
    </w:p>
    <w:p w14:paraId="76243128">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方正黑体_GBK" w:hAnsi="方正黑体_GBK" w:eastAsia="方正黑体_GBK" w:cs="方正黑体_GBK"/>
          <w:b/>
          <w:bCs/>
          <w:color w:val="auto"/>
          <w:sz w:val="32"/>
          <w:szCs w:val="32"/>
          <w:highlight w:val="none"/>
          <w:lang w:val="en-US" w:eastAsia="zh-CN"/>
        </w:rPr>
      </w:pPr>
    </w:p>
    <w:p w14:paraId="7B67D907">
      <w:pPr>
        <w:pStyle w:val="2"/>
        <w:rPr>
          <w:rFonts w:hint="eastAsia"/>
          <w:lang w:val="en-US" w:eastAsia="zh-CN"/>
        </w:rPr>
      </w:pPr>
    </w:p>
    <w:p w14:paraId="5EB643DE">
      <w:pPr>
        <w:keepNext w:val="0"/>
        <w:keepLines w:val="0"/>
        <w:pageBreakBefore w:val="0"/>
        <w:widowControl w:val="0"/>
        <w:kinsoku/>
        <w:wordWrap/>
        <w:overflowPunct/>
        <w:topLinePunct w:val="0"/>
        <w:autoSpaceDE/>
        <w:autoSpaceDN/>
        <w:bidi w:val="0"/>
        <w:adjustRightInd/>
        <w:snapToGrid w:val="0"/>
        <w:spacing w:line="520" w:lineRule="exact"/>
        <w:jc w:val="center"/>
        <w:textAlignment w:val="auto"/>
        <w:rPr>
          <w:rFonts w:hint="default" w:ascii="方正小标宋_GBK" w:hAnsi="方正小标宋_GBK" w:eastAsia="方正小标宋_GBK" w:cs="方正小标宋_GBK"/>
          <w:i w:val="0"/>
          <w:iCs w:val="0"/>
          <w:caps w:val="0"/>
          <w:color w:val="000000"/>
          <w:spacing w:val="0"/>
          <w:kern w:val="0"/>
          <w:sz w:val="40"/>
          <w:szCs w:val="40"/>
          <w:shd w:val="clear" w:fill="FFFFFF"/>
          <w:lang w:val="en-US" w:eastAsia="zh-CN" w:bidi="ar"/>
        </w:rPr>
      </w:pPr>
      <w:r>
        <w:rPr>
          <w:rFonts w:hint="eastAsia" w:ascii="方正小标宋_GBK" w:hAnsi="方正小标宋_GBK" w:eastAsia="方正小标宋_GBK" w:cs="方正小标宋_GBK"/>
          <w:i w:val="0"/>
          <w:iCs w:val="0"/>
          <w:caps w:val="0"/>
          <w:color w:val="000000"/>
          <w:spacing w:val="0"/>
          <w:kern w:val="0"/>
          <w:sz w:val="40"/>
          <w:szCs w:val="40"/>
          <w:shd w:val="clear" w:fill="FFFFFF"/>
          <w:lang w:val="en-US" w:eastAsia="zh-CN" w:bidi="ar"/>
        </w:rPr>
        <w:t>2024</w:t>
      </w:r>
      <w:r>
        <w:rPr>
          <w:rFonts w:hint="default" w:ascii="方正小标宋_GBK" w:hAnsi="方正小标宋_GBK" w:eastAsia="方正小标宋_GBK" w:cs="方正小标宋_GBK"/>
          <w:i w:val="0"/>
          <w:iCs w:val="0"/>
          <w:caps w:val="0"/>
          <w:color w:val="000000"/>
          <w:spacing w:val="0"/>
          <w:kern w:val="0"/>
          <w:sz w:val="40"/>
          <w:szCs w:val="40"/>
          <w:shd w:val="clear" w:fill="FFFFFF"/>
          <w:lang w:val="en-US" w:eastAsia="zh-CN" w:bidi="ar"/>
        </w:rPr>
        <w:t>年度</w:t>
      </w:r>
      <w:r>
        <w:rPr>
          <w:rFonts w:hint="eastAsia" w:ascii="方正小标宋_GBK" w:hAnsi="方正小标宋_GBK" w:eastAsia="方正小标宋_GBK" w:cs="方正小标宋_GBK"/>
          <w:i w:val="0"/>
          <w:iCs w:val="0"/>
          <w:caps w:val="0"/>
          <w:color w:val="000000"/>
          <w:spacing w:val="0"/>
          <w:kern w:val="0"/>
          <w:sz w:val="40"/>
          <w:szCs w:val="40"/>
          <w:shd w:val="clear" w:fill="FFFFFF"/>
          <w:lang w:val="en-US" w:eastAsia="zh-CN" w:bidi="ar"/>
        </w:rPr>
        <w:t>怀化市中心血站整体</w:t>
      </w:r>
      <w:r>
        <w:rPr>
          <w:rFonts w:hint="default" w:ascii="方正小标宋_GBK" w:hAnsi="方正小标宋_GBK" w:eastAsia="方正小标宋_GBK" w:cs="方正小标宋_GBK"/>
          <w:i w:val="0"/>
          <w:iCs w:val="0"/>
          <w:caps w:val="0"/>
          <w:color w:val="000000"/>
          <w:spacing w:val="0"/>
          <w:kern w:val="0"/>
          <w:sz w:val="40"/>
          <w:szCs w:val="40"/>
          <w:shd w:val="clear" w:fill="FFFFFF"/>
          <w:lang w:val="en-US" w:eastAsia="zh-CN" w:bidi="ar"/>
        </w:rPr>
        <w:t>支出</w:t>
      </w:r>
    </w:p>
    <w:p w14:paraId="4DF0E4FD">
      <w:pPr>
        <w:keepNext w:val="0"/>
        <w:keepLines w:val="0"/>
        <w:pageBreakBefore w:val="0"/>
        <w:widowControl w:val="0"/>
        <w:kinsoku/>
        <w:wordWrap/>
        <w:overflowPunct/>
        <w:topLinePunct w:val="0"/>
        <w:autoSpaceDE/>
        <w:autoSpaceDN/>
        <w:bidi w:val="0"/>
        <w:adjustRightInd/>
        <w:snapToGrid w:val="0"/>
        <w:spacing w:line="520" w:lineRule="exact"/>
        <w:jc w:val="center"/>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小标宋_GBK" w:hAnsi="方正小标宋_GBK" w:eastAsia="方正小标宋_GBK" w:cs="方正小标宋_GBK"/>
          <w:i w:val="0"/>
          <w:iCs w:val="0"/>
          <w:caps w:val="0"/>
          <w:color w:val="000000"/>
          <w:spacing w:val="0"/>
          <w:kern w:val="0"/>
          <w:sz w:val="40"/>
          <w:szCs w:val="40"/>
          <w:shd w:val="clear" w:fill="FFFFFF"/>
          <w:lang w:val="en-US" w:eastAsia="zh-CN" w:bidi="ar"/>
        </w:rPr>
        <w:t>绩效自评报告</w:t>
      </w:r>
    </w:p>
    <w:p w14:paraId="54659815">
      <w:pPr>
        <w:keepNext w:val="0"/>
        <w:keepLines w:val="0"/>
        <w:pageBreakBefore w:val="0"/>
        <w:widowControl w:val="0"/>
        <w:kinsoku/>
        <w:wordWrap/>
        <w:overflowPunct/>
        <w:topLinePunct w:val="0"/>
        <w:autoSpaceDE/>
        <w:autoSpaceDN/>
        <w:bidi w:val="0"/>
        <w:adjustRightInd/>
        <w:snapToGrid w:val="0"/>
        <w:spacing w:line="560" w:lineRule="exact"/>
        <w:ind w:firstLine="960" w:firstLineChars="300"/>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一、部门概况</w:t>
      </w:r>
    </w:p>
    <w:p w14:paraId="75E50BE5">
      <w:pPr>
        <w:pStyle w:val="4"/>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firstLine="640" w:firstLineChars="200"/>
        <w:textAlignment w:val="auto"/>
        <w:rPr>
          <w:rFonts w:hint="eastAsia" w:ascii="Times New Roman Regular" w:hAnsi="Times New Roman Regular" w:eastAsia="仿宋_GB2312" w:cs="Times New Roman Regular"/>
          <w:color w:val="auto"/>
          <w:kern w:val="2"/>
          <w:sz w:val="32"/>
          <w:szCs w:val="32"/>
          <w:highlight w:val="none"/>
          <w:lang w:val="en-US" w:eastAsia="zh-CN" w:bidi="ar-SA"/>
        </w:rPr>
      </w:pPr>
      <w:r>
        <w:rPr>
          <w:rFonts w:hint="eastAsia" w:ascii="Times New Roman Regular" w:hAnsi="Times New Roman Regular" w:eastAsia="仿宋_GB2312" w:cs="Times New Roman Regular"/>
          <w:color w:val="auto"/>
          <w:sz w:val="32"/>
          <w:szCs w:val="32"/>
          <w:highlight w:val="none"/>
          <w:lang w:val="en-US" w:eastAsia="zh-CN"/>
        </w:rPr>
        <w:t>（一</w:t>
      </w:r>
      <w:r>
        <w:rPr>
          <w:rFonts w:hint="eastAsia" w:ascii="Times New Roman Regular" w:hAnsi="Times New Roman Regular" w:eastAsia="仿宋_GB2312" w:cs="Times New Roman Regular"/>
          <w:color w:val="auto"/>
          <w:kern w:val="2"/>
          <w:sz w:val="32"/>
          <w:szCs w:val="32"/>
          <w:highlight w:val="none"/>
          <w:lang w:val="en-US" w:eastAsia="zh-CN" w:bidi="ar-SA"/>
        </w:rPr>
        <w:t>）部门（单位）基本情况。</w:t>
      </w:r>
    </w:p>
    <w:p w14:paraId="672384D4">
      <w:pPr>
        <w:pStyle w:val="4"/>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firstLine="640" w:firstLineChars="200"/>
        <w:textAlignment w:val="auto"/>
        <w:rPr>
          <w:rFonts w:hint="eastAsia" w:ascii="Times New Roman Regular" w:hAnsi="Times New Roman Regular" w:eastAsia="仿宋_GB2312" w:cs="Times New Roman Regular"/>
          <w:color w:val="auto"/>
          <w:kern w:val="2"/>
          <w:sz w:val="32"/>
          <w:szCs w:val="32"/>
          <w:highlight w:val="none"/>
          <w:lang w:val="en-US" w:eastAsia="zh-CN" w:bidi="ar-SA"/>
        </w:rPr>
      </w:pPr>
      <w:r>
        <w:rPr>
          <w:rFonts w:hint="eastAsia" w:ascii="Times New Roman Regular" w:hAnsi="Times New Roman Regular" w:eastAsia="仿宋_GB2312" w:cs="Times New Roman Regular"/>
          <w:color w:val="auto"/>
          <w:kern w:val="2"/>
          <w:sz w:val="32"/>
          <w:szCs w:val="32"/>
          <w:highlight w:val="none"/>
          <w:lang w:val="en-US" w:eastAsia="zh-CN" w:bidi="ar-SA"/>
        </w:rPr>
        <w:t>怀化市中心血站作为怀化市卫生健康委员会的二级部门预算单位，设置11个内设工作机构，分别为：办公室、人力资源部、财务部、后勤保障部、业务综合部、献血服务一部、献血服务二部、血液制备部、血液供应部、血液检验部、质量管理部。</w:t>
      </w:r>
    </w:p>
    <w:p w14:paraId="27A023E7">
      <w:pPr>
        <w:pStyle w:val="4"/>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firstLine="640" w:firstLineChars="200"/>
        <w:textAlignment w:val="auto"/>
        <w:rPr>
          <w:rFonts w:hint="eastAsia" w:ascii="Times New Roman Regular" w:hAnsi="Times New Roman Regular" w:eastAsia="仿宋_GB2312" w:cs="Times New Roman Regular"/>
          <w:color w:val="auto"/>
          <w:kern w:val="2"/>
          <w:sz w:val="32"/>
          <w:szCs w:val="32"/>
          <w:highlight w:val="none"/>
          <w:lang w:val="en-US" w:eastAsia="zh-CN" w:bidi="ar-SA"/>
        </w:rPr>
      </w:pPr>
      <w:r>
        <w:rPr>
          <w:rFonts w:hint="eastAsia" w:ascii="Times New Roman Regular" w:hAnsi="Times New Roman Regular" w:eastAsia="仿宋_GB2312" w:cs="Times New Roman Regular"/>
          <w:color w:val="auto"/>
          <w:kern w:val="2"/>
          <w:sz w:val="32"/>
          <w:szCs w:val="32"/>
          <w:highlight w:val="none"/>
          <w:lang w:val="en-US" w:eastAsia="zh-CN" w:bidi="ar-SA"/>
        </w:rPr>
        <w:t>（二）部门（单位）整体支出规模、使用方向和主要内容、涉及范围等。</w:t>
      </w:r>
    </w:p>
    <w:p w14:paraId="15723185">
      <w:pPr>
        <w:pStyle w:val="4"/>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firstLine="640" w:firstLineChars="200"/>
        <w:textAlignment w:val="auto"/>
        <w:rPr>
          <w:rFonts w:hint="eastAsia" w:ascii="Times New Roman Regular" w:hAnsi="Times New Roman Regular" w:eastAsia="仿宋_GB2312" w:cs="Times New Roman Regular"/>
          <w:color w:val="auto"/>
          <w:kern w:val="2"/>
          <w:sz w:val="32"/>
          <w:szCs w:val="32"/>
          <w:highlight w:val="none"/>
          <w:lang w:val="en-US" w:eastAsia="zh-CN" w:bidi="ar-SA"/>
        </w:rPr>
      </w:pPr>
      <w:r>
        <w:rPr>
          <w:rFonts w:hint="eastAsia" w:ascii="Times New Roman Regular" w:hAnsi="Times New Roman Regular" w:eastAsia="仿宋_GB2312" w:cs="Times New Roman Regular"/>
          <w:color w:val="auto"/>
          <w:kern w:val="2"/>
          <w:sz w:val="32"/>
          <w:szCs w:val="32"/>
          <w:highlight w:val="none"/>
          <w:lang w:val="en-US" w:eastAsia="zh-CN" w:bidi="ar-SA"/>
        </w:rPr>
        <w:t>1.整体支出规模</w:t>
      </w:r>
    </w:p>
    <w:p w14:paraId="3DCEA48D">
      <w:pPr>
        <w:pStyle w:val="4"/>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firstLine="640" w:firstLineChars="200"/>
        <w:textAlignment w:val="auto"/>
        <w:rPr>
          <w:rFonts w:hint="eastAsia" w:ascii="Times New Roman Regular" w:hAnsi="Times New Roman Regular" w:eastAsia="仿宋_GB2312" w:cs="Times New Roman Regular"/>
          <w:color w:val="auto"/>
          <w:kern w:val="2"/>
          <w:sz w:val="32"/>
          <w:szCs w:val="32"/>
          <w:highlight w:val="none"/>
          <w:lang w:val="en-US" w:eastAsia="zh-CN" w:bidi="ar-SA"/>
        </w:rPr>
      </w:pPr>
      <w:r>
        <w:rPr>
          <w:rFonts w:hint="eastAsia" w:ascii="Times New Roman Regular" w:hAnsi="Times New Roman Regular" w:eastAsia="仿宋_GB2312" w:cs="Times New Roman Regular"/>
          <w:color w:val="auto"/>
          <w:kern w:val="2"/>
          <w:sz w:val="32"/>
          <w:szCs w:val="32"/>
          <w:highlight w:val="none"/>
          <w:lang w:val="en-US" w:eastAsia="zh-CN" w:bidi="ar-SA"/>
        </w:rPr>
        <w:t>2024年下达年初预算批复3306.27万元。其中，财政拨款支出1056.27万元，占比31.95%，事业支出2250.00万元，占比68.05%。2024年全年预算为3081.5万元，2024年实际支出3081.5万元，预算执行率100%。</w:t>
      </w:r>
    </w:p>
    <w:p w14:paraId="0A782CA2">
      <w:pPr>
        <w:pStyle w:val="4"/>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firstLine="640" w:firstLineChars="200"/>
        <w:textAlignment w:val="auto"/>
        <w:rPr>
          <w:rFonts w:hint="eastAsia" w:ascii="Times New Roman Regular" w:hAnsi="Times New Roman Regular" w:eastAsia="仿宋_GB2312" w:cs="Times New Roman Regular"/>
          <w:color w:val="auto"/>
          <w:kern w:val="2"/>
          <w:sz w:val="32"/>
          <w:szCs w:val="32"/>
          <w:highlight w:val="none"/>
          <w:lang w:val="en-US" w:eastAsia="zh-CN" w:bidi="ar-SA"/>
        </w:rPr>
      </w:pPr>
      <w:r>
        <w:rPr>
          <w:rFonts w:hint="eastAsia" w:ascii="Times New Roman Regular" w:hAnsi="Times New Roman Regular" w:eastAsia="仿宋_GB2312" w:cs="Times New Roman Regular"/>
          <w:color w:val="auto"/>
          <w:kern w:val="2"/>
          <w:sz w:val="32"/>
          <w:szCs w:val="32"/>
          <w:highlight w:val="none"/>
          <w:lang w:val="en-US" w:eastAsia="zh-CN" w:bidi="ar-SA"/>
        </w:rPr>
        <w:t>2.使用方向和主要内容及涉及范围</w:t>
      </w:r>
    </w:p>
    <w:p w14:paraId="25286DDC">
      <w:pPr>
        <w:pStyle w:val="4"/>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firstLine="640" w:firstLineChars="200"/>
        <w:textAlignment w:val="auto"/>
        <w:rPr>
          <w:rFonts w:hint="eastAsia" w:ascii="Times New Roman Regular" w:hAnsi="Times New Roman Regular" w:eastAsia="仿宋_GB2312" w:cs="Times New Roman Regular"/>
          <w:color w:val="auto"/>
          <w:kern w:val="2"/>
          <w:sz w:val="32"/>
          <w:szCs w:val="32"/>
          <w:highlight w:val="none"/>
          <w:lang w:val="en-US" w:eastAsia="zh-CN" w:bidi="ar-SA"/>
        </w:rPr>
      </w:pPr>
      <w:r>
        <w:rPr>
          <w:rFonts w:hint="eastAsia" w:ascii="Times New Roman Regular" w:hAnsi="Times New Roman Regular" w:eastAsia="仿宋_GB2312" w:cs="Times New Roman Regular"/>
          <w:color w:val="auto"/>
          <w:kern w:val="2"/>
          <w:sz w:val="32"/>
          <w:szCs w:val="32"/>
          <w:highlight w:val="none"/>
          <w:lang w:val="en-US" w:eastAsia="zh-CN" w:bidi="ar-SA"/>
        </w:rPr>
        <w:t>（1）人员经费：主要为在职人员工资、年度考核奖、社保、公积金和退休人员春节一次性生活补贴。2024年人员经费支出1293.47万元（占比41.98%），较上年增长4.59%，主要原因为本年通过公开招聘新进7人，退伍安置1人，退休1人，总人数增加7人，人员规模扩大。</w:t>
      </w:r>
    </w:p>
    <w:p w14:paraId="6764E97D">
      <w:pPr>
        <w:pStyle w:val="4"/>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firstLine="640" w:firstLineChars="200"/>
        <w:textAlignment w:val="auto"/>
        <w:rPr>
          <w:rFonts w:hint="eastAsia" w:ascii="Times New Roman Regular" w:hAnsi="Times New Roman Regular" w:eastAsia="仿宋_GB2312" w:cs="Times New Roman Regular"/>
          <w:color w:val="auto"/>
          <w:kern w:val="2"/>
          <w:sz w:val="32"/>
          <w:szCs w:val="32"/>
          <w:highlight w:val="none"/>
          <w:lang w:val="en-US" w:eastAsia="zh-CN" w:bidi="ar-SA"/>
        </w:rPr>
      </w:pPr>
      <w:r>
        <w:rPr>
          <w:rFonts w:hint="eastAsia" w:ascii="Times New Roman Regular" w:hAnsi="Times New Roman Regular" w:eastAsia="仿宋_GB2312" w:cs="Times New Roman Regular"/>
          <w:color w:val="auto"/>
          <w:kern w:val="2"/>
          <w:sz w:val="32"/>
          <w:szCs w:val="32"/>
          <w:highlight w:val="none"/>
          <w:lang w:val="en-US" w:eastAsia="zh-CN" w:bidi="ar-SA"/>
        </w:rPr>
        <w:t>（2）公用经费：主要为财政按照在编人员人数拨付的用于公用经费、福利费、工会经费等。公用经费支出105.94万元（占比3.44%），较上年下降3.38%，通过压缩非必要开支提升资金效率。</w:t>
      </w:r>
    </w:p>
    <w:p w14:paraId="2CDB6E7B">
      <w:pPr>
        <w:pStyle w:val="4"/>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firstLine="640" w:firstLineChars="200"/>
        <w:textAlignment w:val="auto"/>
        <w:rPr>
          <w:rFonts w:hint="eastAsia" w:ascii="Times New Roman Regular" w:hAnsi="Times New Roman Regular" w:eastAsia="仿宋_GB2312" w:cs="Times New Roman Regular"/>
          <w:color w:val="auto"/>
          <w:kern w:val="2"/>
          <w:sz w:val="32"/>
          <w:szCs w:val="32"/>
          <w:highlight w:val="none"/>
          <w:lang w:val="en-US" w:eastAsia="zh-CN" w:bidi="ar-SA"/>
        </w:rPr>
      </w:pPr>
      <w:r>
        <w:rPr>
          <w:rFonts w:hint="eastAsia" w:ascii="Times New Roman Regular" w:hAnsi="Times New Roman Regular" w:eastAsia="仿宋_GB2312" w:cs="Times New Roman Regular"/>
          <w:color w:val="auto"/>
          <w:kern w:val="2"/>
          <w:sz w:val="32"/>
          <w:szCs w:val="32"/>
          <w:highlight w:val="none"/>
          <w:lang w:val="en-US" w:eastAsia="zh-CN" w:bidi="ar-SA"/>
        </w:rPr>
        <w:t>（3）项目经费：项目经费支出</w:t>
      </w:r>
      <w:r>
        <w:rPr>
          <w:rFonts w:hint="default" w:ascii="Times New Roman Regular" w:hAnsi="Times New Roman Regular" w:eastAsia="仿宋_GB2312" w:cs="Times New Roman Regular"/>
          <w:color w:val="auto"/>
          <w:kern w:val="2"/>
          <w:sz w:val="32"/>
          <w:szCs w:val="32"/>
          <w:highlight w:val="none"/>
          <w:lang w:val="en-US" w:eastAsia="zh-CN" w:bidi="ar-SA"/>
        </w:rPr>
        <w:t>1682.09</w:t>
      </w:r>
      <w:r>
        <w:rPr>
          <w:rFonts w:hint="eastAsia" w:ascii="Times New Roman Regular" w:hAnsi="Times New Roman Regular" w:eastAsia="仿宋_GB2312" w:cs="Times New Roman Regular"/>
          <w:color w:val="auto"/>
          <w:kern w:val="2"/>
          <w:sz w:val="32"/>
          <w:szCs w:val="32"/>
          <w:highlight w:val="none"/>
          <w:lang w:val="en-US" w:eastAsia="zh-CN" w:bidi="ar-SA"/>
        </w:rPr>
        <w:t>万元（占比54.58%），主要包括：</w:t>
      </w:r>
    </w:p>
    <w:p w14:paraId="72C08338">
      <w:pPr>
        <w:pStyle w:val="4"/>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firstLine="640" w:firstLineChars="200"/>
        <w:textAlignment w:val="auto"/>
        <w:rPr>
          <w:rFonts w:hint="eastAsia" w:ascii="Times New Roman Regular" w:hAnsi="Times New Roman Regular" w:eastAsia="仿宋_GB2312" w:cs="Times New Roman Regular"/>
          <w:color w:val="auto"/>
          <w:kern w:val="2"/>
          <w:sz w:val="32"/>
          <w:szCs w:val="32"/>
          <w:highlight w:val="none"/>
          <w:lang w:val="en-US" w:eastAsia="zh-CN" w:bidi="ar-SA"/>
        </w:rPr>
      </w:pPr>
      <w:r>
        <w:rPr>
          <w:rFonts w:hint="default" w:ascii="Times New Roman Regular" w:hAnsi="Times New Roman Regular" w:eastAsia="仿宋_GB2312" w:cs="Times New Roman Regular"/>
          <w:color w:val="auto"/>
          <w:kern w:val="2"/>
          <w:sz w:val="32"/>
          <w:szCs w:val="32"/>
          <w:highlight w:val="none"/>
          <w:lang w:val="en-US" w:eastAsia="zh-CN" w:bidi="ar-SA"/>
        </w:rPr>
        <w:t>①</w:t>
      </w:r>
      <w:r>
        <w:rPr>
          <w:rFonts w:hint="eastAsia" w:ascii="Times New Roman Regular" w:hAnsi="Times New Roman Regular" w:eastAsia="仿宋_GB2312" w:cs="Times New Roman Regular"/>
          <w:color w:val="auto"/>
          <w:kern w:val="2"/>
          <w:sz w:val="32"/>
          <w:szCs w:val="32"/>
          <w:highlight w:val="none"/>
          <w:lang w:val="en-US" w:eastAsia="zh-CN" w:bidi="ar-SA"/>
        </w:rPr>
        <w:t>血液检测项目经费101万元（市本级财政拨入用于血液检测试剂的购买）。</w:t>
      </w:r>
    </w:p>
    <w:p w14:paraId="4D40CEEF">
      <w:pPr>
        <w:pStyle w:val="4"/>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firstLine="640" w:firstLineChars="200"/>
        <w:textAlignment w:val="auto"/>
        <w:rPr>
          <w:rFonts w:hint="eastAsia" w:ascii="Times New Roman Regular" w:hAnsi="Times New Roman Regular" w:eastAsia="仿宋_GB2312" w:cs="Times New Roman Regular"/>
          <w:color w:val="auto"/>
          <w:kern w:val="2"/>
          <w:sz w:val="32"/>
          <w:szCs w:val="32"/>
          <w:highlight w:val="none"/>
          <w:lang w:val="en-US" w:eastAsia="zh-CN" w:bidi="ar-SA"/>
        </w:rPr>
      </w:pPr>
      <w:r>
        <w:rPr>
          <w:rFonts w:hint="default" w:ascii="Times New Roman Regular" w:hAnsi="Times New Roman Regular" w:eastAsia="仿宋_GB2312" w:cs="Times New Roman Regular"/>
          <w:color w:val="auto"/>
          <w:kern w:val="2"/>
          <w:sz w:val="32"/>
          <w:szCs w:val="32"/>
          <w:highlight w:val="none"/>
          <w:lang w:val="en-US" w:eastAsia="zh-CN" w:bidi="ar-SA"/>
        </w:rPr>
        <w:t>②</w:t>
      </w:r>
      <w:r>
        <w:rPr>
          <w:rFonts w:hint="eastAsia" w:ascii="Times New Roman Regular" w:hAnsi="Times New Roman Regular" w:eastAsia="仿宋_GB2312" w:cs="Times New Roman Regular"/>
          <w:color w:val="auto"/>
          <w:kern w:val="2"/>
          <w:sz w:val="32"/>
          <w:szCs w:val="32"/>
          <w:highlight w:val="none"/>
          <w:lang w:val="en-US" w:eastAsia="zh-CN" w:bidi="ar-SA"/>
        </w:rPr>
        <w:t>献血者及其家属用血费用报销项目50万元（市本级财政拨入用于支付献血者及其亲属用血费用报销）。</w:t>
      </w:r>
    </w:p>
    <w:p w14:paraId="74AEEEDB">
      <w:pPr>
        <w:pStyle w:val="4"/>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firstLine="640" w:firstLineChars="200"/>
        <w:textAlignment w:val="auto"/>
        <w:rPr>
          <w:rFonts w:hint="eastAsia" w:ascii="Times New Roman Regular" w:hAnsi="Times New Roman Regular" w:eastAsia="仿宋_GB2312" w:cs="Times New Roman Regular"/>
          <w:color w:val="auto"/>
          <w:kern w:val="2"/>
          <w:sz w:val="32"/>
          <w:szCs w:val="32"/>
          <w:highlight w:val="none"/>
          <w:lang w:val="en-US" w:eastAsia="zh-CN" w:bidi="ar-SA"/>
        </w:rPr>
      </w:pPr>
      <w:r>
        <w:rPr>
          <w:rFonts w:hint="default" w:ascii="Times New Roman Regular" w:hAnsi="Times New Roman Regular" w:eastAsia="仿宋_GB2312" w:cs="Times New Roman Regular"/>
          <w:color w:val="auto"/>
          <w:kern w:val="2"/>
          <w:sz w:val="32"/>
          <w:szCs w:val="32"/>
          <w:highlight w:val="none"/>
          <w:lang w:val="en-US" w:eastAsia="zh-CN" w:bidi="ar-SA"/>
        </w:rPr>
        <w:t>③</w:t>
      </w:r>
      <w:r>
        <w:rPr>
          <w:rFonts w:hint="eastAsia" w:ascii="Times New Roman Regular" w:hAnsi="Times New Roman Regular" w:eastAsia="仿宋_GB2312" w:cs="Times New Roman Regular"/>
          <w:color w:val="auto"/>
          <w:kern w:val="2"/>
          <w:sz w:val="32"/>
          <w:szCs w:val="32"/>
          <w:highlight w:val="none"/>
          <w:lang w:val="en-US" w:eastAsia="zh-CN" w:bidi="ar-SA"/>
        </w:rPr>
        <w:t>血液核酸检测离心机等项目7.13万元（结转2021年市本级一般债券资金，用于支付血液核酸筛查系统质保金）。</w:t>
      </w:r>
    </w:p>
    <w:p w14:paraId="26E19179">
      <w:pPr>
        <w:pStyle w:val="4"/>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firstLine="640" w:firstLineChars="200"/>
        <w:textAlignment w:val="auto"/>
        <w:rPr>
          <w:rFonts w:hint="default" w:ascii="Times New Roman Regular" w:hAnsi="Times New Roman Regular" w:eastAsia="仿宋_GB2312" w:cs="Times New Roman Regular"/>
          <w:color w:val="auto"/>
          <w:kern w:val="2"/>
          <w:sz w:val="32"/>
          <w:szCs w:val="32"/>
          <w:highlight w:val="none"/>
          <w:lang w:val="en-US" w:eastAsia="zh-CN" w:bidi="ar-SA"/>
        </w:rPr>
      </w:pPr>
      <w:r>
        <w:rPr>
          <w:rFonts w:hint="eastAsia" w:ascii="Times New Roman Regular" w:hAnsi="Times New Roman Regular" w:eastAsia="仿宋_GB2312" w:cs="Times New Roman Regular"/>
          <w:color w:val="auto"/>
          <w:kern w:val="2"/>
          <w:sz w:val="32"/>
          <w:szCs w:val="32"/>
          <w:highlight w:val="none"/>
          <w:lang w:val="en-US" w:eastAsia="zh-CN" w:bidi="ar-SA"/>
        </w:rPr>
        <w:t>④房屋隐患安全整改专项经费10.36万元（结转2023年财政拨款专项资金，用于支付危房改造尾款）。</w:t>
      </w:r>
    </w:p>
    <w:p w14:paraId="32EB4C4D">
      <w:pPr>
        <w:pStyle w:val="4"/>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firstLine="640" w:firstLineChars="200"/>
        <w:textAlignment w:val="auto"/>
        <w:rPr>
          <w:rFonts w:hint="default" w:ascii="Times New Roman Regular" w:hAnsi="Times New Roman Regular" w:eastAsia="仿宋_GB2312" w:cs="Times New Roman Regular"/>
          <w:color w:val="auto"/>
          <w:kern w:val="2"/>
          <w:sz w:val="32"/>
          <w:szCs w:val="32"/>
          <w:highlight w:val="none"/>
          <w:lang w:val="en-US" w:eastAsia="zh-CN" w:bidi="ar-SA"/>
        </w:rPr>
      </w:pPr>
      <w:r>
        <w:rPr>
          <w:rFonts w:hint="eastAsia" w:ascii="Times New Roman Regular" w:hAnsi="Times New Roman Regular" w:eastAsia="仿宋_GB2312" w:cs="Times New Roman Regular"/>
          <w:color w:val="auto"/>
          <w:kern w:val="2"/>
          <w:sz w:val="32"/>
          <w:szCs w:val="32"/>
          <w:highlight w:val="none"/>
          <w:lang w:val="en-US" w:eastAsia="zh-CN" w:bidi="ar-SA"/>
        </w:rPr>
        <w:t>⑤中央重大传染病防控项目经费160.5万元（中央拨入专项资金，用于无偿献血宣传、实验室室间质评、核酸试剂和T淋巴试剂的购买）。</w:t>
      </w:r>
    </w:p>
    <w:p w14:paraId="1C17FF87">
      <w:pPr>
        <w:pStyle w:val="4"/>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firstLine="640" w:firstLineChars="200"/>
        <w:textAlignment w:val="auto"/>
        <w:rPr>
          <w:rFonts w:hint="eastAsia" w:ascii="Times New Roman Regular" w:hAnsi="Times New Roman Regular" w:eastAsia="仿宋_GB2312" w:cs="Times New Roman Regular"/>
          <w:color w:val="auto"/>
          <w:kern w:val="2"/>
          <w:sz w:val="32"/>
          <w:szCs w:val="32"/>
          <w:highlight w:val="none"/>
          <w:lang w:val="en-US" w:eastAsia="zh-CN" w:bidi="ar-SA"/>
        </w:rPr>
      </w:pPr>
      <w:r>
        <w:rPr>
          <w:rFonts w:hint="eastAsia" w:ascii="Times New Roman Regular" w:hAnsi="Times New Roman Regular" w:eastAsia="仿宋_GB2312" w:cs="Times New Roman Regular"/>
          <w:color w:val="auto"/>
          <w:kern w:val="2"/>
          <w:sz w:val="32"/>
          <w:szCs w:val="32"/>
          <w:highlight w:val="none"/>
          <w:lang w:val="en-US" w:eastAsia="zh-CN" w:bidi="ar-SA"/>
        </w:rPr>
        <w:t>⑥采供血业务运行成本项目资金1056.26万元（非税资金，用于血液采集、检测、储存、运输、供应等采供血全流程活动中产生的各类支出）。</w:t>
      </w:r>
    </w:p>
    <w:p w14:paraId="21AFA370">
      <w:pPr>
        <w:pStyle w:val="4"/>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firstLine="640" w:firstLineChars="200"/>
        <w:textAlignment w:val="auto"/>
        <w:rPr>
          <w:rFonts w:hint="default" w:ascii="Times New Roman Regular" w:hAnsi="Times New Roman Regular" w:eastAsia="仿宋_GB2312" w:cs="Times New Roman Regular"/>
          <w:color w:val="auto"/>
          <w:kern w:val="2"/>
          <w:sz w:val="32"/>
          <w:szCs w:val="32"/>
          <w:highlight w:val="none"/>
          <w:lang w:val="en-US" w:eastAsia="zh-CN" w:bidi="ar-SA"/>
        </w:rPr>
      </w:pPr>
      <w:r>
        <w:rPr>
          <w:rFonts w:hint="eastAsia" w:ascii="Times New Roman Regular" w:hAnsi="Times New Roman Regular" w:eastAsia="仿宋_GB2312" w:cs="Times New Roman Regular"/>
          <w:color w:val="auto"/>
          <w:kern w:val="2"/>
          <w:sz w:val="32"/>
          <w:szCs w:val="32"/>
          <w:highlight w:val="none"/>
          <w:lang w:val="en-US" w:eastAsia="zh-CN" w:bidi="ar-SA"/>
        </w:rPr>
        <w:t>⑦采供血设备购置项目资金296.84万元（用于采供血设备的购买）。</w:t>
      </w:r>
    </w:p>
    <w:p w14:paraId="10769B90">
      <w:pPr>
        <w:pStyle w:val="2"/>
        <w:keepNext w:val="0"/>
        <w:keepLines w:val="0"/>
        <w:pageBreakBefore w:val="0"/>
        <w:widowControl w:val="0"/>
        <w:numPr>
          <w:ilvl w:val="0"/>
          <w:numId w:val="0"/>
        </w:numPr>
        <w:kinsoku/>
        <w:wordWrap/>
        <w:overflowPunct/>
        <w:topLinePunct w:val="0"/>
        <w:autoSpaceDE/>
        <w:autoSpaceDN/>
        <w:bidi w:val="0"/>
        <w:adjustRightInd/>
        <w:spacing w:after="0" w:line="560" w:lineRule="exact"/>
        <w:ind w:firstLine="960" w:firstLineChars="300"/>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二、一般公共预算支出情况</w:t>
      </w:r>
    </w:p>
    <w:p w14:paraId="0582FEF0">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w:t>
      </w:r>
      <w:r>
        <w:rPr>
          <w:rFonts w:hint="default" w:ascii="Times New Roman Regular" w:hAnsi="Times New Roman Regular" w:eastAsia="仿宋_GB2312" w:cs="Times New Roman Regular"/>
          <w:color w:val="auto"/>
          <w:kern w:val="2"/>
          <w:sz w:val="32"/>
          <w:szCs w:val="32"/>
          <w:highlight w:val="none"/>
          <w:lang w:val="en-US" w:eastAsia="zh-CN" w:bidi="ar-SA"/>
        </w:rPr>
        <w:t>一）基本支出</w:t>
      </w:r>
    </w:p>
    <w:p w14:paraId="06A9CC73">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Times New Roman Regular" w:hAnsi="Times New Roman Regular" w:eastAsia="仿宋_GB2312" w:cs="Times New Roman Regular"/>
          <w:color w:val="auto"/>
          <w:kern w:val="2"/>
          <w:sz w:val="32"/>
          <w:szCs w:val="32"/>
          <w:highlight w:val="none"/>
          <w:lang w:val="en-US" w:eastAsia="zh-CN" w:bidi="ar-SA"/>
        </w:rPr>
      </w:pPr>
      <w:r>
        <w:rPr>
          <w:rFonts w:hint="eastAsia" w:ascii="Times New Roman Regular" w:hAnsi="Times New Roman Regular" w:eastAsia="仿宋_GB2312" w:cs="Times New Roman Regular"/>
          <w:color w:val="auto"/>
          <w:kern w:val="2"/>
          <w:sz w:val="32"/>
          <w:szCs w:val="32"/>
          <w:highlight w:val="none"/>
          <w:lang w:val="en-US" w:eastAsia="zh-CN" w:bidi="ar-SA"/>
        </w:rPr>
        <w:t>1.基本支出主要用于保障单位正常运转、完成日常工作任务的基本开支，分别为：人员经费用于在职人员工资、年度考核奖、社保、住房公积金以及退休人员春节一次性生活补助等人员支出；公用经费用于办公费、咨询费、邮电费、会议费、培训费、公务接待费、工会经费、福利费、其他交通费等。</w:t>
      </w:r>
    </w:p>
    <w:p w14:paraId="07CEB204">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Regular" w:hAnsi="Times New Roman Regular" w:eastAsia="仿宋_GB2312" w:cs="Times New Roman Regular"/>
          <w:color w:val="auto"/>
          <w:kern w:val="2"/>
          <w:sz w:val="32"/>
          <w:szCs w:val="32"/>
          <w:highlight w:val="none"/>
          <w:lang w:val="en-US" w:eastAsia="zh-CN" w:bidi="ar-SA"/>
        </w:rPr>
      </w:pPr>
      <w:r>
        <w:rPr>
          <w:rFonts w:hint="eastAsia" w:ascii="Times New Roman Regular" w:hAnsi="Times New Roman Regular" w:eastAsia="仿宋_GB2312" w:cs="Times New Roman Regular"/>
          <w:color w:val="auto"/>
          <w:kern w:val="2"/>
          <w:sz w:val="32"/>
          <w:szCs w:val="32"/>
          <w:highlight w:val="none"/>
          <w:lang w:val="en-US" w:eastAsia="zh-CN" w:bidi="ar-SA"/>
        </w:rPr>
        <w:t>2.</w:t>
      </w:r>
      <w:r>
        <w:rPr>
          <w:rFonts w:hint="default" w:ascii="Times New Roman Regular" w:hAnsi="Times New Roman Regular" w:eastAsia="仿宋_GB2312" w:cs="Times New Roman Regular"/>
          <w:color w:val="auto"/>
          <w:kern w:val="2"/>
          <w:sz w:val="32"/>
          <w:szCs w:val="32"/>
          <w:highlight w:val="none"/>
          <w:lang w:val="en-US" w:eastAsia="zh-CN" w:bidi="ar-SA"/>
        </w:rPr>
        <w:t>基本支出的资金管理情况</w:t>
      </w:r>
    </w:p>
    <w:p w14:paraId="2A41A79C">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Regular" w:hAnsi="Times New Roman Regular" w:eastAsia="仿宋_GB2312" w:cs="Times New Roman Regular"/>
          <w:color w:val="auto"/>
          <w:kern w:val="2"/>
          <w:sz w:val="32"/>
          <w:szCs w:val="32"/>
          <w:highlight w:val="none"/>
          <w:lang w:val="en-US" w:eastAsia="zh-CN" w:bidi="ar-SA"/>
        </w:rPr>
      </w:pPr>
      <w:r>
        <w:rPr>
          <w:rFonts w:hint="default" w:ascii="Times New Roman Regular" w:hAnsi="Times New Roman Regular" w:eastAsia="仿宋_GB2312" w:cs="Times New Roman Regular"/>
          <w:color w:val="auto"/>
          <w:kern w:val="2"/>
          <w:sz w:val="32"/>
          <w:szCs w:val="32"/>
          <w:highlight w:val="none"/>
          <w:lang w:val="en-US" w:eastAsia="zh-CN" w:bidi="ar-SA"/>
        </w:rPr>
        <w:t>严格按照财政部门批复的预算执行，资金使用遵循“先有预算、后有支出”原则，确保支出合规、合理。建立健全财务管理制度，明确资金审批流程、报销标准，确保资金使用规范，杜绝挪用、挤占等情况。对基本支出的执行情况进行动态监控，及时分析预算执行偏差，保障资金使用效益。</w:t>
      </w:r>
    </w:p>
    <w:p w14:paraId="76FD7AB0">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Regular" w:hAnsi="Times New Roman Regular" w:eastAsia="仿宋_GB2312" w:cs="Times New Roman Regular"/>
          <w:color w:val="auto"/>
          <w:kern w:val="2"/>
          <w:sz w:val="32"/>
          <w:szCs w:val="32"/>
          <w:highlight w:val="none"/>
          <w:lang w:val="en-US" w:eastAsia="zh-CN" w:bidi="ar-SA"/>
        </w:rPr>
      </w:pPr>
      <w:r>
        <w:rPr>
          <w:rFonts w:hint="eastAsia" w:ascii="Times New Roman Regular" w:hAnsi="Times New Roman Regular" w:eastAsia="仿宋_GB2312" w:cs="Times New Roman Regular"/>
          <w:color w:val="auto"/>
          <w:kern w:val="2"/>
          <w:sz w:val="32"/>
          <w:szCs w:val="32"/>
          <w:highlight w:val="none"/>
          <w:lang w:val="en-US" w:eastAsia="zh-CN" w:bidi="ar-SA"/>
        </w:rPr>
        <w:t>3.</w:t>
      </w:r>
      <w:r>
        <w:rPr>
          <w:rFonts w:hint="default" w:ascii="Times New Roman Regular" w:hAnsi="Times New Roman Regular" w:eastAsia="仿宋_GB2312" w:cs="Times New Roman Regular"/>
          <w:color w:val="auto"/>
          <w:kern w:val="2"/>
          <w:sz w:val="32"/>
          <w:szCs w:val="32"/>
          <w:highlight w:val="none"/>
          <w:lang w:val="en-US" w:eastAsia="zh-CN" w:bidi="ar-SA"/>
        </w:rPr>
        <w:t>三公经费的使用和管理情况</w:t>
      </w:r>
    </w:p>
    <w:p w14:paraId="220897C6">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Regular" w:hAnsi="Times New Roman Regular" w:eastAsia="仿宋_GB2312" w:cs="Times New Roman Regular"/>
          <w:color w:val="auto"/>
          <w:kern w:val="2"/>
          <w:sz w:val="32"/>
          <w:szCs w:val="32"/>
          <w:highlight w:val="none"/>
          <w:lang w:val="en-US" w:eastAsia="zh-CN" w:bidi="ar-SA"/>
        </w:rPr>
      </w:pPr>
      <w:r>
        <w:rPr>
          <w:rFonts w:hint="default" w:ascii="Times New Roman Regular" w:hAnsi="Times New Roman Regular" w:eastAsia="仿宋_GB2312" w:cs="Times New Roman Regular"/>
          <w:color w:val="auto"/>
          <w:kern w:val="2"/>
          <w:sz w:val="32"/>
          <w:szCs w:val="32"/>
          <w:highlight w:val="none"/>
          <w:lang w:val="en-US" w:eastAsia="zh-CN" w:bidi="ar-SA"/>
        </w:rPr>
        <w:t>“三公经费”</w:t>
      </w:r>
      <w:r>
        <w:rPr>
          <w:rFonts w:hint="eastAsia" w:ascii="Times New Roman Regular" w:hAnsi="Times New Roman Regular" w:eastAsia="仿宋_GB2312" w:cs="Times New Roman Regular"/>
          <w:color w:val="auto"/>
          <w:kern w:val="2"/>
          <w:sz w:val="32"/>
          <w:szCs w:val="32"/>
          <w:highlight w:val="none"/>
          <w:lang w:val="en-US" w:eastAsia="zh-CN" w:bidi="ar-SA"/>
        </w:rPr>
        <w:t>本年度总支出为48.18万元，支出总额较上年下降9.91%，本年三公经费控制率为90.39%。</w:t>
      </w:r>
      <w:r>
        <w:rPr>
          <w:rFonts w:hint="default" w:ascii="Times New Roman Regular" w:hAnsi="Times New Roman Regular" w:eastAsia="仿宋_GB2312" w:cs="Times New Roman Regular"/>
          <w:color w:val="auto"/>
          <w:kern w:val="2"/>
          <w:sz w:val="32"/>
          <w:szCs w:val="32"/>
          <w:highlight w:val="none"/>
          <w:lang w:val="en-US" w:eastAsia="zh-CN" w:bidi="ar-SA"/>
        </w:rPr>
        <w:t>其管理重点如下：严格压缩三公经费预算，按规定程序审批，确保支出规模不超预算限额。公务用车严格执行定点加油、维修等制度，降低运行成本；公务接待按标准执行，严控接待范围和费用，杜绝铺张浪费。按规定及时公开三公经费使用情况，接受社会监督，提升资金使用透明度。</w:t>
      </w:r>
    </w:p>
    <w:p w14:paraId="4E34FA48">
      <w:pPr>
        <w:pStyle w:val="4"/>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firstLine="640" w:firstLineChars="200"/>
        <w:textAlignment w:val="auto"/>
        <w:rPr>
          <w:rFonts w:hint="default" w:ascii="Times New Roman Regular" w:hAnsi="Times New Roman Regular" w:eastAsia="仿宋_GB2312" w:cs="Times New Roman Regular"/>
          <w:color w:val="auto"/>
          <w:kern w:val="2"/>
          <w:sz w:val="32"/>
          <w:szCs w:val="32"/>
          <w:highlight w:val="none"/>
          <w:lang w:val="en-US" w:eastAsia="zh-CN" w:bidi="ar-SA"/>
        </w:rPr>
      </w:pPr>
      <w:r>
        <w:rPr>
          <w:rFonts w:hint="default" w:ascii="Times New Roman Regular" w:hAnsi="Times New Roman Regular" w:eastAsia="仿宋_GB2312" w:cs="Times New Roman Regular"/>
          <w:color w:val="auto"/>
          <w:kern w:val="2"/>
          <w:sz w:val="32"/>
          <w:szCs w:val="32"/>
          <w:highlight w:val="none"/>
          <w:lang w:val="en-US" w:eastAsia="zh-CN" w:bidi="ar-SA"/>
        </w:rPr>
        <w:t>（二）项目支出</w:t>
      </w:r>
    </w:p>
    <w:p w14:paraId="0B9F61F4">
      <w:pPr>
        <w:pStyle w:val="4"/>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1</w:t>
      </w:r>
      <w:r>
        <w:rPr>
          <w:rFonts w:hint="eastAsia" w:ascii="Times New Roman Regular" w:hAnsi="Times New Roman Regular" w:eastAsia="仿宋_GB2312" w:cs="Times New Roman Regular"/>
          <w:color w:val="auto"/>
          <w:sz w:val="32"/>
          <w:szCs w:val="32"/>
          <w:highlight w:val="none"/>
          <w:lang w:val="en-US" w:eastAsia="zh-CN"/>
        </w:rPr>
        <w:t>.</w:t>
      </w:r>
      <w:r>
        <w:rPr>
          <w:rFonts w:hint="default" w:ascii="Times New Roman Regular" w:hAnsi="Times New Roman Regular" w:eastAsia="仿宋_GB2312" w:cs="Times New Roman Regular"/>
          <w:color w:val="auto"/>
          <w:kern w:val="2"/>
          <w:sz w:val="32"/>
          <w:szCs w:val="32"/>
          <w:highlight w:val="none"/>
          <w:lang w:val="en-US" w:eastAsia="zh-CN" w:bidi="ar-SA"/>
        </w:rPr>
        <w:t>项目资金（包括财政资金、自筹资金等）安排落实、总投入等情况分析。</w:t>
      </w:r>
    </w:p>
    <w:p w14:paraId="7F919F63">
      <w:pPr>
        <w:pStyle w:val="4"/>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firstLine="640" w:firstLineChars="200"/>
        <w:textAlignment w:val="auto"/>
        <w:rPr>
          <w:rFonts w:hint="default" w:ascii="Times New Roman Regular" w:hAnsi="Times New Roman Regular" w:eastAsia="仿宋_GB2312" w:cs="Times New Roman Regular"/>
          <w:color w:val="auto"/>
          <w:kern w:val="2"/>
          <w:sz w:val="32"/>
          <w:szCs w:val="32"/>
          <w:highlight w:val="none"/>
          <w:lang w:val="en-US" w:eastAsia="zh-CN" w:bidi="ar-SA"/>
        </w:rPr>
      </w:pPr>
      <w:r>
        <w:rPr>
          <w:rFonts w:hint="eastAsia" w:ascii="仿宋_GB2312" w:hAnsi="宋体" w:eastAsia="仿宋_GB2312"/>
          <w:sz w:val="32"/>
          <w:szCs w:val="32"/>
        </w:rPr>
        <w:t>本年度</w:t>
      </w:r>
      <w:r>
        <w:rPr>
          <w:rFonts w:hint="eastAsia" w:ascii="仿宋_GB2312" w:hAnsi="宋体" w:eastAsia="仿宋_GB2312"/>
          <w:sz w:val="32"/>
          <w:szCs w:val="32"/>
          <w:lang w:eastAsia="zh-CN"/>
        </w:rPr>
        <w:t>财政拨款项目</w:t>
      </w:r>
      <w:r>
        <w:rPr>
          <w:rFonts w:hint="eastAsia" w:ascii="仿宋_GB2312" w:hAnsi="宋体" w:eastAsia="仿宋_GB2312"/>
          <w:sz w:val="32"/>
          <w:szCs w:val="32"/>
        </w:rPr>
        <w:t>资金实际到位</w:t>
      </w:r>
      <w:r>
        <w:rPr>
          <w:rFonts w:hint="eastAsia" w:ascii="仿宋_GB2312" w:hAnsi="宋体" w:eastAsia="仿宋_GB2312"/>
          <w:sz w:val="32"/>
          <w:szCs w:val="32"/>
          <w:lang w:val="en-US" w:eastAsia="zh-CN"/>
        </w:rPr>
        <w:t>168.49万元（</w:t>
      </w:r>
      <w:r>
        <w:rPr>
          <w:rFonts w:hint="eastAsia" w:ascii="仿宋_GB2312" w:hAnsi="宋体" w:eastAsia="仿宋_GB2312"/>
          <w:sz w:val="32"/>
          <w:szCs w:val="32"/>
          <w:lang w:eastAsia="zh-CN"/>
        </w:rPr>
        <w:t>年初预算专项资金</w:t>
      </w:r>
      <w:r>
        <w:rPr>
          <w:rFonts w:hint="eastAsia" w:ascii="仿宋_GB2312" w:hAnsi="宋体" w:eastAsia="仿宋_GB2312"/>
          <w:sz w:val="32"/>
          <w:szCs w:val="32"/>
          <w:lang w:val="en-US" w:eastAsia="zh-CN"/>
        </w:rPr>
        <w:t>151万元、追加市本级结转上年项目资金17.49万元）、中央专项资金160.5万元，资金</w:t>
      </w:r>
      <w:r>
        <w:rPr>
          <w:rFonts w:hint="eastAsia" w:ascii="仿宋_GB2312" w:hAnsi="宋体" w:eastAsia="仿宋_GB2312"/>
          <w:sz w:val="32"/>
          <w:szCs w:val="32"/>
          <w:lang w:eastAsia="zh-CN"/>
        </w:rPr>
        <w:t>及时到位，资金</w:t>
      </w:r>
      <w:r>
        <w:rPr>
          <w:rFonts w:hint="eastAsia" w:ascii="仿宋_GB2312" w:hAnsi="宋体" w:eastAsia="仿宋_GB2312"/>
          <w:sz w:val="32"/>
          <w:szCs w:val="32"/>
        </w:rPr>
        <w:t>到位率100%。</w:t>
      </w:r>
    </w:p>
    <w:p w14:paraId="7BB2CBEB">
      <w:pPr>
        <w:pStyle w:val="4"/>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firstLine="640" w:firstLineChars="200"/>
        <w:textAlignment w:val="auto"/>
        <w:rPr>
          <w:rFonts w:hint="default" w:ascii="Times New Roman Regular" w:hAnsi="Times New Roman Regular" w:eastAsia="仿宋_GB2312" w:cs="Times New Roman Regular"/>
          <w:color w:val="auto"/>
          <w:kern w:val="2"/>
          <w:sz w:val="32"/>
          <w:szCs w:val="32"/>
          <w:highlight w:val="none"/>
          <w:lang w:val="en-US" w:eastAsia="zh-CN" w:bidi="ar-SA"/>
        </w:rPr>
      </w:pPr>
      <w:r>
        <w:rPr>
          <w:rFonts w:hint="default" w:ascii="Times New Roman Regular" w:hAnsi="Times New Roman Regular" w:eastAsia="仿宋_GB2312" w:cs="Times New Roman Regular"/>
          <w:color w:val="auto"/>
          <w:kern w:val="2"/>
          <w:sz w:val="32"/>
          <w:szCs w:val="32"/>
          <w:highlight w:val="none"/>
          <w:lang w:val="en-US" w:eastAsia="zh-CN" w:bidi="ar-SA"/>
        </w:rPr>
        <w:t>2</w:t>
      </w:r>
      <w:r>
        <w:rPr>
          <w:rFonts w:hint="eastAsia" w:ascii="Times New Roman Regular" w:hAnsi="Times New Roman Regular" w:eastAsia="仿宋_GB2312" w:cs="Times New Roman Regular"/>
          <w:color w:val="auto"/>
          <w:kern w:val="2"/>
          <w:sz w:val="32"/>
          <w:szCs w:val="32"/>
          <w:highlight w:val="none"/>
          <w:lang w:val="en-US" w:eastAsia="zh-CN" w:bidi="ar-SA"/>
        </w:rPr>
        <w:t>.</w:t>
      </w:r>
      <w:r>
        <w:rPr>
          <w:rFonts w:hint="default" w:ascii="Times New Roman Regular" w:hAnsi="Times New Roman Regular" w:eastAsia="仿宋_GB2312" w:cs="Times New Roman Regular"/>
          <w:color w:val="auto"/>
          <w:kern w:val="2"/>
          <w:sz w:val="32"/>
          <w:szCs w:val="32"/>
          <w:highlight w:val="none"/>
          <w:lang w:val="en-US" w:eastAsia="zh-CN" w:bidi="ar-SA"/>
        </w:rPr>
        <w:t>项目资金（主要指财政资金）实际使用情况分析。</w:t>
      </w:r>
    </w:p>
    <w:p w14:paraId="378AD9C3">
      <w:pPr>
        <w:pStyle w:val="4"/>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firstLine="640" w:firstLineChars="200"/>
        <w:textAlignment w:val="auto"/>
        <w:rPr>
          <w:rFonts w:hint="eastAsia" w:ascii="仿宋_GB2312" w:hAnsi="宋体" w:eastAsia="仿宋_GB2312"/>
          <w:sz w:val="32"/>
          <w:szCs w:val="32"/>
        </w:rPr>
      </w:pPr>
      <w:r>
        <w:rPr>
          <w:rFonts w:hint="eastAsia" w:ascii="仿宋_GB2312" w:hAnsi="宋体" w:eastAsia="仿宋_GB2312"/>
          <w:sz w:val="32"/>
          <w:szCs w:val="32"/>
        </w:rPr>
        <w:t>本年度</w:t>
      </w:r>
      <w:r>
        <w:rPr>
          <w:rFonts w:hint="eastAsia" w:ascii="仿宋_GB2312" w:hAnsi="宋体" w:eastAsia="仿宋_GB2312"/>
          <w:sz w:val="32"/>
          <w:szCs w:val="32"/>
          <w:lang w:eastAsia="zh-CN"/>
        </w:rPr>
        <w:t>财政拨款项目</w:t>
      </w:r>
      <w:r>
        <w:rPr>
          <w:rFonts w:hint="eastAsia" w:ascii="仿宋_GB2312" w:hAnsi="宋体" w:eastAsia="仿宋_GB2312"/>
          <w:sz w:val="32"/>
          <w:szCs w:val="32"/>
        </w:rPr>
        <w:t>资金实际</w:t>
      </w:r>
      <w:r>
        <w:rPr>
          <w:rFonts w:hint="eastAsia" w:ascii="仿宋_GB2312" w:hAnsi="宋体" w:eastAsia="仿宋_GB2312"/>
          <w:sz w:val="32"/>
          <w:szCs w:val="32"/>
          <w:lang w:eastAsia="zh-CN"/>
        </w:rPr>
        <w:t>使用</w:t>
      </w:r>
      <w:r>
        <w:rPr>
          <w:rFonts w:hint="eastAsia" w:ascii="仿宋_GB2312" w:hAnsi="宋体" w:eastAsia="仿宋_GB2312"/>
          <w:sz w:val="32"/>
          <w:szCs w:val="32"/>
          <w:lang w:val="en-US" w:eastAsia="zh-CN"/>
        </w:rPr>
        <w:t>168.49万元（</w:t>
      </w:r>
      <w:r>
        <w:rPr>
          <w:rFonts w:hint="eastAsia" w:ascii="仿宋_GB2312" w:hAnsi="宋体" w:eastAsia="仿宋_GB2312"/>
          <w:sz w:val="32"/>
          <w:szCs w:val="32"/>
          <w:lang w:eastAsia="zh-CN"/>
        </w:rPr>
        <w:t>年初预算专项资金</w:t>
      </w:r>
      <w:r>
        <w:rPr>
          <w:rFonts w:hint="eastAsia" w:ascii="仿宋_GB2312" w:hAnsi="宋体" w:eastAsia="仿宋_GB2312"/>
          <w:sz w:val="32"/>
          <w:szCs w:val="32"/>
          <w:lang w:val="en-US" w:eastAsia="zh-CN"/>
        </w:rPr>
        <w:t>151万元、追加市本级结转上年项目资金17.49万元）、中央专项资金160.5万元，资金使用</w:t>
      </w:r>
      <w:r>
        <w:rPr>
          <w:rFonts w:hint="eastAsia" w:ascii="仿宋_GB2312" w:hAnsi="宋体" w:eastAsia="仿宋_GB2312"/>
          <w:sz w:val="32"/>
          <w:szCs w:val="32"/>
        </w:rPr>
        <w:t>率100%。</w:t>
      </w:r>
    </w:p>
    <w:p w14:paraId="385CCE5A">
      <w:pPr>
        <w:pStyle w:val="4"/>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firstLine="640" w:firstLineChars="200"/>
        <w:textAlignment w:val="auto"/>
        <w:rPr>
          <w:rFonts w:hint="default" w:ascii="Times New Roman Regular" w:hAnsi="Times New Roman Regular" w:eastAsia="仿宋_GB2312" w:cs="Times New Roman Regular"/>
          <w:color w:val="auto"/>
          <w:kern w:val="2"/>
          <w:sz w:val="32"/>
          <w:szCs w:val="32"/>
          <w:highlight w:val="none"/>
          <w:lang w:val="en-US" w:eastAsia="zh-CN" w:bidi="ar-SA"/>
        </w:rPr>
      </w:pPr>
      <w:r>
        <w:rPr>
          <w:rFonts w:hint="eastAsia" w:ascii="Times New Roman Regular" w:hAnsi="Times New Roman Regular" w:eastAsia="仿宋_GB2312" w:cs="Times New Roman Regular"/>
          <w:color w:val="auto"/>
          <w:kern w:val="2"/>
          <w:sz w:val="32"/>
          <w:szCs w:val="32"/>
          <w:highlight w:val="none"/>
          <w:lang w:val="en-US" w:eastAsia="zh-CN" w:bidi="ar-SA"/>
        </w:rPr>
        <w:t>3.</w:t>
      </w:r>
      <w:r>
        <w:rPr>
          <w:rFonts w:hint="default" w:ascii="Times New Roman Regular" w:hAnsi="Times New Roman Regular" w:eastAsia="仿宋_GB2312" w:cs="Times New Roman Regular"/>
          <w:color w:val="auto"/>
          <w:kern w:val="2"/>
          <w:sz w:val="32"/>
          <w:szCs w:val="32"/>
          <w:highlight w:val="none"/>
          <w:lang w:val="en-US" w:eastAsia="zh-CN" w:bidi="ar-SA"/>
        </w:rPr>
        <w:t>项目资金管理情况分析，主要包括管理制度、办法的</w:t>
      </w:r>
      <w:r>
        <w:rPr>
          <w:rFonts w:hint="eastAsia" w:ascii="Times New Roman Regular" w:hAnsi="Times New Roman Regular" w:eastAsia="仿宋_GB2312" w:cs="Times New Roman Regular"/>
          <w:color w:val="auto"/>
          <w:kern w:val="2"/>
          <w:sz w:val="32"/>
          <w:szCs w:val="32"/>
          <w:highlight w:val="none"/>
          <w:lang w:val="en-US" w:eastAsia="zh-CN" w:bidi="ar-SA"/>
        </w:rPr>
        <w:t>制定</w:t>
      </w:r>
      <w:r>
        <w:rPr>
          <w:rFonts w:hint="default" w:ascii="Times New Roman Regular" w:hAnsi="Times New Roman Regular" w:eastAsia="仿宋_GB2312" w:cs="Times New Roman Regular"/>
          <w:color w:val="auto"/>
          <w:kern w:val="2"/>
          <w:sz w:val="32"/>
          <w:szCs w:val="32"/>
          <w:highlight w:val="none"/>
          <w:lang w:val="en-US" w:eastAsia="zh-CN" w:bidi="ar-SA"/>
        </w:rPr>
        <w:t>及执行情况。</w:t>
      </w:r>
    </w:p>
    <w:p w14:paraId="70B688A7">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0" w:firstLineChars="200"/>
        <w:textAlignment w:val="auto"/>
        <w:rPr>
          <w:rFonts w:hint="default"/>
          <w:lang w:val="en-US" w:eastAsia="zh-CN"/>
        </w:rPr>
      </w:pPr>
      <w:r>
        <w:rPr>
          <w:rFonts w:hint="eastAsia" w:ascii="Times New Roman Regular" w:hAnsi="Times New Roman Regular" w:eastAsia="仿宋_GB2312" w:cs="Times New Roman Regular"/>
          <w:color w:val="auto"/>
          <w:sz w:val="32"/>
          <w:szCs w:val="32"/>
          <w:highlight w:val="none"/>
          <w:lang w:val="en-US" w:eastAsia="zh-CN"/>
        </w:rPr>
        <w:t>项目严格按照相应的业务管理制度，规范各项经费的开支。资金使用规范，符合各项法规和财务管理以及《怀化市中心血站专项资金管理办法》的规定；资金的拨付有完整的审批程序和手续；不存在截留、挤占、挪用、虚列开支等情况，保证会计核算准确、财务资料完整。</w:t>
      </w:r>
    </w:p>
    <w:p w14:paraId="56AA70A6">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三、项目组织实施情况</w:t>
      </w:r>
    </w:p>
    <w:p w14:paraId="6B2E5E4F">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Regular" w:hAnsi="Times New Roman Regular" w:eastAsia="仿宋_GB2312" w:cs="Times New Roman Regular"/>
          <w:color w:val="auto"/>
          <w:kern w:val="2"/>
          <w:sz w:val="32"/>
          <w:szCs w:val="32"/>
          <w:highlight w:val="none"/>
          <w:lang w:val="en-US" w:eastAsia="zh-CN" w:bidi="ar-SA"/>
        </w:rPr>
      </w:pPr>
      <w:r>
        <w:rPr>
          <w:rFonts w:hint="default" w:ascii="Times New Roman Regular" w:hAnsi="Times New Roman Regular" w:eastAsia="仿宋_GB2312" w:cs="Times New Roman Regular"/>
          <w:color w:val="auto"/>
          <w:kern w:val="2"/>
          <w:sz w:val="32"/>
          <w:szCs w:val="32"/>
          <w:highlight w:val="none"/>
          <w:lang w:val="en-US" w:eastAsia="zh-CN" w:bidi="ar-SA"/>
        </w:rPr>
        <w:t>（一）项目组织情况分析，主要包括项目招投标、调整、竣工验收等情况。</w:t>
      </w:r>
    </w:p>
    <w:p w14:paraId="476E9405">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Regular" w:hAnsi="Times New Roman Regular" w:eastAsia="仿宋_GB2312" w:cs="Times New Roman Regular"/>
          <w:color w:val="auto"/>
          <w:kern w:val="2"/>
          <w:sz w:val="32"/>
          <w:szCs w:val="32"/>
          <w:highlight w:val="none"/>
          <w:lang w:val="en-US" w:eastAsia="zh-CN" w:bidi="ar-SA"/>
        </w:rPr>
      </w:pPr>
      <w:r>
        <w:rPr>
          <w:rFonts w:hint="default" w:ascii="Times New Roman Regular" w:hAnsi="Times New Roman Regular" w:eastAsia="仿宋_GB2312" w:cs="Times New Roman Regular"/>
          <w:color w:val="auto"/>
          <w:kern w:val="2"/>
          <w:sz w:val="32"/>
          <w:szCs w:val="32"/>
          <w:highlight w:val="none"/>
          <w:lang w:val="en-US" w:eastAsia="zh-CN" w:bidi="ar-SA"/>
        </w:rPr>
        <w:t>收到</w:t>
      </w:r>
      <w:r>
        <w:rPr>
          <w:rFonts w:hint="eastAsia" w:ascii="Times New Roman Regular" w:hAnsi="Times New Roman Regular" w:eastAsia="仿宋_GB2312" w:cs="Times New Roman Regular"/>
          <w:color w:val="auto"/>
          <w:kern w:val="2"/>
          <w:sz w:val="32"/>
          <w:szCs w:val="32"/>
          <w:highlight w:val="none"/>
          <w:lang w:val="en-US" w:eastAsia="zh-CN" w:bidi="ar-SA"/>
        </w:rPr>
        <w:t>项目资金</w:t>
      </w:r>
      <w:r>
        <w:rPr>
          <w:rFonts w:hint="default" w:ascii="Times New Roman Regular" w:hAnsi="Times New Roman Regular" w:eastAsia="仿宋_GB2312" w:cs="Times New Roman Regular"/>
          <w:color w:val="auto"/>
          <w:kern w:val="2"/>
          <w:sz w:val="32"/>
          <w:szCs w:val="32"/>
          <w:highlight w:val="none"/>
          <w:lang w:val="en-US" w:eastAsia="zh-CN" w:bidi="ar-SA"/>
        </w:rPr>
        <w:t>后，我单位立即组织召开专题会议，明确项目目标和任务，部署项目实施工作。根据项目要求，结合实际情况，制定详细的实施方案，明确项目实施内容、时间节点、责任分工和保障措施，确保项目有序推进。建立部门联动机制，加强沟通协调，形成工作合力，共同推进项目实施。</w:t>
      </w:r>
    </w:p>
    <w:p w14:paraId="1025A457">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Regular" w:hAnsi="Times New Roman Regular" w:eastAsia="仿宋_GB2312" w:cs="Times New Roman Regular"/>
          <w:color w:val="auto"/>
          <w:kern w:val="2"/>
          <w:sz w:val="32"/>
          <w:szCs w:val="32"/>
          <w:highlight w:val="none"/>
          <w:lang w:val="en-US" w:eastAsia="zh-CN" w:bidi="ar-SA"/>
        </w:rPr>
      </w:pPr>
      <w:r>
        <w:rPr>
          <w:rFonts w:hint="default" w:ascii="Times New Roman Regular" w:hAnsi="Times New Roman Regular" w:eastAsia="仿宋_GB2312" w:cs="Times New Roman Regular"/>
          <w:color w:val="auto"/>
          <w:kern w:val="2"/>
          <w:sz w:val="32"/>
          <w:szCs w:val="32"/>
          <w:highlight w:val="none"/>
          <w:lang w:val="en-US" w:eastAsia="zh-CN" w:bidi="ar-SA"/>
        </w:rPr>
        <w:t>（</w:t>
      </w:r>
      <w:r>
        <w:rPr>
          <w:rFonts w:hint="eastAsia" w:ascii="Times New Roman Regular" w:hAnsi="Times New Roman Regular" w:eastAsia="仿宋_GB2312" w:cs="Times New Roman Regular"/>
          <w:color w:val="auto"/>
          <w:kern w:val="2"/>
          <w:sz w:val="32"/>
          <w:szCs w:val="32"/>
          <w:highlight w:val="none"/>
          <w:lang w:val="en-US" w:eastAsia="zh-CN" w:bidi="ar-SA"/>
        </w:rPr>
        <w:t>二</w:t>
      </w:r>
      <w:r>
        <w:rPr>
          <w:rFonts w:hint="default" w:ascii="Times New Roman Regular" w:hAnsi="Times New Roman Regular" w:eastAsia="仿宋_GB2312" w:cs="Times New Roman Regular"/>
          <w:color w:val="auto"/>
          <w:kern w:val="2"/>
          <w:sz w:val="32"/>
          <w:szCs w:val="32"/>
          <w:highlight w:val="none"/>
          <w:lang w:val="en-US" w:eastAsia="zh-CN" w:bidi="ar-SA"/>
        </w:rPr>
        <w:t>）项目管理情况分析，主要包括项目管理制度建设、日常检查监督管理等情况。</w:t>
      </w:r>
    </w:p>
    <w:p w14:paraId="59F47A07">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Times New Roman Regular" w:hAnsi="Times New Roman Regular" w:eastAsia="仿宋_GB2312" w:cs="Times New Roman Regular"/>
          <w:color w:val="auto"/>
          <w:kern w:val="2"/>
          <w:sz w:val="32"/>
          <w:szCs w:val="32"/>
          <w:highlight w:val="none"/>
          <w:lang w:val="en-US" w:eastAsia="zh-CN" w:bidi="ar-SA"/>
        </w:rPr>
      </w:pPr>
      <w:r>
        <w:rPr>
          <w:rFonts w:hint="eastAsia" w:ascii="Times New Roman Regular" w:hAnsi="Times New Roman Regular" w:eastAsia="仿宋_GB2312" w:cs="Times New Roman Regular"/>
          <w:color w:val="auto"/>
          <w:kern w:val="2"/>
          <w:sz w:val="32"/>
          <w:szCs w:val="32"/>
          <w:highlight w:val="none"/>
          <w:lang w:val="en-US" w:eastAsia="zh-CN" w:bidi="ar-SA"/>
        </w:rPr>
        <w:t>建立健全项目管理制度，对项目实施全过程进行跟踪管理，及时发现和解决问题，确保项目质量和进度。</w:t>
      </w:r>
    </w:p>
    <w:p w14:paraId="1B53D000">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Times New Roman Regular" w:hAnsi="Times New Roman Regular" w:eastAsia="仿宋_GB2312" w:cs="Times New Roman Regular"/>
          <w:color w:val="auto"/>
          <w:kern w:val="2"/>
          <w:sz w:val="32"/>
          <w:szCs w:val="32"/>
          <w:highlight w:val="none"/>
          <w:lang w:val="en-US" w:eastAsia="zh-CN" w:bidi="ar-SA"/>
        </w:rPr>
      </w:pPr>
      <w:r>
        <w:rPr>
          <w:rFonts w:hint="eastAsia" w:ascii="Times New Roman Regular" w:hAnsi="Times New Roman Regular" w:eastAsia="仿宋_GB2312" w:cs="Times New Roman Regular"/>
          <w:color w:val="auto"/>
          <w:kern w:val="2"/>
          <w:sz w:val="32"/>
          <w:szCs w:val="32"/>
          <w:highlight w:val="none"/>
          <w:lang w:val="en-US" w:eastAsia="zh-CN" w:bidi="ar-SA"/>
        </w:rPr>
        <w:t>严格执行专项资金管理办法，规范资金使用流程，建立专门台账，确保资金安全和使用效益。 建立健全项目绩效评价体系，定期对项目实施情况进行评估，及时总结经验，查找不足，不断改进工作。主动公开项目信息，接受社会监督，确保项目公开透明运行。</w:t>
      </w:r>
    </w:p>
    <w:p w14:paraId="22A65F89">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四、资产管理情况</w:t>
      </w:r>
    </w:p>
    <w:p w14:paraId="0856F736">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Regular" w:hAnsi="Times New Roman Regular" w:eastAsia="仿宋_GB2312" w:cs="Times New Roman Regular"/>
          <w:color w:val="auto"/>
          <w:kern w:val="2"/>
          <w:sz w:val="32"/>
          <w:szCs w:val="32"/>
          <w:highlight w:val="none"/>
          <w:lang w:val="en-US" w:eastAsia="zh-CN" w:bidi="ar-SA"/>
        </w:rPr>
      </w:pPr>
      <w:r>
        <w:rPr>
          <w:rFonts w:hint="default" w:ascii="Times New Roman Regular" w:hAnsi="Times New Roman Regular" w:eastAsia="仿宋_GB2312" w:cs="Times New Roman Regular"/>
          <w:color w:val="auto"/>
          <w:kern w:val="2"/>
          <w:sz w:val="32"/>
          <w:szCs w:val="32"/>
          <w:highlight w:val="none"/>
          <w:lang w:val="en-US" w:eastAsia="zh-CN" w:bidi="ar-SA"/>
        </w:rPr>
        <w:t>反映部门资产的配置、管理、处置等综合情况。包括制度建设、管理措施、配置处置的程序等。</w:t>
      </w:r>
    </w:p>
    <w:p w14:paraId="7F37D348">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Times New Roman Regular" w:hAnsi="Times New Roman Regular" w:eastAsia="仿宋_GB2312" w:cs="Times New Roman Regular"/>
          <w:color w:val="auto"/>
          <w:kern w:val="2"/>
          <w:sz w:val="32"/>
          <w:szCs w:val="32"/>
          <w:highlight w:val="none"/>
          <w:lang w:val="en-US" w:eastAsia="zh-CN" w:bidi="ar-SA"/>
        </w:rPr>
      </w:pPr>
      <w:r>
        <w:rPr>
          <w:rFonts w:hint="eastAsia" w:ascii="Times New Roman Regular" w:hAnsi="Times New Roman Regular" w:eastAsia="仿宋_GB2312" w:cs="Times New Roman Regular"/>
          <w:color w:val="auto"/>
          <w:kern w:val="2"/>
          <w:sz w:val="32"/>
          <w:szCs w:val="32"/>
          <w:highlight w:val="none"/>
          <w:lang w:val="en-US" w:eastAsia="zh-CN" w:bidi="ar-SA"/>
        </w:rPr>
        <w:t>1.制度建设</w:t>
      </w:r>
    </w:p>
    <w:p w14:paraId="63D709F3">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Times New Roman Regular" w:hAnsi="Times New Roman Regular" w:eastAsia="仿宋_GB2312" w:cs="Times New Roman Regular"/>
          <w:color w:val="auto"/>
          <w:kern w:val="2"/>
          <w:sz w:val="32"/>
          <w:szCs w:val="32"/>
          <w:highlight w:val="none"/>
          <w:lang w:val="en-US" w:eastAsia="zh-CN" w:bidi="ar-SA"/>
        </w:rPr>
      </w:pPr>
      <w:r>
        <w:rPr>
          <w:rFonts w:hint="eastAsia" w:ascii="Times New Roman Regular" w:hAnsi="Times New Roman Regular" w:eastAsia="仿宋_GB2312" w:cs="Times New Roman Regular"/>
          <w:color w:val="auto"/>
          <w:kern w:val="2"/>
          <w:sz w:val="32"/>
          <w:szCs w:val="32"/>
          <w:highlight w:val="none"/>
          <w:lang w:val="en-US" w:eastAsia="zh-CN" w:bidi="ar-SA"/>
        </w:rPr>
        <w:t>制度体系构建：围绕资产配置、管理、处置等环节，制定了完善的资产管理制度，明确了各部门及人员在资产管理中的职责与权限，确保资产管理有章可循。</w:t>
      </w:r>
    </w:p>
    <w:p w14:paraId="7752322F">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Times New Roman Regular" w:hAnsi="Times New Roman Regular" w:eastAsia="仿宋_GB2312" w:cs="Times New Roman Regular"/>
          <w:color w:val="auto"/>
          <w:kern w:val="2"/>
          <w:sz w:val="32"/>
          <w:szCs w:val="32"/>
          <w:highlight w:val="none"/>
          <w:lang w:val="en-US" w:eastAsia="zh-CN" w:bidi="ar-SA"/>
        </w:rPr>
      </w:pPr>
      <w:r>
        <w:rPr>
          <w:rFonts w:hint="eastAsia" w:ascii="Times New Roman Regular" w:hAnsi="Times New Roman Regular" w:eastAsia="仿宋_GB2312" w:cs="Times New Roman Regular"/>
          <w:color w:val="auto"/>
          <w:kern w:val="2"/>
          <w:sz w:val="32"/>
          <w:szCs w:val="32"/>
          <w:highlight w:val="none"/>
          <w:lang w:val="en-US" w:eastAsia="zh-CN" w:bidi="ar-SA"/>
        </w:rPr>
        <w:t>2.管理措施</w:t>
      </w:r>
    </w:p>
    <w:p w14:paraId="169403C4">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Times New Roman Regular" w:hAnsi="Times New Roman Regular" w:eastAsia="仿宋_GB2312" w:cs="Times New Roman Regular"/>
          <w:color w:val="auto"/>
          <w:kern w:val="2"/>
          <w:sz w:val="32"/>
          <w:szCs w:val="32"/>
          <w:highlight w:val="none"/>
          <w:lang w:val="en-US" w:eastAsia="zh-CN" w:bidi="ar-SA"/>
        </w:rPr>
      </w:pPr>
      <w:r>
        <w:rPr>
          <w:rFonts w:hint="eastAsia" w:ascii="Times New Roman Regular" w:hAnsi="Times New Roman Regular" w:eastAsia="仿宋_GB2312" w:cs="Times New Roman Regular"/>
          <w:color w:val="auto"/>
          <w:kern w:val="2"/>
          <w:sz w:val="32"/>
          <w:szCs w:val="32"/>
          <w:highlight w:val="none"/>
          <w:lang w:val="en-US" w:eastAsia="zh-CN" w:bidi="ar-SA"/>
        </w:rPr>
        <w:t>利用资产管理系统对资产进行登记造册，实时更新资产的使用状态、存放地点等信息，定期开展资产盘点工作，确保账实相符。建立了资产使用责任制度，将资产的管理责任落实到具体使用人，明确使用人对资产的保管、维护义务，提高资产使用效率和保管意识。</w:t>
      </w:r>
    </w:p>
    <w:p w14:paraId="046FEF89">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Times New Roman Regular" w:hAnsi="Times New Roman Regular" w:eastAsia="仿宋_GB2312" w:cs="Times New Roman Regular"/>
          <w:color w:val="auto"/>
          <w:kern w:val="2"/>
          <w:sz w:val="32"/>
          <w:szCs w:val="32"/>
          <w:highlight w:val="none"/>
          <w:lang w:val="en-US" w:eastAsia="zh-CN" w:bidi="ar-SA"/>
        </w:rPr>
      </w:pPr>
      <w:r>
        <w:rPr>
          <w:rFonts w:hint="eastAsia" w:ascii="Times New Roman Regular" w:hAnsi="Times New Roman Regular" w:eastAsia="仿宋_GB2312" w:cs="Times New Roman Regular"/>
          <w:color w:val="auto"/>
          <w:kern w:val="2"/>
          <w:sz w:val="32"/>
          <w:szCs w:val="32"/>
          <w:highlight w:val="none"/>
          <w:lang w:val="en-US" w:eastAsia="zh-CN" w:bidi="ar-SA"/>
        </w:rPr>
        <w:t xml:space="preserve">3.配置处置的程序 </w:t>
      </w:r>
    </w:p>
    <w:p w14:paraId="4C871F0B">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Times New Roman Regular" w:hAnsi="Times New Roman Regular" w:eastAsia="仿宋_GB2312" w:cs="Times New Roman Regular"/>
          <w:color w:val="auto"/>
          <w:kern w:val="2"/>
          <w:sz w:val="32"/>
          <w:szCs w:val="32"/>
          <w:highlight w:val="none"/>
          <w:lang w:val="en-US" w:eastAsia="zh-CN" w:bidi="ar-SA"/>
        </w:rPr>
      </w:pPr>
      <w:r>
        <w:rPr>
          <w:rFonts w:hint="eastAsia" w:ascii="Times New Roman Regular" w:hAnsi="Times New Roman Regular" w:eastAsia="仿宋_GB2312" w:cs="Times New Roman Regular"/>
          <w:color w:val="auto"/>
          <w:kern w:val="2"/>
          <w:sz w:val="32"/>
          <w:szCs w:val="32"/>
          <w:highlight w:val="none"/>
          <w:lang w:val="en-US" w:eastAsia="zh-CN" w:bidi="ar-SA"/>
        </w:rPr>
        <w:t>（1）资产配置程序：根据部门业务需求和实际工作需要，按照规定的审批流程申请资产配置，经过可行性研究、预算审核等环节，确保资产配置的合理性和必要性。</w:t>
      </w:r>
    </w:p>
    <w:p w14:paraId="52E5AD2E">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kern w:val="2"/>
          <w:sz w:val="32"/>
          <w:szCs w:val="32"/>
          <w:highlight w:val="none"/>
          <w:lang w:val="en-US" w:eastAsia="zh-CN" w:bidi="ar-SA"/>
        </w:rPr>
        <w:t>（2）资产处置程序：对于需要处置的资产，严格按照申报、评估、审批、处置的流程进行操作，通过公开招标、拍卖等方式进行处置，确保处置过程公开、公平、公正，处置收入按规定上缴国库。</w:t>
      </w:r>
    </w:p>
    <w:p w14:paraId="1F18CC36">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Regular" w:hAnsi="Times New Roman Regular" w:eastAsia="仿宋_GB2312" w:cs="Times New Roman Regular"/>
          <w:color w:val="auto"/>
          <w:kern w:val="2"/>
          <w:sz w:val="32"/>
          <w:szCs w:val="32"/>
          <w:highlight w:val="none"/>
          <w:lang w:val="en-US" w:eastAsia="zh-CN" w:bidi="ar-SA"/>
        </w:rPr>
      </w:pPr>
      <w:r>
        <w:rPr>
          <w:rFonts w:hint="eastAsia" w:ascii="方正黑体_GBK" w:hAnsi="方正黑体_GBK" w:eastAsia="方正黑体_GBK" w:cs="方正黑体_GBK"/>
          <w:b/>
          <w:bCs/>
          <w:color w:val="auto"/>
          <w:sz w:val="32"/>
          <w:szCs w:val="32"/>
          <w:highlight w:val="none"/>
          <w:lang w:val="en-US" w:eastAsia="zh-CN"/>
        </w:rPr>
        <w:t>五、</w:t>
      </w:r>
      <w:r>
        <w:rPr>
          <w:rFonts w:hint="default" w:ascii="方正黑体_GBK" w:hAnsi="方正黑体_GBK" w:eastAsia="方正黑体_GBK" w:cs="方正黑体_GBK"/>
          <w:b/>
          <w:bCs/>
          <w:color w:val="auto"/>
          <w:sz w:val="32"/>
          <w:szCs w:val="32"/>
          <w:highlight w:val="none"/>
          <w:lang w:val="en-US" w:eastAsia="zh-CN"/>
        </w:rPr>
        <w:t>政府性基金预算支出情况</w:t>
      </w:r>
    </w:p>
    <w:p w14:paraId="52F0F537">
      <w:pPr>
        <w:pStyle w:val="2"/>
        <w:keepNext w:val="0"/>
        <w:keepLines w:val="0"/>
        <w:pageBreakBefore w:val="0"/>
        <w:numPr>
          <w:ilvl w:val="0"/>
          <w:numId w:val="0"/>
        </w:numPr>
        <w:kinsoku/>
        <w:wordWrap/>
        <w:overflowPunct/>
        <w:topLinePunct w:val="0"/>
        <w:autoSpaceDE/>
        <w:autoSpaceDN/>
        <w:bidi w:val="0"/>
        <w:adjustRightInd/>
        <w:spacing w:after="0" w:line="560" w:lineRule="exact"/>
        <w:ind w:firstLine="640" w:firstLineChars="200"/>
        <w:textAlignment w:val="auto"/>
        <w:rPr>
          <w:rFonts w:hint="default" w:ascii="Times New Roman Regular" w:hAnsi="Times New Roman Regular" w:eastAsia="仿宋_GB2312" w:cs="Times New Roman Regular"/>
          <w:color w:val="auto"/>
          <w:kern w:val="2"/>
          <w:sz w:val="32"/>
          <w:szCs w:val="32"/>
          <w:highlight w:val="none"/>
          <w:lang w:val="en-US" w:eastAsia="zh-CN" w:bidi="ar-SA"/>
        </w:rPr>
      </w:pPr>
      <w:r>
        <w:rPr>
          <w:rFonts w:hint="eastAsia" w:ascii="Times New Roman Regular" w:hAnsi="Times New Roman Regular" w:eastAsia="仿宋_GB2312" w:cs="Times New Roman Regular"/>
          <w:color w:val="auto"/>
          <w:kern w:val="2"/>
          <w:sz w:val="32"/>
          <w:szCs w:val="32"/>
          <w:highlight w:val="none"/>
          <w:lang w:val="en-US" w:eastAsia="zh-CN" w:bidi="ar-SA"/>
        </w:rPr>
        <w:t>本单位无政府性基金预算支出。</w:t>
      </w:r>
    </w:p>
    <w:p w14:paraId="0618D30B">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Regular" w:hAnsi="Times New Roman Regular" w:eastAsia="仿宋_GB2312" w:cs="Times New Roman Regular"/>
          <w:color w:val="auto"/>
          <w:kern w:val="2"/>
          <w:sz w:val="32"/>
          <w:szCs w:val="32"/>
          <w:highlight w:val="none"/>
          <w:lang w:val="en-US" w:eastAsia="zh-CN" w:bidi="ar-SA"/>
        </w:rPr>
      </w:pPr>
      <w:r>
        <w:rPr>
          <w:rFonts w:hint="eastAsia" w:ascii="方正黑体_GBK" w:hAnsi="方正黑体_GBK" w:eastAsia="方正黑体_GBK" w:cs="方正黑体_GBK"/>
          <w:b/>
          <w:bCs/>
          <w:color w:val="auto"/>
          <w:sz w:val="32"/>
          <w:szCs w:val="32"/>
          <w:highlight w:val="none"/>
          <w:lang w:val="en-US" w:eastAsia="zh-CN"/>
        </w:rPr>
        <w:t>六、</w:t>
      </w:r>
      <w:r>
        <w:rPr>
          <w:rFonts w:hint="default" w:ascii="方正黑体_GBK" w:hAnsi="方正黑体_GBK" w:eastAsia="方正黑体_GBK" w:cs="方正黑体_GBK"/>
          <w:b/>
          <w:bCs/>
          <w:color w:val="auto"/>
          <w:sz w:val="32"/>
          <w:szCs w:val="32"/>
          <w:highlight w:val="none"/>
          <w:lang w:val="en-US" w:eastAsia="zh-CN"/>
        </w:rPr>
        <w:t>国有资本经营预算支出情况</w:t>
      </w:r>
    </w:p>
    <w:p w14:paraId="61B52D6C">
      <w:pPr>
        <w:pStyle w:val="2"/>
        <w:keepNext w:val="0"/>
        <w:keepLines w:val="0"/>
        <w:pageBreakBefore w:val="0"/>
        <w:numPr>
          <w:ilvl w:val="0"/>
          <w:numId w:val="0"/>
        </w:numPr>
        <w:kinsoku/>
        <w:wordWrap/>
        <w:overflowPunct/>
        <w:topLinePunct w:val="0"/>
        <w:autoSpaceDE/>
        <w:autoSpaceDN/>
        <w:bidi w:val="0"/>
        <w:adjustRightInd/>
        <w:spacing w:after="0" w:line="560" w:lineRule="exact"/>
        <w:ind w:leftChars="0"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kern w:val="2"/>
          <w:sz w:val="32"/>
          <w:szCs w:val="32"/>
          <w:highlight w:val="none"/>
          <w:lang w:val="en-US" w:eastAsia="zh-CN" w:bidi="ar-SA"/>
        </w:rPr>
        <w:t>本单位无国有资本经营预算支出。</w:t>
      </w:r>
    </w:p>
    <w:p w14:paraId="0D7CEE34">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r>
        <w:rPr>
          <w:rFonts w:hint="eastAsia" w:ascii="方正黑体_GBK" w:hAnsi="方正黑体_GBK" w:eastAsia="方正黑体_GBK" w:cs="方正黑体_GBK"/>
          <w:b/>
          <w:bCs/>
          <w:color w:val="auto"/>
          <w:sz w:val="32"/>
          <w:szCs w:val="32"/>
          <w:highlight w:val="none"/>
          <w:lang w:val="en-US" w:eastAsia="zh-CN"/>
        </w:rPr>
        <w:t>七、</w:t>
      </w:r>
      <w:r>
        <w:rPr>
          <w:rFonts w:hint="default" w:ascii="方正黑体_GBK" w:hAnsi="方正黑体_GBK" w:eastAsia="方正黑体_GBK" w:cs="方正黑体_GBK"/>
          <w:b/>
          <w:bCs/>
          <w:color w:val="auto"/>
          <w:sz w:val="32"/>
          <w:szCs w:val="32"/>
          <w:highlight w:val="none"/>
          <w:lang w:val="en-US" w:eastAsia="zh-CN"/>
        </w:rPr>
        <w:t>社会保险基金预算支出情况</w:t>
      </w:r>
    </w:p>
    <w:p w14:paraId="7E28991E">
      <w:pPr>
        <w:pStyle w:val="2"/>
        <w:keepNext w:val="0"/>
        <w:keepLines w:val="0"/>
        <w:pageBreakBefore w:val="0"/>
        <w:numPr>
          <w:ilvl w:val="0"/>
          <w:numId w:val="0"/>
        </w:numPr>
        <w:kinsoku/>
        <w:wordWrap/>
        <w:overflowPunct/>
        <w:topLinePunct w:val="0"/>
        <w:autoSpaceDE/>
        <w:autoSpaceDN/>
        <w:bidi w:val="0"/>
        <w:adjustRightInd/>
        <w:spacing w:after="0" w:line="560" w:lineRule="exact"/>
        <w:ind w:leftChars="0"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kern w:val="2"/>
          <w:sz w:val="32"/>
          <w:szCs w:val="32"/>
          <w:highlight w:val="none"/>
          <w:lang w:val="en-US" w:eastAsia="zh-CN" w:bidi="ar-SA"/>
        </w:rPr>
        <w:t>本单位无社会保险基金预算支出。</w:t>
      </w:r>
    </w:p>
    <w:p w14:paraId="18FFE525">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八、部门整体支出绩效情况</w:t>
      </w:r>
    </w:p>
    <w:p w14:paraId="7DD5E083">
      <w:pPr>
        <w:pStyle w:val="11"/>
        <w:keepNext w:val="0"/>
        <w:keepLines w:val="0"/>
        <w:pageBreakBefore w:val="0"/>
        <w:widowControl/>
        <w:shd w:val="clear" w:color="auto" w:fill="FFFFFF"/>
        <w:kinsoku/>
        <w:wordWrap/>
        <w:overflowPunct/>
        <w:topLinePunct w:val="0"/>
        <w:autoSpaceDE/>
        <w:autoSpaceDN/>
        <w:bidi w:val="0"/>
        <w:adjustRightInd/>
        <w:spacing w:beforeAutospacing="0" w:afterAutospacing="0" w:line="560" w:lineRule="exact"/>
        <w:ind w:firstLine="640" w:firstLineChars="200"/>
        <w:textAlignment w:val="auto"/>
        <w:rPr>
          <w:rFonts w:hint="eastAsia" w:ascii="Times New Roman Regular" w:hAnsi="Times New Roman Regular" w:eastAsia="仿宋_GB2312" w:cs="Times New Roman Regular"/>
          <w:color w:val="auto"/>
          <w:kern w:val="2"/>
          <w:sz w:val="32"/>
          <w:szCs w:val="32"/>
          <w:highlight w:val="none"/>
          <w:lang w:val="en-US" w:eastAsia="zh-CN" w:bidi="ar-SA"/>
        </w:rPr>
      </w:pPr>
      <w:r>
        <w:rPr>
          <w:rFonts w:hint="eastAsia" w:ascii="Times New Roman Regular" w:hAnsi="Times New Roman Regular" w:eastAsia="仿宋_GB2312" w:cs="Times New Roman Regular"/>
          <w:color w:val="auto"/>
          <w:kern w:val="2"/>
          <w:sz w:val="32"/>
          <w:szCs w:val="32"/>
          <w:highlight w:val="none"/>
          <w:lang w:val="en-US" w:eastAsia="zh-CN" w:bidi="ar-SA"/>
        </w:rPr>
        <w:t>（一）综合评价结论。反映自评得分及评价等级。</w:t>
      </w:r>
    </w:p>
    <w:p w14:paraId="50613876">
      <w:pPr>
        <w:pStyle w:val="11"/>
        <w:keepNext w:val="0"/>
        <w:keepLines w:val="0"/>
        <w:pageBreakBefore w:val="0"/>
        <w:widowControl/>
        <w:shd w:val="clear" w:color="auto" w:fill="FFFFFF"/>
        <w:kinsoku/>
        <w:wordWrap/>
        <w:overflowPunct/>
        <w:topLinePunct w:val="0"/>
        <w:autoSpaceDE/>
        <w:autoSpaceDN/>
        <w:bidi w:val="0"/>
        <w:adjustRightInd/>
        <w:snapToGrid w:val="0"/>
        <w:spacing w:beforeAutospacing="0" w:afterAutospacing="0" w:line="560" w:lineRule="exact"/>
        <w:ind w:firstLine="640" w:firstLineChars="200"/>
        <w:textAlignment w:val="auto"/>
        <w:rPr>
          <w:rFonts w:hint="eastAsia" w:ascii="Times New Roman Regular" w:hAnsi="Times New Roman Regular" w:eastAsia="仿宋_GB2312" w:cs="Times New Roman Regular"/>
          <w:color w:val="auto"/>
          <w:kern w:val="2"/>
          <w:sz w:val="32"/>
          <w:szCs w:val="32"/>
          <w:highlight w:val="none"/>
          <w:lang w:val="en-US" w:eastAsia="zh-CN" w:bidi="ar-SA"/>
        </w:rPr>
      </w:pPr>
      <w:r>
        <w:rPr>
          <w:rFonts w:hint="eastAsia" w:ascii="Times New Roman Regular" w:hAnsi="Times New Roman Regular" w:eastAsia="仿宋_GB2312" w:cs="Times New Roman Regular"/>
          <w:color w:val="auto"/>
          <w:kern w:val="2"/>
          <w:sz w:val="32"/>
          <w:szCs w:val="32"/>
          <w:highlight w:val="none"/>
          <w:lang w:val="en-US" w:eastAsia="zh-CN" w:bidi="ar-SA"/>
        </w:rPr>
        <w:t>根据评价指标体系测算，本部门2024年度部门整体支出绩效评价得分为95分，评分等级为优秀。</w:t>
      </w:r>
    </w:p>
    <w:p w14:paraId="739B94BB">
      <w:pPr>
        <w:pStyle w:val="11"/>
        <w:keepNext w:val="0"/>
        <w:keepLines w:val="0"/>
        <w:pageBreakBefore w:val="0"/>
        <w:widowControl/>
        <w:shd w:val="clear" w:color="auto" w:fill="FFFFFF"/>
        <w:kinsoku/>
        <w:wordWrap/>
        <w:overflowPunct/>
        <w:topLinePunct w:val="0"/>
        <w:autoSpaceDE/>
        <w:autoSpaceDN/>
        <w:bidi w:val="0"/>
        <w:adjustRightInd/>
        <w:spacing w:beforeAutospacing="0" w:afterAutospacing="0" w:line="560" w:lineRule="exact"/>
        <w:ind w:firstLine="640" w:firstLineChars="200"/>
        <w:textAlignment w:val="auto"/>
        <w:rPr>
          <w:rFonts w:hint="eastAsia" w:ascii="Times New Roman Regular" w:hAnsi="Times New Roman Regular" w:eastAsia="仿宋_GB2312" w:cs="Times New Roman Regular"/>
          <w:color w:val="auto"/>
          <w:kern w:val="2"/>
          <w:sz w:val="32"/>
          <w:szCs w:val="32"/>
          <w:highlight w:val="none"/>
          <w:lang w:val="en-US" w:eastAsia="zh-CN" w:bidi="ar-SA"/>
        </w:rPr>
      </w:pPr>
      <w:r>
        <w:rPr>
          <w:rFonts w:hint="eastAsia" w:ascii="Times New Roman Regular" w:hAnsi="Times New Roman Regular" w:eastAsia="仿宋_GB2312" w:cs="Times New Roman Regular"/>
          <w:color w:val="auto"/>
          <w:kern w:val="2"/>
          <w:sz w:val="32"/>
          <w:szCs w:val="32"/>
          <w:highlight w:val="none"/>
          <w:lang w:val="en-US" w:eastAsia="zh-CN" w:bidi="ar-SA"/>
        </w:rPr>
        <w:t>（二）评价指标分析（或综合评价情况）。</w:t>
      </w:r>
    </w:p>
    <w:p w14:paraId="36C9F105">
      <w:pPr>
        <w:pStyle w:val="11"/>
        <w:keepNext w:val="0"/>
        <w:keepLines w:val="0"/>
        <w:pageBreakBefore w:val="0"/>
        <w:widowControl/>
        <w:shd w:val="clear" w:color="auto" w:fill="FFFFFF"/>
        <w:kinsoku/>
        <w:wordWrap/>
        <w:overflowPunct/>
        <w:topLinePunct w:val="0"/>
        <w:autoSpaceDE/>
        <w:autoSpaceDN/>
        <w:bidi w:val="0"/>
        <w:adjustRightInd/>
        <w:spacing w:beforeAutospacing="0" w:afterAutospacing="0" w:line="560" w:lineRule="exact"/>
        <w:ind w:firstLine="640" w:firstLineChars="200"/>
        <w:textAlignment w:val="auto"/>
        <w:rPr>
          <w:rFonts w:hint="default" w:ascii="Times New Roman Regular" w:hAnsi="Times New Roman Regular" w:eastAsia="仿宋_GB2312" w:cs="Times New Roman Regular"/>
          <w:color w:val="auto"/>
          <w:kern w:val="2"/>
          <w:sz w:val="32"/>
          <w:szCs w:val="32"/>
          <w:highlight w:val="none"/>
          <w:lang w:val="en-US" w:eastAsia="zh-CN" w:bidi="ar-SA"/>
        </w:rPr>
      </w:pPr>
      <w:r>
        <w:rPr>
          <w:rFonts w:hint="eastAsia" w:ascii="Times New Roman Regular" w:hAnsi="Times New Roman Regular" w:eastAsia="仿宋_GB2312" w:cs="Times New Roman Regular"/>
          <w:color w:val="auto"/>
          <w:kern w:val="2"/>
          <w:sz w:val="32"/>
          <w:szCs w:val="32"/>
          <w:highlight w:val="none"/>
          <w:lang w:val="en-US" w:eastAsia="zh-CN" w:bidi="ar-SA"/>
        </w:rPr>
        <w:t>1.</w:t>
      </w:r>
      <w:r>
        <w:rPr>
          <w:rFonts w:hint="default" w:ascii="Times New Roman Regular" w:hAnsi="Times New Roman Regular" w:eastAsia="仿宋_GB2312" w:cs="Times New Roman Regular"/>
          <w:color w:val="auto"/>
          <w:kern w:val="2"/>
          <w:sz w:val="32"/>
          <w:szCs w:val="32"/>
          <w:highlight w:val="none"/>
          <w:lang w:val="en-US" w:eastAsia="zh-CN" w:bidi="ar-SA"/>
        </w:rPr>
        <w:t>运行成本：</w:t>
      </w:r>
    </w:p>
    <w:p w14:paraId="17184C90">
      <w:pPr>
        <w:pStyle w:val="11"/>
        <w:keepNext w:val="0"/>
        <w:keepLines w:val="0"/>
        <w:pageBreakBefore w:val="0"/>
        <w:widowControl/>
        <w:shd w:val="clear" w:color="auto" w:fill="FFFFFF"/>
        <w:kinsoku/>
        <w:wordWrap/>
        <w:overflowPunct/>
        <w:topLinePunct w:val="0"/>
        <w:autoSpaceDE/>
        <w:autoSpaceDN/>
        <w:bidi w:val="0"/>
        <w:adjustRightInd/>
        <w:spacing w:beforeAutospacing="0" w:afterAutospacing="0" w:line="560" w:lineRule="exact"/>
        <w:ind w:firstLine="640" w:firstLineChars="200"/>
        <w:textAlignment w:val="auto"/>
        <w:rPr>
          <w:rFonts w:hint="default" w:ascii="Times New Roman Regular" w:hAnsi="Times New Roman Regular" w:eastAsia="仿宋_GB2312" w:cs="Times New Roman Regular"/>
          <w:color w:val="auto"/>
          <w:kern w:val="2"/>
          <w:sz w:val="32"/>
          <w:szCs w:val="32"/>
          <w:highlight w:val="none"/>
          <w:lang w:val="en-US" w:eastAsia="zh-CN" w:bidi="ar-SA"/>
        </w:rPr>
      </w:pPr>
      <w:r>
        <w:rPr>
          <w:rFonts w:hint="default" w:ascii="Times New Roman Regular" w:hAnsi="Times New Roman Regular" w:eastAsia="仿宋_GB2312" w:cs="Times New Roman Regular"/>
          <w:color w:val="auto"/>
          <w:kern w:val="2"/>
          <w:sz w:val="32"/>
          <w:szCs w:val="32"/>
          <w:highlight w:val="none"/>
          <w:lang w:val="en-US" w:eastAsia="zh-CN" w:bidi="ar-SA"/>
        </w:rPr>
        <w:t>全年</w:t>
      </w:r>
      <w:r>
        <w:rPr>
          <w:rFonts w:hint="eastAsia" w:ascii="Times New Roman Regular" w:hAnsi="Times New Roman Regular" w:eastAsia="仿宋_GB2312" w:cs="Times New Roman Regular"/>
          <w:color w:val="auto"/>
          <w:kern w:val="2"/>
          <w:sz w:val="32"/>
          <w:szCs w:val="32"/>
          <w:highlight w:val="none"/>
          <w:lang w:val="en-US" w:eastAsia="zh-CN" w:bidi="ar-SA"/>
        </w:rPr>
        <w:t>预算</w:t>
      </w:r>
      <w:r>
        <w:rPr>
          <w:rFonts w:hint="default" w:ascii="Times New Roman Regular" w:hAnsi="Times New Roman Regular" w:eastAsia="仿宋_GB2312" w:cs="Times New Roman Regular"/>
          <w:color w:val="auto"/>
          <w:kern w:val="2"/>
          <w:sz w:val="32"/>
          <w:szCs w:val="32"/>
          <w:highlight w:val="none"/>
          <w:lang w:val="en-US" w:eastAsia="zh-CN" w:bidi="ar-SA"/>
        </w:rPr>
        <w:t>支出</w:t>
      </w:r>
      <w:r>
        <w:rPr>
          <w:rFonts w:hint="eastAsia" w:ascii="Times New Roman Regular" w:hAnsi="Times New Roman Regular" w:eastAsia="仿宋_GB2312" w:cs="Times New Roman Regular"/>
          <w:color w:val="auto"/>
          <w:kern w:val="2"/>
          <w:sz w:val="32"/>
          <w:szCs w:val="32"/>
          <w:highlight w:val="none"/>
          <w:lang w:val="en-US" w:eastAsia="zh-CN" w:bidi="ar-SA"/>
        </w:rPr>
        <w:t>2024年全年预算为3081.5万元，2024年实际支出3081.5万元，预算执行率100%。</w:t>
      </w:r>
      <w:r>
        <w:rPr>
          <w:rFonts w:hint="default" w:ascii="Times New Roman Regular" w:hAnsi="Times New Roman Regular" w:eastAsia="仿宋_GB2312" w:cs="Times New Roman Regular"/>
          <w:color w:val="auto"/>
          <w:kern w:val="2"/>
          <w:sz w:val="32"/>
          <w:szCs w:val="32"/>
          <w:highlight w:val="none"/>
          <w:lang w:val="en-US" w:eastAsia="zh-CN" w:bidi="ar-SA"/>
        </w:rPr>
        <w:t>通过集中采购、预算动态调整等措施，血液检测耗材成本同比下降，未出现超标准、超范围支出问题。</w:t>
      </w:r>
    </w:p>
    <w:p w14:paraId="6214C73C">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Regular" w:hAnsi="Times New Roman Regular" w:eastAsia="仿宋_GB2312" w:cs="Times New Roman Regular"/>
          <w:color w:val="auto"/>
          <w:kern w:val="2"/>
          <w:sz w:val="32"/>
          <w:szCs w:val="32"/>
          <w:highlight w:val="none"/>
          <w:lang w:val="en-US" w:eastAsia="zh-CN" w:bidi="ar-SA"/>
        </w:rPr>
      </w:pPr>
      <w:r>
        <w:rPr>
          <w:rFonts w:hint="eastAsia" w:ascii="Times New Roman Regular" w:hAnsi="Times New Roman Regular" w:eastAsia="仿宋_GB2312" w:cs="Times New Roman Regular"/>
          <w:color w:val="auto"/>
          <w:kern w:val="2"/>
          <w:sz w:val="32"/>
          <w:szCs w:val="32"/>
          <w:highlight w:val="none"/>
          <w:lang w:val="en-US" w:eastAsia="zh-CN" w:bidi="ar-SA"/>
        </w:rPr>
        <w:t>2.</w:t>
      </w:r>
      <w:r>
        <w:rPr>
          <w:rFonts w:hint="default" w:ascii="Times New Roman Regular" w:hAnsi="Times New Roman Regular" w:eastAsia="仿宋_GB2312" w:cs="Times New Roman Regular"/>
          <w:color w:val="auto"/>
          <w:kern w:val="2"/>
          <w:sz w:val="32"/>
          <w:szCs w:val="32"/>
          <w:highlight w:val="none"/>
          <w:lang w:val="en-US" w:eastAsia="zh-CN" w:bidi="ar-SA"/>
        </w:rPr>
        <w:t>管理效率：</w:t>
      </w:r>
    </w:p>
    <w:p w14:paraId="5A5277F3">
      <w:pPr>
        <w:pStyle w:val="4"/>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firstLine="640" w:firstLineChars="200"/>
        <w:textAlignment w:val="auto"/>
        <w:rPr>
          <w:rFonts w:hint="default" w:ascii="Times New Roman Regular" w:hAnsi="Times New Roman Regular" w:eastAsia="仿宋_GB2312" w:cs="Times New Roman Regular"/>
          <w:color w:val="auto"/>
          <w:kern w:val="2"/>
          <w:sz w:val="32"/>
          <w:szCs w:val="32"/>
          <w:highlight w:val="none"/>
          <w:lang w:val="en-US" w:eastAsia="zh-CN" w:bidi="ar-SA"/>
        </w:rPr>
      </w:pPr>
      <w:r>
        <w:rPr>
          <w:rFonts w:hint="default" w:ascii="Times New Roman Regular" w:hAnsi="Times New Roman Regular" w:eastAsia="仿宋_GB2312" w:cs="Times New Roman Regular"/>
          <w:color w:val="auto"/>
          <w:kern w:val="2"/>
          <w:sz w:val="32"/>
          <w:szCs w:val="32"/>
          <w:highlight w:val="none"/>
          <w:lang w:val="en-US" w:eastAsia="zh-CN" w:bidi="ar-SA"/>
        </w:rPr>
        <w:t>建立“二上二下”预算编制流程，重大项目实行“事前绩效评估-事中监控-事后评价”全周期管理，202</w:t>
      </w:r>
      <w:r>
        <w:rPr>
          <w:rFonts w:hint="eastAsia" w:ascii="Times New Roman Regular" w:hAnsi="Times New Roman Regular" w:eastAsia="仿宋_GB2312" w:cs="Times New Roman Regular"/>
          <w:color w:val="auto"/>
          <w:kern w:val="2"/>
          <w:sz w:val="32"/>
          <w:szCs w:val="32"/>
          <w:highlight w:val="none"/>
          <w:lang w:val="en-US" w:eastAsia="zh-CN" w:bidi="ar-SA"/>
        </w:rPr>
        <w:t>4</w:t>
      </w:r>
      <w:r>
        <w:rPr>
          <w:rFonts w:hint="default" w:ascii="Times New Roman Regular" w:hAnsi="Times New Roman Regular" w:eastAsia="仿宋_GB2312" w:cs="Times New Roman Regular"/>
          <w:color w:val="auto"/>
          <w:kern w:val="2"/>
          <w:sz w:val="32"/>
          <w:szCs w:val="32"/>
          <w:highlight w:val="none"/>
          <w:lang w:val="en-US" w:eastAsia="zh-CN" w:bidi="ar-SA"/>
        </w:rPr>
        <w:t>年重点项目绩效目标申报率100%，监控覆盖率100%。固定资产台账清晰</w:t>
      </w:r>
      <w:r>
        <w:rPr>
          <w:rFonts w:hint="eastAsia" w:ascii="Times New Roman Regular" w:hAnsi="Times New Roman Regular" w:eastAsia="仿宋_GB2312" w:cs="Times New Roman Regular"/>
          <w:color w:val="auto"/>
          <w:kern w:val="2"/>
          <w:sz w:val="32"/>
          <w:szCs w:val="32"/>
          <w:highlight w:val="none"/>
          <w:lang w:val="en-US" w:eastAsia="zh-CN" w:bidi="ar-SA"/>
        </w:rPr>
        <w:t>，管理规范</w:t>
      </w:r>
      <w:r>
        <w:rPr>
          <w:rFonts w:hint="default" w:ascii="Times New Roman Regular" w:hAnsi="Times New Roman Regular" w:eastAsia="仿宋_GB2312" w:cs="Times New Roman Regular"/>
          <w:color w:val="auto"/>
          <w:kern w:val="2"/>
          <w:sz w:val="32"/>
          <w:szCs w:val="32"/>
          <w:highlight w:val="none"/>
          <w:lang w:val="en-US" w:eastAsia="zh-CN" w:bidi="ar-SA"/>
        </w:rPr>
        <w:t>。修订《财务管理制度》《采购管理办法》等制度，全年未发生违规使用资金问题</w:t>
      </w:r>
      <w:r>
        <w:rPr>
          <w:rFonts w:hint="eastAsia" w:ascii="Times New Roman Regular" w:hAnsi="Times New Roman Regular" w:eastAsia="仿宋_GB2312" w:cs="Times New Roman Regular"/>
          <w:color w:val="auto"/>
          <w:kern w:val="2"/>
          <w:sz w:val="32"/>
          <w:szCs w:val="32"/>
          <w:highlight w:val="none"/>
          <w:lang w:val="en-US" w:eastAsia="zh-CN" w:bidi="ar-SA"/>
        </w:rPr>
        <w:t>，</w:t>
      </w:r>
      <w:r>
        <w:rPr>
          <w:rFonts w:hint="eastAsia" w:ascii="Times New Roman Regular" w:hAnsi="Times New Roman Regular" w:eastAsia="仿宋_GB2312" w:cs="Times New Roman Regular"/>
          <w:color w:val="auto"/>
          <w:sz w:val="32"/>
          <w:szCs w:val="32"/>
          <w:highlight w:val="none"/>
          <w:lang w:val="en-US" w:eastAsia="zh-CN"/>
        </w:rPr>
        <w:t>充分发挥资金的使用效益，效果良好。</w:t>
      </w:r>
    </w:p>
    <w:p w14:paraId="5544B9F9">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Regular" w:hAnsi="Times New Roman Regular" w:eastAsia="仿宋_GB2312" w:cs="Times New Roman Regular"/>
          <w:color w:val="auto"/>
          <w:kern w:val="2"/>
          <w:sz w:val="32"/>
          <w:szCs w:val="32"/>
          <w:highlight w:val="none"/>
          <w:lang w:val="en-US" w:eastAsia="zh-CN" w:bidi="ar-SA"/>
        </w:rPr>
      </w:pPr>
      <w:r>
        <w:rPr>
          <w:rFonts w:hint="eastAsia" w:ascii="Times New Roman Regular" w:hAnsi="Times New Roman Regular" w:eastAsia="仿宋_GB2312" w:cs="Times New Roman Regular"/>
          <w:color w:val="auto"/>
          <w:kern w:val="2"/>
          <w:sz w:val="32"/>
          <w:szCs w:val="32"/>
          <w:highlight w:val="none"/>
          <w:lang w:val="en-US" w:eastAsia="zh-CN" w:bidi="ar-SA"/>
        </w:rPr>
        <w:t>3.</w:t>
      </w:r>
      <w:r>
        <w:rPr>
          <w:rFonts w:hint="default" w:ascii="Times New Roman Regular" w:hAnsi="Times New Roman Regular" w:eastAsia="仿宋_GB2312" w:cs="Times New Roman Regular"/>
          <w:color w:val="auto"/>
          <w:kern w:val="2"/>
          <w:sz w:val="32"/>
          <w:szCs w:val="32"/>
          <w:highlight w:val="none"/>
          <w:lang w:val="en-US" w:eastAsia="zh-CN" w:bidi="ar-SA"/>
        </w:rPr>
        <w:t>履职效能：</w:t>
      </w:r>
    </w:p>
    <w:p w14:paraId="6DE23D51">
      <w:pPr>
        <w:pStyle w:val="4"/>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firstLine="640" w:firstLineChars="200"/>
        <w:textAlignment w:val="auto"/>
        <w:rPr>
          <w:rFonts w:hint="eastAsia" w:ascii="Times New Roman Regular" w:hAnsi="Times New Roman Regular" w:eastAsia="仿宋_GB2312" w:cs="Times New Roman Regular"/>
          <w:color w:val="auto"/>
          <w:kern w:val="2"/>
          <w:sz w:val="32"/>
          <w:szCs w:val="32"/>
          <w:highlight w:val="none"/>
          <w:lang w:val="en-US" w:eastAsia="zh-CN" w:bidi="ar-SA"/>
        </w:rPr>
      </w:pPr>
      <w:r>
        <w:rPr>
          <w:rFonts w:hint="eastAsia" w:ascii="Times New Roman Regular" w:hAnsi="Times New Roman Regular" w:eastAsia="仿宋_GB2312" w:cs="Times New Roman Regular"/>
          <w:color w:val="auto"/>
          <w:kern w:val="2"/>
          <w:sz w:val="32"/>
          <w:szCs w:val="32"/>
          <w:highlight w:val="none"/>
          <w:lang w:val="en-US" w:eastAsia="zh-CN" w:bidi="ar-SA"/>
        </w:rPr>
        <w:t>（1）血液采集：</w:t>
      </w:r>
      <w:r>
        <w:rPr>
          <w:rFonts w:hint="default" w:ascii="Times New Roman Regular" w:hAnsi="Times New Roman Regular" w:eastAsia="仿宋_GB2312" w:cs="Times New Roman Regular"/>
          <w:color w:val="auto"/>
          <w:kern w:val="2"/>
          <w:sz w:val="32"/>
          <w:szCs w:val="32"/>
          <w:highlight w:val="none"/>
          <w:lang w:val="en-US" w:eastAsia="zh-CN" w:bidi="ar-SA"/>
        </w:rPr>
        <w:t>2024年全市累计37261人次参加无偿献血，捐献血液14.08吨，自愿无偿献血率100%，其中捐献全血35503人次，13.45吨，单采成分血1758人次，3180个治疗量。</w:t>
      </w:r>
      <w:r>
        <w:rPr>
          <w:rFonts w:hint="eastAsia" w:ascii="Times New Roman Regular" w:hAnsi="Times New Roman Regular" w:eastAsia="仿宋_GB2312" w:cs="Times New Roman Regular"/>
          <w:color w:val="auto"/>
          <w:kern w:val="2"/>
          <w:sz w:val="32"/>
          <w:szCs w:val="32"/>
          <w:highlight w:val="none"/>
          <w:lang w:val="en-US" w:eastAsia="zh-CN" w:bidi="ar-SA"/>
        </w:rPr>
        <w:t>采血量完成率93.87%，未完成年初采血量15吨的目标。采血量指标未完成原因为全国无偿献血大环境不好，市民无偿献血意识不强，整体采血量均呈下降状态。除采血量指标未完成外，其余指标均已完成。</w:t>
      </w:r>
    </w:p>
    <w:p w14:paraId="56605F09">
      <w:pPr>
        <w:pStyle w:val="4"/>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firstLine="640" w:firstLineChars="200"/>
        <w:textAlignment w:val="auto"/>
        <w:rPr>
          <w:rFonts w:hint="default" w:ascii="Times New Roman Regular" w:hAnsi="Times New Roman Regular" w:eastAsia="仿宋_GB2312" w:cs="Times New Roman Regular"/>
          <w:color w:val="auto"/>
          <w:kern w:val="2"/>
          <w:sz w:val="32"/>
          <w:szCs w:val="32"/>
          <w:highlight w:val="none"/>
          <w:lang w:val="en-US" w:eastAsia="zh-CN" w:bidi="ar-SA"/>
        </w:rPr>
      </w:pPr>
      <w:r>
        <w:rPr>
          <w:rFonts w:hint="eastAsia" w:ascii="Times New Roman Regular" w:hAnsi="Times New Roman Regular" w:eastAsia="仿宋_GB2312" w:cs="Times New Roman Regular"/>
          <w:color w:val="auto"/>
          <w:kern w:val="2"/>
          <w:sz w:val="32"/>
          <w:szCs w:val="32"/>
          <w:highlight w:val="none"/>
          <w:lang w:val="en-US" w:eastAsia="zh-CN" w:bidi="ar-SA"/>
        </w:rPr>
        <w:t>（2）血液供应：</w:t>
      </w:r>
      <w:r>
        <w:rPr>
          <w:rFonts w:hint="default" w:ascii="Times New Roman Regular" w:hAnsi="Times New Roman Regular" w:eastAsia="仿宋_GB2312" w:cs="Times New Roman Regular"/>
          <w:color w:val="auto"/>
          <w:kern w:val="2"/>
          <w:sz w:val="32"/>
          <w:szCs w:val="32"/>
          <w:highlight w:val="none"/>
          <w:lang w:val="en-US" w:eastAsia="zh-CN" w:bidi="ar-SA"/>
        </w:rPr>
        <w:t>2024年临床供血总量27.24吨</w:t>
      </w:r>
      <w:r>
        <w:rPr>
          <w:rFonts w:hint="eastAsia" w:ascii="Times New Roman Regular" w:hAnsi="Times New Roman Regular" w:eastAsia="仿宋_GB2312" w:cs="Times New Roman Regular"/>
          <w:color w:val="auto"/>
          <w:kern w:val="2"/>
          <w:sz w:val="32"/>
          <w:szCs w:val="32"/>
          <w:highlight w:val="none"/>
          <w:lang w:val="en-US" w:eastAsia="zh-CN" w:bidi="ar-SA"/>
        </w:rPr>
        <w:t>，保持采供血动态平衡，保障我市临床用血需要。</w:t>
      </w:r>
      <w:r>
        <w:rPr>
          <w:rFonts w:hint="default" w:ascii="Times New Roman Regular" w:hAnsi="Times New Roman Regular" w:eastAsia="仿宋_GB2312" w:cs="Times New Roman Regular"/>
          <w:color w:val="auto"/>
          <w:kern w:val="2"/>
          <w:sz w:val="32"/>
          <w:szCs w:val="32"/>
          <w:highlight w:val="none"/>
          <w:lang w:val="en-US" w:eastAsia="zh-CN" w:bidi="ar-SA"/>
        </w:rPr>
        <w:t>其中：红细胞类65561.65U</w:t>
      </w:r>
      <w:r>
        <w:rPr>
          <w:rFonts w:hint="eastAsia" w:ascii="Times New Roman Regular" w:hAnsi="Times New Roman Regular" w:eastAsia="仿宋_GB2312" w:cs="Times New Roman Regular"/>
          <w:color w:val="auto"/>
          <w:kern w:val="2"/>
          <w:sz w:val="32"/>
          <w:szCs w:val="32"/>
          <w:highlight w:val="none"/>
          <w:lang w:val="en-US" w:eastAsia="zh-CN" w:bidi="ar-SA"/>
        </w:rPr>
        <w:t>；</w:t>
      </w:r>
      <w:r>
        <w:rPr>
          <w:rFonts w:hint="default" w:ascii="Times New Roman Regular" w:hAnsi="Times New Roman Regular" w:eastAsia="仿宋_GB2312" w:cs="Times New Roman Regular"/>
          <w:color w:val="auto"/>
          <w:kern w:val="2"/>
          <w:sz w:val="32"/>
          <w:szCs w:val="32"/>
          <w:highlight w:val="none"/>
          <w:lang w:val="en-US" w:eastAsia="zh-CN" w:bidi="ar-SA"/>
        </w:rPr>
        <w:t>血浆50079.25U</w:t>
      </w:r>
      <w:r>
        <w:rPr>
          <w:rFonts w:hint="eastAsia" w:ascii="Times New Roman Regular" w:hAnsi="Times New Roman Regular" w:eastAsia="仿宋_GB2312" w:cs="Times New Roman Regular"/>
          <w:color w:val="auto"/>
          <w:kern w:val="2"/>
          <w:sz w:val="32"/>
          <w:szCs w:val="32"/>
          <w:highlight w:val="none"/>
          <w:lang w:val="en-US" w:eastAsia="zh-CN" w:bidi="ar-SA"/>
        </w:rPr>
        <w:t>；</w:t>
      </w:r>
      <w:r>
        <w:rPr>
          <w:rFonts w:hint="default" w:ascii="Times New Roman Regular" w:hAnsi="Times New Roman Regular" w:eastAsia="仿宋_GB2312" w:cs="Times New Roman Regular"/>
          <w:color w:val="auto"/>
          <w:kern w:val="2"/>
          <w:sz w:val="32"/>
          <w:szCs w:val="32"/>
          <w:highlight w:val="none"/>
          <w:lang w:val="en-US" w:eastAsia="zh-CN" w:bidi="ar-SA"/>
        </w:rPr>
        <w:t>冷沉淀17430.5U</w:t>
      </w:r>
      <w:r>
        <w:rPr>
          <w:rFonts w:hint="eastAsia" w:ascii="Times New Roman Regular" w:hAnsi="Times New Roman Regular" w:eastAsia="仿宋_GB2312" w:cs="Times New Roman Regular"/>
          <w:color w:val="auto"/>
          <w:kern w:val="2"/>
          <w:sz w:val="32"/>
          <w:szCs w:val="32"/>
          <w:highlight w:val="none"/>
          <w:lang w:val="en-US" w:eastAsia="zh-CN" w:bidi="ar-SA"/>
        </w:rPr>
        <w:t>；</w:t>
      </w:r>
      <w:r>
        <w:rPr>
          <w:rFonts w:hint="default" w:ascii="Times New Roman Regular" w:hAnsi="Times New Roman Regular" w:eastAsia="仿宋_GB2312" w:cs="Times New Roman Regular"/>
          <w:color w:val="auto"/>
          <w:kern w:val="2"/>
          <w:sz w:val="32"/>
          <w:szCs w:val="32"/>
          <w:highlight w:val="none"/>
          <w:lang w:val="en-US" w:eastAsia="zh-CN" w:bidi="ar-SA"/>
        </w:rPr>
        <w:t>血小板类3155治疗量。</w:t>
      </w:r>
    </w:p>
    <w:p w14:paraId="35BC9557">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Regular" w:hAnsi="Times New Roman Regular" w:eastAsia="仿宋_GB2312" w:cs="Times New Roman Regular"/>
          <w:color w:val="auto"/>
          <w:kern w:val="2"/>
          <w:sz w:val="32"/>
          <w:szCs w:val="32"/>
          <w:highlight w:val="none"/>
          <w:lang w:val="en-US" w:eastAsia="zh-CN" w:bidi="ar-SA"/>
        </w:rPr>
      </w:pPr>
      <w:r>
        <w:rPr>
          <w:rFonts w:hint="eastAsia" w:ascii="Times New Roman Regular" w:hAnsi="Times New Roman Regular" w:eastAsia="仿宋_GB2312" w:cs="Times New Roman Regular"/>
          <w:color w:val="auto"/>
          <w:kern w:val="2"/>
          <w:sz w:val="32"/>
          <w:szCs w:val="32"/>
          <w:highlight w:val="none"/>
          <w:lang w:val="en-US" w:eastAsia="zh-CN" w:bidi="ar-SA"/>
        </w:rPr>
        <w:t>（3）</w:t>
      </w:r>
      <w:r>
        <w:rPr>
          <w:rFonts w:hint="default" w:ascii="Times New Roman Regular" w:hAnsi="Times New Roman Regular" w:eastAsia="仿宋_GB2312" w:cs="Times New Roman Regular"/>
          <w:color w:val="auto"/>
          <w:kern w:val="2"/>
          <w:sz w:val="32"/>
          <w:szCs w:val="32"/>
          <w:highlight w:val="none"/>
          <w:lang w:val="en-US" w:eastAsia="zh-CN" w:bidi="ar-SA"/>
        </w:rPr>
        <w:t>血液安全：检测项目全覆盖，</w:t>
      </w:r>
      <w:r>
        <w:rPr>
          <w:rFonts w:hint="eastAsia" w:ascii="Times New Roman Regular" w:hAnsi="Times New Roman Regular" w:eastAsia="仿宋_GB2312" w:cs="Times New Roman Regular"/>
          <w:color w:val="auto"/>
          <w:kern w:val="2"/>
          <w:sz w:val="32"/>
          <w:szCs w:val="32"/>
          <w:highlight w:val="none"/>
          <w:lang w:val="en-US" w:eastAsia="zh-CN" w:bidi="ar-SA"/>
        </w:rPr>
        <w:t>坚持两遍酶免一遍核酸检测，保证供应临床血液核酸检测率100%。实验室全年检测献血者标本37183份，合格率98%；检测核酸标本36585份，合格率99%；人类嗜T淋巴细胞病毒检测覆盖率100%；参加国家室间质评3次、省室间质评2次、省疾控中心室间质评1次，评价结果均为优秀。</w:t>
      </w:r>
      <w:r>
        <w:rPr>
          <w:rFonts w:hint="default" w:ascii="Times New Roman Regular" w:hAnsi="Times New Roman Regular" w:eastAsia="仿宋_GB2312" w:cs="Times New Roman Regular"/>
          <w:color w:val="auto"/>
          <w:kern w:val="2"/>
          <w:sz w:val="32"/>
          <w:szCs w:val="32"/>
          <w:highlight w:val="none"/>
          <w:lang w:val="en-US" w:eastAsia="zh-CN" w:bidi="ar-SA"/>
        </w:rPr>
        <w:t>经血传播疾病漏检率为0</w:t>
      </w:r>
      <w:r>
        <w:rPr>
          <w:rFonts w:hint="eastAsia" w:ascii="Times New Roman Regular" w:hAnsi="Times New Roman Regular" w:eastAsia="仿宋_GB2312" w:cs="Times New Roman Regular"/>
          <w:color w:val="auto"/>
          <w:kern w:val="2"/>
          <w:sz w:val="32"/>
          <w:szCs w:val="32"/>
          <w:highlight w:val="none"/>
          <w:lang w:val="en-US" w:eastAsia="zh-CN" w:bidi="ar-SA"/>
        </w:rPr>
        <w:t>，显著</w:t>
      </w:r>
      <w:r>
        <w:rPr>
          <w:rFonts w:hint="eastAsia" w:ascii="Times New Roman Regular" w:hAnsi="Times New Roman Regular" w:eastAsia="仿宋_GB2312" w:cs="Times New Roman Regular"/>
          <w:color w:val="auto"/>
          <w:sz w:val="32"/>
          <w:szCs w:val="32"/>
          <w:highlight w:val="none"/>
          <w:lang w:val="en-US" w:eastAsia="zh-CN"/>
        </w:rPr>
        <w:t>控制艾滋病等血液传染病经血液传播</w:t>
      </w:r>
      <w:r>
        <w:rPr>
          <w:rFonts w:hint="default" w:ascii="Times New Roman Regular" w:hAnsi="Times New Roman Regular" w:eastAsia="仿宋_GB2312" w:cs="Times New Roman Regular"/>
          <w:color w:val="auto"/>
          <w:kern w:val="2"/>
          <w:sz w:val="32"/>
          <w:szCs w:val="32"/>
          <w:highlight w:val="none"/>
          <w:lang w:val="en-US" w:eastAsia="zh-CN" w:bidi="ar-SA"/>
        </w:rPr>
        <w:t>。</w:t>
      </w:r>
    </w:p>
    <w:p w14:paraId="3BCBD7AF">
      <w:pPr>
        <w:pStyle w:val="4"/>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firstLine="640" w:firstLineChars="200"/>
        <w:textAlignment w:val="auto"/>
        <w:rPr>
          <w:rFonts w:hint="default" w:ascii="Times New Roman Regular" w:hAnsi="Times New Roman Regular" w:eastAsia="仿宋_GB2312" w:cs="Times New Roman Regular"/>
          <w:color w:val="auto"/>
          <w:kern w:val="2"/>
          <w:sz w:val="32"/>
          <w:szCs w:val="32"/>
          <w:highlight w:val="none"/>
          <w:lang w:val="en-US" w:eastAsia="zh-CN" w:bidi="ar-SA"/>
        </w:rPr>
      </w:pPr>
      <w:r>
        <w:rPr>
          <w:rFonts w:hint="eastAsia" w:ascii="Times New Roman Regular" w:hAnsi="Times New Roman Regular" w:eastAsia="仿宋_GB2312" w:cs="Times New Roman Regular"/>
          <w:color w:val="auto"/>
          <w:kern w:val="2"/>
          <w:sz w:val="32"/>
          <w:szCs w:val="32"/>
          <w:highlight w:val="none"/>
          <w:lang w:val="en-US" w:eastAsia="zh-CN" w:bidi="ar-SA"/>
        </w:rPr>
        <w:t>（4）全流程质控：采取多种措施对采供血流程进行全程监控，未发生血液质量安全事故，</w:t>
      </w:r>
      <w:r>
        <w:rPr>
          <w:rFonts w:hint="eastAsia" w:ascii="Times New Roman Regular" w:hAnsi="Times New Roman Regular" w:eastAsia="仿宋_GB2312" w:cs="Times New Roman Regular"/>
          <w:color w:val="auto"/>
          <w:sz w:val="32"/>
          <w:szCs w:val="32"/>
          <w:highlight w:val="none"/>
          <w:lang w:val="en-US" w:eastAsia="zh-CN"/>
        </w:rPr>
        <w:t>采供血安全事故及时阻断并得到有效控制</w:t>
      </w:r>
      <w:r>
        <w:rPr>
          <w:rFonts w:hint="default" w:ascii="Times New Roman Regular" w:hAnsi="Times New Roman Regular" w:eastAsia="仿宋_GB2312" w:cs="Times New Roman Regular"/>
          <w:color w:val="auto"/>
          <w:kern w:val="2"/>
          <w:sz w:val="32"/>
          <w:szCs w:val="32"/>
          <w:highlight w:val="none"/>
          <w:lang w:val="en-US" w:eastAsia="zh-CN" w:bidi="ar-SA"/>
        </w:rPr>
        <w:t>。</w:t>
      </w:r>
      <w:r>
        <w:rPr>
          <w:rFonts w:hint="eastAsia" w:ascii="Times New Roman Regular" w:hAnsi="Times New Roman Regular" w:eastAsia="仿宋_GB2312" w:cs="Times New Roman Regular"/>
          <w:color w:val="auto"/>
          <w:kern w:val="2"/>
          <w:sz w:val="32"/>
          <w:szCs w:val="32"/>
          <w:highlight w:val="none"/>
          <w:lang w:val="en-US" w:eastAsia="zh-CN" w:bidi="ar-SA"/>
        </w:rPr>
        <w:t>定期抽检起始血液及成品库的血液及血液成分；每月对采供血流程进行工艺卫生监控；对每批次检测试剂及重要的原辅材料进行质量抽查。全年召开质量分析会12次，开展全站性的业务培训4次，日常环节和过程质量检查127次。全方位筑牢血液质量安全防线，确保血液符合《全血及成分血质量要求》。</w:t>
      </w:r>
    </w:p>
    <w:p w14:paraId="191E5F49">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Regular" w:hAnsi="Times New Roman Regular" w:eastAsia="仿宋_GB2312" w:cs="Times New Roman Regular"/>
          <w:color w:val="auto"/>
          <w:kern w:val="2"/>
          <w:sz w:val="32"/>
          <w:szCs w:val="32"/>
          <w:highlight w:val="none"/>
          <w:lang w:val="en-US" w:eastAsia="zh-CN" w:bidi="ar-SA"/>
        </w:rPr>
      </w:pPr>
      <w:r>
        <w:rPr>
          <w:rFonts w:hint="eastAsia" w:ascii="Times New Roman Regular" w:hAnsi="Times New Roman Regular" w:eastAsia="仿宋_GB2312" w:cs="Times New Roman Regular"/>
          <w:color w:val="auto"/>
          <w:kern w:val="2"/>
          <w:sz w:val="32"/>
          <w:szCs w:val="32"/>
          <w:highlight w:val="none"/>
          <w:lang w:val="en-US" w:eastAsia="zh-CN" w:bidi="ar-SA"/>
        </w:rPr>
        <w:t>4.</w:t>
      </w:r>
      <w:r>
        <w:rPr>
          <w:rFonts w:hint="default" w:ascii="Times New Roman Regular" w:hAnsi="Times New Roman Regular" w:eastAsia="仿宋_GB2312" w:cs="Times New Roman Regular"/>
          <w:color w:val="auto"/>
          <w:kern w:val="2"/>
          <w:sz w:val="32"/>
          <w:szCs w:val="32"/>
          <w:highlight w:val="none"/>
          <w:lang w:val="en-US" w:eastAsia="zh-CN" w:bidi="ar-SA"/>
        </w:rPr>
        <w:t>社会效应：</w:t>
      </w:r>
    </w:p>
    <w:p w14:paraId="73D1DD53">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Times New Roman Regular" w:hAnsi="Times New Roman Regular" w:eastAsia="仿宋_GB2312" w:cs="Times New Roman Regular"/>
          <w:color w:val="auto"/>
          <w:kern w:val="2"/>
          <w:sz w:val="32"/>
          <w:szCs w:val="32"/>
          <w:highlight w:val="none"/>
          <w:lang w:val="en-US" w:eastAsia="zh-CN" w:bidi="ar-SA"/>
        </w:rPr>
      </w:pPr>
      <w:r>
        <w:rPr>
          <w:rFonts w:hint="eastAsia" w:ascii="Times New Roman Regular" w:hAnsi="Times New Roman Regular" w:eastAsia="仿宋_GB2312" w:cs="Times New Roman Regular"/>
          <w:color w:val="auto"/>
          <w:kern w:val="2"/>
          <w:sz w:val="32"/>
          <w:szCs w:val="32"/>
          <w:highlight w:val="none"/>
          <w:lang w:val="en-US" w:eastAsia="zh-CN" w:bidi="ar-SA"/>
        </w:rPr>
        <w:t>（1）2024年1月为全国无偿献血奉献奖金奖获得者等发放爱心公交卡212张。11月实现全国无偿献血者奉献奖金奖获得者等在全市二级以上公立医院就诊免交门诊诊查费。</w:t>
      </w:r>
    </w:p>
    <w:p w14:paraId="697B8F1E">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Times New Roman Regular" w:hAnsi="Times New Roman Regular" w:eastAsia="仿宋_GB2312" w:cs="Times New Roman Regular"/>
          <w:color w:val="auto"/>
          <w:kern w:val="2"/>
          <w:sz w:val="32"/>
          <w:szCs w:val="32"/>
          <w:highlight w:val="none"/>
          <w:lang w:val="en-US" w:eastAsia="zh-CN" w:bidi="ar-SA"/>
        </w:rPr>
      </w:pPr>
      <w:r>
        <w:rPr>
          <w:rFonts w:hint="eastAsia" w:ascii="Times New Roman Regular" w:hAnsi="Times New Roman Regular" w:eastAsia="仿宋_GB2312" w:cs="Times New Roman Regular"/>
          <w:color w:val="auto"/>
          <w:kern w:val="2"/>
          <w:sz w:val="32"/>
          <w:szCs w:val="32"/>
          <w:highlight w:val="none"/>
          <w:lang w:val="en-US" w:eastAsia="zh-CN" w:bidi="ar-SA"/>
        </w:rPr>
        <w:t>（2）实施“无偿献血，优先用血”血液联动保障机制，在保障急危重症和孕产妇等重点人群用血前提下，无偿献血者本人及其配偶、父母、子女、配偶父母、祖父母、外祖父母、孙子女、外孙子女可享受优先用血权益，实现“一人献血，全家受益”。搭建了优先用血平台，微信公众号开通优先用血申请，为献血者亲属提供了快捷、方便的优先用血申请。11月6日开通以来，为813位献血者办理了优先用血服务，优先用血326400毫升。</w:t>
      </w:r>
    </w:p>
    <w:p w14:paraId="18DAFE66">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Times New Roman Regular" w:hAnsi="Times New Roman Regular" w:eastAsia="仿宋_GB2312" w:cs="Times New Roman Regular"/>
          <w:color w:val="auto"/>
          <w:kern w:val="2"/>
          <w:sz w:val="32"/>
          <w:szCs w:val="32"/>
          <w:highlight w:val="none"/>
          <w:lang w:val="en-US" w:eastAsia="zh-CN" w:bidi="ar-SA"/>
        </w:rPr>
      </w:pPr>
      <w:r>
        <w:rPr>
          <w:rFonts w:hint="eastAsia" w:ascii="Times New Roman Regular" w:hAnsi="Times New Roman Regular" w:eastAsia="仿宋_GB2312" w:cs="Times New Roman Regular"/>
          <w:color w:val="auto"/>
          <w:kern w:val="2"/>
          <w:sz w:val="32"/>
          <w:szCs w:val="32"/>
          <w:highlight w:val="none"/>
          <w:lang w:val="en-US" w:eastAsia="zh-CN" w:bidi="ar-SA"/>
        </w:rPr>
        <w:t>（3）持续优化用血费用减免流程，让数据多跑路、群众少跑腿，献血者及其亲属在线上直报513人次，实现无偿献血者临床用血费用跨省异地报销，为无偿献血者提供高效便捷服务。</w:t>
      </w:r>
    </w:p>
    <w:p w14:paraId="15352AC5">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Regular" w:hAnsi="Times New Roman Regular" w:eastAsia="仿宋_GB2312" w:cs="Times New Roman Regular"/>
          <w:color w:val="auto"/>
          <w:kern w:val="2"/>
          <w:sz w:val="32"/>
          <w:szCs w:val="32"/>
          <w:highlight w:val="none"/>
          <w:lang w:val="en-US" w:eastAsia="zh-CN" w:bidi="ar-SA"/>
        </w:rPr>
      </w:pPr>
      <w:r>
        <w:rPr>
          <w:rFonts w:hint="eastAsia" w:ascii="Times New Roman Regular" w:hAnsi="Times New Roman Regular" w:eastAsia="仿宋_GB2312" w:cs="Times New Roman Regular"/>
          <w:color w:val="auto"/>
          <w:kern w:val="2"/>
          <w:sz w:val="32"/>
          <w:szCs w:val="32"/>
          <w:highlight w:val="none"/>
          <w:lang w:val="en-US" w:eastAsia="zh-CN" w:bidi="ar-SA"/>
        </w:rPr>
        <w:t>（4）</w:t>
      </w:r>
      <w:r>
        <w:rPr>
          <w:rFonts w:hint="default" w:ascii="Times New Roman Regular" w:hAnsi="Times New Roman Regular" w:eastAsia="仿宋_GB2312" w:cs="Times New Roman Regular"/>
          <w:color w:val="auto"/>
          <w:kern w:val="2"/>
          <w:sz w:val="32"/>
          <w:szCs w:val="32"/>
          <w:highlight w:val="none"/>
          <w:lang w:val="en-US" w:eastAsia="zh-CN" w:bidi="ar-SA"/>
        </w:rPr>
        <w:t>利用互联网创新献血服务模式，加快推进传统献血模式向“互联网+”献血模式的探索和延伸。启用了怀化市献血服务平台，通过血站公众号提前预约、自助填表，合理安排团采献血人数，现场打印无偿献血征询表，避免人员扎堆，为献血者提供更加优质、高效、个性化的服务。</w:t>
      </w:r>
    </w:p>
    <w:p w14:paraId="7D1AB4AA">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Regular" w:hAnsi="Times New Roman Regular" w:eastAsia="仿宋_GB2312" w:cs="Times New Roman Regular"/>
          <w:color w:val="auto"/>
          <w:kern w:val="2"/>
          <w:sz w:val="32"/>
          <w:szCs w:val="32"/>
          <w:highlight w:val="none"/>
          <w:lang w:val="en-US" w:eastAsia="zh-CN" w:bidi="ar-SA"/>
        </w:rPr>
      </w:pPr>
      <w:r>
        <w:rPr>
          <w:rFonts w:hint="eastAsia" w:ascii="Times New Roman Regular" w:hAnsi="Times New Roman Regular" w:eastAsia="仿宋_GB2312" w:cs="Times New Roman Regular"/>
          <w:color w:val="auto"/>
          <w:kern w:val="2"/>
          <w:sz w:val="32"/>
          <w:szCs w:val="32"/>
          <w:highlight w:val="none"/>
          <w:lang w:val="en-US" w:eastAsia="zh-CN" w:bidi="ar-SA"/>
        </w:rPr>
        <w:t>（5）</w:t>
      </w:r>
      <w:r>
        <w:rPr>
          <w:rFonts w:hint="eastAsia" w:ascii="仿宋" w:hAnsi="仿宋" w:eastAsia="仿宋"/>
          <w:b w:val="0"/>
          <w:bCs/>
          <w:sz w:val="32"/>
          <w:szCs w:val="32"/>
        </w:rPr>
        <w:t>输血督导和技术支持。</w:t>
      </w:r>
      <w:r>
        <w:rPr>
          <w:rFonts w:hint="eastAsia" w:ascii="仿宋" w:hAnsi="仿宋" w:eastAsia="仿宋"/>
          <w:color w:val="000000" w:themeColor="text1"/>
          <w:sz w:val="32"/>
          <w:szCs w:val="32"/>
          <w14:textFill>
            <w14:solidFill>
              <w14:schemeClr w14:val="tx1"/>
            </w14:solidFill>
          </w14:textFill>
        </w:rPr>
        <w:t>开展或协助省临床用血质量控制中心对辖区医疗机构用血的调研和培训工作，通过这次专家组的现场业务指导，提升了市临床用血质量控制中心成员发现问题、解决问题及指导基层的能力，进一步夯实用血单位医护人员输血安全意识，持续推进合理用血，保障临床用血安全和医疗质量。为辖区用血单位开展鉴定疑难血型36例，减轻了患者到长沙配型的负担。</w:t>
      </w:r>
    </w:p>
    <w:p w14:paraId="56792F16">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0" w:firstLineChars="200"/>
        <w:textAlignment w:val="auto"/>
        <w:rPr>
          <w:rFonts w:hint="default" w:ascii="Times New Roman Regular" w:hAnsi="Times New Roman Regular" w:eastAsia="仿宋_GB2312" w:cs="Times New Roman Regular"/>
          <w:color w:val="auto"/>
          <w:kern w:val="2"/>
          <w:sz w:val="32"/>
          <w:szCs w:val="32"/>
          <w:highlight w:val="none"/>
          <w:lang w:val="en-US" w:eastAsia="zh-CN" w:bidi="ar-SA"/>
        </w:rPr>
      </w:pPr>
      <w:r>
        <w:rPr>
          <w:rFonts w:hint="eastAsia" w:ascii="Times New Roman Regular" w:hAnsi="Times New Roman Regular" w:eastAsia="仿宋_GB2312" w:cs="Times New Roman Regular"/>
          <w:color w:val="auto"/>
          <w:kern w:val="2"/>
          <w:sz w:val="32"/>
          <w:szCs w:val="32"/>
          <w:highlight w:val="none"/>
          <w:lang w:val="en-US" w:eastAsia="zh-CN" w:bidi="ar-SA"/>
        </w:rPr>
        <w:t>5.</w:t>
      </w:r>
      <w:r>
        <w:rPr>
          <w:rFonts w:hint="default" w:ascii="Times New Roman Regular" w:hAnsi="Times New Roman Regular" w:eastAsia="仿宋_GB2312" w:cs="Times New Roman Regular"/>
          <w:color w:val="auto"/>
          <w:kern w:val="2"/>
          <w:sz w:val="32"/>
          <w:szCs w:val="32"/>
          <w:highlight w:val="none"/>
          <w:lang w:val="en-US" w:eastAsia="zh-CN" w:bidi="ar-SA"/>
        </w:rPr>
        <w:t>可持续发展能力：</w:t>
      </w:r>
    </w:p>
    <w:p w14:paraId="288194E0">
      <w:pPr>
        <w:keepNext w:val="0"/>
        <w:keepLines w:val="0"/>
        <w:pageBreakBefore w:val="0"/>
        <w:kinsoku/>
        <w:wordWrap/>
        <w:overflowPunct/>
        <w:topLinePunct w:val="0"/>
        <w:autoSpaceDE/>
        <w:autoSpaceDN/>
        <w:bidi w:val="0"/>
        <w:adjustRightInd/>
        <w:spacing w:line="560" w:lineRule="exact"/>
        <w:ind w:firstLine="640" w:firstLineChars="200"/>
        <w:jc w:val="both"/>
        <w:textAlignment w:val="auto"/>
        <w:rPr>
          <w:rFonts w:hint="eastAsia" w:ascii="仿宋" w:hAnsi="仿宋" w:eastAsia="仿宋"/>
          <w:sz w:val="32"/>
          <w:szCs w:val="32"/>
          <w:lang w:eastAsia="zh-CN"/>
        </w:rPr>
      </w:pPr>
      <w:r>
        <w:rPr>
          <w:rFonts w:hint="eastAsia" w:ascii="Times New Roman Regular" w:hAnsi="Times New Roman Regular" w:eastAsia="仿宋_GB2312" w:cs="Times New Roman Regular"/>
          <w:color w:val="auto"/>
          <w:kern w:val="2"/>
          <w:sz w:val="32"/>
          <w:szCs w:val="32"/>
          <w:highlight w:val="none"/>
          <w:lang w:val="en-US" w:eastAsia="zh-CN" w:bidi="ar-SA"/>
        </w:rPr>
        <w:t>（1）</w:t>
      </w:r>
      <w:r>
        <w:rPr>
          <w:rFonts w:hint="default" w:ascii="Times New Roman Regular" w:hAnsi="Times New Roman Regular" w:eastAsia="仿宋_GB2312" w:cs="Times New Roman Regular"/>
          <w:color w:val="auto"/>
          <w:kern w:val="2"/>
          <w:sz w:val="32"/>
          <w:szCs w:val="32"/>
          <w:highlight w:val="none"/>
          <w:lang w:val="en-US" w:eastAsia="zh-CN" w:bidi="ar-SA"/>
        </w:rPr>
        <w:t>建立技术精湛、服务意识强的人才队伍。积极争取政策支持，通过公开招聘新进卫生专业技术人员7名。积极向上级部门汇报，调整岗位设置，增加专业技术岗位。</w:t>
      </w:r>
      <w:r>
        <w:rPr>
          <w:rFonts w:hint="eastAsia" w:ascii="仿宋" w:hAnsi="仿宋" w:eastAsia="仿宋"/>
          <w:sz w:val="32"/>
          <w:szCs w:val="32"/>
        </w:rPr>
        <w:t>2024年外送25批次83人学习交流，其中送2人到湘雅医院、湘雅二医院培训三个月，提升人员业务能力</w:t>
      </w:r>
      <w:r>
        <w:rPr>
          <w:rFonts w:hint="eastAsia" w:ascii="仿宋" w:hAnsi="仿宋" w:eastAsia="仿宋"/>
          <w:sz w:val="32"/>
          <w:szCs w:val="32"/>
          <w:lang w:eastAsia="zh-CN"/>
        </w:rPr>
        <w:t>，</w:t>
      </w:r>
      <w:r>
        <w:rPr>
          <w:rFonts w:hint="eastAsia" w:ascii="Times New Roman Regular" w:hAnsi="Times New Roman Regular" w:eastAsia="仿宋_GB2312" w:cs="Times New Roman Regular"/>
          <w:color w:val="auto"/>
          <w:kern w:val="2"/>
          <w:sz w:val="32"/>
          <w:szCs w:val="32"/>
          <w:highlight w:val="none"/>
          <w:lang w:val="en-US" w:eastAsia="zh-CN" w:bidi="ar-SA"/>
        </w:rPr>
        <w:t>提升血液安全和保障能力，推动采供血事业高质量发展。</w:t>
      </w:r>
    </w:p>
    <w:p w14:paraId="6047803D">
      <w:pPr>
        <w:keepNext w:val="0"/>
        <w:keepLines w:val="0"/>
        <w:pageBreakBefore w:val="0"/>
        <w:kinsoku/>
        <w:wordWrap/>
        <w:overflowPunct/>
        <w:topLinePunct w:val="0"/>
        <w:autoSpaceDE/>
        <w:autoSpaceDN/>
        <w:bidi w:val="0"/>
        <w:adjustRightInd/>
        <w:spacing w:line="560" w:lineRule="exact"/>
        <w:ind w:firstLine="640" w:firstLineChars="200"/>
        <w:jc w:val="both"/>
        <w:textAlignment w:val="auto"/>
        <w:rPr>
          <w:rFonts w:hint="default" w:ascii="Times New Roman Regular" w:hAnsi="Times New Roman Regular" w:eastAsia="仿宋_GB2312" w:cs="Times New Roman Regular"/>
          <w:color w:val="auto"/>
          <w:kern w:val="2"/>
          <w:sz w:val="32"/>
          <w:szCs w:val="32"/>
          <w:highlight w:val="none"/>
          <w:lang w:val="en-US" w:eastAsia="zh-CN" w:bidi="ar-SA"/>
        </w:rPr>
      </w:pPr>
      <w:r>
        <w:rPr>
          <w:rFonts w:hint="eastAsia" w:ascii="Times New Roman Regular" w:hAnsi="Times New Roman Regular" w:eastAsia="仿宋_GB2312" w:cs="Times New Roman Regular"/>
          <w:color w:val="auto"/>
          <w:kern w:val="2"/>
          <w:sz w:val="32"/>
          <w:szCs w:val="32"/>
          <w:highlight w:val="none"/>
          <w:lang w:val="en-US" w:eastAsia="zh-CN" w:bidi="ar-SA"/>
        </w:rPr>
        <w:t>（2）2024年，在省市媒体发表稿件100余篇，单位微信公众号发表宣传稿件190余篇。持续创新宣传招募方式，开展富有创意的宣传招募活动，开展“雷锋月学雷锋，无偿献血献爱心”“614世界献血者日”纪念活动、“献血为青春献礼”高校无偿献血演讲、高校爱心助学、“共筑爱心、热血同行”等一系列丰富多样的主题活动10余场次。录制《我是朗读者》专题宣传片，讲述血站人和献血者的故事，为年满60岁的无偿献血者举行荣退仪式。通过宣传发动、载体联动、活动拉动、典型带动，持续提升市民无偿献血意识。</w:t>
      </w:r>
    </w:p>
    <w:p w14:paraId="0E804C22">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Regular" w:hAnsi="Times New Roman Regular" w:eastAsia="仿宋_GB2312" w:cs="Times New Roman Regular"/>
          <w:color w:val="auto"/>
          <w:kern w:val="2"/>
          <w:sz w:val="32"/>
          <w:szCs w:val="32"/>
          <w:highlight w:val="none"/>
          <w:lang w:val="en-US" w:eastAsia="zh-CN" w:bidi="ar-SA"/>
        </w:rPr>
      </w:pPr>
      <w:r>
        <w:rPr>
          <w:rFonts w:hint="eastAsia" w:ascii="Times New Roman Regular" w:hAnsi="Times New Roman Regular" w:eastAsia="仿宋_GB2312" w:cs="Times New Roman Regular"/>
          <w:color w:val="auto"/>
          <w:kern w:val="2"/>
          <w:sz w:val="32"/>
          <w:szCs w:val="32"/>
          <w:highlight w:val="none"/>
          <w:lang w:val="en-US" w:eastAsia="zh-CN" w:bidi="ar-SA"/>
        </w:rPr>
        <w:t>6.</w:t>
      </w:r>
      <w:r>
        <w:rPr>
          <w:rFonts w:hint="default" w:ascii="Times New Roman Regular" w:hAnsi="Times New Roman Regular" w:eastAsia="仿宋_GB2312" w:cs="Times New Roman Regular"/>
          <w:color w:val="auto"/>
          <w:kern w:val="2"/>
          <w:sz w:val="32"/>
          <w:szCs w:val="32"/>
          <w:highlight w:val="none"/>
          <w:lang w:val="en-US" w:eastAsia="zh-CN" w:bidi="ar-SA"/>
        </w:rPr>
        <w:t>服务对象满意度：</w:t>
      </w:r>
    </w:p>
    <w:p w14:paraId="53EC8790">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Regular" w:hAnsi="Times New Roman Regular" w:eastAsia="仿宋_GB2312" w:cs="Times New Roman Regular"/>
          <w:color w:val="auto"/>
          <w:kern w:val="2"/>
          <w:sz w:val="32"/>
          <w:szCs w:val="32"/>
          <w:highlight w:val="none"/>
          <w:lang w:val="en-US" w:eastAsia="zh-CN" w:bidi="ar-SA"/>
        </w:rPr>
      </w:pPr>
      <w:r>
        <w:rPr>
          <w:rFonts w:hint="default" w:ascii="Times New Roman Regular" w:hAnsi="Times New Roman Regular" w:eastAsia="仿宋_GB2312" w:cs="Times New Roman Regular"/>
          <w:color w:val="auto"/>
          <w:kern w:val="2"/>
          <w:sz w:val="32"/>
          <w:szCs w:val="32"/>
          <w:highlight w:val="none"/>
          <w:lang w:val="en-US" w:eastAsia="zh-CN" w:bidi="ar-SA"/>
        </w:rPr>
        <w:t>对全市19家用血单位进行满意度调查，用血单位满意率为100%。对献血者进行满意度调查，满意度调查为100%。</w:t>
      </w:r>
    </w:p>
    <w:p w14:paraId="6915025F">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九、存在的问题及原因分析</w:t>
      </w:r>
    </w:p>
    <w:p w14:paraId="615DCE4D">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Regular" w:hAnsi="Times New Roman Regular" w:eastAsia="仿宋_GB2312" w:cs="Times New Roman Regular"/>
          <w:color w:val="auto"/>
          <w:kern w:val="2"/>
          <w:sz w:val="32"/>
          <w:szCs w:val="32"/>
          <w:highlight w:val="none"/>
          <w:lang w:val="en-US" w:eastAsia="zh-CN" w:bidi="ar-SA"/>
        </w:rPr>
      </w:pPr>
      <w:r>
        <w:rPr>
          <w:rFonts w:hint="default" w:ascii="Times New Roman Regular" w:hAnsi="Times New Roman Regular" w:eastAsia="仿宋_GB2312" w:cs="Times New Roman Regular"/>
          <w:color w:val="auto"/>
          <w:kern w:val="2"/>
          <w:sz w:val="32"/>
          <w:szCs w:val="32"/>
          <w:highlight w:val="none"/>
          <w:lang w:val="en-US" w:eastAsia="zh-CN" w:bidi="ar-SA"/>
        </w:rPr>
        <w:t>主要反映各种预算支出执行偏离绩效目标的情况，并分析其原因。</w:t>
      </w:r>
    </w:p>
    <w:p w14:paraId="4EC51E32">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Times New Roman Regular" w:hAnsi="Times New Roman Regular" w:eastAsia="仿宋_GB2312" w:cs="Times New Roman Regular"/>
          <w:color w:val="auto"/>
          <w:kern w:val="2"/>
          <w:sz w:val="32"/>
          <w:szCs w:val="32"/>
          <w:highlight w:val="none"/>
          <w:lang w:val="en-US" w:eastAsia="zh-CN" w:bidi="ar-SA"/>
        </w:rPr>
      </w:pPr>
      <w:r>
        <w:rPr>
          <w:rFonts w:hint="eastAsia" w:ascii="Times New Roman Regular" w:hAnsi="Times New Roman Regular" w:eastAsia="仿宋_GB2312" w:cs="Times New Roman Regular"/>
          <w:color w:val="auto"/>
          <w:kern w:val="2"/>
          <w:sz w:val="32"/>
          <w:szCs w:val="32"/>
          <w:highlight w:val="none"/>
          <w:lang w:val="en-US" w:eastAsia="zh-CN" w:bidi="ar-SA"/>
        </w:rPr>
        <w:t>1.预算编制精准性不足，执行过程中存在调整。</w:t>
      </w:r>
    </w:p>
    <w:p w14:paraId="03BB5362">
      <w:pPr>
        <w:pStyle w:val="4"/>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firstLine="640" w:firstLineChars="200"/>
        <w:textAlignment w:val="auto"/>
        <w:rPr>
          <w:rFonts w:hint="eastAsia" w:ascii="Times New Roman Regular" w:hAnsi="Times New Roman Regular" w:eastAsia="仿宋_GB2312" w:cs="Times New Roman Regular"/>
          <w:color w:val="auto"/>
          <w:kern w:val="2"/>
          <w:sz w:val="32"/>
          <w:szCs w:val="32"/>
          <w:highlight w:val="none"/>
          <w:lang w:val="en-US" w:eastAsia="zh-CN" w:bidi="ar-SA"/>
        </w:rPr>
      </w:pPr>
      <w:r>
        <w:rPr>
          <w:rFonts w:hint="eastAsia" w:ascii="Times New Roman Regular" w:hAnsi="Times New Roman Regular" w:eastAsia="仿宋_GB2312" w:cs="Times New Roman Regular"/>
          <w:color w:val="auto"/>
          <w:kern w:val="2"/>
          <w:sz w:val="32"/>
          <w:szCs w:val="32"/>
          <w:highlight w:val="none"/>
          <w:lang w:val="en-US" w:eastAsia="zh-CN" w:bidi="ar-SA"/>
        </w:rPr>
        <w:t>采供血设备购置项目与采供血业务运行成本项目进行了预算内部调剂。主要原因为：需求预测不精准：设备采购因部分设备老化严重，急需更新，但年初预算未充分考虑突发性需求。采供血运行成本项目因采血量下降相应成本下降，需调减预算，但未能提前做好动态评估，导致执行偏差。</w:t>
      </w:r>
    </w:p>
    <w:p w14:paraId="57A0E9F8">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Times New Roman Regular" w:hAnsi="Times New Roman Regular" w:eastAsia="仿宋_GB2312" w:cs="Times New Roman Regular"/>
          <w:color w:val="auto"/>
          <w:kern w:val="2"/>
          <w:sz w:val="32"/>
          <w:szCs w:val="32"/>
          <w:highlight w:val="none"/>
          <w:lang w:val="en-US" w:eastAsia="zh-CN" w:bidi="ar-SA"/>
        </w:rPr>
      </w:pPr>
      <w:r>
        <w:rPr>
          <w:rFonts w:hint="eastAsia" w:ascii="Times New Roman Regular" w:hAnsi="Times New Roman Regular" w:eastAsia="仿宋_GB2312" w:cs="Times New Roman Regular"/>
          <w:color w:val="auto"/>
          <w:kern w:val="2"/>
          <w:sz w:val="32"/>
          <w:szCs w:val="32"/>
          <w:highlight w:val="none"/>
          <w:lang w:val="en-US" w:eastAsia="zh-CN" w:bidi="ar-SA"/>
        </w:rPr>
        <w:t>2.绩效指标设定不够科学，部分目标难以量化。部分效益指标表述笼统，缺乏可量化的考核标准。主要是因为绩效目标设定经验不足，部分指标沿用传统表述，未结合SMART原则（具体、可衡量、可实现、相关性、时限性）细化。</w:t>
      </w:r>
    </w:p>
    <w:p w14:paraId="33A75FB0">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Regular" w:hAnsi="Times New Roman Regular" w:eastAsia="仿宋_GB2312" w:cs="Times New Roman Regular"/>
          <w:color w:val="auto"/>
          <w:kern w:val="2"/>
          <w:sz w:val="32"/>
          <w:szCs w:val="32"/>
          <w:highlight w:val="none"/>
          <w:lang w:val="en-US" w:eastAsia="zh-CN" w:bidi="ar-SA"/>
        </w:rPr>
      </w:pPr>
      <w:r>
        <w:rPr>
          <w:rFonts w:hint="eastAsia" w:ascii="Times New Roman Regular" w:hAnsi="Times New Roman Regular" w:eastAsia="仿宋_GB2312" w:cs="Times New Roman Regular"/>
          <w:color w:val="auto"/>
          <w:kern w:val="2"/>
          <w:sz w:val="32"/>
          <w:szCs w:val="32"/>
          <w:highlight w:val="none"/>
          <w:lang w:val="en-US" w:eastAsia="zh-CN" w:bidi="ar-SA"/>
        </w:rPr>
        <w:t>3.2024年采血量目标15吨，实际完成14.08吨（完成率93.87%）。虽然开展了宣传招募活动（如6.14献血日活动），但未能完全扭转采血量下降趋势。主要原因一是社会献血意愿下降，受人口流动、健康观念变化等因素影响，无偿献血者数量增长乏力。二是宣传方式单一，主要依赖传统媒体（如杂志、文化衫等），新媒体和社区渗透不足，未能有效触达年轻群体。三是除溆浦采血点外，其他县无采血点，只能靠短期采血车下县团采，影响献血便利性。</w:t>
      </w:r>
    </w:p>
    <w:p w14:paraId="3E0A8C97">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十、下一步改进措施</w:t>
      </w:r>
    </w:p>
    <w:p w14:paraId="78B21DC6">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Regular" w:hAnsi="Times New Roman Regular" w:eastAsia="仿宋_GB2312" w:cs="Times New Roman Regular"/>
          <w:color w:val="auto"/>
          <w:kern w:val="2"/>
          <w:sz w:val="32"/>
          <w:szCs w:val="32"/>
          <w:highlight w:val="none"/>
          <w:lang w:val="en-US" w:eastAsia="zh-CN" w:bidi="ar-SA"/>
        </w:rPr>
      </w:pPr>
      <w:r>
        <w:rPr>
          <w:rFonts w:hint="eastAsia" w:ascii="Times New Roman Regular" w:hAnsi="Times New Roman Regular" w:eastAsia="仿宋_GB2312" w:cs="Times New Roman Regular"/>
          <w:color w:val="auto"/>
          <w:sz w:val="32"/>
          <w:szCs w:val="32"/>
          <w:highlight w:val="none"/>
          <w:lang w:val="en-US" w:eastAsia="zh-CN"/>
        </w:rPr>
        <w:t>1.</w:t>
      </w:r>
      <w:r>
        <w:rPr>
          <w:rFonts w:hint="default" w:ascii="Times New Roman Regular" w:hAnsi="Times New Roman Regular" w:eastAsia="仿宋_GB2312" w:cs="Times New Roman Regular"/>
          <w:color w:val="auto"/>
          <w:kern w:val="2"/>
          <w:sz w:val="32"/>
          <w:szCs w:val="32"/>
          <w:highlight w:val="none"/>
          <w:lang w:val="en-US" w:eastAsia="zh-CN" w:bidi="ar-SA"/>
        </w:rPr>
        <w:t>加强预算编制工作，严格按照预算编制的相关制度和要求进行预算编制，优先保障固定性的、相对刚性的费用支出项目，尽量压缩变动性的，由控制空间的费用项目，进一步提高预算编制的科学性、严谨性和可控性。</w:t>
      </w:r>
    </w:p>
    <w:p w14:paraId="7240F899">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Regular" w:hAnsi="Times New Roman Regular" w:eastAsia="仿宋_GB2312" w:cs="Times New Roman Regular"/>
          <w:color w:val="auto"/>
          <w:kern w:val="2"/>
          <w:sz w:val="32"/>
          <w:szCs w:val="32"/>
          <w:highlight w:val="none"/>
          <w:lang w:val="en-US" w:eastAsia="zh-CN" w:bidi="ar-SA"/>
        </w:rPr>
      </w:pPr>
      <w:r>
        <w:rPr>
          <w:rFonts w:hint="eastAsia" w:ascii="Times New Roman Regular" w:hAnsi="Times New Roman Regular" w:eastAsia="仿宋_GB2312" w:cs="Times New Roman Regular"/>
          <w:color w:val="auto"/>
          <w:kern w:val="2"/>
          <w:sz w:val="32"/>
          <w:szCs w:val="32"/>
          <w:highlight w:val="none"/>
          <w:lang w:val="en-US" w:eastAsia="zh-CN" w:bidi="ar-SA"/>
        </w:rPr>
        <w:t>2.</w:t>
      </w:r>
      <w:r>
        <w:rPr>
          <w:rFonts w:hint="default" w:ascii="Times New Roman Regular" w:hAnsi="Times New Roman Regular" w:eastAsia="仿宋_GB2312" w:cs="Times New Roman Regular"/>
          <w:color w:val="auto"/>
          <w:kern w:val="2"/>
          <w:sz w:val="32"/>
          <w:szCs w:val="32"/>
          <w:highlight w:val="none"/>
          <w:lang w:val="en-US" w:eastAsia="zh-CN" w:bidi="ar-SA"/>
        </w:rPr>
        <w:t>优化绩效指标体系，加强对绩效目标的审核，将绩效目标审核纳入站务会，由质量管理部牵头核查指标可操作性。保证各部室严格按照部室职责和工作计划，确定出对应的数量、质量、时效以及效益指标，确保指标设定合理、合规。</w:t>
      </w:r>
    </w:p>
    <w:p w14:paraId="47FE3E42">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Regular" w:hAnsi="Times New Roman Regular" w:eastAsia="仿宋_GB2312" w:cs="Times New Roman Regular"/>
          <w:color w:val="auto"/>
          <w:kern w:val="2"/>
          <w:sz w:val="32"/>
          <w:szCs w:val="32"/>
          <w:highlight w:val="none"/>
          <w:lang w:val="en-US" w:eastAsia="zh-CN" w:bidi="ar-SA"/>
        </w:rPr>
      </w:pPr>
      <w:r>
        <w:rPr>
          <w:rFonts w:hint="eastAsia" w:ascii="Times New Roman Regular" w:hAnsi="Times New Roman Regular" w:eastAsia="仿宋_GB2312" w:cs="Times New Roman Regular"/>
          <w:color w:val="auto"/>
          <w:kern w:val="2"/>
          <w:sz w:val="32"/>
          <w:szCs w:val="32"/>
          <w:highlight w:val="none"/>
          <w:lang w:val="en-US" w:eastAsia="zh-CN" w:bidi="ar-SA"/>
        </w:rPr>
        <w:t>3.创新宣传方式，加强短视频、社交媒体等数字化传播，提升年轻群体参与度。优化采血点布局，论证研究下一步是否增加县城采血点。</w:t>
      </w:r>
    </w:p>
    <w:p w14:paraId="4C37BC54">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Regular" w:hAnsi="Times New Roman Regular" w:eastAsia="仿宋_GB2312" w:cs="Times New Roman Regular"/>
          <w:color w:val="auto"/>
          <w:kern w:val="2"/>
          <w:sz w:val="32"/>
          <w:szCs w:val="32"/>
          <w:highlight w:val="none"/>
          <w:lang w:val="en-US" w:eastAsia="zh-CN" w:bidi="ar-SA"/>
        </w:rPr>
      </w:pPr>
      <w:r>
        <w:rPr>
          <w:rFonts w:hint="eastAsia" w:ascii="Times New Roman Regular" w:hAnsi="Times New Roman Regular" w:eastAsia="仿宋_GB2312" w:cs="Times New Roman Regular"/>
          <w:color w:val="auto"/>
          <w:kern w:val="2"/>
          <w:sz w:val="32"/>
          <w:szCs w:val="32"/>
          <w:highlight w:val="none"/>
          <w:lang w:val="en-US" w:eastAsia="zh-CN" w:bidi="ar-SA"/>
        </w:rPr>
        <w:t>4.</w:t>
      </w:r>
      <w:r>
        <w:rPr>
          <w:rFonts w:hint="default" w:ascii="Times New Roman Regular" w:hAnsi="Times New Roman Regular" w:eastAsia="仿宋_GB2312" w:cs="Times New Roman Regular"/>
          <w:color w:val="auto"/>
          <w:kern w:val="2"/>
          <w:sz w:val="32"/>
          <w:szCs w:val="32"/>
          <w:highlight w:val="none"/>
          <w:lang w:val="en-US" w:eastAsia="zh-CN" w:bidi="ar-SA"/>
        </w:rPr>
        <w:t>建议进一步强化对各预算单位预算项目申报工作的业务指引，推动项目编制流程与绩效评价标准深度衔接；同步建立分阶段专题培训机制，着力提升各预算单位对项目资金绩效自评工作重要性的认知水平，切实筑牢绩效管理核心理念，系统性增强绩效自评工作质效。</w:t>
      </w:r>
    </w:p>
    <w:p w14:paraId="58B5108F">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十一、绩效自评结果拟应用和公开情况</w:t>
      </w:r>
    </w:p>
    <w:p w14:paraId="3E6D8314">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Regular" w:hAnsi="Times New Roman Regular" w:eastAsia="仿宋_GB2312" w:cs="Times New Roman Regular"/>
          <w:color w:val="auto"/>
          <w:kern w:val="2"/>
          <w:sz w:val="32"/>
          <w:szCs w:val="32"/>
          <w:highlight w:val="none"/>
          <w:lang w:val="en-US" w:eastAsia="zh-CN" w:bidi="ar-SA"/>
        </w:rPr>
      </w:pPr>
      <w:r>
        <w:rPr>
          <w:rFonts w:hint="eastAsia" w:ascii="Times New Roman Regular" w:hAnsi="Times New Roman Regular" w:eastAsia="仿宋_GB2312" w:cs="Times New Roman Regular"/>
          <w:color w:val="auto"/>
          <w:kern w:val="2"/>
          <w:sz w:val="32"/>
          <w:szCs w:val="32"/>
          <w:highlight w:val="none"/>
          <w:lang w:val="en-US" w:eastAsia="zh-CN" w:bidi="ar-SA"/>
        </w:rPr>
        <w:t>1.</w:t>
      </w:r>
      <w:r>
        <w:rPr>
          <w:rFonts w:hint="default" w:ascii="Times New Roman Regular" w:hAnsi="Times New Roman Regular" w:eastAsia="仿宋_GB2312" w:cs="Times New Roman Regular"/>
          <w:color w:val="auto"/>
          <w:kern w:val="2"/>
          <w:sz w:val="32"/>
          <w:szCs w:val="32"/>
          <w:highlight w:val="none"/>
          <w:lang w:val="en-US" w:eastAsia="zh-CN" w:bidi="ar-SA"/>
        </w:rPr>
        <w:t>绩效自评结果拟应用情况</w:t>
      </w:r>
    </w:p>
    <w:p w14:paraId="1020FB12">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Times New Roman Regular" w:hAnsi="Times New Roman Regular" w:eastAsia="仿宋_GB2312" w:cs="Times New Roman Regular"/>
          <w:color w:val="auto"/>
          <w:kern w:val="2"/>
          <w:sz w:val="32"/>
          <w:szCs w:val="32"/>
          <w:highlight w:val="none"/>
          <w:lang w:val="en-US" w:eastAsia="zh-CN" w:bidi="ar-SA"/>
        </w:rPr>
      </w:pPr>
      <w:r>
        <w:rPr>
          <w:rFonts w:hint="eastAsia" w:ascii="Times New Roman Regular" w:hAnsi="Times New Roman Regular" w:eastAsia="仿宋_GB2312" w:cs="Times New Roman Regular"/>
          <w:color w:val="auto"/>
          <w:kern w:val="2"/>
          <w:sz w:val="32"/>
          <w:szCs w:val="32"/>
          <w:highlight w:val="none"/>
          <w:lang w:val="en-US" w:eastAsia="zh-CN" w:bidi="ar-SA"/>
        </w:rPr>
        <w:t>（1）问题整改：针对绩效自评中发现的问题，制定详细的整改措施，明确整改责任人和整改时限，确保问题得到及时有效整改。通过整改，进一步完善项目管理流程，提供项目实施质量和资金使用效益。</w:t>
      </w:r>
    </w:p>
    <w:p w14:paraId="1ADD103E">
      <w:pPr>
        <w:pStyle w:val="2"/>
        <w:ind w:firstLine="640" w:firstLineChars="200"/>
        <w:rPr>
          <w:rFonts w:hint="default"/>
          <w:lang w:val="en-US" w:eastAsia="zh-CN"/>
        </w:rPr>
      </w:pPr>
      <w:r>
        <w:rPr>
          <w:rFonts w:hint="eastAsia" w:ascii="Times New Roman Regular" w:hAnsi="Times New Roman Regular" w:eastAsia="仿宋_GB2312" w:cs="Times New Roman Regular"/>
          <w:color w:val="auto"/>
          <w:kern w:val="2"/>
          <w:sz w:val="32"/>
          <w:szCs w:val="32"/>
          <w:highlight w:val="none"/>
          <w:lang w:val="en-US" w:eastAsia="zh-CN" w:bidi="ar-SA"/>
        </w:rPr>
        <w:t>（2）预算调整：将绩效自评结果作为下一年度预算安排和调整的重要依据。对绩效评价结果分数高的项目，在预算安排上给与优先支持和适当切斜；对绩效评价结果分数低的项目，消减或暂停预算安排，督促项目改进管理。</w:t>
      </w:r>
    </w:p>
    <w:p w14:paraId="2FD0B898">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Regular" w:hAnsi="Times New Roman Regular" w:eastAsia="仿宋_GB2312" w:cs="Times New Roman Regular"/>
          <w:color w:val="auto"/>
          <w:kern w:val="2"/>
          <w:sz w:val="32"/>
          <w:szCs w:val="32"/>
          <w:highlight w:val="none"/>
          <w:lang w:val="en-US" w:eastAsia="zh-CN" w:bidi="ar-SA"/>
        </w:rPr>
      </w:pPr>
      <w:r>
        <w:rPr>
          <w:rFonts w:hint="eastAsia" w:ascii="Times New Roman Regular" w:hAnsi="Times New Roman Regular" w:eastAsia="仿宋_GB2312" w:cs="Times New Roman Regular"/>
          <w:color w:val="auto"/>
          <w:kern w:val="2"/>
          <w:sz w:val="32"/>
          <w:szCs w:val="32"/>
          <w:highlight w:val="none"/>
          <w:lang w:val="en-US" w:eastAsia="zh-CN" w:bidi="ar-SA"/>
        </w:rPr>
        <w:t>2.</w:t>
      </w:r>
      <w:r>
        <w:rPr>
          <w:rFonts w:hint="default" w:ascii="Times New Roman Regular" w:hAnsi="Times New Roman Regular" w:eastAsia="仿宋_GB2312" w:cs="Times New Roman Regular"/>
          <w:color w:val="auto"/>
          <w:kern w:val="2"/>
          <w:sz w:val="32"/>
          <w:szCs w:val="32"/>
          <w:highlight w:val="none"/>
          <w:lang w:val="en-US" w:eastAsia="zh-CN" w:bidi="ar-SA"/>
        </w:rPr>
        <w:t>绩效自评结果公开情况</w:t>
      </w:r>
    </w:p>
    <w:p w14:paraId="4CB91B19">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Regular" w:hAnsi="Times New Roman Regular" w:eastAsia="仿宋_GB2312" w:cs="Times New Roman Regular"/>
          <w:color w:val="auto"/>
          <w:kern w:val="2"/>
          <w:sz w:val="32"/>
          <w:szCs w:val="32"/>
          <w:highlight w:val="none"/>
          <w:lang w:val="en-US" w:eastAsia="zh-CN" w:bidi="ar-SA"/>
        </w:rPr>
      </w:pPr>
      <w:r>
        <w:rPr>
          <w:rFonts w:hint="eastAsia" w:ascii="Times New Roman Regular" w:hAnsi="Times New Roman Regular" w:eastAsia="仿宋_GB2312" w:cs="Times New Roman Regular"/>
          <w:color w:val="auto"/>
          <w:kern w:val="2"/>
          <w:sz w:val="32"/>
          <w:szCs w:val="32"/>
          <w:highlight w:val="none"/>
          <w:lang w:val="en-US" w:eastAsia="zh-CN" w:bidi="ar-SA"/>
        </w:rPr>
        <w:t>在规定时间内，将此次绩效自评结果在怀化市卫生健康委员会门户网站上予以公布，向社会公开，广泛接受群众监督，增强财政资金使用的透明度。</w:t>
      </w:r>
    </w:p>
    <w:p w14:paraId="196ED0E8">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十二、其他需要说明的情况</w:t>
      </w:r>
    </w:p>
    <w:p w14:paraId="6F7FC3E8">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附件：</w:t>
      </w:r>
    </w:p>
    <w:p w14:paraId="7B9DC570">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1.部门整体支出绩效评价基础数据表</w:t>
      </w:r>
    </w:p>
    <w:p w14:paraId="2E5D1B1B">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2.部门整体支出绩效自评表</w:t>
      </w:r>
    </w:p>
    <w:p w14:paraId="1D728260">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3.项目支出绩效自评表（每个一级项目支出一张表，共7张）</w:t>
      </w:r>
    </w:p>
    <w:p w14:paraId="33598E72">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t>附件1</w:t>
      </w:r>
    </w:p>
    <w:p w14:paraId="1A4AEC9C">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spacing w:line="480" w:lineRule="exact"/>
        <w:ind w:left="91"/>
        <w:jc w:val="center"/>
        <w:textAlignment w:val="auto"/>
        <w:rPr>
          <w:rFonts w:hint="eastAsia" w:ascii="方正小标宋简体" w:hAnsi="方正小标宋简体" w:eastAsia="方正小标宋简体" w:cs="方正小标宋简体"/>
          <w:color w:val="000000"/>
          <w:kern w:val="0"/>
          <w:sz w:val="36"/>
          <w:szCs w:val="36"/>
          <w:lang w:val="en-US" w:eastAsia="zh-CN"/>
        </w:rPr>
      </w:pPr>
      <w:r>
        <w:rPr>
          <w:rFonts w:hint="eastAsia" w:ascii="方正小标宋简体" w:hAnsi="方正小标宋简体" w:eastAsia="方正小标宋简体" w:cs="方正小标宋简体"/>
          <w:color w:val="000000"/>
          <w:kern w:val="0"/>
          <w:sz w:val="36"/>
          <w:szCs w:val="36"/>
          <w:lang w:val="en-US" w:eastAsia="zh-CN"/>
        </w:rPr>
        <w:t>部门整体支出绩效评价基础数据表</w:t>
      </w:r>
    </w:p>
    <w:p w14:paraId="0ABF1B69">
      <w:pPr>
        <w:widowControl/>
        <w:tabs>
          <w:tab w:val="left" w:pos="3611"/>
          <w:tab w:val="left" w:pos="4791"/>
          <w:tab w:val="left" w:pos="5951"/>
          <w:tab w:val="left" w:pos="7071"/>
          <w:tab w:val="left" w:pos="8191"/>
          <w:tab w:val="left" w:pos="9311"/>
        </w:tabs>
        <w:ind w:left="91"/>
        <w:jc w:val="left"/>
        <w:rPr>
          <w:rFonts w:hint="default" w:eastAsia="仿宋_GB2312"/>
          <w:kern w:val="0"/>
          <w:sz w:val="24"/>
          <w:lang w:val="en-US" w:eastAsia="zh-CN"/>
        </w:rPr>
      </w:pPr>
      <w:r>
        <w:rPr>
          <w:rFonts w:hint="eastAsia" w:eastAsia="仿宋_GB2312"/>
          <w:kern w:val="0"/>
          <w:sz w:val="24"/>
          <w:lang w:val="en-US" w:eastAsia="zh-CN"/>
        </w:rPr>
        <w:t xml:space="preserve">                                       </w:t>
      </w:r>
    </w:p>
    <w:tbl>
      <w:tblPr>
        <w:tblStyle w:val="13"/>
        <w:tblW w:w="94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04"/>
        <w:gridCol w:w="739"/>
        <w:gridCol w:w="849"/>
        <w:gridCol w:w="1129"/>
        <w:gridCol w:w="1111"/>
        <w:gridCol w:w="969"/>
        <w:gridCol w:w="863"/>
      </w:tblGrid>
      <w:tr w14:paraId="3D862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04" w:type="dxa"/>
            <w:vMerge w:val="restart"/>
            <w:noWrap w:val="0"/>
            <w:vAlign w:val="center"/>
          </w:tcPr>
          <w:p w14:paraId="0750FDDC">
            <w:pPr>
              <w:widowControl/>
              <w:spacing w:line="240" w:lineRule="auto"/>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财政供养人员情况</w:t>
            </w:r>
          </w:p>
        </w:tc>
        <w:tc>
          <w:tcPr>
            <w:tcW w:w="1588" w:type="dxa"/>
            <w:gridSpan w:val="2"/>
            <w:noWrap w:val="0"/>
            <w:vAlign w:val="center"/>
          </w:tcPr>
          <w:p w14:paraId="6A0D152E">
            <w:pPr>
              <w:widowControl/>
              <w:spacing w:line="240" w:lineRule="auto"/>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编制数</w:t>
            </w:r>
          </w:p>
        </w:tc>
        <w:tc>
          <w:tcPr>
            <w:tcW w:w="2240" w:type="dxa"/>
            <w:gridSpan w:val="2"/>
            <w:noWrap w:val="0"/>
            <w:vAlign w:val="center"/>
          </w:tcPr>
          <w:p w14:paraId="074086ED">
            <w:pPr>
              <w:widowControl/>
              <w:spacing w:line="240" w:lineRule="auto"/>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20</w:t>
            </w:r>
            <w:r>
              <w:rPr>
                <w:rFonts w:hint="eastAsia" w:ascii="仿宋" w:hAnsi="仿宋" w:eastAsia="仿宋" w:cs="仿宋"/>
                <w:b w:val="0"/>
                <w:bCs w:val="0"/>
                <w:kern w:val="0"/>
                <w:sz w:val="20"/>
                <w:szCs w:val="20"/>
                <w:lang w:val="en-US" w:eastAsia="zh-CN"/>
              </w:rPr>
              <w:t>24</w:t>
            </w:r>
            <w:r>
              <w:rPr>
                <w:rFonts w:hint="eastAsia" w:ascii="仿宋" w:hAnsi="仿宋" w:eastAsia="仿宋" w:cs="仿宋"/>
                <w:b w:val="0"/>
                <w:bCs w:val="0"/>
                <w:kern w:val="0"/>
                <w:sz w:val="20"/>
                <w:szCs w:val="20"/>
              </w:rPr>
              <w:t>年实际在职人数</w:t>
            </w:r>
          </w:p>
        </w:tc>
        <w:tc>
          <w:tcPr>
            <w:tcW w:w="1832" w:type="dxa"/>
            <w:gridSpan w:val="2"/>
            <w:noWrap w:val="0"/>
            <w:vAlign w:val="center"/>
          </w:tcPr>
          <w:p w14:paraId="62FB11DD">
            <w:pPr>
              <w:widowControl/>
              <w:spacing w:line="240" w:lineRule="auto"/>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控制率</w:t>
            </w:r>
          </w:p>
        </w:tc>
      </w:tr>
      <w:tr w14:paraId="08479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3804" w:type="dxa"/>
            <w:vMerge w:val="continue"/>
            <w:noWrap w:val="0"/>
            <w:vAlign w:val="center"/>
          </w:tcPr>
          <w:p w14:paraId="430CC594">
            <w:pPr>
              <w:widowControl/>
              <w:spacing w:line="240" w:lineRule="auto"/>
              <w:jc w:val="left"/>
              <w:rPr>
                <w:rFonts w:hint="eastAsia" w:ascii="仿宋" w:hAnsi="仿宋" w:eastAsia="仿宋" w:cs="仿宋"/>
                <w:b w:val="0"/>
                <w:bCs w:val="0"/>
                <w:kern w:val="0"/>
                <w:sz w:val="20"/>
                <w:szCs w:val="20"/>
              </w:rPr>
            </w:pPr>
          </w:p>
        </w:tc>
        <w:tc>
          <w:tcPr>
            <w:tcW w:w="1588" w:type="dxa"/>
            <w:gridSpan w:val="2"/>
            <w:noWrap w:val="0"/>
            <w:vAlign w:val="center"/>
          </w:tcPr>
          <w:p w14:paraId="24F8725F">
            <w:pPr>
              <w:widowControl/>
              <w:spacing w:line="240" w:lineRule="auto"/>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70</w:t>
            </w:r>
          </w:p>
        </w:tc>
        <w:tc>
          <w:tcPr>
            <w:tcW w:w="2240" w:type="dxa"/>
            <w:gridSpan w:val="2"/>
            <w:noWrap w:val="0"/>
            <w:vAlign w:val="center"/>
          </w:tcPr>
          <w:p w14:paraId="70AA71D4">
            <w:pPr>
              <w:widowControl/>
              <w:spacing w:line="240" w:lineRule="auto"/>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97</w:t>
            </w:r>
            <w:r>
              <w:rPr>
                <w:rFonts w:hint="eastAsia" w:ascii="仿宋" w:hAnsi="仿宋" w:eastAsia="仿宋" w:cs="仿宋"/>
                <w:b w:val="0"/>
                <w:bCs w:val="0"/>
                <w:kern w:val="0"/>
                <w:sz w:val="20"/>
                <w:szCs w:val="20"/>
              </w:rPr>
              <w:t>　</w:t>
            </w:r>
          </w:p>
        </w:tc>
        <w:tc>
          <w:tcPr>
            <w:tcW w:w="1832" w:type="dxa"/>
            <w:gridSpan w:val="2"/>
            <w:noWrap w:val="0"/>
            <w:vAlign w:val="center"/>
          </w:tcPr>
          <w:p w14:paraId="66F8F31D">
            <w:pPr>
              <w:widowControl/>
              <w:spacing w:line="240" w:lineRule="auto"/>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138.57%</w:t>
            </w:r>
            <w:r>
              <w:rPr>
                <w:rFonts w:hint="eastAsia" w:ascii="仿宋" w:hAnsi="仿宋" w:eastAsia="仿宋" w:cs="仿宋"/>
                <w:b w:val="0"/>
                <w:bCs w:val="0"/>
                <w:kern w:val="0"/>
                <w:sz w:val="20"/>
                <w:szCs w:val="20"/>
              </w:rPr>
              <w:t>　</w:t>
            </w:r>
          </w:p>
        </w:tc>
      </w:tr>
      <w:tr w14:paraId="64E76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04" w:type="dxa"/>
            <w:noWrap w:val="0"/>
            <w:vAlign w:val="center"/>
          </w:tcPr>
          <w:p w14:paraId="61D433FF">
            <w:pPr>
              <w:widowControl/>
              <w:spacing w:line="240" w:lineRule="auto"/>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经费控制情况</w:t>
            </w:r>
          </w:p>
        </w:tc>
        <w:tc>
          <w:tcPr>
            <w:tcW w:w="1588" w:type="dxa"/>
            <w:gridSpan w:val="2"/>
            <w:noWrap w:val="0"/>
            <w:vAlign w:val="center"/>
          </w:tcPr>
          <w:p w14:paraId="515A9C9A">
            <w:pPr>
              <w:widowControl/>
              <w:spacing w:line="240" w:lineRule="auto"/>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20</w:t>
            </w:r>
            <w:r>
              <w:rPr>
                <w:rFonts w:hint="eastAsia" w:ascii="仿宋" w:hAnsi="仿宋" w:eastAsia="仿宋" w:cs="仿宋"/>
                <w:b w:val="0"/>
                <w:bCs w:val="0"/>
                <w:kern w:val="0"/>
                <w:sz w:val="20"/>
                <w:szCs w:val="20"/>
                <w:lang w:val="en-US" w:eastAsia="zh-CN"/>
              </w:rPr>
              <w:t>23</w:t>
            </w:r>
            <w:r>
              <w:rPr>
                <w:rFonts w:hint="eastAsia" w:ascii="仿宋" w:hAnsi="仿宋" w:eastAsia="仿宋" w:cs="仿宋"/>
                <w:b w:val="0"/>
                <w:bCs w:val="0"/>
                <w:kern w:val="0"/>
                <w:sz w:val="20"/>
                <w:szCs w:val="20"/>
              </w:rPr>
              <w:t>年决算数</w:t>
            </w:r>
          </w:p>
        </w:tc>
        <w:tc>
          <w:tcPr>
            <w:tcW w:w="2240" w:type="dxa"/>
            <w:gridSpan w:val="2"/>
            <w:noWrap w:val="0"/>
            <w:vAlign w:val="center"/>
          </w:tcPr>
          <w:p w14:paraId="3BF72A22">
            <w:pPr>
              <w:widowControl/>
              <w:spacing w:line="240" w:lineRule="auto"/>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20</w:t>
            </w:r>
            <w:r>
              <w:rPr>
                <w:rFonts w:hint="eastAsia" w:ascii="仿宋" w:hAnsi="仿宋" w:eastAsia="仿宋" w:cs="仿宋"/>
                <w:b w:val="0"/>
                <w:bCs w:val="0"/>
                <w:kern w:val="0"/>
                <w:sz w:val="20"/>
                <w:szCs w:val="20"/>
                <w:lang w:val="en-US" w:eastAsia="zh-CN"/>
              </w:rPr>
              <w:t>24</w:t>
            </w:r>
            <w:r>
              <w:rPr>
                <w:rFonts w:hint="eastAsia" w:ascii="仿宋" w:hAnsi="仿宋" w:eastAsia="仿宋" w:cs="仿宋"/>
                <w:b w:val="0"/>
                <w:bCs w:val="0"/>
                <w:kern w:val="0"/>
                <w:sz w:val="20"/>
                <w:szCs w:val="20"/>
              </w:rPr>
              <w:t>年预算数</w:t>
            </w:r>
          </w:p>
        </w:tc>
        <w:tc>
          <w:tcPr>
            <w:tcW w:w="1832" w:type="dxa"/>
            <w:gridSpan w:val="2"/>
            <w:noWrap w:val="0"/>
            <w:vAlign w:val="center"/>
          </w:tcPr>
          <w:p w14:paraId="64F4D951">
            <w:pPr>
              <w:widowControl/>
              <w:spacing w:line="240" w:lineRule="auto"/>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20</w:t>
            </w:r>
            <w:r>
              <w:rPr>
                <w:rFonts w:hint="eastAsia" w:ascii="仿宋" w:hAnsi="仿宋" w:eastAsia="仿宋" w:cs="仿宋"/>
                <w:b w:val="0"/>
                <w:bCs w:val="0"/>
                <w:kern w:val="0"/>
                <w:sz w:val="20"/>
                <w:szCs w:val="20"/>
                <w:lang w:val="en-US" w:eastAsia="zh-CN"/>
              </w:rPr>
              <w:t>24</w:t>
            </w:r>
            <w:r>
              <w:rPr>
                <w:rFonts w:hint="eastAsia" w:ascii="仿宋" w:hAnsi="仿宋" w:eastAsia="仿宋" w:cs="仿宋"/>
                <w:b w:val="0"/>
                <w:bCs w:val="0"/>
                <w:kern w:val="0"/>
                <w:sz w:val="20"/>
                <w:szCs w:val="20"/>
              </w:rPr>
              <w:t>年决算数</w:t>
            </w:r>
          </w:p>
        </w:tc>
      </w:tr>
      <w:tr w14:paraId="06526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04" w:type="dxa"/>
            <w:noWrap w:val="0"/>
            <w:vAlign w:val="center"/>
          </w:tcPr>
          <w:p w14:paraId="0651A13C">
            <w:pPr>
              <w:widowControl/>
              <w:spacing w:line="240" w:lineRule="auto"/>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三公经费</w:t>
            </w:r>
          </w:p>
        </w:tc>
        <w:tc>
          <w:tcPr>
            <w:tcW w:w="1588" w:type="dxa"/>
            <w:gridSpan w:val="2"/>
            <w:noWrap w:val="0"/>
            <w:vAlign w:val="center"/>
          </w:tcPr>
          <w:p w14:paraId="54DD79A0">
            <w:pPr>
              <w:widowControl/>
              <w:spacing w:line="240" w:lineRule="auto"/>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53.48</w:t>
            </w:r>
          </w:p>
        </w:tc>
        <w:tc>
          <w:tcPr>
            <w:tcW w:w="2240" w:type="dxa"/>
            <w:gridSpan w:val="2"/>
            <w:noWrap w:val="0"/>
            <w:vAlign w:val="center"/>
          </w:tcPr>
          <w:p w14:paraId="62A63505">
            <w:pPr>
              <w:widowControl/>
              <w:spacing w:line="240" w:lineRule="auto"/>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53.3</w:t>
            </w:r>
          </w:p>
        </w:tc>
        <w:tc>
          <w:tcPr>
            <w:tcW w:w="1832" w:type="dxa"/>
            <w:gridSpan w:val="2"/>
            <w:noWrap w:val="0"/>
            <w:vAlign w:val="center"/>
          </w:tcPr>
          <w:p w14:paraId="7DA79B19">
            <w:pPr>
              <w:widowControl/>
              <w:spacing w:line="240" w:lineRule="auto"/>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48.18</w:t>
            </w:r>
          </w:p>
        </w:tc>
      </w:tr>
      <w:tr w14:paraId="32ADD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04" w:type="dxa"/>
            <w:noWrap w:val="0"/>
            <w:vAlign w:val="center"/>
          </w:tcPr>
          <w:p w14:paraId="5B11CE62">
            <w:pPr>
              <w:widowControl/>
              <w:spacing w:line="240" w:lineRule="auto"/>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1、公务用车购置和维护经费</w:t>
            </w:r>
          </w:p>
        </w:tc>
        <w:tc>
          <w:tcPr>
            <w:tcW w:w="1588" w:type="dxa"/>
            <w:gridSpan w:val="2"/>
            <w:noWrap w:val="0"/>
            <w:vAlign w:val="center"/>
          </w:tcPr>
          <w:p w14:paraId="161A2FC4">
            <w:pPr>
              <w:widowControl/>
              <w:spacing w:line="240" w:lineRule="auto"/>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5</w:t>
            </w:r>
            <w:r>
              <w:rPr>
                <w:rFonts w:hint="eastAsia" w:ascii="仿宋" w:hAnsi="仿宋" w:eastAsia="仿宋" w:cs="仿宋"/>
                <w:b w:val="0"/>
                <w:bCs w:val="0"/>
                <w:kern w:val="0"/>
                <w:sz w:val="20"/>
                <w:szCs w:val="20"/>
                <w:lang w:val="en-US" w:eastAsia="zh-CN"/>
              </w:rPr>
              <w:t>2.7</w:t>
            </w:r>
          </w:p>
        </w:tc>
        <w:tc>
          <w:tcPr>
            <w:tcW w:w="2240" w:type="dxa"/>
            <w:gridSpan w:val="2"/>
            <w:noWrap w:val="0"/>
            <w:vAlign w:val="center"/>
          </w:tcPr>
          <w:p w14:paraId="44325C9C">
            <w:pPr>
              <w:widowControl/>
              <w:spacing w:line="240" w:lineRule="auto"/>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51</w:t>
            </w:r>
          </w:p>
        </w:tc>
        <w:tc>
          <w:tcPr>
            <w:tcW w:w="1832" w:type="dxa"/>
            <w:gridSpan w:val="2"/>
            <w:noWrap w:val="0"/>
            <w:vAlign w:val="center"/>
          </w:tcPr>
          <w:p w14:paraId="21EA1CC4">
            <w:pPr>
              <w:widowControl/>
              <w:spacing w:line="240" w:lineRule="auto"/>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47.31</w:t>
            </w:r>
          </w:p>
        </w:tc>
      </w:tr>
      <w:tr w14:paraId="68E32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jc w:val="center"/>
        </w:trPr>
        <w:tc>
          <w:tcPr>
            <w:tcW w:w="3804" w:type="dxa"/>
            <w:noWrap w:val="0"/>
            <w:vAlign w:val="center"/>
          </w:tcPr>
          <w:p w14:paraId="3593B210">
            <w:pPr>
              <w:widowControl/>
              <w:spacing w:line="240" w:lineRule="auto"/>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其中：公车购置</w:t>
            </w:r>
          </w:p>
        </w:tc>
        <w:tc>
          <w:tcPr>
            <w:tcW w:w="1588" w:type="dxa"/>
            <w:gridSpan w:val="2"/>
            <w:noWrap w:val="0"/>
            <w:vAlign w:val="center"/>
          </w:tcPr>
          <w:p w14:paraId="7AB8ED75">
            <w:pPr>
              <w:widowControl/>
              <w:spacing w:line="240" w:lineRule="auto"/>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0</w:t>
            </w:r>
          </w:p>
        </w:tc>
        <w:tc>
          <w:tcPr>
            <w:tcW w:w="2240" w:type="dxa"/>
            <w:gridSpan w:val="2"/>
            <w:noWrap w:val="0"/>
            <w:vAlign w:val="center"/>
          </w:tcPr>
          <w:p w14:paraId="4F4F01D6">
            <w:pPr>
              <w:widowControl/>
              <w:spacing w:line="240" w:lineRule="auto"/>
              <w:jc w:val="center"/>
              <w:rPr>
                <w:rFonts w:hint="eastAsia" w:ascii="仿宋" w:hAnsi="仿宋" w:eastAsia="仿宋" w:cs="仿宋"/>
                <w:b w:val="0"/>
                <w:bCs w:val="0"/>
                <w:kern w:val="0"/>
                <w:sz w:val="20"/>
                <w:szCs w:val="20"/>
              </w:rPr>
            </w:pPr>
          </w:p>
        </w:tc>
        <w:tc>
          <w:tcPr>
            <w:tcW w:w="1832" w:type="dxa"/>
            <w:gridSpan w:val="2"/>
            <w:noWrap w:val="0"/>
            <w:vAlign w:val="center"/>
          </w:tcPr>
          <w:p w14:paraId="08E8880C">
            <w:pPr>
              <w:widowControl/>
              <w:spacing w:line="240" w:lineRule="auto"/>
              <w:jc w:val="center"/>
              <w:rPr>
                <w:rFonts w:hint="eastAsia" w:ascii="仿宋" w:hAnsi="仿宋" w:eastAsia="仿宋" w:cs="仿宋"/>
                <w:b w:val="0"/>
                <w:bCs w:val="0"/>
                <w:kern w:val="0"/>
                <w:sz w:val="20"/>
                <w:szCs w:val="20"/>
              </w:rPr>
            </w:pPr>
          </w:p>
        </w:tc>
      </w:tr>
      <w:tr w14:paraId="4A987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 w:hRule="atLeast"/>
          <w:jc w:val="center"/>
        </w:trPr>
        <w:tc>
          <w:tcPr>
            <w:tcW w:w="3804" w:type="dxa"/>
            <w:noWrap w:val="0"/>
            <w:vAlign w:val="center"/>
          </w:tcPr>
          <w:p w14:paraId="408DD44F">
            <w:pPr>
              <w:widowControl/>
              <w:spacing w:line="240" w:lineRule="auto"/>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公车运行维护</w:t>
            </w:r>
          </w:p>
        </w:tc>
        <w:tc>
          <w:tcPr>
            <w:tcW w:w="1588" w:type="dxa"/>
            <w:gridSpan w:val="2"/>
            <w:noWrap w:val="0"/>
            <w:vAlign w:val="center"/>
          </w:tcPr>
          <w:p w14:paraId="1DA40B45">
            <w:pPr>
              <w:widowControl/>
              <w:spacing w:line="240" w:lineRule="auto"/>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52.7</w:t>
            </w:r>
          </w:p>
        </w:tc>
        <w:tc>
          <w:tcPr>
            <w:tcW w:w="2240" w:type="dxa"/>
            <w:gridSpan w:val="2"/>
            <w:noWrap w:val="0"/>
            <w:vAlign w:val="center"/>
          </w:tcPr>
          <w:p w14:paraId="6B979A1F">
            <w:pPr>
              <w:widowControl/>
              <w:spacing w:line="240" w:lineRule="auto"/>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51</w:t>
            </w:r>
          </w:p>
        </w:tc>
        <w:tc>
          <w:tcPr>
            <w:tcW w:w="1832" w:type="dxa"/>
            <w:gridSpan w:val="2"/>
            <w:noWrap w:val="0"/>
            <w:vAlign w:val="center"/>
          </w:tcPr>
          <w:p w14:paraId="4767C590">
            <w:pPr>
              <w:widowControl/>
              <w:spacing w:line="240" w:lineRule="auto"/>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47.31</w:t>
            </w:r>
          </w:p>
        </w:tc>
      </w:tr>
      <w:tr w14:paraId="7808A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 w:hRule="atLeast"/>
          <w:jc w:val="center"/>
        </w:trPr>
        <w:tc>
          <w:tcPr>
            <w:tcW w:w="3804" w:type="dxa"/>
            <w:noWrap w:val="0"/>
            <w:vAlign w:val="center"/>
          </w:tcPr>
          <w:p w14:paraId="5789513A">
            <w:pPr>
              <w:widowControl/>
              <w:spacing w:line="240" w:lineRule="auto"/>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2、出国经费</w:t>
            </w:r>
          </w:p>
        </w:tc>
        <w:tc>
          <w:tcPr>
            <w:tcW w:w="1588" w:type="dxa"/>
            <w:gridSpan w:val="2"/>
            <w:noWrap w:val="0"/>
            <w:vAlign w:val="center"/>
          </w:tcPr>
          <w:p w14:paraId="4CE9CD49">
            <w:pPr>
              <w:widowControl/>
              <w:spacing w:line="240" w:lineRule="auto"/>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0</w:t>
            </w:r>
          </w:p>
        </w:tc>
        <w:tc>
          <w:tcPr>
            <w:tcW w:w="2240" w:type="dxa"/>
            <w:gridSpan w:val="2"/>
            <w:noWrap w:val="0"/>
            <w:vAlign w:val="center"/>
          </w:tcPr>
          <w:p w14:paraId="6035BB77">
            <w:pPr>
              <w:widowControl/>
              <w:spacing w:line="240" w:lineRule="auto"/>
              <w:jc w:val="center"/>
              <w:rPr>
                <w:rFonts w:hint="eastAsia" w:ascii="仿宋" w:hAnsi="仿宋" w:eastAsia="仿宋" w:cs="仿宋"/>
                <w:b w:val="0"/>
                <w:bCs w:val="0"/>
                <w:kern w:val="0"/>
                <w:sz w:val="20"/>
                <w:szCs w:val="20"/>
              </w:rPr>
            </w:pPr>
          </w:p>
        </w:tc>
        <w:tc>
          <w:tcPr>
            <w:tcW w:w="1832" w:type="dxa"/>
            <w:gridSpan w:val="2"/>
            <w:noWrap w:val="0"/>
            <w:vAlign w:val="center"/>
          </w:tcPr>
          <w:p w14:paraId="590BA986">
            <w:pPr>
              <w:widowControl/>
              <w:spacing w:line="240" w:lineRule="auto"/>
              <w:jc w:val="center"/>
              <w:rPr>
                <w:rFonts w:hint="eastAsia" w:ascii="仿宋" w:hAnsi="仿宋" w:eastAsia="仿宋" w:cs="仿宋"/>
                <w:b w:val="0"/>
                <w:bCs w:val="0"/>
                <w:kern w:val="0"/>
                <w:sz w:val="20"/>
                <w:szCs w:val="20"/>
              </w:rPr>
            </w:pPr>
          </w:p>
        </w:tc>
      </w:tr>
      <w:tr w14:paraId="7F194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3804" w:type="dxa"/>
            <w:noWrap w:val="0"/>
            <w:vAlign w:val="center"/>
          </w:tcPr>
          <w:p w14:paraId="67F0518D">
            <w:pPr>
              <w:widowControl/>
              <w:spacing w:line="240" w:lineRule="auto"/>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3、公务接待</w:t>
            </w:r>
          </w:p>
        </w:tc>
        <w:tc>
          <w:tcPr>
            <w:tcW w:w="1588" w:type="dxa"/>
            <w:gridSpan w:val="2"/>
            <w:noWrap w:val="0"/>
            <w:vAlign w:val="center"/>
          </w:tcPr>
          <w:p w14:paraId="4EA2E758">
            <w:pPr>
              <w:widowControl/>
              <w:spacing w:line="240" w:lineRule="auto"/>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0.78</w:t>
            </w:r>
          </w:p>
        </w:tc>
        <w:tc>
          <w:tcPr>
            <w:tcW w:w="2240" w:type="dxa"/>
            <w:gridSpan w:val="2"/>
            <w:noWrap w:val="0"/>
            <w:vAlign w:val="center"/>
          </w:tcPr>
          <w:p w14:paraId="77D54BBF">
            <w:pPr>
              <w:widowControl/>
              <w:spacing w:line="240" w:lineRule="auto"/>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2.3</w:t>
            </w:r>
          </w:p>
        </w:tc>
        <w:tc>
          <w:tcPr>
            <w:tcW w:w="1832" w:type="dxa"/>
            <w:gridSpan w:val="2"/>
            <w:noWrap w:val="0"/>
            <w:vAlign w:val="center"/>
          </w:tcPr>
          <w:p w14:paraId="1FA5962A">
            <w:pPr>
              <w:widowControl/>
              <w:spacing w:line="240" w:lineRule="auto"/>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0.87</w:t>
            </w:r>
          </w:p>
        </w:tc>
      </w:tr>
      <w:tr w14:paraId="4E965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04" w:type="dxa"/>
            <w:noWrap w:val="0"/>
            <w:vAlign w:val="center"/>
          </w:tcPr>
          <w:p w14:paraId="754EDF61">
            <w:pPr>
              <w:widowControl/>
              <w:spacing w:line="240" w:lineRule="auto"/>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项目支出：</w:t>
            </w:r>
          </w:p>
        </w:tc>
        <w:tc>
          <w:tcPr>
            <w:tcW w:w="1588" w:type="dxa"/>
            <w:gridSpan w:val="2"/>
            <w:noWrap w:val="0"/>
            <w:vAlign w:val="center"/>
          </w:tcPr>
          <w:p w14:paraId="3DEC9632">
            <w:pPr>
              <w:widowControl/>
              <w:spacing w:line="240" w:lineRule="auto"/>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1857.48</w:t>
            </w:r>
          </w:p>
        </w:tc>
        <w:tc>
          <w:tcPr>
            <w:tcW w:w="2240" w:type="dxa"/>
            <w:gridSpan w:val="2"/>
            <w:noWrap w:val="0"/>
            <w:vAlign w:val="center"/>
          </w:tcPr>
          <w:p w14:paraId="175EAB82">
            <w:pPr>
              <w:widowControl/>
              <w:spacing w:line="240" w:lineRule="auto"/>
              <w:jc w:val="center"/>
              <w:rPr>
                <w:rFonts w:hint="eastAsia" w:ascii="仿宋" w:hAnsi="仿宋" w:eastAsia="仿宋" w:cs="仿宋"/>
                <w:b w:val="0"/>
                <w:bCs w:val="0"/>
                <w:kern w:val="0"/>
                <w:sz w:val="20"/>
                <w:szCs w:val="20"/>
              </w:rPr>
            </w:pPr>
          </w:p>
        </w:tc>
        <w:tc>
          <w:tcPr>
            <w:tcW w:w="1832" w:type="dxa"/>
            <w:gridSpan w:val="2"/>
            <w:noWrap w:val="0"/>
            <w:vAlign w:val="center"/>
          </w:tcPr>
          <w:p w14:paraId="3E738D91">
            <w:pPr>
              <w:widowControl/>
              <w:spacing w:line="240" w:lineRule="auto"/>
              <w:jc w:val="center"/>
              <w:rPr>
                <w:rFonts w:hint="eastAsia" w:ascii="仿宋" w:hAnsi="仿宋" w:eastAsia="仿宋" w:cs="仿宋"/>
                <w:b w:val="0"/>
                <w:bCs w:val="0"/>
                <w:kern w:val="0"/>
                <w:sz w:val="20"/>
                <w:szCs w:val="20"/>
              </w:rPr>
            </w:pPr>
          </w:p>
        </w:tc>
      </w:tr>
      <w:tr w14:paraId="0962F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04" w:type="dxa"/>
            <w:noWrap w:val="0"/>
            <w:vAlign w:val="center"/>
          </w:tcPr>
          <w:p w14:paraId="638EB060">
            <w:pPr>
              <w:widowControl/>
              <w:spacing w:line="240" w:lineRule="auto"/>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1、业务工作经费</w:t>
            </w:r>
          </w:p>
        </w:tc>
        <w:tc>
          <w:tcPr>
            <w:tcW w:w="1588" w:type="dxa"/>
            <w:gridSpan w:val="2"/>
            <w:noWrap w:val="0"/>
            <w:vAlign w:val="center"/>
          </w:tcPr>
          <w:p w14:paraId="6B87D01E">
            <w:pPr>
              <w:widowControl/>
              <w:spacing w:line="240" w:lineRule="auto"/>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1375.5</w:t>
            </w:r>
          </w:p>
        </w:tc>
        <w:tc>
          <w:tcPr>
            <w:tcW w:w="2240" w:type="dxa"/>
            <w:gridSpan w:val="2"/>
            <w:noWrap w:val="0"/>
            <w:vAlign w:val="center"/>
          </w:tcPr>
          <w:p w14:paraId="2CC8D0B1">
            <w:pPr>
              <w:widowControl/>
              <w:spacing w:line="240" w:lineRule="auto"/>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1847.2</w:t>
            </w:r>
          </w:p>
        </w:tc>
        <w:tc>
          <w:tcPr>
            <w:tcW w:w="1832" w:type="dxa"/>
            <w:gridSpan w:val="2"/>
            <w:noWrap w:val="0"/>
            <w:vAlign w:val="center"/>
          </w:tcPr>
          <w:p w14:paraId="3CF8A4E6">
            <w:pPr>
              <w:widowControl/>
              <w:spacing w:line="240" w:lineRule="auto"/>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1353.1</w:t>
            </w:r>
          </w:p>
        </w:tc>
      </w:tr>
      <w:tr w14:paraId="3CCBE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04" w:type="dxa"/>
            <w:noWrap w:val="0"/>
            <w:vAlign w:val="center"/>
          </w:tcPr>
          <w:p w14:paraId="5E4E1AC0">
            <w:pPr>
              <w:widowControl/>
              <w:spacing w:line="240" w:lineRule="auto"/>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2、运行维护经费</w:t>
            </w:r>
          </w:p>
        </w:tc>
        <w:tc>
          <w:tcPr>
            <w:tcW w:w="1588" w:type="dxa"/>
            <w:gridSpan w:val="2"/>
            <w:noWrap w:val="0"/>
            <w:vAlign w:val="center"/>
          </w:tcPr>
          <w:p w14:paraId="753B698A">
            <w:pPr>
              <w:widowControl/>
              <w:spacing w:line="240" w:lineRule="auto"/>
              <w:jc w:val="center"/>
              <w:rPr>
                <w:rFonts w:hint="eastAsia" w:ascii="仿宋" w:hAnsi="仿宋" w:eastAsia="仿宋" w:cs="仿宋"/>
                <w:b w:val="0"/>
                <w:bCs w:val="0"/>
                <w:kern w:val="0"/>
                <w:sz w:val="20"/>
                <w:szCs w:val="20"/>
              </w:rPr>
            </w:pPr>
          </w:p>
        </w:tc>
        <w:tc>
          <w:tcPr>
            <w:tcW w:w="2240" w:type="dxa"/>
            <w:gridSpan w:val="2"/>
            <w:noWrap w:val="0"/>
            <w:vAlign w:val="center"/>
          </w:tcPr>
          <w:p w14:paraId="193ECD35">
            <w:pPr>
              <w:widowControl/>
              <w:spacing w:line="240" w:lineRule="auto"/>
              <w:jc w:val="center"/>
              <w:rPr>
                <w:rFonts w:hint="eastAsia" w:ascii="仿宋" w:hAnsi="仿宋" w:eastAsia="仿宋" w:cs="仿宋"/>
                <w:b w:val="0"/>
                <w:bCs w:val="0"/>
                <w:kern w:val="0"/>
                <w:sz w:val="20"/>
                <w:szCs w:val="20"/>
              </w:rPr>
            </w:pPr>
          </w:p>
        </w:tc>
        <w:tc>
          <w:tcPr>
            <w:tcW w:w="1832" w:type="dxa"/>
            <w:gridSpan w:val="2"/>
            <w:noWrap w:val="0"/>
            <w:vAlign w:val="center"/>
          </w:tcPr>
          <w:p w14:paraId="72C7F0A6">
            <w:pPr>
              <w:widowControl/>
              <w:spacing w:line="240" w:lineRule="auto"/>
              <w:jc w:val="center"/>
              <w:rPr>
                <w:rFonts w:hint="eastAsia" w:ascii="仿宋" w:hAnsi="仿宋" w:eastAsia="仿宋" w:cs="仿宋"/>
                <w:b w:val="0"/>
                <w:bCs w:val="0"/>
                <w:kern w:val="0"/>
                <w:sz w:val="20"/>
                <w:szCs w:val="20"/>
              </w:rPr>
            </w:pPr>
          </w:p>
        </w:tc>
      </w:tr>
      <w:tr w14:paraId="34FE2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804" w:type="dxa"/>
            <w:noWrap w:val="0"/>
            <w:vAlign w:val="center"/>
          </w:tcPr>
          <w:p w14:paraId="259A5F84">
            <w:pPr>
              <w:widowControl/>
              <w:spacing w:line="240" w:lineRule="auto"/>
              <w:ind w:firstLine="200" w:firstLineChars="10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3、中央专项资金（重大传染病防控）</w:t>
            </w:r>
          </w:p>
        </w:tc>
        <w:tc>
          <w:tcPr>
            <w:tcW w:w="1588" w:type="dxa"/>
            <w:gridSpan w:val="2"/>
            <w:noWrap w:val="0"/>
            <w:vAlign w:val="center"/>
          </w:tcPr>
          <w:p w14:paraId="4E725577">
            <w:pPr>
              <w:widowControl/>
              <w:spacing w:line="240" w:lineRule="auto"/>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270</w:t>
            </w:r>
          </w:p>
        </w:tc>
        <w:tc>
          <w:tcPr>
            <w:tcW w:w="2240" w:type="dxa"/>
            <w:gridSpan w:val="2"/>
            <w:noWrap w:val="0"/>
            <w:vAlign w:val="center"/>
          </w:tcPr>
          <w:p w14:paraId="0ACEEF83">
            <w:pPr>
              <w:widowControl/>
              <w:spacing w:line="240" w:lineRule="auto"/>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160.5</w:t>
            </w:r>
          </w:p>
        </w:tc>
        <w:tc>
          <w:tcPr>
            <w:tcW w:w="1832" w:type="dxa"/>
            <w:gridSpan w:val="2"/>
            <w:noWrap w:val="0"/>
            <w:vAlign w:val="center"/>
          </w:tcPr>
          <w:p w14:paraId="16DB7AE3">
            <w:pPr>
              <w:widowControl/>
              <w:spacing w:line="240" w:lineRule="auto"/>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160.5</w:t>
            </w:r>
          </w:p>
        </w:tc>
      </w:tr>
      <w:tr w14:paraId="01FE5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04" w:type="dxa"/>
            <w:noWrap w:val="0"/>
            <w:vAlign w:val="center"/>
          </w:tcPr>
          <w:p w14:paraId="0183A309">
            <w:pPr>
              <w:widowControl/>
              <w:spacing w:line="240" w:lineRule="auto"/>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 xml:space="preserve">  4</w:t>
            </w:r>
            <w:r>
              <w:rPr>
                <w:rFonts w:hint="eastAsia" w:ascii="仿宋" w:hAnsi="仿宋" w:eastAsia="仿宋" w:cs="仿宋"/>
                <w:b w:val="0"/>
                <w:bCs w:val="0"/>
                <w:kern w:val="0"/>
                <w:sz w:val="20"/>
                <w:szCs w:val="20"/>
              </w:rPr>
              <w:t>、市本级专项资金</w:t>
            </w:r>
          </w:p>
        </w:tc>
        <w:tc>
          <w:tcPr>
            <w:tcW w:w="1588" w:type="dxa"/>
            <w:gridSpan w:val="2"/>
            <w:noWrap w:val="0"/>
            <w:vAlign w:val="center"/>
          </w:tcPr>
          <w:p w14:paraId="729A5899">
            <w:pPr>
              <w:widowControl/>
              <w:spacing w:line="240" w:lineRule="auto"/>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211.98</w:t>
            </w:r>
          </w:p>
        </w:tc>
        <w:tc>
          <w:tcPr>
            <w:tcW w:w="2240" w:type="dxa"/>
            <w:gridSpan w:val="2"/>
            <w:noWrap w:val="0"/>
            <w:vAlign w:val="center"/>
          </w:tcPr>
          <w:p w14:paraId="43B902D0">
            <w:pPr>
              <w:widowControl/>
              <w:spacing w:line="240" w:lineRule="auto"/>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168.49</w:t>
            </w:r>
          </w:p>
        </w:tc>
        <w:tc>
          <w:tcPr>
            <w:tcW w:w="1832" w:type="dxa"/>
            <w:gridSpan w:val="2"/>
            <w:noWrap w:val="0"/>
            <w:vAlign w:val="center"/>
          </w:tcPr>
          <w:p w14:paraId="6D873811">
            <w:pPr>
              <w:widowControl/>
              <w:spacing w:line="240" w:lineRule="auto"/>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168.49</w:t>
            </w:r>
          </w:p>
        </w:tc>
      </w:tr>
      <w:tr w14:paraId="7C452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3804" w:type="dxa"/>
            <w:noWrap w:val="0"/>
            <w:vAlign w:val="center"/>
          </w:tcPr>
          <w:p w14:paraId="0F6BBBA2">
            <w:pPr>
              <w:widowControl/>
              <w:spacing w:line="240" w:lineRule="auto"/>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（1）血液检测专项经费</w:t>
            </w:r>
          </w:p>
        </w:tc>
        <w:tc>
          <w:tcPr>
            <w:tcW w:w="1588" w:type="dxa"/>
            <w:gridSpan w:val="2"/>
            <w:noWrap w:val="0"/>
            <w:vAlign w:val="center"/>
          </w:tcPr>
          <w:p w14:paraId="2321D599">
            <w:pPr>
              <w:widowControl/>
              <w:spacing w:line="240" w:lineRule="auto"/>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101</w:t>
            </w:r>
          </w:p>
        </w:tc>
        <w:tc>
          <w:tcPr>
            <w:tcW w:w="2240" w:type="dxa"/>
            <w:gridSpan w:val="2"/>
            <w:noWrap w:val="0"/>
            <w:vAlign w:val="center"/>
          </w:tcPr>
          <w:p w14:paraId="720C5808">
            <w:pPr>
              <w:widowControl/>
              <w:spacing w:line="240" w:lineRule="auto"/>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101</w:t>
            </w:r>
          </w:p>
        </w:tc>
        <w:tc>
          <w:tcPr>
            <w:tcW w:w="1832" w:type="dxa"/>
            <w:gridSpan w:val="2"/>
            <w:noWrap w:val="0"/>
            <w:vAlign w:val="center"/>
          </w:tcPr>
          <w:p w14:paraId="0CF2135E">
            <w:pPr>
              <w:widowControl/>
              <w:spacing w:line="240" w:lineRule="auto"/>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101</w:t>
            </w:r>
          </w:p>
        </w:tc>
      </w:tr>
      <w:tr w14:paraId="4D6D8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3804" w:type="dxa"/>
            <w:noWrap w:val="0"/>
            <w:vAlign w:val="center"/>
          </w:tcPr>
          <w:p w14:paraId="061F7D6D">
            <w:pPr>
              <w:widowControl/>
              <w:spacing w:line="240" w:lineRule="auto"/>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（2）献血者及其亲属用血费用报销</w:t>
            </w:r>
          </w:p>
        </w:tc>
        <w:tc>
          <w:tcPr>
            <w:tcW w:w="1588" w:type="dxa"/>
            <w:gridSpan w:val="2"/>
            <w:noWrap w:val="0"/>
            <w:vAlign w:val="center"/>
          </w:tcPr>
          <w:p w14:paraId="3F050135">
            <w:pPr>
              <w:widowControl/>
              <w:spacing w:line="240" w:lineRule="auto"/>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50</w:t>
            </w:r>
          </w:p>
        </w:tc>
        <w:tc>
          <w:tcPr>
            <w:tcW w:w="2240" w:type="dxa"/>
            <w:gridSpan w:val="2"/>
            <w:noWrap w:val="0"/>
            <w:vAlign w:val="center"/>
          </w:tcPr>
          <w:p w14:paraId="31616BB0">
            <w:pPr>
              <w:widowControl/>
              <w:spacing w:line="240" w:lineRule="auto"/>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50</w:t>
            </w:r>
          </w:p>
        </w:tc>
        <w:tc>
          <w:tcPr>
            <w:tcW w:w="1832" w:type="dxa"/>
            <w:gridSpan w:val="2"/>
            <w:noWrap w:val="0"/>
            <w:vAlign w:val="center"/>
          </w:tcPr>
          <w:p w14:paraId="205EF959">
            <w:pPr>
              <w:widowControl/>
              <w:spacing w:line="240" w:lineRule="auto"/>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50</w:t>
            </w:r>
          </w:p>
        </w:tc>
      </w:tr>
      <w:tr w14:paraId="4BA35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3804" w:type="dxa"/>
            <w:noWrap w:val="0"/>
            <w:vAlign w:val="center"/>
          </w:tcPr>
          <w:p w14:paraId="44FF6412">
            <w:pPr>
              <w:widowControl/>
              <w:spacing w:line="240" w:lineRule="auto"/>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（3）血液检测离心机等设备购置（一般债券）</w:t>
            </w:r>
          </w:p>
        </w:tc>
        <w:tc>
          <w:tcPr>
            <w:tcW w:w="1588" w:type="dxa"/>
            <w:gridSpan w:val="2"/>
            <w:noWrap w:val="0"/>
            <w:vAlign w:val="center"/>
          </w:tcPr>
          <w:p w14:paraId="20F5BE44">
            <w:pPr>
              <w:widowControl/>
              <w:spacing w:line="240" w:lineRule="auto"/>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12.37</w:t>
            </w:r>
          </w:p>
        </w:tc>
        <w:tc>
          <w:tcPr>
            <w:tcW w:w="2240" w:type="dxa"/>
            <w:gridSpan w:val="2"/>
            <w:noWrap w:val="0"/>
            <w:vAlign w:val="center"/>
          </w:tcPr>
          <w:p w14:paraId="57FF4032">
            <w:pPr>
              <w:widowControl/>
              <w:spacing w:line="240" w:lineRule="auto"/>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7.13</w:t>
            </w:r>
          </w:p>
        </w:tc>
        <w:tc>
          <w:tcPr>
            <w:tcW w:w="1832" w:type="dxa"/>
            <w:gridSpan w:val="2"/>
            <w:noWrap w:val="0"/>
            <w:vAlign w:val="center"/>
          </w:tcPr>
          <w:p w14:paraId="368C89AA">
            <w:pPr>
              <w:widowControl/>
              <w:spacing w:line="240" w:lineRule="auto"/>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7.13</w:t>
            </w:r>
          </w:p>
        </w:tc>
      </w:tr>
      <w:tr w14:paraId="085AC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3804" w:type="dxa"/>
            <w:noWrap w:val="0"/>
            <w:vAlign w:val="center"/>
          </w:tcPr>
          <w:p w14:paraId="3CED056F">
            <w:pPr>
              <w:widowControl/>
              <w:spacing w:line="240" w:lineRule="auto"/>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（4）房屋建筑安全隐患整改专项经费</w:t>
            </w:r>
          </w:p>
        </w:tc>
        <w:tc>
          <w:tcPr>
            <w:tcW w:w="1588" w:type="dxa"/>
            <w:gridSpan w:val="2"/>
            <w:noWrap w:val="0"/>
            <w:vAlign w:val="center"/>
          </w:tcPr>
          <w:p w14:paraId="144BC208">
            <w:pPr>
              <w:widowControl/>
              <w:spacing w:line="240" w:lineRule="auto"/>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38</w:t>
            </w:r>
          </w:p>
        </w:tc>
        <w:tc>
          <w:tcPr>
            <w:tcW w:w="2240" w:type="dxa"/>
            <w:gridSpan w:val="2"/>
            <w:noWrap w:val="0"/>
            <w:vAlign w:val="center"/>
          </w:tcPr>
          <w:p w14:paraId="460AD537">
            <w:pPr>
              <w:widowControl/>
              <w:spacing w:line="240" w:lineRule="auto"/>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10.36</w:t>
            </w:r>
          </w:p>
        </w:tc>
        <w:tc>
          <w:tcPr>
            <w:tcW w:w="1832" w:type="dxa"/>
            <w:gridSpan w:val="2"/>
            <w:noWrap w:val="0"/>
            <w:vAlign w:val="center"/>
          </w:tcPr>
          <w:p w14:paraId="7AD65726">
            <w:pPr>
              <w:widowControl/>
              <w:spacing w:line="240" w:lineRule="auto"/>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10.36</w:t>
            </w:r>
          </w:p>
        </w:tc>
      </w:tr>
      <w:tr w14:paraId="104BA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3804" w:type="dxa"/>
            <w:noWrap w:val="0"/>
            <w:vAlign w:val="center"/>
          </w:tcPr>
          <w:p w14:paraId="4AFAF5FC">
            <w:pPr>
              <w:widowControl/>
              <w:spacing w:line="240" w:lineRule="auto"/>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（5）新冠肺炎疫情防控项目</w:t>
            </w:r>
          </w:p>
        </w:tc>
        <w:tc>
          <w:tcPr>
            <w:tcW w:w="1588" w:type="dxa"/>
            <w:gridSpan w:val="2"/>
            <w:noWrap w:val="0"/>
            <w:vAlign w:val="center"/>
          </w:tcPr>
          <w:p w14:paraId="39D85C07">
            <w:pPr>
              <w:widowControl/>
              <w:spacing w:line="240" w:lineRule="auto"/>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10.61</w:t>
            </w:r>
          </w:p>
        </w:tc>
        <w:tc>
          <w:tcPr>
            <w:tcW w:w="2240" w:type="dxa"/>
            <w:gridSpan w:val="2"/>
            <w:noWrap w:val="0"/>
            <w:vAlign w:val="center"/>
          </w:tcPr>
          <w:p w14:paraId="6698195E">
            <w:pPr>
              <w:widowControl/>
              <w:spacing w:line="240" w:lineRule="auto"/>
              <w:jc w:val="center"/>
              <w:rPr>
                <w:rFonts w:hint="eastAsia" w:ascii="仿宋" w:hAnsi="仿宋" w:eastAsia="仿宋" w:cs="仿宋"/>
                <w:b w:val="0"/>
                <w:bCs w:val="0"/>
                <w:kern w:val="0"/>
                <w:sz w:val="20"/>
                <w:szCs w:val="20"/>
              </w:rPr>
            </w:pPr>
          </w:p>
        </w:tc>
        <w:tc>
          <w:tcPr>
            <w:tcW w:w="1832" w:type="dxa"/>
            <w:gridSpan w:val="2"/>
            <w:noWrap w:val="0"/>
            <w:vAlign w:val="center"/>
          </w:tcPr>
          <w:p w14:paraId="2F60F969">
            <w:pPr>
              <w:widowControl/>
              <w:spacing w:line="240" w:lineRule="auto"/>
              <w:jc w:val="center"/>
              <w:rPr>
                <w:rFonts w:hint="eastAsia" w:ascii="仿宋" w:hAnsi="仿宋" w:eastAsia="仿宋" w:cs="仿宋"/>
                <w:b w:val="0"/>
                <w:bCs w:val="0"/>
                <w:kern w:val="0"/>
                <w:sz w:val="20"/>
                <w:szCs w:val="20"/>
              </w:rPr>
            </w:pPr>
          </w:p>
        </w:tc>
      </w:tr>
      <w:tr w14:paraId="750F4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04" w:type="dxa"/>
            <w:noWrap w:val="0"/>
            <w:vAlign w:val="center"/>
          </w:tcPr>
          <w:p w14:paraId="0CBD33CB">
            <w:pPr>
              <w:widowControl/>
              <w:spacing w:line="240" w:lineRule="auto"/>
              <w:jc w:val="left"/>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公用经费</w:t>
            </w:r>
          </w:p>
        </w:tc>
        <w:tc>
          <w:tcPr>
            <w:tcW w:w="1588" w:type="dxa"/>
            <w:gridSpan w:val="2"/>
            <w:noWrap w:val="0"/>
            <w:vAlign w:val="center"/>
          </w:tcPr>
          <w:p w14:paraId="36502434">
            <w:pPr>
              <w:widowControl/>
              <w:spacing w:line="240" w:lineRule="auto"/>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109.65</w:t>
            </w:r>
          </w:p>
        </w:tc>
        <w:tc>
          <w:tcPr>
            <w:tcW w:w="2240" w:type="dxa"/>
            <w:gridSpan w:val="2"/>
            <w:noWrap w:val="0"/>
            <w:vAlign w:val="center"/>
          </w:tcPr>
          <w:p w14:paraId="74B1DF2B">
            <w:pPr>
              <w:widowControl/>
              <w:spacing w:line="240" w:lineRule="auto"/>
              <w:jc w:val="center"/>
              <w:rPr>
                <w:rFonts w:hint="default" w:ascii="仿宋" w:hAnsi="仿宋" w:eastAsia="仿宋" w:cs="仿宋"/>
                <w:b w:val="0"/>
                <w:bCs w:val="0"/>
                <w:kern w:val="0"/>
                <w:sz w:val="20"/>
                <w:szCs w:val="20"/>
                <w:lang w:val="en-US"/>
              </w:rPr>
            </w:pPr>
            <w:r>
              <w:rPr>
                <w:rFonts w:hint="eastAsia" w:ascii="仿宋" w:hAnsi="仿宋" w:eastAsia="仿宋" w:cs="仿宋"/>
                <w:b w:val="0"/>
                <w:bCs w:val="0"/>
                <w:kern w:val="0"/>
                <w:sz w:val="20"/>
                <w:szCs w:val="20"/>
                <w:lang w:val="en-US" w:eastAsia="zh-CN"/>
              </w:rPr>
              <w:t>95.91</w:t>
            </w:r>
          </w:p>
        </w:tc>
        <w:tc>
          <w:tcPr>
            <w:tcW w:w="1832" w:type="dxa"/>
            <w:gridSpan w:val="2"/>
            <w:noWrap w:val="0"/>
            <w:vAlign w:val="center"/>
          </w:tcPr>
          <w:p w14:paraId="2C3510C2">
            <w:pPr>
              <w:widowControl/>
              <w:spacing w:line="240" w:lineRule="auto"/>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95.91</w:t>
            </w:r>
          </w:p>
        </w:tc>
      </w:tr>
      <w:tr w14:paraId="04FF7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04" w:type="dxa"/>
            <w:noWrap w:val="0"/>
            <w:vAlign w:val="center"/>
          </w:tcPr>
          <w:p w14:paraId="031C5345">
            <w:pPr>
              <w:widowControl/>
              <w:spacing w:line="240" w:lineRule="auto"/>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其中：办公费</w:t>
            </w:r>
          </w:p>
        </w:tc>
        <w:tc>
          <w:tcPr>
            <w:tcW w:w="1588" w:type="dxa"/>
            <w:gridSpan w:val="2"/>
            <w:noWrap w:val="0"/>
            <w:vAlign w:val="center"/>
          </w:tcPr>
          <w:p w14:paraId="492B11C2">
            <w:pPr>
              <w:widowControl/>
              <w:spacing w:line="240" w:lineRule="auto"/>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10.95</w:t>
            </w:r>
          </w:p>
        </w:tc>
        <w:tc>
          <w:tcPr>
            <w:tcW w:w="2240" w:type="dxa"/>
            <w:gridSpan w:val="2"/>
            <w:noWrap w:val="0"/>
            <w:vAlign w:val="center"/>
          </w:tcPr>
          <w:p w14:paraId="3002A724">
            <w:pPr>
              <w:widowControl/>
              <w:spacing w:line="240" w:lineRule="auto"/>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10</w:t>
            </w:r>
          </w:p>
        </w:tc>
        <w:tc>
          <w:tcPr>
            <w:tcW w:w="1832" w:type="dxa"/>
            <w:gridSpan w:val="2"/>
            <w:noWrap w:val="0"/>
            <w:vAlign w:val="center"/>
          </w:tcPr>
          <w:p w14:paraId="5D31D37B">
            <w:pPr>
              <w:widowControl/>
              <w:spacing w:line="240" w:lineRule="auto"/>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7.52</w:t>
            </w:r>
          </w:p>
        </w:tc>
      </w:tr>
      <w:tr w14:paraId="34908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04" w:type="dxa"/>
            <w:noWrap w:val="0"/>
            <w:vAlign w:val="center"/>
          </w:tcPr>
          <w:p w14:paraId="7B09FBE4">
            <w:pPr>
              <w:widowControl/>
              <w:spacing w:line="240" w:lineRule="auto"/>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水费、电费、差旅费</w:t>
            </w:r>
          </w:p>
        </w:tc>
        <w:tc>
          <w:tcPr>
            <w:tcW w:w="1588" w:type="dxa"/>
            <w:gridSpan w:val="2"/>
            <w:noWrap w:val="0"/>
            <w:vAlign w:val="center"/>
          </w:tcPr>
          <w:p w14:paraId="06CE900D">
            <w:pPr>
              <w:widowControl/>
              <w:spacing w:line="240" w:lineRule="auto"/>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1.4</w:t>
            </w:r>
          </w:p>
        </w:tc>
        <w:tc>
          <w:tcPr>
            <w:tcW w:w="2240" w:type="dxa"/>
            <w:gridSpan w:val="2"/>
            <w:noWrap w:val="0"/>
            <w:vAlign w:val="center"/>
          </w:tcPr>
          <w:p w14:paraId="2DCED27E">
            <w:pPr>
              <w:widowControl/>
              <w:spacing w:line="240" w:lineRule="auto"/>
              <w:jc w:val="center"/>
              <w:rPr>
                <w:rFonts w:hint="eastAsia" w:ascii="仿宋" w:hAnsi="仿宋" w:eastAsia="仿宋" w:cs="仿宋"/>
                <w:b w:val="0"/>
                <w:bCs w:val="0"/>
                <w:kern w:val="0"/>
                <w:sz w:val="20"/>
                <w:szCs w:val="20"/>
                <w:lang w:val="en-US" w:eastAsia="zh-CN"/>
              </w:rPr>
            </w:pPr>
          </w:p>
        </w:tc>
        <w:tc>
          <w:tcPr>
            <w:tcW w:w="1832" w:type="dxa"/>
            <w:gridSpan w:val="2"/>
            <w:noWrap w:val="0"/>
            <w:vAlign w:val="center"/>
          </w:tcPr>
          <w:p w14:paraId="39EDD185">
            <w:pPr>
              <w:widowControl/>
              <w:spacing w:line="240" w:lineRule="auto"/>
              <w:jc w:val="center"/>
              <w:rPr>
                <w:rFonts w:hint="eastAsia" w:ascii="仿宋" w:hAnsi="仿宋" w:eastAsia="仿宋" w:cs="仿宋"/>
                <w:b w:val="0"/>
                <w:bCs w:val="0"/>
                <w:kern w:val="0"/>
                <w:sz w:val="20"/>
                <w:szCs w:val="20"/>
                <w:lang w:val="en-US" w:eastAsia="zh-CN"/>
              </w:rPr>
            </w:pPr>
          </w:p>
        </w:tc>
      </w:tr>
      <w:tr w14:paraId="3B058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3804" w:type="dxa"/>
            <w:noWrap w:val="0"/>
            <w:vAlign w:val="center"/>
          </w:tcPr>
          <w:p w14:paraId="0DF9C014">
            <w:pPr>
              <w:widowControl/>
              <w:spacing w:line="240" w:lineRule="auto"/>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会议费、培训费</w:t>
            </w:r>
          </w:p>
        </w:tc>
        <w:tc>
          <w:tcPr>
            <w:tcW w:w="1588" w:type="dxa"/>
            <w:gridSpan w:val="2"/>
            <w:noWrap w:val="0"/>
            <w:vAlign w:val="center"/>
          </w:tcPr>
          <w:p w14:paraId="19B65476">
            <w:pPr>
              <w:widowControl/>
              <w:spacing w:line="240" w:lineRule="auto"/>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6.4</w:t>
            </w:r>
          </w:p>
        </w:tc>
        <w:tc>
          <w:tcPr>
            <w:tcW w:w="2240" w:type="dxa"/>
            <w:gridSpan w:val="2"/>
            <w:noWrap w:val="0"/>
            <w:vAlign w:val="center"/>
          </w:tcPr>
          <w:p w14:paraId="720CE61D">
            <w:pPr>
              <w:widowControl/>
              <w:spacing w:line="240" w:lineRule="auto"/>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11.7</w:t>
            </w:r>
          </w:p>
        </w:tc>
        <w:tc>
          <w:tcPr>
            <w:tcW w:w="1832" w:type="dxa"/>
            <w:gridSpan w:val="2"/>
            <w:noWrap w:val="0"/>
            <w:vAlign w:val="center"/>
          </w:tcPr>
          <w:p w14:paraId="2FAD3E66">
            <w:pPr>
              <w:widowControl/>
              <w:spacing w:line="240" w:lineRule="auto"/>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5.38</w:t>
            </w:r>
          </w:p>
        </w:tc>
      </w:tr>
      <w:tr w14:paraId="4D6E3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04" w:type="dxa"/>
            <w:noWrap w:val="0"/>
            <w:vAlign w:val="center"/>
          </w:tcPr>
          <w:p w14:paraId="176DEA04">
            <w:pPr>
              <w:widowControl/>
              <w:spacing w:line="240" w:lineRule="auto"/>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政府采购金额</w:t>
            </w:r>
          </w:p>
        </w:tc>
        <w:tc>
          <w:tcPr>
            <w:tcW w:w="1588" w:type="dxa"/>
            <w:gridSpan w:val="2"/>
            <w:noWrap w:val="0"/>
            <w:vAlign w:val="center"/>
          </w:tcPr>
          <w:p w14:paraId="2E309D4A">
            <w:pPr>
              <w:widowControl/>
              <w:spacing w:line="240" w:lineRule="auto"/>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w:t>
            </w:r>
          </w:p>
        </w:tc>
        <w:tc>
          <w:tcPr>
            <w:tcW w:w="2240" w:type="dxa"/>
            <w:gridSpan w:val="2"/>
            <w:noWrap w:val="0"/>
            <w:vAlign w:val="center"/>
          </w:tcPr>
          <w:p w14:paraId="48766A16">
            <w:pPr>
              <w:widowControl/>
              <w:spacing w:line="240" w:lineRule="auto"/>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1826.21</w:t>
            </w:r>
          </w:p>
        </w:tc>
        <w:tc>
          <w:tcPr>
            <w:tcW w:w="1832" w:type="dxa"/>
            <w:gridSpan w:val="2"/>
            <w:noWrap w:val="0"/>
            <w:vAlign w:val="center"/>
          </w:tcPr>
          <w:p w14:paraId="7D8E0AB9">
            <w:pPr>
              <w:widowControl/>
              <w:spacing w:line="240" w:lineRule="auto"/>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1479.31</w:t>
            </w:r>
          </w:p>
        </w:tc>
      </w:tr>
      <w:tr w14:paraId="53411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04" w:type="dxa"/>
            <w:noWrap w:val="0"/>
            <w:vAlign w:val="center"/>
          </w:tcPr>
          <w:p w14:paraId="47E36597">
            <w:pPr>
              <w:widowControl/>
              <w:spacing w:line="240" w:lineRule="auto"/>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部门基本支出预算调整 </w:t>
            </w:r>
          </w:p>
        </w:tc>
        <w:tc>
          <w:tcPr>
            <w:tcW w:w="1588" w:type="dxa"/>
            <w:gridSpan w:val="2"/>
            <w:noWrap w:val="0"/>
            <w:vAlign w:val="center"/>
          </w:tcPr>
          <w:p w14:paraId="28A2DFC9">
            <w:pPr>
              <w:widowControl/>
              <w:spacing w:line="240" w:lineRule="auto"/>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w:t>
            </w:r>
          </w:p>
        </w:tc>
        <w:tc>
          <w:tcPr>
            <w:tcW w:w="2240" w:type="dxa"/>
            <w:gridSpan w:val="2"/>
            <w:noWrap w:val="0"/>
            <w:vAlign w:val="center"/>
          </w:tcPr>
          <w:p w14:paraId="5BDD58D3">
            <w:pPr>
              <w:widowControl/>
              <w:spacing w:line="240" w:lineRule="auto"/>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91.34</w:t>
            </w:r>
          </w:p>
        </w:tc>
        <w:tc>
          <w:tcPr>
            <w:tcW w:w="1832" w:type="dxa"/>
            <w:gridSpan w:val="2"/>
            <w:noWrap w:val="0"/>
            <w:vAlign w:val="center"/>
          </w:tcPr>
          <w:p w14:paraId="5F085754">
            <w:pPr>
              <w:widowControl/>
              <w:spacing w:line="240" w:lineRule="auto"/>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91.34</w:t>
            </w:r>
          </w:p>
        </w:tc>
      </w:tr>
      <w:tr w14:paraId="4673F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7" w:hRule="atLeast"/>
          <w:jc w:val="center"/>
        </w:trPr>
        <w:tc>
          <w:tcPr>
            <w:tcW w:w="3804" w:type="dxa"/>
            <w:vMerge w:val="restart"/>
            <w:noWrap w:val="0"/>
            <w:vAlign w:val="center"/>
          </w:tcPr>
          <w:p w14:paraId="2BBF42DB">
            <w:pPr>
              <w:widowControl/>
              <w:spacing w:line="240" w:lineRule="auto"/>
              <w:jc w:val="center"/>
              <w:rPr>
                <w:rFonts w:hint="eastAsia" w:ascii="仿宋" w:hAnsi="仿宋" w:eastAsia="仿宋" w:cs="仿宋"/>
                <w:b w:val="0"/>
                <w:bCs w:val="0"/>
                <w:kern w:val="0"/>
                <w:sz w:val="20"/>
                <w:szCs w:val="20"/>
                <w:lang w:eastAsia="zh-CN"/>
              </w:rPr>
            </w:pPr>
            <w:r>
              <w:rPr>
                <w:rFonts w:hint="eastAsia" w:ascii="仿宋" w:hAnsi="仿宋" w:eastAsia="仿宋" w:cs="仿宋"/>
                <w:b w:val="0"/>
                <w:bCs w:val="0"/>
                <w:kern w:val="0"/>
                <w:sz w:val="20"/>
                <w:szCs w:val="20"/>
              </w:rPr>
              <w:t>楼堂馆所控制情况</w:t>
            </w:r>
            <w:r>
              <w:rPr>
                <w:rFonts w:hint="eastAsia" w:ascii="仿宋" w:hAnsi="仿宋" w:eastAsia="仿宋" w:cs="仿宋"/>
                <w:b w:val="0"/>
                <w:bCs w:val="0"/>
                <w:kern w:val="0"/>
                <w:sz w:val="20"/>
                <w:szCs w:val="20"/>
              </w:rPr>
              <w:br w:type="textWrapping"/>
            </w:r>
            <w:r>
              <w:rPr>
                <w:rFonts w:hint="eastAsia" w:ascii="仿宋" w:hAnsi="仿宋" w:eastAsia="仿宋" w:cs="仿宋"/>
                <w:b w:val="0"/>
                <w:bCs w:val="0"/>
                <w:kern w:val="0"/>
                <w:sz w:val="20"/>
                <w:szCs w:val="20"/>
                <w:lang w:eastAsia="zh-CN"/>
              </w:rPr>
              <w:t>（</w:t>
            </w:r>
            <w:r>
              <w:rPr>
                <w:rFonts w:hint="eastAsia" w:ascii="仿宋" w:hAnsi="仿宋" w:eastAsia="仿宋" w:cs="仿宋"/>
                <w:b w:val="0"/>
                <w:bCs w:val="0"/>
                <w:kern w:val="0"/>
                <w:sz w:val="20"/>
                <w:szCs w:val="20"/>
                <w:lang w:val="en-US" w:eastAsia="zh-CN"/>
              </w:rPr>
              <w:t>2024年完工情况</w:t>
            </w:r>
            <w:r>
              <w:rPr>
                <w:rFonts w:hint="eastAsia" w:ascii="仿宋" w:hAnsi="仿宋" w:eastAsia="仿宋" w:cs="仿宋"/>
                <w:b w:val="0"/>
                <w:bCs w:val="0"/>
                <w:kern w:val="0"/>
                <w:sz w:val="20"/>
                <w:szCs w:val="20"/>
                <w:lang w:eastAsia="zh-CN"/>
              </w:rPr>
              <w:t>）</w:t>
            </w:r>
          </w:p>
        </w:tc>
        <w:tc>
          <w:tcPr>
            <w:tcW w:w="739" w:type="dxa"/>
            <w:noWrap w:val="0"/>
            <w:vAlign w:val="center"/>
          </w:tcPr>
          <w:p w14:paraId="58CE0429">
            <w:pPr>
              <w:widowControl/>
              <w:spacing w:line="240" w:lineRule="auto"/>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批复规模</w:t>
            </w:r>
            <w:r>
              <w:rPr>
                <w:rFonts w:hint="eastAsia" w:ascii="仿宋" w:hAnsi="仿宋" w:eastAsia="仿宋" w:cs="仿宋"/>
                <w:b w:val="0"/>
                <w:bCs w:val="0"/>
                <w:kern w:val="0"/>
                <w:sz w:val="20"/>
                <w:szCs w:val="20"/>
              </w:rPr>
              <w:br w:type="textWrapping"/>
            </w:r>
            <w:r>
              <w:rPr>
                <w:rFonts w:hint="eastAsia" w:ascii="仿宋" w:hAnsi="仿宋" w:eastAsia="仿宋" w:cs="仿宋"/>
                <w:b w:val="0"/>
                <w:bCs w:val="0"/>
                <w:kern w:val="0"/>
                <w:sz w:val="20"/>
                <w:szCs w:val="20"/>
              </w:rPr>
              <w:t>（㎡）</w:t>
            </w:r>
          </w:p>
        </w:tc>
        <w:tc>
          <w:tcPr>
            <w:tcW w:w="849" w:type="dxa"/>
            <w:noWrap w:val="0"/>
            <w:vAlign w:val="center"/>
          </w:tcPr>
          <w:p w14:paraId="37066E88">
            <w:pPr>
              <w:widowControl/>
              <w:spacing w:line="240" w:lineRule="auto"/>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实际规模（㎡）</w:t>
            </w:r>
          </w:p>
        </w:tc>
        <w:tc>
          <w:tcPr>
            <w:tcW w:w="1129" w:type="dxa"/>
            <w:noWrap w:val="0"/>
            <w:vAlign w:val="center"/>
          </w:tcPr>
          <w:p w14:paraId="3915F0C7">
            <w:pPr>
              <w:widowControl/>
              <w:spacing w:line="240" w:lineRule="auto"/>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规模</w:t>
            </w:r>
          </w:p>
          <w:p w14:paraId="3A434E86">
            <w:pPr>
              <w:widowControl/>
              <w:spacing w:line="240" w:lineRule="auto"/>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控制率</w:t>
            </w:r>
          </w:p>
        </w:tc>
        <w:tc>
          <w:tcPr>
            <w:tcW w:w="1111" w:type="dxa"/>
            <w:noWrap w:val="0"/>
            <w:vAlign w:val="center"/>
          </w:tcPr>
          <w:p w14:paraId="2507725A">
            <w:pPr>
              <w:widowControl/>
              <w:spacing w:line="240" w:lineRule="auto"/>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预算投资（万元）</w:t>
            </w:r>
          </w:p>
        </w:tc>
        <w:tc>
          <w:tcPr>
            <w:tcW w:w="969" w:type="dxa"/>
            <w:noWrap w:val="0"/>
            <w:vAlign w:val="center"/>
          </w:tcPr>
          <w:p w14:paraId="5F4B1894">
            <w:pPr>
              <w:widowControl/>
              <w:spacing w:line="240" w:lineRule="auto"/>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实际投资（万元）</w:t>
            </w:r>
          </w:p>
        </w:tc>
        <w:tc>
          <w:tcPr>
            <w:tcW w:w="863" w:type="dxa"/>
            <w:noWrap w:val="0"/>
            <w:vAlign w:val="center"/>
          </w:tcPr>
          <w:p w14:paraId="437FCE95">
            <w:pPr>
              <w:widowControl/>
              <w:spacing w:line="240" w:lineRule="auto"/>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投资概算控制率</w:t>
            </w:r>
          </w:p>
        </w:tc>
      </w:tr>
      <w:tr w14:paraId="60556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3804" w:type="dxa"/>
            <w:vMerge w:val="continue"/>
            <w:noWrap w:val="0"/>
            <w:vAlign w:val="center"/>
          </w:tcPr>
          <w:p w14:paraId="4F4FCB59">
            <w:pPr>
              <w:widowControl/>
              <w:spacing w:line="240" w:lineRule="auto"/>
              <w:jc w:val="left"/>
              <w:rPr>
                <w:rFonts w:hint="eastAsia" w:ascii="仿宋" w:hAnsi="仿宋" w:eastAsia="仿宋" w:cs="仿宋"/>
                <w:b w:val="0"/>
                <w:bCs w:val="0"/>
                <w:kern w:val="0"/>
                <w:sz w:val="20"/>
                <w:szCs w:val="20"/>
              </w:rPr>
            </w:pPr>
          </w:p>
        </w:tc>
        <w:tc>
          <w:tcPr>
            <w:tcW w:w="739" w:type="dxa"/>
            <w:noWrap w:val="0"/>
            <w:vAlign w:val="center"/>
          </w:tcPr>
          <w:p w14:paraId="40CD71A9">
            <w:pPr>
              <w:widowControl/>
              <w:spacing w:line="240" w:lineRule="auto"/>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849" w:type="dxa"/>
            <w:noWrap w:val="0"/>
            <w:vAlign w:val="center"/>
          </w:tcPr>
          <w:p w14:paraId="5AFD097B">
            <w:pPr>
              <w:widowControl/>
              <w:spacing w:line="240" w:lineRule="auto"/>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1129" w:type="dxa"/>
            <w:noWrap w:val="0"/>
            <w:vAlign w:val="center"/>
          </w:tcPr>
          <w:p w14:paraId="145CA048">
            <w:pPr>
              <w:widowControl/>
              <w:spacing w:line="240" w:lineRule="auto"/>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1111" w:type="dxa"/>
            <w:noWrap w:val="0"/>
            <w:vAlign w:val="center"/>
          </w:tcPr>
          <w:p w14:paraId="278CFABC">
            <w:pPr>
              <w:widowControl/>
              <w:spacing w:line="240" w:lineRule="auto"/>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969" w:type="dxa"/>
            <w:noWrap w:val="0"/>
            <w:vAlign w:val="center"/>
          </w:tcPr>
          <w:p w14:paraId="1DEF7588">
            <w:pPr>
              <w:widowControl/>
              <w:spacing w:line="240" w:lineRule="auto"/>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863" w:type="dxa"/>
            <w:noWrap w:val="0"/>
            <w:vAlign w:val="center"/>
          </w:tcPr>
          <w:p w14:paraId="27617B42">
            <w:pPr>
              <w:widowControl/>
              <w:spacing w:line="240" w:lineRule="auto"/>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r>
      <w:tr w14:paraId="6B78D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3804" w:type="dxa"/>
            <w:noWrap w:val="0"/>
            <w:vAlign w:val="center"/>
          </w:tcPr>
          <w:p w14:paraId="083B45A7">
            <w:pPr>
              <w:widowControl/>
              <w:spacing w:line="240" w:lineRule="auto"/>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厉行节约保障措施</w:t>
            </w:r>
          </w:p>
        </w:tc>
        <w:tc>
          <w:tcPr>
            <w:tcW w:w="5660" w:type="dxa"/>
            <w:gridSpan w:val="6"/>
            <w:noWrap w:val="0"/>
            <w:vAlign w:val="center"/>
          </w:tcPr>
          <w:p w14:paraId="314E2748">
            <w:pPr>
              <w:widowControl/>
              <w:spacing w:line="240" w:lineRule="auto"/>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压减三公经费，压减会议费、培训费、差旅费</w:t>
            </w:r>
            <w:r>
              <w:rPr>
                <w:rFonts w:hint="eastAsia" w:ascii="仿宋" w:hAnsi="仿宋" w:eastAsia="仿宋" w:cs="仿宋"/>
                <w:b w:val="0"/>
                <w:bCs w:val="0"/>
                <w:kern w:val="0"/>
                <w:sz w:val="20"/>
                <w:szCs w:val="20"/>
              </w:rPr>
              <w:t>　</w:t>
            </w:r>
          </w:p>
        </w:tc>
      </w:tr>
    </w:tbl>
    <w:p w14:paraId="7898A8B4">
      <w:pPr>
        <w:pStyle w:val="18"/>
        <w:keepNext/>
        <w:keepLines/>
        <w:pageBreakBefore w:val="0"/>
        <w:widowControl w:val="0"/>
        <w:kinsoku/>
        <w:wordWrap/>
        <w:overflowPunct/>
        <w:topLinePunct w:val="0"/>
        <w:autoSpaceDE/>
        <w:autoSpaceDN/>
        <w:bidi w:val="0"/>
        <w:adjustRightInd/>
        <w:snapToGrid/>
        <w:spacing w:line="280" w:lineRule="exact"/>
        <w:ind w:left="0" w:leftChars="0" w:firstLine="0" w:firstLineChars="0"/>
        <w:textAlignment w:val="auto"/>
        <w:rPr>
          <w:rFonts w:hint="eastAsia"/>
          <w:lang w:val="en-US" w:eastAsia="zh-CN"/>
        </w:rPr>
      </w:pPr>
      <w:r>
        <w:rPr>
          <w:rFonts w:eastAsia="仿宋_GB2312"/>
          <w:kern w:val="0"/>
          <w:sz w:val="22"/>
        </w:rPr>
        <w:t>说明：“项目支出”需要填报基本支出以外的所有项目支出情况，“公用经费”填报基本支出中的一般商品和服务支出。</w:t>
      </w:r>
    </w:p>
    <w:p w14:paraId="2B64F0FA">
      <w:pPr>
        <w:widowControl w:val="0"/>
        <w:kinsoku/>
        <w:autoSpaceDE/>
        <w:autoSpaceDN/>
        <w:adjustRightInd/>
        <w:snapToGrid/>
        <w:spacing w:line="600" w:lineRule="exact"/>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sectPr>
          <w:footerReference r:id="rId3" w:type="default"/>
          <w:pgSz w:w="11906" w:h="16838"/>
          <w:pgMar w:top="1134" w:right="1800" w:bottom="1134" w:left="1587" w:header="851" w:footer="992" w:gutter="0"/>
          <w:cols w:space="425" w:num="1"/>
          <w:docGrid w:type="lines" w:linePitch="312" w:charSpace="0"/>
        </w:sect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谢凌倩         </w:t>
      </w:r>
      <w:r>
        <w:rPr>
          <w:rFonts w:hint="default" w:ascii="Times New Roman" w:hAnsi="Times New Roman" w:eastAsia="仿宋_GB2312" w:cs="Times New Roman"/>
          <w:snapToGrid/>
          <w:color w:val="000000"/>
          <w:kern w:val="0"/>
          <w:sz w:val="24"/>
          <w:szCs w:val="24"/>
          <w:lang w:val="en-US" w:eastAsia="zh-CN" w:bidi="ar-SA"/>
        </w:rPr>
        <w:t>填报日期：</w:t>
      </w:r>
      <w:r>
        <w:rPr>
          <w:rFonts w:hint="eastAsia" w:ascii="Times New Roman" w:hAnsi="Times New Roman" w:eastAsia="仿宋_GB2312" w:cs="Times New Roman"/>
          <w:snapToGrid/>
          <w:color w:val="000000"/>
          <w:kern w:val="0"/>
          <w:sz w:val="24"/>
          <w:szCs w:val="24"/>
          <w:lang w:val="en-US" w:eastAsia="zh-CN" w:bidi="ar-SA"/>
        </w:rPr>
        <w:t xml:space="preserve">2025.6.17     </w:t>
      </w:r>
      <w:r>
        <w:rPr>
          <w:rFonts w:hint="default" w:ascii="Times New Roman" w:hAnsi="Times New Roman" w:eastAsia="仿宋_GB2312" w:cs="Times New Roman"/>
          <w:snapToGrid/>
          <w:color w:val="000000"/>
          <w:kern w:val="0"/>
          <w:sz w:val="24"/>
          <w:szCs w:val="24"/>
          <w:lang w:val="en-US" w:eastAsia="zh-CN" w:bidi="ar-SA"/>
        </w:rPr>
        <w:t xml:space="preserve"> </w:t>
      </w:r>
      <w:r>
        <w:rPr>
          <w:rFonts w:hint="eastAsia" w:ascii="Times New Roman" w:hAnsi="Times New Roman" w:eastAsia="仿宋_GB2312" w:cs="Times New Roman"/>
          <w:snapToGrid/>
          <w:color w:val="000000"/>
          <w:kern w:val="0"/>
          <w:sz w:val="24"/>
          <w:szCs w:val="24"/>
          <w:lang w:val="en-US" w:eastAsia="zh-CN" w:bidi="ar-SA"/>
        </w:rPr>
        <w:t xml:space="preserve">  </w:t>
      </w:r>
      <w:r>
        <w:rPr>
          <w:rFonts w:hint="default" w:ascii="Times New Roman" w:hAnsi="Times New Roman" w:eastAsia="仿宋_GB2312" w:cs="Times New Roman"/>
          <w:snapToGrid/>
          <w:color w:val="000000"/>
          <w:kern w:val="0"/>
          <w:sz w:val="24"/>
          <w:szCs w:val="24"/>
          <w:lang w:val="en-US" w:eastAsia="zh-CN" w:bidi="ar-SA"/>
        </w:rPr>
        <w:t>联系电话：</w:t>
      </w:r>
      <w:r>
        <w:rPr>
          <w:rFonts w:hint="eastAsia" w:ascii="Times New Roman" w:hAnsi="Times New Roman" w:eastAsia="仿宋_GB2312" w:cs="Times New Roman"/>
          <w:snapToGrid/>
          <w:color w:val="000000"/>
          <w:kern w:val="0"/>
          <w:sz w:val="24"/>
          <w:szCs w:val="24"/>
          <w:lang w:val="en-US" w:eastAsia="zh-CN" w:bidi="ar-SA"/>
        </w:rPr>
        <w:t>13397458728</w:t>
      </w:r>
    </w:p>
    <w:p w14:paraId="731CB2E4">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r>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t>附件2</w:t>
      </w:r>
    </w:p>
    <w:p w14:paraId="72D8B85A">
      <w:pPr>
        <w:keepNext w:val="0"/>
        <w:keepLines w:val="0"/>
        <w:pageBreakBefore w:val="0"/>
        <w:widowControl/>
        <w:tabs>
          <w:tab w:val="left" w:pos="2555"/>
          <w:tab w:val="left" w:pos="3611"/>
          <w:tab w:val="center" w:pos="4365"/>
          <w:tab w:val="left" w:pos="4791"/>
          <w:tab w:val="left" w:pos="5951"/>
          <w:tab w:val="left" w:pos="7071"/>
          <w:tab w:val="left" w:pos="8191"/>
          <w:tab w:val="left" w:pos="9311"/>
        </w:tabs>
        <w:kinsoku/>
        <w:wordWrap/>
        <w:overflowPunct/>
        <w:topLinePunct w:val="0"/>
        <w:autoSpaceDE/>
        <w:autoSpaceDN/>
        <w:bidi w:val="0"/>
        <w:adjustRightInd/>
        <w:snapToGrid/>
        <w:spacing w:line="480" w:lineRule="exact"/>
        <w:ind w:left="91"/>
        <w:jc w:val="left"/>
        <w:textAlignment w:val="auto"/>
        <w:rPr>
          <w:rFonts w:hint="eastAsia" w:ascii="方正小标宋简体" w:hAnsi="方正小标宋简体" w:eastAsia="方正小标宋简体" w:cs="方正小标宋简体"/>
          <w:color w:val="000000"/>
          <w:kern w:val="0"/>
          <w:sz w:val="36"/>
          <w:szCs w:val="36"/>
          <w:lang w:val="en-US" w:eastAsia="zh-CN"/>
        </w:rPr>
      </w:pPr>
      <w:r>
        <w:rPr>
          <w:rFonts w:hint="eastAsia" w:ascii="方正小标宋简体" w:hAnsi="方正小标宋简体" w:eastAsia="方正小标宋简体" w:cs="方正小标宋简体"/>
          <w:color w:val="000000"/>
          <w:kern w:val="0"/>
          <w:sz w:val="36"/>
          <w:szCs w:val="36"/>
          <w:lang w:val="en-US" w:eastAsia="zh-CN"/>
        </w:rPr>
        <w:tab/>
      </w:r>
      <w:r>
        <w:rPr>
          <w:rFonts w:hint="eastAsia" w:ascii="方正小标宋简体" w:hAnsi="方正小标宋简体" w:eastAsia="方正小标宋简体" w:cs="方正小标宋简体"/>
          <w:color w:val="000000"/>
          <w:kern w:val="0"/>
          <w:sz w:val="36"/>
          <w:szCs w:val="36"/>
          <w:lang w:val="en-US" w:eastAsia="zh-CN"/>
        </w:rPr>
        <w:t>部门整体支出绩效自评表</w:t>
      </w:r>
    </w:p>
    <w:tbl>
      <w:tblPr>
        <w:tblStyle w:val="13"/>
        <w:tblW w:w="92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1065"/>
        <w:gridCol w:w="1170"/>
        <w:gridCol w:w="1485"/>
        <w:gridCol w:w="1155"/>
        <w:gridCol w:w="1140"/>
        <w:gridCol w:w="555"/>
        <w:gridCol w:w="495"/>
        <w:gridCol w:w="549"/>
        <w:gridCol w:w="832"/>
      </w:tblGrid>
      <w:tr w14:paraId="51B34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816" w:type="dxa"/>
            <w:noWrap w:val="0"/>
            <w:vAlign w:val="center"/>
          </w:tcPr>
          <w:p w14:paraId="1999661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w:t>
            </w:r>
            <w:r>
              <w:rPr>
                <w:rFonts w:hint="eastAsia" w:ascii="仿宋" w:hAnsi="仿宋" w:eastAsia="仿宋" w:cs="仿宋"/>
                <w:color w:val="000000"/>
                <w:kern w:val="0"/>
                <w:sz w:val="20"/>
                <w:szCs w:val="20"/>
                <w:lang w:eastAsia="zh-CN"/>
              </w:rPr>
              <w:t>部门</w:t>
            </w:r>
            <w:r>
              <w:rPr>
                <w:rFonts w:hint="eastAsia" w:ascii="仿宋" w:hAnsi="仿宋" w:eastAsia="仿宋" w:cs="仿宋"/>
                <w:color w:val="000000"/>
                <w:kern w:val="0"/>
                <w:sz w:val="20"/>
                <w:szCs w:val="20"/>
              </w:rPr>
              <w:t>名称</w:t>
            </w:r>
          </w:p>
        </w:tc>
        <w:tc>
          <w:tcPr>
            <w:tcW w:w="8446" w:type="dxa"/>
            <w:gridSpan w:val="9"/>
            <w:noWrap w:val="0"/>
            <w:vAlign w:val="center"/>
          </w:tcPr>
          <w:p w14:paraId="34DDD81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怀化市中心血站</w:t>
            </w:r>
          </w:p>
        </w:tc>
      </w:tr>
      <w:tr w14:paraId="7D5EE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816" w:type="dxa"/>
            <w:vMerge w:val="restart"/>
            <w:noWrap w:val="0"/>
            <w:vAlign w:val="center"/>
          </w:tcPr>
          <w:p w14:paraId="03BBC26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年度预</w:t>
            </w:r>
          </w:p>
          <w:p w14:paraId="321FBB9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算申请</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（万元）</w:t>
            </w:r>
          </w:p>
        </w:tc>
        <w:tc>
          <w:tcPr>
            <w:tcW w:w="2235" w:type="dxa"/>
            <w:gridSpan w:val="2"/>
            <w:noWrap w:val="0"/>
            <w:vAlign w:val="center"/>
          </w:tcPr>
          <w:p w14:paraId="57DC3A0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p>
        </w:tc>
        <w:tc>
          <w:tcPr>
            <w:tcW w:w="1485" w:type="dxa"/>
            <w:noWrap w:val="0"/>
            <w:vAlign w:val="center"/>
          </w:tcPr>
          <w:p w14:paraId="3F670A0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年初</w:t>
            </w:r>
          </w:p>
          <w:p w14:paraId="145925E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预算数</w:t>
            </w:r>
          </w:p>
        </w:tc>
        <w:tc>
          <w:tcPr>
            <w:tcW w:w="1155" w:type="dxa"/>
            <w:noWrap w:val="0"/>
            <w:vAlign w:val="center"/>
          </w:tcPr>
          <w:p w14:paraId="5B01EE0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全年预算数</w:t>
            </w:r>
          </w:p>
        </w:tc>
        <w:tc>
          <w:tcPr>
            <w:tcW w:w="1140" w:type="dxa"/>
            <w:noWrap w:val="0"/>
            <w:vAlign w:val="center"/>
          </w:tcPr>
          <w:p w14:paraId="141BB8F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14:paraId="2A1DDF0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555" w:type="dxa"/>
            <w:noWrap w:val="0"/>
            <w:vAlign w:val="center"/>
          </w:tcPr>
          <w:p w14:paraId="0BD7E89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1044" w:type="dxa"/>
            <w:gridSpan w:val="2"/>
            <w:noWrap w:val="0"/>
            <w:vAlign w:val="center"/>
          </w:tcPr>
          <w:p w14:paraId="1797FD3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832" w:type="dxa"/>
            <w:noWrap w:val="0"/>
            <w:vAlign w:val="center"/>
          </w:tcPr>
          <w:p w14:paraId="4D9DCE1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14:paraId="6BD74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816" w:type="dxa"/>
            <w:vMerge w:val="continue"/>
            <w:noWrap w:val="0"/>
            <w:vAlign w:val="center"/>
          </w:tcPr>
          <w:p w14:paraId="7567B6F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2235" w:type="dxa"/>
            <w:gridSpan w:val="2"/>
            <w:noWrap w:val="0"/>
            <w:vAlign w:val="center"/>
          </w:tcPr>
          <w:p w14:paraId="535DAE2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年度资金总额</w:t>
            </w:r>
          </w:p>
        </w:tc>
        <w:tc>
          <w:tcPr>
            <w:tcW w:w="1485" w:type="dxa"/>
            <w:noWrap w:val="0"/>
            <w:vAlign w:val="center"/>
          </w:tcPr>
          <w:p w14:paraId="0006680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3306.27</w:t>
            </w:r>
          </w:p>
        </w:tc>
        <w:tc>
          <w:tcPr>
            <w:tcW w:w="1155" w:type="dxa"/>
            <w:noWrap w:val="0"/>
            <w:vAlign w:val="center"/>
          </w:tcPr>
          <w:p w14:paraId="4961B8A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3081.50</w:t>
            </w:r>
          </w:p>
        </w:tc>
        <w:tc>
          <w:tcPr>
            <w:tcW w:w="1140" w:type="dxa"/>
            <w:noWrap w:val="0"/>
            <w:vAlign w:val="center"/>
          </w:tcPr>
          <w:p w14:paraId="7BA63C3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3081.50</w:t>
            </w:r>
          </w:p>
        </w:tc>
        <w:tc>
          <w:tcPr>
            <w:tcW w:w="555" w:type="dxa"/>
            <w:noWrap w:val="0"/>
            <w:vAlign w:val="center"/>
          </w:tcPr>
          <w:p w14:paraId="5273CE0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w:t>
            </w:r>
          </w:p>
        </w:tc>
        <w:tc>
          <w:tcPr>
            <w:tcW w:w="1044" w:type="dxa"/>
            <w:gridSpan w:val="2"/>
            <w:noWrap w:val="0"/>
            <w:vAlign w:val="center"/>
          </w:tcPr>
          <w:p w14:paraId="28BC495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100%</w:t>
            </w:r>
          </w:p>
        </w:tc>
        <w:tc>
          <w:tcPr>
            <w:tcW w:w="832" w:type="dxa"/>
            <w:noWrap w:val="0"/>
            <w:vAlign w:val="center"/>
          </w:tcPr>
          <w:p w14:paraId="4E72011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r>
      <w:tr w14:paraId="6A05D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816" w:type="dxa"/>
            <w:vMerge w:val="continue"/>
            <w:noWrap w:val="0"/>
            <w:vAlign w:val="center"/>
          </w:tcPr>
          <w:p w14:paraId="0AE85E8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875" w:type="dxa"/>
            <w:gridSpan w:val="4"/>
            <w:noWrap w:val="0"/>
            <w:vAlign w:val="center"/>
          </w:tcPr>
          <w:p w14:paraId="0C9A2B9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按收入性质分：</w:t>
            </w:r>
          </w:p>
        </w:tc>
        <w:tc>
          <w:tcPr>
            <w:tcW w:w="3571" w:type="dxa"/>
            <w:gridSpan w:val="5"/>
            <w:noWrap w:val="0"/>
            <w:vAlign w:val="center"/>
          </w:tcPr>
          <w:p w14:paraId="58C6180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按支出性质分：</w:t>
            </w:r>
          </w:p>
        </w:tc>
      </w:tr>
      <w:tr w14:paraId="2A2E7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jc w:val="center"/>
        </w:trPr>
        <w:tc>
          <w:tcPr>
            <w:tcW w:w="816" w:type="dxa"/>
            <w:vMerge w:val="continue"/>
            <w:noWrap w:val="0"/>
            <w:vAlign w:val="center"/>
          </w:tcPr>
          <w:p w14:paraId="72D0B22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875" w:type="dxa"/>
            <w:gridSpan w:val="4"/>
            <w:noWrap w:val="0"/>
            <w:vAlign w:val="center"/>
          </w:tcPr>
          <w:p w14:paraId="61AD407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其中：一般公共预算：</w:t>
            </w:r>
            <w:r>
              <w:rPr>
                <w:rFonts w:hint="eastAsia" w:ascii="仿宋" w:hAnsi="仿宋" w:eastAsia="仿宋" w:cs="仿宋"/>
                <w:color w:val="000000"/>
                <w:kern w:val="0"/>
                <w:sz w:val="20"/>
                <w:szCs w:val="20"/>
                <w:lang w:val="en-US" w:eastAsia="zh-CN"/>
              </w:rPr>
              <w:t>1315.50</w:t>
            </w:r>
          </w:p>
        </w:tc>
        <w:tc>
          <w:tcPr>
            <w:tcW w:w="3571" w:type="dxa"/>
            <w:gridSpan w:val="5"/>
            <w:noWrap w:val="0"/>
            <w:vAlign w:val="center"/>
          </w:tcPr>
          <w:p w14:paraId="4EE70A9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其中：基本支出：</w:t>
            </w:r>
            <w:r>
              <w:rPr>
                <w:rFonts w:hint="eastAsia" w:ascii="仿宋" w:hAnsi="仿宋" w:eastAsia="仿宋" w:cs="仿宋"/>
                <w:color w:val="000000"/>
                <w:kern w:val="0"/>
                <w:sz w:val="20"/>
                <w:szCs w:val="20"/>
                <w:lang w:val="en-US" w:eastAsia="zh-CN"/>
              </w:rPr>
              <w:t>1399.41</w:t>
            </w:r>
          </w:p>
        </w:tc>
      </w:tr>
      <w:tr w14:paraId="35A99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816" w:type="dxa"/>
            <w:vMerge w:val="continue"/>
            <w:noWrap w:val="0"/>
            <w:vAlign w:val="center"/>
          </w:tcPr>
          <w:p w14:paraId="0712948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875" w:type="dxa"/>
            <w:gridSpan w:val="4"/>
            <w:noWrap w:val="0"/>
            <w:vAlign w:val="center"/>
          </w:tcPr>
          <w:p w14:paraId="53CE66D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政府性基金拨款：</w:t>
            </w:r>
          </w:p>
        </w:tc>
        <w:tc>
          <w:tcPr>
            <w:tcW w:w="3571" w:type="dxa"/>
            <w:gridSpan w:val="5"/>
            <w:noWrap w:val="0"/>
            <w:vAlign w:val="center"/>
          </w:tcPr>
          <w:p w14:paraId="5A6AB53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项目支出：</w:t>
            </w:r>
            <w:r>
              <w:rPr>
                <w:rFonts w:hint="eastAsia" w:ascii="仿宋" w:hAnsi="仿宋" w:eastAsia="仿宋" w:cs="仿宋"/>
                <w:color w:val="000000"/>
                <w:kern w:val="0"/>
                <w:sz w:val="20"/>
                <w:szCs w:val="20"/>
                <w:lang w:val="en-US" w:eastAsia="zh-CN"/>
              </w:rPr>
              <w:t>1682.10</w:t>
            </w:r>
          </w:p>
        </w:tc>
      </w:tr>
      <w:tr w14:paraId="3B0F3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816" w:type="dxa"/>
            <w:vMerge w:val="continue"/>
            <w:noWrap w:val="0"/>
            <w:vAlign w:val="center"/>
          </w:tcPr>
          <w:p w14:paraId="0BD78E3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875" w:type="dxa"/>
            <w:gridSpan w:val="4"/>
            <w:noWrap w:val="0"/>
            <w:vAlign w:val="center"/>
          </w:tcPr>
          <w:p w14:paraId="7FF7BD7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纳入专户管理的非税收入拨款：</w:t>
            </w:r>
            <w:r>
              <w:rPr>
                <w:rFonts w:hint="eastAsia" w:ascii="仿宋" w:hAnsi="仿宋" w:eastAsia="仿宋" w:cs="仿宋"/>
                <w:color w:val="000000"/>
                <w:kern w:val="0"/>
                <w:sz w:val="20"/>
                <w:szCs w:val="20"/>
                <w:lang w:val="en-US" w:eastAsia="zh-CN"/>
              </w:rPr>
              <w:t>1764.75</w:t>
            </w:r>
          </w:p>
        </w:tc>
        <w:tc>
          <w:tcPr>
            <w:tcW w:w="3571" w:type="dxa"/>
            <w:gridSpan w:val="5"/>
            <w:noWrap w:val="0"/>
            <w:vAlign w:val="center"/>
          </w:tcPr>
          <w:p w14:paraId="1AE2A5C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r>
      <w:tr w14:paraId="105A6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 w:hRule="atLeast"/>
          <w:jc w:val="center"/>
        </w:trPr>
        <w:tc>
          <w:tcPr>
            <w:tcW w:w="816" w:type="dxa"/>
            <w:vMerge w:val="continue"/>
            <w:noWrap w:val="0"/>
            <w:vAlign w:val="center"/>
          </w:tcPr>
          <w:p w14:paraId="6C11DCF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875" w:type="dxa"/>
            <w:gridSpan w:val="4"/>
            <w:noWrap w:val="0"/>
            <w:vAlign w:val="center"/>
          </w:tcPr>
          <w:p w14:paraId="196D207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其他资金：</w:t>
            </w:r>
            <w:r>
              <w:rPr>
                <w:rFonts w:hint="eastAsia" w:ascii="仿宋" w:hAnsi="仿宋" w:eastAsia="仿宋" w:cs="仿宋"/>
                <w:color w:val="000000"/>
                <w:kern w:val="0"/>
                <w:sz w:val="20"/>
                <w:szCs w:val="20"/>
                <w:lang w:val="en-US" w:eastAsia="zh-CN"/>
              </w:rPr>
              <w:t>1.26</w:t>
            </w:r>
          </w:p>
        </w:tc>
        <w:tc>
          <w:tcPr>
            <w:tcW w:w="3571" w:type="dxa"/>
            <w:gridSpan w:val="5"/>
            <w:noWrap w:val="0"/>
            <w:vAlign w:val="center"/>
          </w:tcPr>
          <w:p w14:paraId="7E50DD6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r>
      <w:tr w14:paraId="3D4E9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jc w:val="center"/>
        </w:trPr>
        <w:tc>
          <w:tcPr>
            <w:tcW w:w="816" w:type="dxa"/>
            <w:vMerge w:val="restart"/>
            <w:noWrap w:val="0"/>
            <w:vAlign w:val="center"/>
          </w:tcPr>
          <w:p w14:paraId="0562145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875" w:type="dxa"/>
            <w:gridSpan w:val="4"/>
            <w:noWrap w:val="0"/>
            <w:vAlign w:val="center"/>
          </w:tcPr>
          <w:p w14:paraId="2D947CA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3571" w:type="dxa"/>
            <w:gridSpan w:val="5"/>
            <w:noWrap w:val="0"/>
            <w:vAlign w:val="center"/>
          </w:tcPr>
          <w:p w14:paraId="60CCD89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w:t>
            </w:r>
          </w:p>
        </w:tc>
      </w:tr>
      <w:tr w14:paraId="12DD7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0" w:hRule="atLeast"/>
          <w:jc w:val="center"/>
        </w:trPr>
        <w:tc>
          <w:tcPr>
            <w:tcW w:w="816" w:type="dxa"/>
            <w:vMerge w:val="continue"/>
            <w:noWrap w:val="0"/>
            <w:vAlign w:val="center"/>
          </w:tcPr>
          <w:p w14:paraId="545343A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875" w:type="dxa"/>
            <w:gridSpan w:val="4"/>
            <w:noWrap w:val="0"/>
            <w:vAlign w:val="center"/>
          </w:tcPr>
          <w:p w14:paraId="7DB2311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以保障供血为目标，以保证质量为核心，以优质服务为宗旨，坚持“规范管理、优质服务、保障供应、保证安全”的质量方针，完善“行政、质量、绩效”三大管理机制，继续深化“服务、质量、纪律、作风”</w:t>
            </w:r>
            <w:r>
              <w:rPr>
                <w:rFonts w:hint="eastAsia" w:ascii="仿宋" w:hAnsi="仿宋" w:eastAsia="仿宋" w:cs="仿宋"/>
                <w:color w:val="000000"/>
                <w:kern w:val="0"/>
                <w:sz w:val="20"/>
                <w:szCs w:val="20"/>
                <w:lang w:eastAsia="zh-CN"/>
              </w:rPr>
              <w:t>“四个意识”</w:t>
            </w:r>
            <w:r>
              <w:rPr>
                <w:rFonts w:hint="eastAsia" w:ascii="仿宋" w:hAnsi="仿宋" w:eastAsia="仿宋" w:cs="仿宋"/>
                <w:color w:val="000000"/>
                <w:kern w:val="0"/>
                <w:sz w:val="20"/>
                <w:szCs w:val="20"/>
              </w:rPr>
              <w:t>教育，按照“培育献血者、方便献血者、服务献血者、宣传献血者”的工作思路，着力完善献血者队伍管理，开拓创新无偿献血宣传招募机制，科学合理调度血液供应，开源节流，做好我市血液采集供应和血液安全工作，为我市经济建设和社会发展服好务。</w:t>
            </w:r>
          </w:p>
        </w:tc>
        <w:tc>
          <w:tcPr>
            <w:tcW w:w="3571" w:type="dxa"/>
            <w:gridSpan w:val="5"/>
            <w:noWrap w:val="0"/>
            <w:vAlign w:val="center"/>
          </w:tcPr>
          <w:p w14:paraId="35BB703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2024年全市累计37261人次参加无偿献血，捐献血液14.08吨，自愿无偿献血率100%</w:t>
            </w:r>
            <w:r>
              <w:rPr>
                <w:rFonts w:hint="eastAsia" w:ascii="仿宋" w:hAnsi="仿宋" w:eastAsia="仿宋" w:cs="仿宋"/>
                <w:color w:val="000000"/>
                <w:kern w:val="0"/>
                <w:sz w:val="20"/>
                <w:szCs w:val="20"/>
                <w:lang w:eastAsia="zh-CN"/>
              </w:rPr>
              <w:t>。</w:t>
            </w:r>
            <w:r>
              <w:rPr>
                <w:rFonts w:hint="eastAsia" w:ascii="仿宋" w:hAnsi="仿宋" w:eastAsia="仿宋" w:cs="仿宋"/>
                <w:color w:val="000000"/>
                <w:kern w:val="0"/>
                <w:sz w:val="20"/>
                <w:szCs w:val="20"/>
              </w:rPr>
              <w:t>其中捐献全血35503人次，13.45吨</w:t>
            </w:r>
            <w:r>
              <w:rPr>
                <w:rFonts w:hint="eastAsia" w:ascii="仿宋" w:hAnsi="仿宋" w:eastAsia="仿宋" w:cs="仿宋"/>
                <w:color w:val="000000"/>
                <w:kern w:val="0"/>
                <w:sz w:val="20"/>
                <w:szCs w:val="20"/>
                <w:lang w:eastAsia="zh-CN"/>
              </w:rPr>
              <w:t>；</w:t>
            </w:r>
            <w:r>
              <w:rPr>
                <w:rFonts w:hint="eastAsia" w:ascii="仿宋" w:hAnsi="仿宋" w:eastAsia="仿宋" w:cs="仿宋"/>
                <w:color w:val="000000"/>
                <w:kern w:val="0"/>
                <w:sz w:val="20"/>
                <w:szCs w:val="20"/>
              </w:rPr>
              <w:t>单采成分血1758人次，3180个治疗量。2024年临床供血总量27.24吨，未发生血液质量安全事故。全市临床用血100%来自自愿无偿献血，满足全市临床用血需求</w:t>
            </w:r>
            <w:r>
              <w:rPr>
                <w:rFonts w:hint="eastAsia" w:ascii="仿宋" w:hAnsi="仿宋" w:eastAsia="仿宋" w:cs="仿宋"/>
                <w:color w:val="000000"/>
                <w:kern w:val="0"/>
                <w:sz w:val="20"/>
                <w:szCs w:val="20"/>
                <w:lang w:eastAsia="zh-CN"/>
              </w:rPr>
              <w:t>，</w:t>
            </w:r>
            <w:r>
              <w:rPr>
                <w:rFonts w:hint="eastAsia" w:ascii="仿宋" w:hAnsi="仿宋" w:eastAsia="仿宋" w:cs="仿宋"/>
                <w:color w:val="000000"/>
                <w:kern w:val="0"/>
                <w:sz w:val="20"/>
                <w:szCs w:val="20"/>
              </w:rPr>
              <w:t>临床用血合格100%，巩固血站核酸检测全覆盖，提高血液安全水平，核酸检测</w:t>
            </w:r>
            <w:r>
              <w:rPr>
                <w:rFonts w:hint="eastAsia" w:ascii="仿宋" w:hAnsi="仿宋" w:eastAsia="仿宋" w:cs="仿宋"/>
                <w:color w:val="000000"/>
                <w:kern w:val="0"/>
                <w:sz w:val="20"/>
                <w:szCs w:val="20"/>
                <w:lang w:eastAsia="zh-CN"/>
              </w:rPr>
              <w:t>覆盖</w:t>
            </w:r>
            <w:r>
              <w:rPr>
                <w:rFonts w:hint="eastAsia" w:ascii="仿宋" w:hAnsi="仿宋" w:eastAsia="仿宋" w:cs="仿宋"/>
                <w:color w:val="000000"/>
                <w:kern w:val="0"/>
                <w:sz w:val="20"/>
                <w:szCs w:val="20"/>
              </w:rPr>
              <w:t>率达100%。</w:t>
            </w:r>
          </w:p>
        </w:tc>
      </w:tr>
      <w:tr w14:paraId="27B1E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816" w:type="dxa"/>
            <w:vMerge w:val="restart"/>
            <w:noWrap w:val="0"/>
            <w:vAlign w:val="center"/>
          </w:tcPr>
          <w:p w14:paraId="6FCA907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55804F1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3252ABB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031B8E7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065" w:type="dxa"/>
            <w:noWrap w:val="0"/>
            <w:vAlign w:val="center"/>
          </w:tcPr>
          <w:p w14:paraId="3C2FDE7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170" w:type="dxa"/>
            <w:noWrap w:val="0"/>
            <w:vAlign w:val="center"/>
          </w:tcPr>
          <w:p w14:paraId="2BF8941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485" w:type="dxa"/>
            <w:noWrap w:val="0"/>
            <w:vAlign w:val="center"/>
          </w:tcPr>
          <w:p w14:paraId="32FBCC5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155" w:type="dxa"/>
            <w:noWrap w:val="0"/>
            <w:vAlign w:val="center"/>
          </w:tcPr>
          <w:p w14:paraId="7A93A22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088981C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140" w:type="dxa"/>
            <w:noWrap w:val="0"/>
            <w:vAlign w:val="center"/>
          </w:tcPr>
          <w:p w14:paraId="06C50A9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72B7F5B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555" w:type="dxa"/>
            <w:noWrap w:val="0"/>
            <w:vAlign w:val="center"/>
          </w:tcPr>
          <w:p w14:paraId="07E41DF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495" w:type="dxa"/>
            <w:noWrap w:val="0"/>
            <w:vAlign w:val="center"/>
          </w:tcPr>
          <w:p w14:paraId="600F42F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381" w:type="dxa"/>
            <w:gridSpan w:val="2"/>
            <w:noWrap w:val="0"/>
            <w:vAlign w:val="top"/>
          </w:tcPr>
          <w:p w14:paraId="72D5A18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偏差原因分</w:t>
            </w:r>
            <w:r>
              <w:rPr>
                <w:rFonts w:hint="eastAsia" w:ascii="仿宋" w:hAnsi="仿宋" w:eastAsia="仿宋" w:cs="仿宋"/>
                <w:color w:val="000000"/>
                <w:w w:val="90"/>
                <w:kern w:val="0"/>
                <w:sz w:val="20"/>
                <w:szCs w:val="20"/>
              </w:rPr>
              <w:t>析及改进</w:t>
            </w:r>
            <w:r>
              <w:rPr>
                <w:rFonts w:hint="eastAsia" w:ascii="仿宋" w:hAnsi="仿宋" w:eastAsia="仿宋" w:cs="仿宋"/>
                <w:color w:val="000000"/>
                <w:w w:val="90"/>
                <w:kern w:val="0"/>
                <w:sz w:val="20"/>
                <w:szCs w:val="20"/>
                <w:lang w:val="en-US" w:eastAsia="zh-CN"/>
              </w:rPr>
              <w:t>措</w:t>
            </w:r>
            <w:r>
              <w:rPr>
                <w:rFonts w:hint="eastAsia" w:ascii="仿宋" w:hAnsi="仿宋" w:eastAsia="仿宋" w:cs="仿宋"/>
                <w:color w:val="000000"/>
                <w:w w:val="90"/>
                <w:kern w:val="0"/>
                <w:sz w:val="20"/>
                <w:szCs w:val="20"/>
              </w:rPr>
              <w:t>施</w:t>
            </w:r>
          </w:p>
        </w:tc>
      </w:tr>
      <w:tr w14:paraId="2F1EE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816" w:type="dxa"/>
            <w:vMerge w:val="continue"/>
            <w:noWrap w:val="0"/>
            <w:vAlign w:val="center"/>
          </w:tcPr>
          <w:p w14:paraId="1C0E124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65" w:type="dxa"/>
            <w:vMerge w:val="restart"/>
            <w:noWrap w:val="0"/>
            <w:vAlign w:val="center"/>
          </w:tcPr>
          <w:p w14:paraId="60D32D5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成本指标</w:t>
            </w:r>
          </w:p>
        </w:tc>
        <w:tc>
          <w:tcPr>
            <w:tcW w:w="1170" w:type="dxa"/>
            <w:noWrap w:val="0"/>
            <w:vAlign w:val="center"/>
          </w:tcPr>
          <w:p w14:paraId="1C9D8DF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经济成本指标</w:t>
            </w:r>
          </w:p>
        </w:tc>
        <w:tc>
          <w:tcPr>
            <w:tcW w:w="1485" w:type="dxa"/>
            <w:noWrap w:val="0"/>
            <w:vAlign w:val="center"/>
          </w:tcPr>
          <w:p w14:paraId="29DC432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整体成本控制</w:t>
            </w:r>
          </w:p>
        </w:tc>
        <w:tc>
          <w:tcPr>
            <w:tcW w:w="1155" w:type="dxa"/>
            <w:noWrap w:val="0"/>
            <w:vAlign w:val="center"/>
          </w:tcPr>
          <w:p w14:paraId="739DEA1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eastAsia="zh-CN"/>
              </w:rPr>
              <w:t>≤3306.27万元</w:t>
            </w:r>
          </w:p>
        </w:tc>
        <w:tc>
          <w:tcPr>
            <w:tcW w:w="1140" w:type="dxa"/>
            <w:noWrap w:val="0"/>
            <w:vAlign w:val="center"/>
          </w:tcPr>
          <w:p w14:paraId="0B5D1EC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3081.50万元</w:t>
            </w:r>
          </w:p>
        </w:tc>
        <w:tc>
          <w:tcPr>
            <w:tcW w:w="555" w:type="dxa"/>
            <w:noWrap w:val="0"/>
            <w:vAlign w:val="center"/>
          </w:tcPr>
          <w:p w14:paraId="587DA79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495" w:type="dxa"/>
            <w:noWrap w:val="0"/>
            <w:vAlign w:val="center"/>
          </w:tcPr>
          <w:p w14:paraId="2AA8D32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1381" w:type="dxa"/>
            <w:gridSpan w:val="2"/>
            <w:noWrap w:val="0"/>
            <w:vAlign w:val="center"/>
          </w:tcPr>
          <w:p w14:paraId="11578D0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r>
      <w:tr w14:paraId="22F38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816" w:type="dxa"/>
            <w:vMerge w:val="continue"/>
            <w:noWrap w:val="0"/>
            <w:vAlign w:val="center"/>
          </w:tcPr>
          <w:p w14:paraId="5E2F20D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65" w:type="dxa"/>
            <w:vMerge w:val="continue"/>
            <w:noWrap w:val="0"/>
            <w:vAlign w:val="center"/>
          </w:tcPr>
          <w:p w14:paraId="07EBD2D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70" w:type="dxa"/>
            <w:noWrap w:val="0"/>
            <w:vAlign w:val="center"/>
          </w:tcPr>
          <w:p w14:paraId="47F1068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社会成本指标</w:t>
            </w:r>
          </w:p>
        </w:tc>
        <w:tc>
          <w:tcPr>
            <w:tcW w:w="1485" w:type="dxa"/>
            <w:noWrap w:val="0"/>
            <w:vAlign w:val="center"/>
          </w:tcPr>
          <w:p w14:paraId="6FDF366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155" w:type="dxa"/>
            <w:noWrap w:val="0"/>
            <w:vAlign w:val="center"/>
          </w:tcPr>
          <w:p w14:paraId="0D41C41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140" w:type="dxa"/>
            <w:noWrap w:val="0"/>
            <w:vAlign w:val="center"/>
          </w:tcPr>
          <w:p w14:paraId="6F79E04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555" w:type="dxa"/>
            <w:noWrap w:val="0"/>
            <w:vAlign w:val="center"/>
          </w:tcPr>
          <w:p w14:paraId="7A87698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bookmarkStart w:id="0" w:name="_GoBack"/>
            <w:bookmarkEnd w:id="0"/>
          </w:p>
        </w:tc>
        <w:tc>
          <w:tcPr>
            <w:tcW w:w="495" w:type="dxa"/>
            <w:noWrap w:val="0"/>
            <w:vAlign w:val="center"/>
          </w:tcPr>
          <w:p w14:paraId="47CEC10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381" w:type="dxa"/>
            <w:gridSpan w:val="2"/>
            <w:noWrap w:val="0"/>
            <w:vAlign w:val="center"/>
          </w:tcPr>
          <w:p w14:paraId="518848C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r>
      <w:tr w14:paraId="07BCD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16" w:type="dxa"/>
            <w:vMerge w:val="continue"/>
            <w:noWrap w:val="0"/>
            <w:vAlign w:val="center"/>
          </w:tcPr>
          <w:p w14:paraId="40F0B68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65" w:type="dxa"/>
            <w:vMerge w:val="continue"/>
            <w:noWrap w:val="0"/>
            <w:vAlign w:val="center"/>
          </w:tcPr>
          <w:p w14:paraId="0C19AC9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70" w:type="dxa"/>
            <w:noWrap w:val="0"/>
            <w:vAlign w:val="center"/>
          </w:tcPr>
          <w:p w14:paraId="16F1175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生态成本指标</w:t>
            </w:r>
          </w:p>
        </w:tc>
        <w:tc>
          <w:tcPr>
            <w:tcW w:w="1485" w:type="dxa"/>
            <w:noWrap w:val="0"/>
            <w:vAlign w:val="center"/>
          </w:tcPr>
          <w:p w14:paraId="3C997C9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155" w:type="dxa"/>
            <w:noWrap w:val="0"/>
            <w:vAlign w:val="center"/>
          </w:tcPr>
          <w:p w14:paraId="54A221B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140" w:type="dxa"/>
            <w:noWrap w:val="0"/>
            <w:vAlign w:val="center"/>
          </w:tcPr>
          <w:p w14:paraId="26F6E3D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555" w:type="dxa"/>
            <w:noWrap w:val="0"/>
            <w:vAlign w:val="center"/>
          </w:tcPr>
          <w:p w14:paraId="5F243AE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495" w:type="dxa"/>
            <w:noWrap w:val="0"/>
            <w:vAlign w:val="center"/>
          </w:tcPr>
          <w:p w14:paraId="6EF5FE6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381" w:type="dxa"/>
            <w:gridSpan w:val="2"/>
            <w:noWrap w:val="0"/>
            <w:vAlign w:val="center"/>
          </w:tcPr>
          <w:p w14:paraId="21ADDC8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r>
      <w:tr w14:paraId="4AF15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5" w:hRule="atLeast"/>
          <w:jc w:val="center"/>
        </w:trPr>
        <w:tc>
          <w:tcPr>
            <w:tcW w:w="816" w:type="dxa"/>
            <w:vMerge w:val="continue"/>
            <w:noWrap w:val="0"/>
            <w:vAlign w:val="center"/>
          </w:tcPr>
          <w:p w14:paraId="0C94F98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65" w:type="dxa"/>
            <w:vMerge w:val="restart"/>
            <w:noWrap w:val="0"/>
            <w:vAlign w:val="center"/>
          </w:tcPr>
          <w:p w14:paraId="10D7F82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14:paraId="7B7EB33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70" w:type="dxa"/>
            <w:noWrap w:val="0"/>
            <w:vAlign w:val="center"/>
          </w:tcPr>
          <w:p w14:paraId="4CF64A97">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数量指标</w:t>
            </w:r>
          </w:p>
        </w:tc>
        <w:tc>
          <w:tcPr>
            <w:tcW w:w="1485" w:type="dxa"/>
            <w:noWrap w:val="0"/>
            <w:vAlign w:val="center"/>
          </w:tcPr>
          <w:p w14:paraId="62DD33B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采血量</w:t>
            </w:r>
          </w:p>
        </w:tc>
        <w:tc>
          <w:tcPr>
            <w:tcW w:w="1155" w:type="dxa"/>
            <w:noWrap w:val="0"/>
            <w:vAlign w:val="center"/>
          </w:tcPr>
          <w:p w14:paraId="424A386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w:t>
            </w:r>
            <w:r>
              <w:rPr>
                <w:rFonts w:hint="eastAsia" w:ascii="仿宋" w:hAnsi="仿宋" w:eastAsia="仿宋" w:cs="仿宋"/>
                <w:color w:val="000000"/>
                <w:kern w:val="0"/>
                <w:sz w:val="20"/>
                <w:szCs w:val="20"/>
                <w:lang w:val="en-US" w:eastAsia="zh-CN"/>
              </w:rPr>
              <w:t>15吨</w:t>
            </w:r>
          </w:p>
        </w:tc>
        <w:tc>
          <w:tcPr>
            <w:tcW w:w="1140" w:type="dxa"/>
            <w:noWrap w:val="0"/>
            <w:vAlign w:val="center"/>
          </w:tcPr>
          <w:p w14:paraId="157FD3C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14.08吨</w:t>
            </w:r>
          </w:p>
        </w:tc>
        <w:tc>
          <w:tcPr>
            <w:tcW w:w="555" w:type="dxa"/>
            <w:noWrap w:val="0"/>
            <w:vAlign w:val="center"/>
          </w:tcPr>
          <w:p w14:paraId="07228E2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15</w:t>
            </w:r>
          </w:p>
        </w:tc>
        <w:tc>
          <w:tcPr>
            <w:tcW w:w="495" w:type="dxa"/>
            <w:noWrap w:val="0"/>
            <w:vAlign w:val="center"/>
          </w:tcPr>
          <w:p w14:paraId="57AD326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12</w:t>
            </w:r>
          </w:p>
        </w:tc>
        <w:tc>
          <w:tcPr>
            <w:tcW w:w="1381" w:type="dxa"/>
            <w:gridSpan w:val="2"/>
            <w:noWrap w:val="0"/>
            <w:vAlign w:val="center"/>
          </w:tcPr>
          <w:p w14:paraId="6AF6A9B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16"/>
                <w:szCs w:val="16"/>
                <w:lang w:val="en-US" w:eastAsia="zh-CN"/>
              </w:rPr>
              <w:t>因为全国无偿献血大环境不好，整体采血量均呈下降状态。应创新宣传。</w:t>
            </w:r>
          </w:p>
        </w:tc>
      </w:tr>
      <w:tr w14:paraId="4F930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816" w:type="dxa"/>
            <w:vMerge w:val="continue"/>
            <w:noWrap w:val="0"/>
            <w:vAlign w:val="center"/>
          </w:tcPr>
          <w:p w14:paraId="09953F7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65" w:type="dxa"/>
            <w:vMerge w:val="continue"/>
            <w:noWrap w:val="0"/>
            <w:vAlign w:val="center"/>
          </w:tcPr>
          <w:p w14:paraId="43F106C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170" w:type="dxa"/>
            <w:noWrap w:val="0"/>
            <w:vAlign w:val="center"/>
          </w:tcPr>
          <w:p w14:paraId="061C132B">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质量指标</w:t>
            </w:r>
          </w:p>
        </w:tc>
        <w:tc>
          <w:tcPr>
            <w:tcW w:w="1485" w:type="dxa"/>
            <w:noWrap w:val="0"/>
            <w:vAlign w:val="center"/>
          </w:tcPr>
          <w:p w14:paraId="083C968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临床用血合格率</w:t>
            </w:r>
          </w:p>
        </w:tc>
        <w:tc>
          <w:tcPr>
            <w:tcW w:w="1155" w:type="dxa"/>
            <w:noWrap w:val="0"/>
            <w:vAlign w:val="center"/>
          </w:tcPr>
          <w:p w14:paraId="302C1B6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1140" w:type="dxa"/>
            <w:noWrap w:val="0"/>
            <w:vAlign w:val="center"/>
          </w:tcPr>
          <w:p w14:paraId="56295F0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555" w:type="dxa"/>
            <w:noWrap w:val="0"/>
            <w:vAlign w:val="center"/>
          </w:tcPr>
          <w:p w14:paraId="4E19E4A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15</w:t>
            </w:r>
          </w:p>
        </w:tc>
        <w:tc>
          <w:tcPr>
            <w:tcW w:w="495" w:type="dxa"/>
            <w:noWrap w:val="0"/>
            <w:vAlign w:val="center"/>
          </w:tcPr>
          <w:p w14:paraId="3AD2870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15</w:t>
            </w:r>
          </w:p>
        </w:tc>
        <w:tc>
          <w:tcPr>
            <w:tcW w:w="1381" w:type="dxa"/>
            <w:gridSpan w:val="2"/>
            <w:noWrap w:val="0"/>
            <w:vAlign w:val="center"/>
          </w:tcPr>
          <w:p w14:paraId="6653509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r>
      <w:tr w14:paraId="0A930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816" w:type="dxa"/>
            <w:vMerge w:val="continue"/>
            <w:noWrap w:val="0"/>
            <w:vAlign w:val="center"/>
          </w:tcPr>
          <w:p w14:paraId="10BAC11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65" w:type="dxa"/>
            <w:vMerge w:val="continue"/>
            <w:noWrap w:val="0"/>
            <w:vAlign w:val="center"/>
          </w:tcPr>
          <w:p w14:paraId="4BA26E4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170" w:type="dxa"/>
            <w:noWrap w:val="0"/>
            <w:vAlign w:val="center"/>
          </w:tcPr>
          <w:p w14:paraId="4D75FC78">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时效指标</w:t>
            </w:r>
          </w:p>
        </w:tc>
        <w:tc>
          <w:tcPr>
            <w:tcW w:w="1485" w:type="dxa"/>
            <w:noWrap w:val="0"/>
            <w:vAlign w:val="center"/>
          </w:tcPr>
          <w:p w14:paraId="45067CD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及时完成情况</w:t>
            </w:r>
          </w:p>
        </w:tc>
        <w:tc>
          <w:tcPr>
            <w:tcW w:w="1155" w:type="dxa"/>
            <w:noWrap w:val="0"/>
            <w:vAlign w:val="center"/>
          </w:tcPr>
          <w:p w14:paraId="12A2FD8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2024年12月之前</w:t>
            </w:r>
            <w:r>
              <w:rPr>
                <w:rFonts w:hint="eastAsia" w:ascii="仿宋" w:hAnsi="仿宋" w:eastAsia="仿宋" w:cs="仿宋"/>
                <w:color w:val="000000"/>
                <w:kern w:val="0"/>
                <w:sz w:val="20"/>
                <w:szCs w:val="20"/>
                <w:lang w:val="en-US" w:eastAsia="zh-CN"/>
              </w:rPr>
              <w:t>完成</w:t>
            </w:r>
          </w:p>
        </w:tc>
        <w:tc>
          <w:tcPr>
            <w:tcW w:w="1140" w:type="dxa"/>
            <w:noWrap w:val="0"/>
            <w:vAlign w:val="center"/>
          </w:tcPr>
          <w:p w14:paraId="0E12D77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2024年12月之前</w:t>
            </w:r>
            <w:r>
              <w:rPr>
                <w:rFonts w:hint="eastAsia" w:ascii="仿宋" w:hAnsi="仿宋" w:eastAsia="仿宋" w:cs="仿宋"/>
                <w:color w:val="000000"/>
                <w:kern w:val="0"/>
                <w:sz w:val="20"/>
                <w:szCs w:val="20"/>
                <w:lang w:val="en-US" w:eastAsia="zh-CN"/>
              </w:rPr>
              <w:t>已完成</w:t>
            </w:r>
          </w:p>
        </w:tc>
        <w:tc>
          <w:tcPr>
            <w:tcW w:w="555" w:type="dxa"/>
            <w:noWrap w:val="0"/>
            <w:vAlign w:val="center"/>
          </w:tcPr>
          <w:p w14:paraId="0D0CA66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w:t>
            </w:r>
          </w:p>
        </w:tc>
        <w:tc>
          <w:tcPr>
            <w:tcW w:w="495" w:type="dxa"/>
            <w:noWrap w:val="0"/>
            <w:vAlign w:val="center"/>
          </w:tcPr>
          <w:p w14:paraId="3538A16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w:t>
            </w:r>
          </w:p>
        </w:tc>
        <w:tc>
          <w:tcPr>
            <w:tcW w:w="1381" w:type="dxa"/>
            <w:gridSpan w:val="2"/>
            <w:noWrap w:val="0"/>
            <w:vAlign w:val="center"/>
          </w:tcPr>
          <w:p w14:paraId="08A8FCD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r>
      <w:tr w14:paraId="6B125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 w:hRule="atLeast"/>
          <w:jc w:val="center"/>
        </w:trPr>
        <w:tc>
          <w:tcPr>
            <w:tcW w:w="816" w:type="dxa"/>
            <w:vMerge w:val="continue"/>
            <w:noWrap w:val="0"/>
            <w:vAlign w:val="center"/>
          </w:tcPr>
          <w:p w14:paraId="07F7F96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65" w:type="dxa"/>
            <w:vMerge w:val="restart"/>
            <w:noWrap w:val="0"/>
            <w:vAlign w:val="center"/>
          </w:tcPr>
          <w:p w14:paraId="100D12C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14:paraId="3AF1D4E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70" w:type="dxa"/>
            <w:noWrap w:val="0"/>
            <w:vAlign w:val="center"/>
          </w:tcPr>
          <w:p w14:paraId="0FB1F93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经济效益指标</w:t>
            </w:r>
          </w:p>
        </w:tc>
        <w:tc>
          <w:tcPr>
            <w:tcW w:w="1485" w:type="dxa"/>
            <w:noWrap w:val="0"/>
            <w:vAlign w:val="center"/>
          </w:tcPr>
          <w:p w14:paraId="4E404C3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充分发挥资金</w:t>
            </w:r>
            <w:r>
              <w:rPr>
                <w:rFonts w:hint="eastAsia" w:ascii="仿宋" w:hAnsi="仿宋" w:eastAsia="仿宋" w:cs="仿宋"/>
                <w:color w:val="000000"/>
                <w:kern w:val="0"/>
                <w:sz w:val="20"/>
                <w:szCs w:val="20"/>
                <w:lang w:val="en-US" w:eastAsia="zh-CN"/>
              </w:rPr>
              <w:t>使用</w:t>
            </w:r>
            <w:r>
              <w:rPr>
                <w:rFonts w:hint="eastAsia" w:ascii="仿宋" w:hAnsi="仿宋" w:eastAsia="仿宋" w:cs="仿宋"/>
                <w:color w:val="000000"/>
                <w:kern w:val="0"/>
                <w:sz w:val="20"/>
                <w:szCs w:val="20"/>
              </w:rPr>
              <w:t>效益</w:t>
            </w:r>
          </w:p>
        </w:tc>
        <w:tc>
          <w:tcPr>
            <w:tcW w:w="1155" w:type="dxa"/>
            <w:noWrap w:val="0"/>
            <w:vAlign w:val="center"/>
          </w:tcPr>
          <w:p w14:paraId="73F34E5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效果明显</w:t>
            </w:r>
          </w:p>
        </w:tc>
        <w:tc>
          <w:tcPr>
            <w:tcW w:w="1140" w:type="dxa"/>
            <w:noWrap w:val="0"/>
            <w:vAlign w:val="center"/>
          </w:tcPr>
          <w:p w14:paraId="2305C24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效果明显</w:t>
            </w:r>
          </w:p>
        </w:tc>
        <w:tc>
          <w:tcPr>
            <w:tcW w:w="555" w:type="dxa"/>
            <w:noWrap w:val="0"/>
            <w:vAlign w:val="center"/>
          </w:tcPr>
          <w:p w14:paraId="41074AE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495" w:type="dxa"/>
            <w:noWrap w:val="0"/>
            <w:vAlign w:val="center"/>
          </w:tcPr>
          <w:p w14:paraId="1BD7B5D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1381" w:type="dxa"/>
            <w:gridSpan w:val="2"/>
            <w:noWrap w:val="0"/>
            <w:vAlign w:val="center"/>
          </w:tcPr>
          <w:p w14:paraId="5688748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r>
      <w:tr w14:paraId="39467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816" w:type="dxa"/>
            <w:vMerge w:val="continue"/>
            <w:noWrap w:val="0"/>
            <w:vAlign w:val="center"/>
          </w:tcPr>
          <w:p w14:paraId="4ACD5EB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65" w:type="dxa"/>
            <w:vMerge w:val="continue"/>
            <w:noWrap w:val="0"/>
            <w:vAlign w:val="center"/>
          </w:tcPr>
          <w:p w14:paraId="71A2072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170" w:type="dxa"/>
            <w:noWrap w:val="0"/>
            <w:vAlign w:val="center"/>
          </w:tcPr>
          <w:p w14:paraId="6BB19CB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社会效益指标</w:t>
            </w:r>
          </w:p>
        </w:tc>
        <w:tc>
          <w:tcPr>
            <w:tcW w:w="1485" w:type="dxa"/>
            <w:noWrap w:val="0"/>
            <w:vAlign w:val="center"/>
          </w:tcPr>
          <w:p w14:paraId="169BAF9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无偿献血工作的社会影响力</w:t>
            </w:r>
          </w:p>
        </w:tc>
        <w:tc>
          <w:tcPr>
            <w:tcW w:w="1155" w:type="dxa"/>
            <w:noWrap w:val="0"/>
            <w:vAlign w:val="center"/>
          </w:tcPr>
          <w:p w14:paraId="4C0E569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效果明显</w:t>
            </w:r>
          </w:p>
        </w:tc>
        <w:tc>
          <w:tcPr>
            <w:tcW w:w="1140" w:type="dxa"/>
            <w:noWrap w:val="0"/>
            <w:vAlign w:val="center"/>
          </w:tcPr>
          <w:p w14:paraId="2E6A0B1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效果明显</w:t>
            </w:r>
          </w:p>
        </w:tc>
        <w:tc>
          <w:tcPr>
            <w:tcW w:w="555" w:type="dxa"/>
            <w:noWrap w:val="0"/>
            <w:vAlign w:val="center"/>
          </w:tcPr>
          <w:p w14:paraId="227B1F8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495" w:type="dxa"/>
            <w:noWrap w:val="0"/>
            <w:vAlign w:val="center"/>
          </w:tcPr>
          <w:p w14:paraId="2E81B6C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1381" w:type="dxa"/>
            <w:gridSpan w:val="2"/>
            <w:noWrap w:val="0"/>
            <w:vAlign w:val="center"/>
          </w:tcPr>
          <w:p w14:paraId="66B0929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r>
      <w:tr w14:paraId="087DC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jc w:val="center"/>
        </w:trPr>
        <w:tc>
          <w:tcPr>
            <w:tcW w:w="816" w:type="dxa"/>
            <w:vMerge w:val="continue"/>
            <w:noWrap w:val="0"/>
            <w:vAlign w:val="center"/>
          </w:tcPr>
          <w:p w14:paraId="319BE60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65" w:type="dxa"/>
            <w:vMerge w:val="continue"/>
            <w:noWrap w:val="0"/>
            <w:vAlign w:val="center"/>
          </w:tcPr>
          <w:p w14:paraId="5416532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170" w:type="dxa"/>
            <w:noWrap w:val="0"/>
            <w:vAlign w:val="center"/>
          </w:tcPr>
          <w:p w14:paraId="3513FB7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生态效益指标</w:t>
            </w:r>
          </w:p>
        </w:tc>
        <w:tc>
          <w:tcPr>
            <w:tcW w:w="1485" w:type="dxa"/>
            <w:noWrap w:val="0"/>
            <w:vAlign w:val="center"/>
          </w:tcPr>
          <w:p w14:paraId="7B37C7D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采供血工作</w:t>
            </w:r>
            <w:r>
              <w:rPr>
                <w:rFonts w:hint="eastAsia" w:ascii="仿宋" w:hAnsi="仿宋" w:eastAsia="仿宋" w:cs="仿宋"/>
                <w:color w:val="000000"/>
                <w:kern w:val="0"/>
                <w:sz w:val="20"/>
                <w:szCs w:val="20"/>
                <w:lang w:val="en-US" w:eastAsia="zh-CN"/>
              </w:rPr>
              <w:t>避免</w:t>
            </w:r>
            <w:r>
              <w:rPr>
                <w:rFonts w:hint="eastAsia" w:ascii="仿宋" w:hAnsi="仿宋" w:eastAsia="仿宋" w:cs="仿宋"/>
                <w:color w:val="000000"/>
                <w:kern w:val="0"/>
                <w:sz w:val="20"/>
                <w:szCs w:val="20"/>
              </w:rPr>
              <w:t>对生态环境的影响</w:t>
            </w:r>
          </w:p>
        </w:tc>
        <w:tc>
          <w:tcPr>
            <w:tcW w:w="1155" w:type="dxa"/>
            <w:noWrap w:val="0"/>
            <w:vAlign w:val="center"/>
          </w:tcPr>
          <w:p w14:paraId="63B6917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效果明显</w:t>
            </w:r>
          </w:p>
        </w:tc>
        <w:tc>
          <w:tcPr>
            <w:tcW w:w="1140" w:type="dxa"/>
            <w:noWrap w:val="0"/>
            <w:vAlign w:val="center"/>
          </w:tcPr>
          <w:p w14:paraId="0009C87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效果明显</w:t>
            </w:r>
          </w:p>
        </w:tc>
        <w:tc>
          <w:tcPr>
            <w:tcW w:w="555" w:type="dxa"/>
            <w:noWrap w:val="0"/>
            <w:vAlign w:val="center"/>
          </w:tcPr>
          <w:p w14:paraId="24DC7A6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495" w:type="dxa"/>
            <w:noWrap w:val="0"/>
            <w:vAlign w:val="center"/>
          </w:tcPr>
          <w:p w14:paraId="5373944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1381" w:type="dxa"/>
            <w:gridSpan w:val="2"/>
            <w:noWrap w:val="0"/>
            <w:vAlign w:val="center"/>
          </w:tcPr>
          <w:p w14:paraId="2F90F2D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r>
      <w:tr w14:paraId="0E29B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 w:hRule="atLeast"/>
          <w:jc w:val="center"/>
        </w:trPr>
        <w:tc>
          <w:tcPr>
            <w:tcW w:w="816" w:type="dxa"/>
            <w:vMerge w:val="continue"/>
            <w:noWrap w:val="0"/>
            <w:vAlign w:val="center"/>
          </w:tcPr>
          <w:p w14:paraId="03F66DB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65" w:type="dxa"/>
            <w:vMerge w:val="continue"/>
            <w:noWrap w:val="0"/>
            <w:vAlign w:val="center"/>
          </w:tcPr>
          <w:p w14:paraId="571D927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170" w:type="dxa"/>
            <w:noWrap w:val="0"/>
            <w:vAlign w:val="center"/>
          </w:tcPr>
          <w:p w14:paraId="6AB306C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485" w:type="dxa"/>
            <w:noWrap w:val="0"/>
            <w:vAlign w:val="center"/>
          </w:tcPr>
          <w:p w14:paraId="67AAABD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建立无偿献血长效机制</w:t>
            </w:r>
          </w:p>
        </w:tc>
        <w:tc>
          <w:tcPr>
            <w:tcW w:w="1155" w:type="dxa"/>
            <w:noWrap w:val="0"/>
            <w:vAlign w:val="center"/>
          </w:tcPr>
          <w:p w14:paraId="060DCF1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效果明显</w:t>
            </w:r>
          </w:p>
        </w:tc>
        <w:tc>
          <w:tcPr>
            <w:tcW w:w="1140" w:type="dxa"/>
            <w:noWrap w:val="0"/>
            <w:vAlign w:val="center"/>
          </w:tcPr>
          <w:p w14:paraId="64FB207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效果良好</w:t>
            </w:r>
          </w:p>
        </w:tc>
        <w:tc>
          <w:tcPr>
            <w:tcW w:w="555" w:type="dxa"/>
            <w:noWrap w:val="0"/>
            <w:vAlign w:val="center"/>
          </w:tcPr>
          <w:p w14:paraId="3BCA406A">
            <w:pPr>
              <w:keepNext w:val="0"/>
              <w:keepLines w:val="0"/>
              <w:pageBreakBefore w:val="0"/>
              <w:widowControl/>
              <w:kinsoku/>
              <w:wordWrap/>
              <w:overflowPunct/>
              <w:topLinePunct w:val="0"/>
              <w:autoSpaceDE/>
              <w:autoSpaceDN/>
              <w:bidi w:val="0"/>
              <w:adjustRightInd/>
              <w:snapToGrid/>
              <w:spacing w:line="240" w:lineRule="exact"/>
              <w:ind w:firstLine="200" w:firstLineChars="100"/>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5</w:t>
            </w:r>
          </w:p>
        </w:tc>
        <w:tc>
          <w:tcPr>
            <w:tcW w:w="495" w:type="dxa"/>
            <w:noWrap w:val="0"/>
            <w:vAlign w:val="center"/>
          </w:tcPr>
          <w:p w14:paraId="3C443C1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3</w:t>
            </w:r>
          </w:p>
        </w:tc>
        <w:tc>
          <w:tcPr>
            <w:tcW w:w="1381" w:type="dxa"/>
            <w:gridSpan w:val="2"/>
            <w:noWrap w:val="0"/>
            <w:vAlign w:val="center"/>
          </w:tcPr>
          <w:p w14:paraId="2DCE246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r>
      <w:tr w14:paraId="2A5D9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jc w:val="center"/>
        </w:trPr>
        <w:tc>
          <w:tcPr>
            <w:tcW w:w="816" w:type="dxa"/>
            <w:vMerge w:val="continue"/>
            <w:noWrap w:val="0"/>
            <w:vAlign w:val="center"/>
          </w:tcPr>
          <w:p w14:paraId="0EAD734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65" w:type="dxa"/>
            <w:noWrap w:val="0"/>
            <w:vAlign w:val="center"/>
          </w:tcPr>
          <w:p w14:paraId="2AE2679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14:paraId="462F30E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tc>
        <w:tc>
          <w:tcPr>
            <w:tcW w:w="1170" w:type="dxa"/>
            <w:noWrap w:val="0"/>
            <w:vAlign w:val="center"/>
          </w:tcPr>
          <w:p w14:paraId="3BFBA48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16"/>
                <w:szCs w:val="16"/>
              </w:rPr>
              <w:t>服务对象满意度指标</w:t>
            </w:r>
          </w:p>
        </w:tc>
        <w:tc>
          <w:tcPr>
            <w:tcW w:w="1485" w:type="dxa"/>
            <w:noWrap w:val="0"/>
            <w:vAlign w:val="center"/>
          </w:tcPr>
          <w:p w14:paraId="5D48624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18"/>
                <w:szCs w:val="18"/>
              </w:rPr>
              <w:t>社会公众满意度</w:t>
            </w:r>
          </w:p>
        </w:tc>
        <w:tc>
          <w:tcPr>
            <w:tcW w:w="1155" w:type="dxa"/>
            <w:noWrap w:val="0"/>
            <w:vAlign w:val="center"/>
          </w:tcPr>
          <w:p w14:paraId="6369C400">
            <w:pPr>
              <w:keepNext w:val="0"/>
              <w:keepLines w:val="0"/>
              <w:pageBreakBefore w:val="0"/>
              <w:widowControl/>
              <w:kinsoku/>
              <w:wordWrap/>
              <w:overflowPunct/>
              <w:topLinePunct w:val="0"/>
              <w:autoSpaceDE/>
              <w:autoSpaceDN/>
              <w:bidi w:val="0"/>
              <w:adjustRightInd/>
              <w:snapToGrid/>
              <w:spacing w:line="240" w:lineRule="exact"/>
              <w:ind w:firstLine="200" w:firstLineChars="100"/>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w:t>
            </w:r>
            <w:r>
              <w:rPr>
                <w:rFonts w:hint="eastAsia" w:ascii="仿宋" w:hAnsi="仿宋" w:eastAsia="仿宋" w:cs="仿宋"/>
                <w:color w:val="000000"/>
                <w:kern w:val="0"/>
                <w:sz w:val="20"/>
                <w:szCs w:val="20"/>
                <w:lang w:val="en-US" w:eastAsia="zh-CN"/>
              </w:rPr>
              <w:t>95%</w:t>
            </w:r>
          </w:p>
        </w:tc>
        <w:tc>
          <w:tcPr>
            <w:tcW w:w="1140" w:type="dxa"/>
            <w:noWrap w:val="0"/>
            <w:vAlign w:val="center"/>
          </w:tcPr>
          <w:p w14:paraId="42959DB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555" w:type="dxa"/>
            <w:noWrap w:val="0"/>
            <w:vAlign w:val="center"/>
          </w:tcPr>
          <w:p w14:paraId="4A0005C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495" w:type="dxa"/>
            <w:noWrap w:val="0"/>
            <w:vAlign w:val="center"/>
          </w:tcPr>
          <w:p w14:paraId="6D0BA7B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381" w:type="dxa"/>
            <w:gridSpan w:val="2"/>
            <w:noWrap w:val="0"/>
            <w:vAlign w:val="center"/>
          </w:tcPr>
          <w:p w14:paraId="042A49D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r>
      <w:tr w14:paraId="6571E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jc w:val="center"/>
        </w:trPr>
        <w:tc>
          <w:tcPr>
            <w:tcW w:w="6831" w:type="dxa"/>
            <w:gridSpan w:val="6"/>
            <w:noWrap w:val="0"/>
            <w:vAlign w:val="center"/>
          </w:tcPr>
          <w:p w14:paraId="002003A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555" w:type="dxa"/>
            <w:noWrap w:val="0"/>
            <w:vAlign w:val="center"/>
          </w:tcPr>
          <w:p w14:paraId="73977E0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495" w:type="dxa"/>
            <w:noWrap w:val="0"/>
            <w:vAlign w:val="center"/>
          </w:tcPr>
          <w:p w14:paraId="4854D0E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95</w:t>
            </w:r>
          </w:p>
        </w:tc>
        <w:tc>
          <w:tcPr>
            <w:tcW w:w="1381" w:type="dxa"/>
            <w:gridSpan w:val="2"/>
            <w:noWrap w:val="0"/>
            <w:vAlign w:val="center"/>
          </w:tcPr>
          <w:p w14:paraId="4109EF2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r>
    </w:tbl>
    <w:p w14:paraId="27839D2C">
      <w:pPr>
        <w:widowControl w:val="0"/>
        <w:kinsoku/>
        <w:autoSpaceDE/>
        <w:autoSpaceDN/>
        <w:adjustRightInd/>
        <w:snapToGrid/>
        <w:spacing w:line="600" w:lineRule="exact"/>
        <w:jc w:val="both"/>
        <w:textAlignment w:val="auto"/>
        <w:rPr>
          <w:rFonts w:hint="default" w:asciiTheme="minorAscii" w:hAnsiTheme="minorAscii" w:eastAsiaTheme="minorEastAsia"/>
          <w:vanish/>
          <w:sz w:val="21"/>
          <w:lang w:val="en-US" w:eastAsia="zh-CN"/>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谢凌倩       </w:t>
      </w:r>
      <w:r>
        <w:rPr>
          <w:rFonts w:hint="default" w:ascii="Times New Roman" w:hAnsi="Times New Roman" w:eastAsia="仿宋_GB2312" w:cs="Times New Roman"/>
          <w:snapToGrid/>
          <w:color w:val="000000"/>
          <w:kern w:val="0"/>
          <w:sz w:val="24"/>
          <w:szCs w:val="24"/>
          <w:lang w:val="en-US" w:eastAsia="zh-CN" w:bidi="ar-SA"/>
        </w:rPr>
        <w:t xml:space="preserve">  填报日期：</w:t>
      </w:r>
      <w:r>
        <w:rPr>
          <w:rFonts w:hint="eastAsia" w:ascii="Times New Roman" w:hAnsi="Times New Roman" w:eastAsia="仿宋_GB2312" w:cs="Times New Roman"/>
          <w:snapToGrid/>
          <w:color w:val="000000"/>
          <w:kern w:val="0"/>
          <w:sz w:val="24"/>
          <w:szCs w:val="24"/>
          <w:lang w:val="en-US" w:eastAsia="zh-CN" w:bidi="ar-SA"/>
        </w:rPr>
        <w:t xml:space="preserve">2025.6.16      </w:t>
      </w:r>
      <w:r>
        <w:rPr>
          <w:rFonts w:hint="default" w:ascii="Times New Roman" w:hAnsi="Times New Roman" w:eastAsia="仿宋_GB2312" w:cs="Times New Roman"/>
          <w:snapToGrid/>
          <w:color w:val="000000"/>
          <w:kern w:val="0"/>
          <w:sz w:val="24"/>
          <w:szCs w:val="24"/>
          <w:lang w:val="en-US" w:eastAsia="zh-CN" w:bidi="ar-SA"/>
        </w:rPr>
        <w:t xml:space="preserve">  联系电话：</w:t>
      </w:r>
      <w:r>
        <w:rPr>
          <w:rFonts w:hint="eastAsia" w:ascii="Times New Roman" w:hAnsi="Times New Roman" w:eastAsia="仿宋_GB2312" w:cs="Times New Roman"/>
          <w:snapToGrid/>
          <w:color w:val="000000"/>
          <w:kern w:val="0"/>
          <w:sz w:val="24"/>
          <w:szCs w:val="24"/>
          <w:lang w:val="en-US" w:eastAsia="zh-CN" w:bidi="ar-SA"/>
        </w:rPr>
        <w:t xml:space="preserve"> 13397458728</w:t>
      </w:r>
      <w:r>
        <w:rPr>
          <w:rFonts w:hint="eastAsia" w:asciiTheme="minorAscii" w:hAnsiTheme="minorAscii"/>
          <w:vanish/>
          <w:sz w:val="21"/>
          <w:lang w:val="en-US" w:eastAsia="zh-CN"/>
        </w:rPr>
        <w:t>119</w:t>
      </w:r>
    </w:p>
    <w:sectPr>
      <w:footerReference r:id="rId4" w:type="default"/>
      <w:pgSz w:w="11906" w:h="16838"/>
      <w:pgMar w:top="1134" w:right="1803" w:bottom="113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1" w:fontKey="{6055A2FC-CA5F-4258-9378-BF6DFAB8D16A}"/>
  </w:font>
  <w:font w:name="Calibri Light">
    <w:panose1 w:val="020F0302020204030204"/>
    <w:charset w:val="00"/>
    <w:family w:val="auto"/>
    <w:pitch w:val="default"/>
    <w:sig w:usb0="A00002EF" w:usb1="4000207B" w:usb2="00000000" w:usb3="00000000" w:csb0="2000019F" w:csb1="00000000"/>
  </w:font>
  <w:font w:name="楷体_GB2312">
    <w:altName w:val="楷体"/>
    <w:panose1 w:val="02010609030101010101"/>
    <w:charset w:val="86"/>
    <w:family w:val="auto"/>
    <w:pitch w:val="default"/>
    <w:sig w:usb0="00000000" w:usb1="00000000" w:usb2="00000000" w:usb3="00000000" w:csb0="00040000" w:csb1="00000000"/>
  </w:font>
  <w:font w:name="方正小标宋_GBK">
    <w:altName w:val="微软雅黑"/>
    <w:panose1 w:val="02000000000000000000"/>
    <w:charset w:val="86"/>
    <w:family w:val="auto"/>
    <w:pitch w:val="default"/>
    <w:sig w:usb0="00000000" w:usb1="00000000" w:usb2="00000000" w:usb3="00000000" w:csb0="00040000" w:csb1="00000000"/>
    <w:embedRegular r:id="rId2" w:fontKey="{BDDC20A2-3DDE-40FD-A36B-E2DC027D00C3}"/>
  </w:font>
  <w:font w:name="方正黑体_GBK">
    <w:altName w:val="微软雅黑"/>
    <w:panose1 w:val="02000000000000000000"/>
    <w:charset w:val="86"/>
    <w:family w:val="auto"/>
    <w:pitch w:val="default"/>
    <w:sig w:usb0="00000000" w:usb1="00000000" w:usb2="00000000" w:usb3="00000000" w:csb0="00040000" w:csb1="00000000"/>
    <w:embedRegular r:id="rId3" w:fontKey="{82A123EF-23FF-45E5-9C1F-0C97CE43A3CE}"/>
  </w:font>
  <w:font w:name="Times New Roman Regular">
    <w:altName w:val="Times New Roman"/>
    <w:panose1 w:val="02020603050405020304"/>
    <w:charset w:val="00"/>
    <w:family w:val="auto"/>
    <w:pitch w:val="default"/>
    <w:sig w:usb0="00000000" w:usb1="00000000" w:usb2="00000009" w:usb3="00000000" w:csb0="400001FF" w:csb1="FFFF0000"/>
    <w:embedRegular r:id="rId4" w:fontKey="{9C56A8DC-6BBF-43E6-AF78-532E8DBD4C83}"/>
  </w:font>
  <w:font w:name="仿宋_GB2312">
    <w:panose1 w:val="02010609030101010101"/>
    <w:charset w:val="86"/>
    <w:family w:val="auto"/>
    <w:pitch w:val="default"/>
    <w:sig w:usb0="00000001" w:usb1="080E0000" w:usb2="00000000" w:usb3="00000000" w:csb0="00040000" w:csb1="00000000"/>
    <w:embedRegular r:id="rId5" w:fontKey="{386A2AF5-6F75-4260-85C0-9D2D9F3CBC18}"/>
  </w:font>
  <w:font w:name="仿宋">
    <w:panose1 w:val="02010609060101010101"/>
    <w:charset w:val="86"/>
    <w:family w:val="auto"/>
    <w:pitch w:val="default"/>
    <w:sig w:usb0="800002BF" w:usb1="38CF7CFA" w:usb2="00000016" w:usb3="00000000" w:csb0="00040001" w:csb1="00000000"/>
    <w:embedRegular r:id="rId6" w:fontKey="{ECAC30B0-7B06-43C0-AFFA-340D42BF9565}"/>
  </w:font>
  <w:font w:name="方正小标宋简体">
    <w:panose1 w:val="03000509000000000000"/>
    <w:charset w:val="86"/>
    <w:family w:val="auto"/>
    <w:pitch w:val="default"/>
    <w:sig w:usb0="00000001" w:usb1="080E0000" w:usb2="00000000" w:usb3="00000000" w:csb0="00040000" w:csb1="00000000"/>
    <w:embedRegular r:id="rId7" w:fontKey="{A022EB1C-DF4F-4653-8E64-825605C5001D}"/>
  </w:font>
  <w:font w:name="方正仿宋_GB2312">
    <w:panose1 w:val="02000000000000000000"/>
    <w:charset w:val="86"/>
    <w:family w:val="auto"/>
    <w:pitch w:val="default"/>
    <w:sig w:usb0="A00002BF" w:usb1="184F6CFA" w:usb2="00000012" w:usb3="00000000" w:csb0="00040001" w:csb1="00000000"/>
    <w:embedRegular r:id="rId8" w:fontKey="{6B27A1F1-D886-4EE1-B554-4C916E9A9376}"/>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168C92">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3CE7B25">
                          <w:pPr>
                            <w:pStyle w:val="9"/>
                          </w:pPr>
                          <w:r>
                            <w:rPr>
                              <w:rFonts w:hint="eastAsia" w:ascii="方正仿宋_GB2312" w:hAnsi="方正仿宋_GB2312" w:eastAsia="方正仿宋_GB2312" w:cs="方正仿宋_GB2312"/>
                              <w:sz w:val="28"/>
                              <w:szCs w:val="28"/>
                            </w:rPr>
                            <w:fldChar w:fldCharType="begin"/>
                          </w:r>
                          <w:r>
                            <w:rPr>
                              <w:rFonts w:hint="eastAsia" w:ascii="方正仿宋_GB2312" w:hAnsi="方正仿宋_GB2312" w:eastAsia="方正仿宋_GB2312" w:cs="方正仿宋_GB2312"/>
                              <w:sz w:val="28"/>
                              <w:szCs w:val="28"/>
                            </w:rPr>
                            <w:instrText xml:space="preserve"> PAGE  \* MERGEFORMAT </w:instrText>
                          </w:r>
                          <w:r>
                            <w:rPr>
                              <w:rFonts w:hint="eastAsia" w:ascii="方正仿宋_GB2312" w:hAnsi="方正仿宋_GB2312" w:eastAsia="方正仿宋_GB2312" w:cs="方正仿宋_GB2312"/>
                              <w:sz w:val="28"/>
                              <w:szCs w:val="28"/>
                            </w:rPr>
                            <w:fldChar w:fldCharType="separate"/>
                          </w:r>
                          <w:r>
                            <w:rPr>
                              <w:rFonts w:hint="eastAsia" w:ascii="方正仿宋_GB2312" w:hAnsi="方正仿宋_GB2312" w:eastAsia="方正仿宋_GB2312" w:cs="方正仿宋_GB2312"/>
                              <w:sz w:val="28"/>
                              <w:szCs w:val="28"/>
                            </w:rPr>
                            <w:t>1</w:t>
                          </w:r>
                          <w:r>
                            <w:rPr>
                              <w:rFonts w:hint="eastAsia" w:ascii="方正仿宋_GB2312" w:hAnsi="方正仿宋_GB2312" w:eastAsia="方正仿宋_GB2312" w:cs="方正仿宋_GB2312"/>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3CE7B25">
                    <w:pPr>
                      <w:pStyle w:val="9"/>
                    </w:pPr>
                    <w:r>
                      <w:rPr>
                        <w:rFonts w:hint="eastAsia" w:ascii="方正仿宋_GB2312" w:hAnsi="方正仿宋_GB2312" w:eastAsia="方正仿宋_GB2312" w:cs="方正仿宋_GB2312"/>
                        <w:sz w:val="28"/>
                        <w:szCs w:val="28"/>
                      </w:rPr>
                      <w:fldChar w:fldCharType="begin"/>
                    </w:r>
                    <w:r>
                      <w:rPr>
                        <w:rFonts w:hint="eastAsia" w:ascii="方正仿宋_GB2312" w:hAnsi="方正仿宋_GB2312" w:eastAsia="方正仿宋_GB2312" w:cs="方正仿宋_GB2312"/>
                        <w:sz w:val="28"/>
                        <w:szCs w:val="28"/>
                      </w:rPr>
                      <w:instrText xml:space="preserve"> PAGE  \* MERGEFORMAT </w:instrText>
                    </w:r>
                    <w:r>
                      <w:rPr>
                        <w:rFonts w:hint="eastAsia" w:ascii="方正仿宋_GB2312" w:hAnsi="方正仿宋_GB2312" w:eastAsia="方正仿宋_GB2312" w:cs="方正仿宋_GB2312"/>
                        <w:sz w:val="28"/>
                        <w:szCs w:val="28"/>
                      </w:rPr>
                      <w:fldChar w:fldCharType="separate"/>
                    </w:r>
                    <w:r>
                      <w:rPr>
                        <w:rFonts w:hint="eastAsia" w:ascii="方正仿宋_GB2312" w:hAnsi="方正仿宋_GB2312" w:eastAsia="方正仿宋_GB2312" w:cs="方正仿宋_GB2312"/>
                        <w:sz w:val="28"/>
                        <w:szCs w:val="28"/>
                      </w:rPr>
                      <w:t>1</w:t>
                    </w:r>
                    <w:r>
                      <w:rPr>
                        <w:rFonts w:hint="eastAsia" w:ascii="方正仿宋_GB2312" w:hAnsi="方正仿宋_GB2312" w:eastAsia="方正仿宋_GB2312" w:cs="方正仿宋_GB2312"/>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3069DC">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A9B6D8">
                          <w:pPr>
                            <w:pStyle w:val="9"/>
                          </w:pPr>
                          <w:r>
                            <w:rPr>
                              <w:rFonts w:hint="eastAsia" w:ascii="方正仿宋_GB2312" w:hAnsi="方正仿宋_GB2312" w:eastAsia="方正仿宋_GB2312" w:cs="方正仿宋_GB2312"/>
                              <w:sz w:val="28"/>
                              <w:szCs w:val="28"/>
                            </w:rPr>
                            <w:fldChar w:fldCharType="begin"/>
                          </w:r>
                          <w:r>
                            <w:rPr>
                              <w:rFonts w:hint="eastAsia" w:ascii="方正仿宋_GB2312" w:hAnsi="方正仿宋_GB2312" w:eastAsia="方正仿宋_GB2312" w:cs="方正仿宋_GB2312"/>
                              <w:sz w:val="28"/>
                              <w:szCs w:val="28"/>
                            </w:rPr>
                            <w:instrText xml:space="preserve"> PAGE  \* MERGEFORMAT </w:instrText>
                          </w:r>
                          <w:r>
                            <w:rPr>
                              <w:rFonts w:hint="eastAsia" w:ascii="方正仿宋_GB2312" w:hAnsi="方正仿宋_GB2312" w:eastAsia="方正仿宋_GB2312" w:cs="方正仿宋_GB2312"/>
                              <w:sz w:val="28"/>
                              <w:szCs w:val="28"/>
                            </w:rPr>
                            <w:fldChar w:fldCharType="separate"/>
                          </w:r>
                          <w:r>
                            <w:rPr>
                              <w:rFonts w:hint="eastAsia" w:ascii="方正仿宋_GB2312" w:hAnsi="方正仿宋_GB2312" w:eastAsia="方正仿宋_GB2312" w:cs="方正仿宋_GB2312"/>
                              <w:sz w:val="28"/>
                              <w:szCs w:val="28"/>
                            </w:rPr>
                            <w:t>1</w:t>
                          </w:r>
                          <w:r>
                            <w:rPr>
                              <w:rFonts w:hint="eastAsia" w:ascii="方正仿宋_GB2312" w:hAnsi="方正仿宋_GB2312" w:eastAsia="方正仿宋_GB2312" w:cs="方正仿宋_GB2312"/>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15A9B6D8">
                    <w:pPr>
                      <w:pStyle w:val="9"/>
                    </w:pPr>
                    <w:r>
                      <w:rPr>
                        <w:rFonts w:hint="eastAsia" w:ascii="方正仿宋_GB2312" w:hAnsi="方正仿宋_GB2312" w:eastAsia="方正仿宋_GB2312" w:cs="方正仿宋_GB2312"/>
                        <w:sz w:val="28"/>
                        <w:szCs w:val="28"/>
                      </w:rPr>
                      <w:fldChar w:fldCharType="begin"/>
                    </w:r>
                    <w:r>
                      <w:rPr>
                        <w:rFonts w:hint="eastAsia" w:ascii="方正仿宋_GB2312" w:hAnsi="方正仿宋_GB2312" w:eastAsia="方正仿宋_GB2312" w:cs="方正仿宋_GB2312"/>
                        <w:sz w:val="28"/>
                        <w:szCs w:val="28"/>
                      </w:rPr>
                      <w:instrText xml:space="preserve"> PAGE  \* MERGEFORMAT </w:instrText>
                    </w:r>
                    <w:r>
                      <w:rPr>
                        <w:rFonts w:hint="eastAsia" w:ascii="方正仿宋_GB2312" w:hAnsi="方正仿宋_GB2312" w:eastAsia="方正仿宋_GB2312" w:cs="方正仿宋_GB2312"/>
                        <w:sz w:val="28"/>
                        <w:szCs w:val="28"/>
                      </w:rPr>
                      <w:fldChar w:fldCharType="separate"/>
                    </w:r>
                    <w:r>
                      <w:rPr>
                        <w:rFonts w:hint="eastAsia" w:ascii="方正仿宋_GB2312" w:hAnsi="方正仿宋_GB2312" w:eastAsia="方正仿宋_GB2312" w:cs="方正仿宋_GB2312"/>
                        <w:sz w:val="28"/>
                        <w:szCs w:val="28"/>
                      </w:rPr>
                      <w:t>1</w:t>
                    </w:r>
                    <w:r>
                      <w:rPr>
                        <w:rFonts w:hint="eastAsia" w:ascii="方正仿宋_GB2312" w:hAnsi="方正仿宋_GB2312" w:eastAsia="方正仿宋_GB2312" w:cs="方正仿宋_GB2312"/>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BjYmJkZTgyZjQzZTk3ZTUzMWNlNWIzZDJmYjY5OGMifQ=="/>
    <w:docVar w:name="KSO_WPS_MARK_KEY" w:val="9920a277-c0c3-43b4-93d3-1636fe398e0b"/>
  </w:docVars>
  <w:rsids>
    <w:rsidRoot w:val="753C4E9B"/>
    <w:rsid w:val="00377076"/>
    <w:rsid w:val="008F6B2B"/>
    <w:rsid w:val="00A9133B"/>
    <w:rsid w:val="00AE556A"/>
    <w:rsid w:val="00BF52BD"/>
    <w:rsid w:val="00DC19CB"/>
    <w:rsid w:val="0112174B"/>
    <w:rsid w:val="011253ED"/>
    <w:rsid w:val="013C11E7"/>
    <w:rsid w:val="017654F3"/>
    <w:rsid w:val="01CA75E8"/>
    <w:rsid w:val="02352C16"/>
    <w:rsid w:val="02441F1E"/>
    <w:rsid w:val="0252745F"/>
    <w:rsid w:val="0275710C"/>
    <w:rsid w:val="02803D01"/>
    <w:rsid w:val="028D7421"/>
    <w:rsid w:val="02A66735"/>
    <w:rsid w:val="02EB4148"/>
    <w:rsid w:val="03357A55"/>
    <w:rsid w:val="033C60AA"/>
    <w:rsid w:val="034C108A"/>
    <w:rsid w:val="0350044F"/>
    <w:rsid w:val="035704F5"/>
    <w:rsid w:val="036D51AF"/>
    <w:rsid w:val="03822CFE"/>
    <w:rsid w:val="03912F41"/>
    <w:rsid w:val="03A44C8B"/>
    <w:rsid w:val="03F425F3"/>
    <w:rsid w:val="048437C2"/>
    <w:rsid w:val="04875B1C"/>
    <w:rsid w:val="049F51EA"/>
    <w:rsid w:val="04E2157A"/>
    <w:rsid w:val="04F06920"/>
    <w:rsid w:val="04FC0279"/>
    <w:rsid w:val="05070ED0"/>
    <w:rsid w:val="051668EE"/>
    <w:rsid w:val="05216546"/>
    <w:rsid w:val="053973EC"/>
    <w:rsid w:val="05505DB7"/>
    <w:rsid w:val="05654685"/>
    <w:rsid w:val="05687CD1"/>
    <w:rsid w:val="05790336"/>
    <w:rsid w:val="05AF5BC9"/>
    <w:rsid w:val="05BB6053"/>
    <w:rsid w:val="05DD3B11"/>
    <w:rsid w:val="05E95AA6"/>
    <w:rsid w:val="060519C4"/>
    <w:rsid w:val="06141C07"/>
    <w:rsid w:val="06186DAE"/>
    <w:rsid w:val="063877F4"/>
    <w:rsid w:val="0641242C"/>
    <w:rsid w:val="066B6695"/>
    <w:rsid w:val="06840E03"/>
    <w:rsid w:val="06B25C3E"/>
    <w:rsid w:val="06E03F5B"/>
    <w:rsid w:val="06F701F2"/>
    <w:rsid w:val="06FC2DC7"/>
    <w:rsid w:val="07254DB3"/>
    <w:rsid w:val="07373DFF"/>
    <w:rsid w:val="07BD684A"/>
    <w:rsid w:val="07CD02C0"/>
    <w:rsid w:val="07FA4B11"/>
    <w:rsid w:val="080D2385"/>
    <w:rsid w:val="08862D45"/>
    <w:rsid w:val="08994CEF"/>
    <w:rsid w:val="089B03BE"/>
    <w:rsid w:val="08C416C3"/>
    <w:rsid w:val="08C72F61"/>
    <w:rsid w:val="08FF5C82"/>
    <w:rsid w:val="08FF631A"/>
    <w:rsid w:val="09093579"/>
    <w:rsid w:val="09102B5A"/>
    <w:rsid w:val="096E7880"/>
    <w:rsid w:val="09760CC5"/>
    <w:rsid w:val="0976720A"/>
    <w:rsid w:val="09E047E1"/>
    <w:rsid w:val="09EF276F"/>
    <w:rsid w:val="09F32F88"/>
    <w:rsid w:val="09F76469"/>
    <w:rsid w:val="09F91840"/>
    <w:rsid w:val="0A1641A0"/>
    <w:rsid w:val="0A5371A2"/>
    <w:rsid w:val="0A570314"/>
    <w:rsid w:val="0A8C6210"/>
    <w:rsid w:val="0A954046"/>
    <w:rsid w:val="0ACA6D38"/>
    <w:rsid w:val="0AFB5144"/>
    <w:rsid w:val="0B19291A"/>
    <w:rsid w:val="0B2B77D7"/>
    <w:rsid w:val="0B600AEA"/>
    <w:rsid w:val="0B7E46B5"/>
    <w:rsid w:val="0BA90338"/>
    <w:rsid w:val="0BB80875"/>
    <w:rsid w:val="0BC813B2"/>
    <w:rsid w:val="0BE8099C"/>
    <w:rsid w:val="0C032821"/>
    <w:rsid w:val="0C180A78"/>
    <w:rsid w:val="0C2C414C"/>
    <w:rsid w:val="0C790A16"/>
    <w:rsid w:val="0CB258D1"/>
    <w:rsid w:val="0D276746"/>
    <w:rsid w:val="0D2E35AF"/>
    <w:rsid w:val="0D464D9C"/>
    <w:rsid w:val="0D904269"/>
    <w:rsid w:val="0DBC5B20"/>
    <w:rsid w:val="0DC161D1"/>
    <w:rsid w:val="0DD52794"/>
    <w:rsid w:val="0DFD6191"/>
    <w:rsid w:val="0DFE7584"/>
    <w:rsid w:val="0E337665"/>
    <w:rsid w:val="0E956870"/>
    <w:rsid w:val="0EBB106C"/>
    <w:rsid w:val="0ECC08B5"/>
    <w:rsid w:val="0F037349"/>
    <w:rsid w:val="0F0A004B"/>
    <w:rsid w:val="0F1302D9"/>
    <w:rsid w:val="0F2D333D"/>
    <w:rsid w:val="0F3A26DF"/>
    <w:rsid w:val="0F8F693E"/>
    <w:rsid w:val="0FA37392"/>
    <w:rsid w:val="0FBC30F4"/>
    <w:rsid w:val="0FCE1148"/>
    <w:rsid w:val="0FD541B5"/>
    <w:rsid w:val="0FDD28FA"/>
    <w:rsid w:val="106F52FA"/>
    <w:rsid w:val="108654B0"/>
    <w:rsid w:val="108B0D18"/>
    <w:rsid w:val="109C10AA"/>
    <w:rsid w:val="10C666A5"/>
    <w:rsid w:val="10D606A6"/>
    <w:rsid w:val="11641C95"/>
    <w:rsid w:val="117143B2"/>
    <w:rsid w:val="118D73D1"/>
    <w:rsid w:val="118E7D16"/>
    <w:rsid w:val="11AE1162"/>
    <w:rsid w:val="11C826A1"/>
    <w:rsid w:val="11CB7A83"/>
    <w:rsid w:val="11FC1519"/>
    <w:rsid w:val="1223366A"/>
    <w:rsid w:val="125029A4"/>
    <w:rsid w:val="125735A8"/>
    <w:rsid w:val="126637C4"/>
    <w:rsid w:val="126D6927"/>
    <w:rsid w:val="126F2A7F"/>
    <w:rsid w:val="129A7987"/>
    <w:rsid w:val="12E73AEB"/>
    <w:rsid w:val="12ED7A68"/>
    <w:rsid w:val="133B4F65"/>
    <w:rsid w:val="136F6008"/>
    <w:rsid w:val="137A38FF"/>
    <w:rsid w:val="137D598D"/>
    <w:rsid w:val="13916645"/>
    <w:rsid w:val="13AA72A4"/>
    <w:rsid w:val="13D1738A"/>
    <w:rsid w:val="141176C7"/>
    <w:rsid w:val="141A2ADF"/>
    <w:rsid w:val="143877FD"/>
    <w:rsid w:val="143C379A"/>
    <w:rsid w:val="14700758"/>
    <w:rsid w:val="14843A55"/>
    <w:rsid w:val="14C633DB"/>
    <w:rsid w:val="14EF7AC7"/>
    <w:rsid w:val="14FB646C"/>
    <w:rsid w:val="151A1F43"/>
    <w:rsid w:val="156D73A9"/>
    <w:rsid w:val="1570003C"/>
    <w:rsid w:val="157437EC"/>
    <w:rsid w:val="15745BF8"/>
    <w:rsid w:val="159E296F"/>
    <w:rsid w:val="15CC3983"/>
    <w:rsid w:val="15FA2070"/>
    <w:rsid w:val="16105F47"/>
    <w:rsid w:val="163E2DAF"/>
    <w:rsid w:val="16640041"/>
    <w:rsid w:val="1666516D"/>
    <w:rsid w:val="16AE07B1"/>
    <w:rsid w:val="16BB1304"/>
    <w:rsid w:val="16C86822"/>
    <w:rsid w:val="16CF0EB7"/>
    <w:rsid w:val="16D75B9E"/>
    <w:rsid w:val="16FA5506"/>
    <w:rsid w:val="1723614E"/>
    <w:rsid w:val="17316795"/>
    <w:rsid w:val="176F6C9D"/>
    <w:rsid w:val="17817CD8"/>
    <w:rsid w:val="17B46DA6"/>
    <w:rsid w:val="17C233EE"/>
    <w:rsid w:val="17CF598E"/>
    <w:rsid w:val="17D02F59"/>
    <w:rsid w:val="17D46287"/>
    <w:rsid w:val="17DC3392"/>
    <w:rsid w:val="17DF606D"/>
    <w:rsid w:val="17FCFFF6"/>
    <w:rsid w:val="182B52BA"/>
    <w:rsid w:val="185A794E"/>
    <w:rsid w:val="185C1918"/>
    <w:rsid w:val="18602A8A"/>
    <w:rsid w:val="186407CC"/>
    <w:rsid w:val="188543AE"/>
    <w:rsid w:val="18940D83"/>
    <w:rsid w:val="18A36F6F"/>
    <w:rsid w:val="18B52DD6"/>
    <w:rsid w:val="18D94E58"/>
    <w:rsid w:val="192E6FAC"/>
    <w:rsid w:val="19367C8D"/>
    <w:rsid w:val="194B54E8"/>
    <w:rsid w:val="1989731E"/>
    <w:rsid w:val="199D21E8"/>
    <w:rsid w:val="19D21766"/>
    <w:rsid w:val="19E25E4D"/>
    <w:rsid w:val="19E805B2"/>
    <w:rsid w:val="1A8200F5"/>
    <w:rsid w:val="1A912364"/>
    <w:rsid w:val="1A9F6725"/>
    <w:rsid w:val="1B3A4F50"/>
    <w:rsid w:val="1B572F6A"/>
    <w:rsid w:val="1BD512CB"/>
    <w:rsid w:val="1BE003BF"/>
    <w:rsid w:val="1BF81C71"/>
    <w:rsid w:val="1BFA6E7C"/>
    <w:rsid w:val="1C0F0A4F"/>
    <w:rsid w:val="1C2E1479"/>
    <w:rsid w:val="1C7452C7"/>
    <w:rsid w:val="1C782A98"/>
    <w:rsid w:val="1C7B3A29"/>
    <w:rsid w:val="1C91677A"/>
    <w:rsid w:val="1C962F1E"/>
    <w:rsid w:val="1CBF872E"/>
    <w:rsid w:val="1CD7789E"/>
    <w:rsid w:val="1CDB6B83"/>
    <w:rsid w:val="1D3369BF"/>
    <w:rsid w:val="1D350989"/>
    <w:rsid w:val="1D3B2E55"/>
    <w:rsid w:val="1D412E8A"/>
    <w:rsid w:val="1D4E55A7"/>
    <w:rsid w:val="1D85512F"/>
    <w:rsid w:val="1D985D4D"/>
    <w:rsid w:val="1D9B4896"/>
    <w:rsid w:val="1DAC5C38"/>
    <w:rsid w:val="1DB21FDA"/>
    <w:rsid w:val="1DB418AE"/>
    <w:rsid w:val="1DD7426F"/>
    <w:rsid w:val="1DDB32DF"/>
    <w:rsid w:val="1DF3687A"/>
    <w:rsid w:val="1E053DEB"/>
    <w:rsid w:val="1E0E440A"/>
    <w:rsid w:val="1E28404A"/>
    <w:rsid w:val="1E2B4838"/>
    <w:rsid w:val="1EA7241E"/>
    <w:rsid w:val="1F1966BF"/>
    <w:rsid w:val="1F1A294F"/>
    <w:rsid w:val="1F253E23"/>
    <w:rsid w:val="1F29007A"/>
    <w:rsid w:val="1F2D5E39"/>
    <w:rsid w:val="1F59095F"/>
    <w:rsid w:val="1F62533A"/>
    <w:rsid w:val="1F9E45C4"/>
    <w:rsid w:val="200B13BD"/>
    <w:rsid w:val="200D7EB9"/>
    <w:rsid w:val="2011123A"/>
    <w:rsid w:val="20415BE2"/>
    <w:rsid w:val="20542ED4"/>
    <w:rsid w:val="20880DD0"/>
    <w:rsid w:val="20A51982"/>
    <w:rsid w:val="20B0125E"/>
    <w:rsid w:val="21020B82"/>
    <w:rsid w:val="21116909"/>
    <w:rsid w:val="211F239D"/>
    <w:rsid w:val="21432E67"/>
    <w:rsid w:val="21BC6D7E"/>
    <w:rsid w:val="21D70DF2"/>
    <w:rsid w:val="222D011A"/>
    <w:rsid w:val="22325497"/>
    <w:rsid w:val="228C2DF9"/>
    <w:rsid w:val="22E177D9"/>
    <w:rsid w:val="22FE234B"/>
    <w:rsid w:val="234C4337"/>
    <w:rsid w:val="237006B3"/>
    <w:rsid w:val="2377306D"/>
    <w:rsid w:val="23A10B26"/>
    <w:rsid w:val="23E12CD1"/>
    <w:rsid w:val="241F7A66"/>
    <w:rsid w:val="24215DEA"/>
    <w:rsid w:val="2429118E"/>
    <w:rsid w:val="2460453E"/>
    <w:rsid w:val="24977834"/>
    <w:rsid w:val="24B62957"/>
    <w:rsid w:val="24CD172E"/>
    <w:rsid w:val="24EF7670"/>
    <w:rsid w:val="25541BF3"/>
    <w:rsid w:val="25B53364"/>
    <w:rsid w:val="25B82157"/>
    <w:rsid w:val="25C66622"/>
    <w:rsid w:val="25E1520A"/>
    <w:rsid w:val="25EE7927"/>
    <w:rsid w:val="260D3D3C"/>
    <w:rsid w:val="262339B3"/>
    <w:rsid w:val="2642329D"/>
    <w:rsid w:val="26487037"/>
    <w:rsid w:val="265579A6"/>
    <w:rsid w:val="26606A55"/>
    <w:rsid w:val="266F2816"/>
    <w:rsid w:val="26B84685"/>
    <w:rsid w:val="26DD6069"/>
    <w:rsid w:val="26E33204"/>
    <w:rsid w:val="26E472D4"/>
    <w:rsid w:val="271635D9"/>
    <w:rsid w:val="273B1194"/>
    <w:rsid w:val="273D0B66"/>
    <w:rsid w:val="274F4006"/>
    <w:rsid w:val="27615CCB"/>
    <w:rsid w:val="276521AF"/>
    <w:rsid w:val="277E6F02"/>
    <w:rsid w:val="27F37477"/>
    <w:rsid w:val="282A2009"/>
    <w:rsid w:val="286E6AFD"/>
    <w:rsid w:val="28A05E63"/>
    <w:rsid w:val="28A14755"/>
    <w:rsid w:val="28A16ED3"/>
    <w:rsid w:val="28B05368"/>
    <w:rsid w:val="28BA09C2"/>
    <w:rsid w:val="28E13773"/>
    <w:rsid w:val="28FF2559"/>
    <w:rsid w:val="290855A0"/>
    <w:rsid w:val="293D309F"/>
    <w:rsid w:val="295E4DC4"/>
    <w:rsid w:val="29744F8B"/>
    <w:rsid w:val="2976210D"/>
    <w:rsid w:val="29764647"/>
    <w:rsid w:val="29810ADD"/>
    <w:rsid w:val="29891621"/>
    <w:rsid w:val="298A4F2C"/>
    <w:rsid w:val="2994068B"/>
    <w:rsid w:val="29990575"/>
    <w:rsid w:val="29CE019B"/>
    <w:rsid w:val="2A2E6E04"/>
    <w:rsid w:val="2A44631D"/>
    <w:rsid w:val="2A475858"/>
    <w:rsid w:val="2A6265E6"/>
    <w:rsid w:val="2ACE0D23"/>
    <w:rsid w:val="2AE337D3"/>
    <w:rsid w:val="2AF6742D"/>
    <w:rsid w:val="2B48582E"/>
    <w:rsid w:val="2B65697C"/>
    <w:rsid w:val="2B6861CE"/>
    <w:rsid w:val="2B742DBD"/>
    <w:rsid w:val="2BA666A3"/>
    <w:rsid w:val="2BB86A0D"/>
    <w:rsid w:val="2BCD4966"/>
    <w:rsid w:val="2BD35726"/>
    <w:rsid w:val="2C016BF2"/>
    <w:rsid w:val="2C4368D7"/>
    <w:rsid w:val="2C882884"/>
    <w:rsid w:val="2CFB44A5"/>
    <w:rsid w:val="2D102879"/>
    <w:rsid w:val="2D452523"/>
    <w:rsid w:val="2D5C76E6"/>
    <w:rsid w:val="2D614E83"/>
    <w:rsid w:val="2D8C7D6D"/>
    <w:rsid w:val="2DA23D5C"/>
    <w:rsid w:val="2E0527A2"/>
    <w:rsid w:val="2E570C09"/>
    <w:rsid w:val="2EC851B9"/>
    <w:rsid w:val="2EF22236"/>
    <w:rsid w:val="2EFA10EB"/>
    <w:rsid w:val="2F035681"/>
    <w:rsid w:val="30034980"/>
    <w:rsid w:val="30436451"/>
    <w:rsid w:val="30937A49"/>
    <w:rsid w:val="30DD5D86"/>
    <w:rsid w:val="30EE2159"/>
    <w:rsid w:val="311D6658"/>
    <w:rsid w:val="312A2265"/>
    <w:rsid w:val="312D54CE"/>
    <w:rsid w:val="31415AE2"/>
    <w:rsid w:val="316B4522"/>
    <w:rsid w:val="31A17F44"/>
    <w:rsid w:val="31F6028F"/>
    <w:rsid w:val="32192170"/>
    <w:rsid w:val="32C87D5D"/>
    <w:rsid w:val="32D007AA"/>
    <w:rsid w:val="333F3E43"/>
    <w:rsid w:val="33552D94"/>
    <w:rsid w:val="33A855B9"/>
    <w:rsid w:val="33DC34B5"/>
    <w:rsid w:val="34272982"/>
    <w:rsid w:val="346040E6"/>
    <w:rsid w:val="348A335A"/>
    <w:rsid w:val="349153D9"/>
    <w:rsid w:val="349E4B37"/>
    <w:rsid w:val="34AF7E34"/>
    <w:rsid w:val="34C06933"/>
    <w:rsid w:val="351333BE"/>
    <w:rsid w:val="352B641F"/>
    <w:rsid w:val="3555351F"/>
    <w:rsid w:val="359A53D6"/>
    <w:rsid w:val="35D01EDB"/>
    <w:rsid w:val="35E30B2B"/>
    <w:rsid w:val="35FB40C6"/>
    <w:rsid w:val="361E7EF8"/>
    <w:rsid w:val="362D2523"/>
    <w:rsid w:val="3632560E"/>
    <w:rsid w:val="36372C24"/>
    <w:rsid w:val="3667175C"/>
    <w:rsid w:val="36932E2C"/>
    <w:rsid w:val="36B32DAA"/>
    <w:rsid w:val="36FC0F5D"/>
    <w:rsid w:val="372C112F"/>
    <w:rsid w:val="375773F8"/>
    <w:rsid w:val="37C30C14"/>
    <w:rsid w:val="384B0C09"/>
    <w:rsid w:val="384D1B3E"/>
    <w:rsid w:val="38686D8A"/>
    <w:rsid w:val="386C12AB"/>
    <w:rsid w:val="388D2FD0"/>
    <w:rsid w:val="388F4508"/>
    <w:rsid w:val="38DD3F57"/>
    <w:rsid w:val="38F848ED"/>
    <w:rsid w:val="38FA1D7C"/>
    <w:rsid w:val="390414E4"/>
    <w:rsid w:val="390B4021"/>
    <w:rsid w:val="39123EA1"/>
    <w:rsid w:val="391F00CC"/>
    <w:rsid w:val="392504E1"/>
    <w:rsid w:val="392C2B4D"/>
    <w:rsid w:val="393E32BB"/>
    <w:rsid w:val="39487A70"/>
    <w:rsid w:val="39B06F76"/>
    <w:rsid w:val="39B337F4"/>
    <w:rsid w:val="3A137505"/>
    <w:rsid w:val="3A6932B0"/>
    <w:rsid w:val="3AE3204D"/>
    <w:rsid w:val="3B11272D"/>
    <w:rsid w:val="3B335F33"/>
    <w:rsid w:val="3B4E4C98"/>
    <w:rsid w:val="3B765F9D"/>
    <w:rsid w:val="3B8D7241"/>
    <w:rsid w:val="3BEE647B"/>
    <w:rsid w:val="3C3016C1"/>
    <w:rsid w:val="3C3E2F5F"/>
    <w:rsid w:val="3C860462"/>
    <w:rsid w:val="3C9A19C5"/>
    <w:rsid w:val="3CC66AB0"/>
    <w:rsid w:val="3CC72F54"/>
    <w:rsid w:val="3D1C4922"/>
    <w:rsid w:val="3D294FD4"/>
    <w:rsid w:val="3D42082D"/>
    <w:rsid w:val="3DB114C5"/>
    <w:rsid w:val="3DC6320C"/>
    <w:rsid w:val="3DC840E4"/>
    <w:rsid w:val="3DE82198"/>
    <w:rsid w:val="3E762CD2"/>
    <w:rsid w:val="3E8B7FB1"/>
    <w:rsid w:val="3E9A6446"/>
    <w:rsid w:val="3E9F19CB"/>
    <w:rsid w:val="3EB672D9"/>
    <w:rsid w:val="3EC37246"/>
    <w:rsid w:val="3EC65D55"/>
    <w:rsid w:val="3EDB58AE"/>
    <w:rsid w:val="3EFDDE87"/>
    <w:rsid w:val="3F4A47F3"/>
    <w:rsid w:val="3F5D36FC"/>
    <w:rsid w:val="3F786788"/>
    <w:rsid w:val="3F8B3280"/>
    <w:rsid w:val="3FEF7BCA"/>
    <w:rsid w:val="40210BCD"/>
    <w:rsid w:val="40402A78"/>
    <w:rsid w:val="405415CD"/>
    <w:rsid w:val="40616487"/>
    <w:rsid w:val="407D392A"/>
    <w:rsid w:val="40CB28E7"/>
    <w:rsid w:val="40E96E62"/>
    <w:rsid w:val="41674009"/>
    <w:rsid w:val="41767F8A"/>
    <w:rsid w:val="417E223F"/>
    <w:rsid w:val="41832A67"/>
    <w:rsid w:val="41874A60"/>
    <w:rsid w:val="419B2857"/>
    <w:rsid w:val="41AE11D8"/>
    <w:rsid w:val="41C37A62"/>
    <w:rsid w:val="41D61543"/>
    <w:rsid w:val="41D71DA8"/>
    <w:rsid w:val="4231255B"/>
    <w:rsid w:val="42634AA3"/>
    <w:rsid w:val="429E34DB"/>
    <w:rsid w:val="42DC5767"/>
    <w:rsid w:val="42ED2FE9"/>
    <w:rsid w:val="432A5FEB"/>
    <w:rsid w:val="43593ABC"/>
    <w:rsid w:val="435A070C"/>
    <w:rsid w:val="437454B8"/>
    <w:rsid w:val="43BD19AF"/>
    <w:rsid w:val="44090172"/>
    <w:rsid w:val="44201E87"/>
    <w:rsid w:val="447137A5"/>
    <w:rsid w:val="44AA2919"/>
    <w:rsid w:val="44B30262"/>
    <w:rsid w:val="451340A4"/>
    <w:rsid w:val="452151CC"/>
    <w:rsid w:val="456F5F37"/>
    <w:rsid w:val="45707D87"/>
    <w:rsid w:val="45926C38"/>
    <w:rsid w:val="45E05087"/>
    <w:rsid w:val="45F72580"/>
    <w:rsid w:val="460348D1"/>
    <w:rsid w:val="460A6A25"/>
    <w:rsid w:val="46292D62"/>
    <w:rsid w:val="467C140D"/>
    <w:rsid w:val="46AB4F07"/>
    <w:rsid w:val="46DA7D28"/>
    <w:rsid w:val="46F35C30"/>
    <w:rsid w:val="4765466F"/>
    <w:rsid w:val="47C84024"/>
    <w:rsid w:val="47F44E19"/>
    <w:rsid w:val="481608EC"/>
    <w:rsid w:val="48164D90"/>
    <w:rsid w:val="48284AC3"/>
    <w:rsid w:val="48511B4B"/>
    <w:rsid w:val="4876582E"/>
    <w:rsid w:val="489D725F"/>
    <w:rsid w:val="48DB1B35"/>
    <w:rsid w:val="48FD1D08"/>
    <w:rsid w:val="490E5A67"/>
    <w:rsid w:val="49107A31"/>
    <w:rsid w:val="49823EC1"/>
    <w:rsid w:val="498F7ABD"/>
    <w:rsid w:val="49C87BBE"/>
    <w:rsid w:val="49E0309E"/>
    <w:rsid w:val="49F45924"/>
    <w:rsid w:val="4A5B793F"/>
    <w:rsid w:val="4A66404E"/>
    <w:rsid w:val="4A6C0C97"/>
    <w:rsid w:val="4A857FAB"/>
    <w:rsid w:val="4A8835F7"/>
    <w:rsid w:val="4AA00CEE"/>
    <w:rsid w:val="4AA4190C"/>
    <w:rsid w:val="4AB03279"/>
    <w:rsid w:val="4AB12B4E"/>
    <w:rsid w:val="4AB32D6A"/>
    <w:rsid w:val="4ADB5E1D"/>
    <w:rsid w:val="4B0C5FD6"/>
    <w:rsid w:val="4B1A0571"/>
    <w:rsid w:val="4B2D6CD9"/>
    <w:rsid w:val="4B4C0AC8"/>
    <w:rsid w:val="4B620C50"/>
    <w:rsid w:val="4B9805B5"/>
    <w:rsid w:val="4BBC5C4E"/>
    <w:rsid w:val="4C11760B"/>
    <w:rsid w:val="4C207F2B"/>
    <w:rsid w:val="4C561BFF"/>
    <w:rsid w:val="4C6611ED"/>
    <w:rsid w:val="4C7351BF"/>
    <w:rsid w:val="4C816990"/>
    <w:rsid w:val="4CA8773E"/>
    <w:rsid w:val="4D023B34"/>
    <w:rsid w:val="4D094EC3"/>
    <w:rsid w:val="4D5D3BD3"/>
    <w:rsid w:val="4D783DF7"/>
    <w:rsid w:val="4D7D140D"/>
    <w:rsid w:val="4D88228C"/>
    <w:rsid w:val="4DCB500F"/>
    <w:rsid w:val="4E3B0C44"/>
    <w:rsid w:val="4EA773D1"/>
    <w:rsid w:val="4EB7F892"/>
    <w:rsid w:val="4ED141EC"/>
    <w:rsid w:val="4ED76890"/>
    <w:rsid w:val="4EF851EF"/>
    <w:rsid w:val="4EFB4CDF"/>
    <w:rsid w:val="4F2C7325"/>
    <w:rsid w:val="4FAD422B"/>
    <w:rsid w:val="4FCD637F"/>
    <w:rsid w:val="4FD01CC8"/>
    <w:rsid w:val="4FE53195"/>
    <w:rsid w:val="500D1B24"/>
    <w:rsid w:val="500F0A42"/>
    <w:rsid w:val="50102CD6"/>
    <w:rsid w:val="502E4111"/>
    <w:rsid w:val="503D7A64"/>
    <w:rsid w:val="50C8299F"/>
    <w:rsid w:val="50ED2406"/>
    <w:rsid w:val="50FE637F"/>
    <w:rsid w:val="516A7314"/>
    <w:rsid w:val="51707F2A"/>
    <w:rsid w:val="517A6374"/>
    <w:rsid w:val="51DC4954"/>
    <w:rsid w:val="52102850"/>
    <w:rsid w:val="52201E6B"/>
    <w:rsid w:val="526E7576"/>
    <w:rsid w:val="5285323E"/>
    <w:rsid w:val="528D316F"/>
    <w:rsid w:val="52BE430B"/>
    <w:rsid w:val="52E8648C"/>
    <w:rsid w:val="52ED2B91"/>
    <w:rsid w:val="534C565A"/>
    <w:rsid w:val="53B93D3E"/>
    <w:rsid w:val="543F3D14"/>
    <w:rsid w:val="544E58B1"/>
    <w:rsid w:val="545A0829"/>
    <w:rsid w:val="545C3C0D"/>
    <w:rsid w:val="5464510E"/>
    <w:rsid w:val="548C2946"/>
    <w:rsid w:val="549F7EBB"/>
    <w:rsid w:val="54D95840"/>
    <w:rsid w:val="54F40207"/>
    <w:rsid w:val="552A0475"/>
    <w:rsid w:val="55752584"/>
    <w:rsid w:val="559674D1"/>
    <w:rsid w:val="55B60A05"/>
    <w:rsid w:val="55EC65BF"/>
    <w:rsid w:val="55F85AD5"/>
    <w:rsid w:val="56143C4D"/>
    <w:rsid w:val="56151261"/>
    <w:rsid w:val="56260894"/>
    <w:rsid w:val="56397B3F"/>
    <w:rsid w:val="56C87388"/>
    <w:rsid w:val="56CD0D0F"/>
    <w:rsid w:val="56D81F95"/>
    <w:rsid w:val="56DE2F1C"/>
    <w:rsid w:val="56EA7B13"/>
    <w:rsid w:val="56FB453E"/>
    <w:rsid w:val="572D6FF1"/>
    <w:rsid w:val="578C2978"/>
    <w:rsid w:val="578D10CB"/>
    <w:rsid w:val="5792174B"/>
    <w:rsid w:val="57935FB4"/>
    <w:rsid w:val="57DA5B0A"/>
    <w:rsid w:val="57E83927"/>
    <w:rsid w:val="57F23B91"/>
    <w:rsid w:val="57F546A9"/>
    <w:rsid w:val="58207565"/>
    <w:rsid w:val="58294CE8"/>
    <w:rsid w:val="586B53C7"/>
    <w:rsid w:val="58B303D9"/>
    <w:rsid w:val="58EC0A6C"/>
    <w:rsid w:val="59554FEC"/>
    <w:rsid w:val="59B72258"/>
    <w:rsid w:val="59BC506B"/>
    <w:rsid w:val="59ED4980"/>
    <w:rsid w:val="5A0422B2"/>
    <w:rsid w:val="5A5915AC"/>
    <w:rsid w:val="5A5B63D6"/>
    <w:rsid w:val="5A975B2D"/>
    <w:rsid w:val="5ABBC979"/>
    <w:rsid w:val="5AFF3461"/>
    <w:rsid w:val="5B631C42"/>
    <w:rsid w:val="5B765E19"/>
    <w:rsid w:val="5BB04C2C"/>
    <w:rsid w:val="5BBE2F03"/>
    <w:rsid w:val="5BD82630"/>
    <w:rsid w:val="5BD963A8"/>
    <w:rsid w:val="5BDC70BB"/>
    <w:rsid w:val="5BE81D98"/>
    <w:rsid w:val="5BFC7B3B"/>
    <w:rsid w:val="5C037EDF"/>
    <w:rsid w:val="5C9E02EB"/>
    <w:rsid w:val="5CB02B3A"/>
    <w:rsid w:val="5CD94CAE"/>
    <w:rsid w:val="5CDD41DD"/>
    <w:rsid w:val="5D3C274B"/>
    <w:rsid w:val="5DC514D7"/>
    <w:rsid w:val="5DF41277"/>
    <w:rsid w:val="5DF64FF0"/>
    <w:rsid w:val="5E3D49CC"/>
    <w:rsid w:val="5E6A778C"/>
    <w:rsid w:val="5E733BD4"/>
    <w:rsid w:val="5E77C7C6"/>
    <w:rsid w:val="5EB461F8"/>
    <w:rsid w:val="5EBC1D87"/>
    <w:rsid w:val="5EC12F45"/>
    <w:rsid w:val="5EC710E8"/>
    <w:rsid w:val="5ECE7D1A"/>
    <w:rsid w:val="5EFA588B"/>
    <w:rsid w:val="5F1E2284"/>
    <w:rsid w:val="5F244831"/>
    <w:rsid w:val="5F307846"/>
    <w:rsid w:val="5F444FFA"/>
    <w:rsid w:val="5F78314C"/>
    <w:rsid w:val="5F7B6E87"/>
    <w:rsid w:val="5F9277CA"/>
    <w:rsid w:val="5FAB519D"/>
    <w:rsid w:val="5FBC5DC5"/>
    <w:rsid w:val="5FC8476A"/>
    <w:rsid w:val="5FE442E7"/>
    <w:rsid w:val="5FF67529"/>
    <w:rsid w:val="5FFFAAE0"/>
    <w:rsid w:val="600E2019"/>
    <w:rsid w:val="60762418"/>
    <w:rsid w:val="609B2D54"/>
    <w:rsid w:val="60A54AAB"/>
    <w:rsid w:val="60A80FF4"/>
    <w:rsid w:val="60BE791B"/>
    <w:rsid w:val="60F24707"/>
    <w:rsid w:val="610E0230"/>
    <w:rsid w:val="610E43FE"/>
    <w:rsid w:val="6155202D"/>
    <w:rsid w:val="616109D2"/>
    <w:rsid w:val="61930DA7"/>
    <w:rsid w:val="61DE64C6"/>
    <w:rsid w:val="62116A72"/>
    <w:rsid w:val="62223BC5"/>
    <w:rsid w:val="622814F0"/>
    <w:rsid w:val="622D4D58"/>
    <w:rsid w:val="6260512D"/>
    <w:rsid w:val="62D07359"/>
    <w:rsid w:val="62E278F0"/>
    <w:rsid w:val="62E418BB"/>
    <w:rsid w:val="631E4199"/>
    <w:rsid w:val="63666773"/>
    <w:rsid w:val="638E3995"/>
    <w:rsid w:val="638E7A78"/>
    <w:rsid w:val="63D27752"/>
    <w:rsid w:val="63DD455C"/>
    <w:rsid w:val="647E043F"/>
    <w:rsid w:val="648C4EA5"/>
    <w:rsid w:val="64A03E97"/>
    <w:rsid w:val="64BF187A"/>
    <w:rsid w:val="64D4770D"/>
    <w:rsid w:val="64E97D5C"/>
    <w:rsid w:val="64F14763"/>
    <w:rsid w:val="64F42CD6"/>
    <w:rsid w:val="654A5B17"/>
    <w:rsid w:val="65A65A90"/>
    <w:rsid w:val="65C634F9"/>
    <w:rsid w:val="65C73C04"/>
    <w:rsid w:val="65E126BE"/>
    <w:rsid w:val="66300BF5"/>
    <w:rsid w:val="66314170"/>
    <w:rsid w:val="66347B2F"/>
    <w:rsid w:val="664675B7"/>
    <w:rsid w:val="665C20B0"/>
    <w:rsid w:val="666432A3"/>
    <w:rsid w:val="66761DF0"/>
    <w:rsid w:val="667FD72C"/>
    <w:rsid w:val="668E4BD6"/>
    <w:rsid w:val="66BB18A7"/>
    <w:rsid w:val="66C57588"/>
    <w:rsid w:val="66C947F9"/>
    <w:rsid w:val="66F45E44"/>
    <w:rsid w:val="670646DE"/>
    <w:rsid w:val="674F5CBF"/>
    <w:rsid w:val="678216A2"/>
    <w:rsid w:val="67883798"/>
    <w:rsid w:val="67B60119"/>
    <w:rsid w:val="67EA2AF6"/>
    <w:rsid w:val="681220C0"/>
    <w:rsid w:val="68770075"/>
    <w:rsid w:val="691E53FA"/>
    <w:rsid w:val="692D47C9"/>
    <w:rsid w:val="69346F3E"/>
    <w:rsid w:val="693A00BE"/>
    <w:rsid w:val="694F7CAA"/>
    <w:rsid w:val="69686370"/>
    <w:rsid w:val="69946F8A"/>
    <w:rsid w:val="69966CB4"/>
    <w:rsid w:val="69BF3B13"/>
    <w:rsid w:val="6A016C3D"/>
    <w:rsid w:val="6A12486A"/>
    <w:rsid w:val="6A323A8E"/>
    <w:rsid w:val="6A3D7B02"/>
    <w:rsid w:val="6A590DE0"/>
    <w:rsid w:val="6A975464"/>
    <w:rsid w:val="6ABE64BE"/>
    <w:rsid w:val="6AED777A"/>
    <w:rsid w:val="6B3B7824"/>
    <w:rsid w:val="6B5534D4"/>
    <w:rsid w:val="6B5F16C5"/>
    <w:rsid w:val="6B6F4633"/>
    <w:rsid w:val="6B762F90"/>
    <w:rsid w:val="6B943D34"/>
    <w:rsid w:val="6BCB7ABB"/>
    <w:rsid w:val="6BF6657C"/>
    <w:rsid w:val="6C076004"/>
    <w:rsid w:val="6C094140"/>
    <w:rsid w:val="6C532091"/>
    <w:rsid w:val="6CB85165"/>
    <w:rsid w:val="6CD61C8C"/>
    <w:rsid w:val="6CF22E26"/>
    <w:rsid w:val="6CF3201F"/>
    <w:rsid w:val="6CF3EA5A"/>
    <w:rsid w:val="6D0F3924"/>
    <w:rsid w:val="6D167504"/>
    <w:rsid w:val="6D45758A"/>
    <w:rsid w:val="6D7777CF"/>
    <w:rsid w:val="6D97573A"/>
    <w:rsid w:val="6D981ED0"/>
    <w:rsid w:val="6DDB5FB0"/>
    <w:rsid w:val="6DE76703"/>
    <w:rsid w:val="6DED63D3"/>
    <w:rsid w:val="6E114F28"/>
    <w:rsid w:val="6E7D2BC3"/>
    <w:rsid w:val="6EB35373"/>
    <w:rsid w:val="6ED24CBD"/>
    <w:rsid w:val="6F1A0749"/>
    <w:rsid w:val="6F324A90"/>
    <w:rsid w:val="6F505649"/>
    <w:rsid w:val="6F7400F2"/>
    <w:rsid w:val="6FEF5D36"/>
    <w:rsid w:val="6FF15617"/>
    <w:rsid w:val="700A492A"/>
    <w:rsid w:val="704E2A69"/>
    <w:rsid w:val="709F32C5"/>
    <w:rsid w:val="71192D04"/>
    <w:rsid w:val="712D191E"/>
    <w:rsid w:val="713C6D66"/>
    <w:rsid w:val="71773ABC"/>
    <w:rsid w:val="719637E6"/>
    <w:rsid w:val="719B1193"/>
    <w:rsid w:val="71E52F59"/>
    <w:rsid w:val="72021D5D"/>
    <w:rsid w:val="720A6E02"/>
    <w:rsid w:val="72447D0E"/>
    <w:rsid w:val="725D177B"/>
    <w:rsid w:val="728F502A"/>
    <w:rsid w:val="72F96CB0"/>
    <w:rsid w:val="730209FD"/>
    <w:rsid w:val="73123FD7"/>
    <w:rsid w:val="731C0031"/>
    <w:rsid w:val="73902250"/>
    <w:rsid w:val="73FD752A"/>
    <w:rsid w:val="74277859"/>
    <w:rsid w:val="748A603A"/>
    <w:rsid w:val="74987AE6"/>
    <w:rsid w:val="74AC2B47"/>
    <w:rsid w:val="74CB335A"/>
    <w:rsid w:val="753C4E9B"/>
    <w:rsid w:val="75463985"/>
    <w:rsid w:val="754A7097"/>
    <w:rsid w:val="75546BA3"/>
    <w:rsid w:val="755C3532"/>
    <w:rsid w:val="75764AC6"/>
    <w:rsid w:val="75D9424A"/>
    <w:rsid w:val="761958C7"/>
    <w:rsid w:val="763B5B01"/>
    <w:rsid w:val="76606810"/>
    <w:rsid w:val="76852C06"/>
    <w:rsid w:val="769B7804"/>
    <w:rsid w:val="76E94996"/>
    <w:rsid w:val="76F123A0"/>
    <w:rsid w:val="76F26278"/>
    <w:rsid w:val="775C13BB"/>
    <w:rsid w:val="77757BC8"/>
    <w:rsid w:val="778B6351"/>
    <w:rsid w:val="779FCBF0"/>
    <w:rsid w:val="77B51620"/>
    <w:rsid w:val="77C35F4A"/>
    <w:rsid w:val="77C80759"/>
    <w:rsid w:val="77E85551"/>
    <w:rsid w:val="77F7E21B"/>
    <w:rsid w:val="781113A7"/>
    <w:rsid w:val="78224565"/>
    <w:rsid w:val="782C63A8"/>
    <w:rsid w:val="784309DA"/>
    <w:rsid w:val="78BC253A"/>
    <w:rsid w:val="78CA10FB"/>
    <w:rsid w:val="78D173A6"/>
    <w:rsid w:val="78D21481"/>
    <w:rsid w:val="78DC3F71"/>
    <w:rsid w:val="78EE0E61"/>
    <w:rsid w:val="79194A7E"/>
    <w:rsid w:val="791E6510"/>
    <w:rsid w:val="79382508"/>
    <w:rsid w:val="79782905"/>
    <w:rsid w:val="79E2F975"/>
    <w:rsid w:val="7A28257D"/>
    <w:rsid w:val="7A3525A4"/>
    <w:rsid w:val="7A450285"/>
    <w:rsid w:val="7A750BD8"/>
    <w:rsid w:val="7ABD1848"/>
    <w:rsid w:val="7AC92CDC"/>
    <w:rsid w:val="7AFE508C"/>
    <w:rsid w:val="7B096418"/>
    <w:rsid w:val="7B3A03BD"/>
    <w:rsid w:val="7B3BDBF2"/>
    <w:rsid w:val="7B51340D"/>
    <w:rsid w:val="7B6770D5"/>
    <w:rsid w:val="7BCF1E62"/>
    <w:rsid w:val="7BDD2EF3"/>
    <w:rsid w:val="7C086DD5"/>
    <w:rsid w:val="7C0C5FF4"/>
    <w:rsid w:val="7C10035C"/>
    <w:rsid w:val="7C417926"/>
    <w:rsid w:val="7C5B09E8"/>
    <w:rsid w:val="7C8D4A41"/>
    <w:rsid w:val="7CB92CB8"/>
    <w:rsid w:val="7CBC6FAC"/>
    <w:rsid w:val="7CD13904"/>
    <w:rsid w:val="7CDE2AA0"/>
    <w:rsid w:val="7CE3278B"/>
    <w:rsid w:val="7D10135B"/>
    <w:rsid w:val="7D162B61"/>
    <w:rsid w:val="7DA71A0B"/>
    <w:rsid w:val="7E5E42B5"/>
    <w:rsid w:val="7E892FF5"/>
    <w:rsid w:val="7EAB6311"/>
    <w:rsid w:val="7EB16AF4"/>
    <w:rsid w:val="7EB460B3"/>
    <w:rsid w:val="7EBDCBBF"/>
    <w:rsid w:val="7EC74CC1"/>
    <w:rsid w:val="7ECF746B"/>
    <w:rsid w:val="7ED26AAB"/>
    <w:rsid w:val="7EDB5E10"/>
    <w:rsid w:val="7EE50036"/>
    <w:rsid w:val="7EE6408F"/>
    <w:rsid w:val="7F3EB32E"/>
    <w:rsid w:val="7F492D2C"/>
    <w:rsid w:val="7F572FBC"/>
    <w:rsid w:val="7F5F3F3B"/>
    <w:rsid w:val="7F5FE5E8"/>
    <w:rsid w:val="7F7FC8C5"/>
    <w:rsid w:val="7FEB2083"/>
    <w:rsid w:val="7FF802FC"/>
    <w:rsid w:val="7FFDE9AB"/>
    <w:rsid w:val="7FFEB77D"/>
    <w:rsid w:val="7FFFADA2"/>
    <w:rsid w:val="9ED5792A"/>
    <w:rsid w:val="AEFFB886"/>
    <w:rsid w:val="BEFF7926"/>
    <w:rsid w:val="CF12F568"/>
    <w:rsid w:val="DEBF7731"/>
    <w:rsid w:val="E39F96A6"/>
    <w:rsid w:val="E6DFCF67"/>
    <w:rsid w:val="EBB76B61"/>
    <w:rsid w:val="F6D78CAF"/>
    <w:rsid w:val="F7DA3342"/>
    <w:rsid w:val="FBD266D3"/>
    <w:rsid w:val="FBFF7914"/>
    <w:rsid w:val="FDBFA637"/>
    <w:rsid w:val="FE6B70D4"/>
    <w:rsid w:val="FF2C1D8F"/>
    <w:rsid w:val="FF7BBB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5">
    <w:name w:val="heading 2"/>
    <w:basedOn w:val="1"/>
    <w:next w:val="1"/>
    <w:semiHidden/>
    <w:unhideWhenUsed/>
    <w:qFormat/>
    <w:uiPriority w:val="0"/>
    <w:pPr>
      <w:keepNext/>
      <w:keepLines/>
      <w:spacing w:line="560" w:lineRule="exact"/>
      <w:ind w:firstLine="200" w:firstLineChars="200"/>
      <w:outlineLvl w:val="1"/>
    </w:pPr>
    <w:rPr>
      <w:rFonts w:eastAsia="楷体_GB2312" w:asciiTheme="majorAscii" w:hAnsiTheme="majorAscii" w:cstheme="majorBidi"/>
      <w:bCs/>
      <w:sz w:val="32"/>
      <w:szCs w:val="32"/>
    </w:rPr>
  </w:style>
  <w:style w:type="paragraph" w:styleId="6">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7">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2">
    <w:name w:val="Body Text First Indent"/>
    <w:basedOn w:val="3"/>
    <w:next w:val="4"/>
    <w:qFormat/>
    <w:uiPriority w:val="99"/>
    <w:pPr>
      <w:ind w:firstLine="420" w:firstLineChars="100"/>
    </w:pPr>
  </w:style>
  <w:style w:type="paragraph" w:styleId="3">
    <w:name w:val="Body Text"/>
    <w:basedOn w:val="1"/>
    <w:qFormat/>
    <w:uiPriority w:val="0"/>
    <w:pPr>
      <w:spacing w:after="120"/>
    </w:pPr>
  </w:style>
  <w:style w:type="paragraph" w:styleId="4">
    <w:name w:val="Body Text Indent 3"/>
    <w:basedOn w:val="1"/>
    <w:qFormat/>
    <w:uiPriority w:val="0"/>
    <w:pPr>
      <w:spacing w:after="120"/>
      <w:ind w:left="420" w:leftChars="200"/>
    </w:pPr>
    <w:rPr>
      <w:sz w:val="16"/>
      <w:szCs w:val="16"/>
    </w:rPr>
  </w:style>
  <w:style w:type="paragraph" w:styleId="8">
    <w:name w:val="Body Text Indent"/>
    <w:basedOn w:val="1"/>
    <w:unhideWhenUsed/>
    <w:qFormat/>
    <w:uiPriority w:val="0"/>
    <w:pPr>
      <w:spacing w:beforeLines="0" w:afterLines="0"/>
      <w:ind w:firstLine="640" w:firstLineChars="200"/>
    </w:pPr>
    <w:rPr>
      <w:rFonts w:hint="default"/>
      <w:sz w:val="32"/>
    </w:rPr>
  </w:style>
  <w:style w:type="paragraph" w:styleId="9">
    <w:name w:val="footer"/>
    <w:basedOn w:val="1"/>
    <w:qFormat/>
    <w:uiPriority w:val="0"/>
    <w:pPr>
      <w:tabs>
        <w:tab w:val="center" w:pos="4153"/>
        <w:tab w:val="right" w:pos="8306"/>
      </w:tabs>
      <w:snapToGrid w:val="0"/>
      <w:jc w:val="left"/>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2">
    <w:name w:val="Body Text First Indent 2"/>
    <w:basedOn w:val="8"/>
    <w:unhideWhenUsed/>
    <w:qFormat/>
    <w:uiPriority w:val="99"/>
    <w:pPr>
      <w:spacing w:beforeLines="0" w:afterLines="0"/>
      <w:ind w:firstLine="420"/>
    </w:pPr>
    <w:rPr>
      <w:rFonts w:hint="default"/>
      <w:sz w:val="32"/>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qFormat/>
    <w:uiPriority w:val="0"/>
    <w:rPr>
      <w:b/>
    </w:rPr>
  </w:style>
  <w:style w:type="character" w:styleId="17">
    <w:name w:val="Hyperlink"/>
    <w:basedOn w:val="15"/>
    <w:qFormat/>
    <w:uiPriority w:val="0"/>
    <w:rPr>
      <w:color w:val="0000FF"/>
      <w:u w:val="single"/>
    </w:rPr>
  </w:style>
  <w:style w:type="paragraph" w:customStyle="1" w:styleId="18">
    <w:name w:val="标题1"/>
    <w:basedOn w:val="5"/>
    <w:qFormat/>
    <w:uiPriority w:val="0"/>
    <w:rPr>
      <w:rFonts w:eastAsia="黑体"/>
    </w:rPr>
  </w:style>
  <w:style w:type="paragraph" w:customStyle="1" w:styleId="19">
    <w:name w:val="首行缩进"/>
    <w:basedOn w:val="1"/>
    <w:qFormat/>
    <w:uiPriority w:val="0"/>
    <w:pPr>
      <w:ind w:firstLine="480" w:firstLineChars="200"/>
    </w:pPr>
    <w:rPr>
      <w:lang w:val="zh-C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5794</Words>
  <Characters>6188</Characters>
  <Lines>0</Lines>
  <Paragraphs>0</Paragraphs>
  <TotalTime>11</TotalTime>
  <ScaleCrop>false</ScaleCrop>
  <LinksUpToDate>false</LinksUpToDate>
  <CharactersWithSpaces>6284</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2024-02-23T10:03:00Z</dcterms:created>
  <dc:creator>1402836399</dc:creator>
  <cp:lastModifiedBy>Administrator</cp:lastModifiedBy>
  <cp:lastPrinted>2025-04-10T10:25:00Z</cp:lastPrinted>
  <dcterms:modified xsi:type="dcterms:W3CDTF">2025-09-19T00:32:56Z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2E59967559EAD85B47E0F5671AAD0169_43</vt:lpwstr>
  </property>
  <property fmtid="{D5CDD505-2E9C-101B-9397-08002B2CF9AE}" pid="4" name="KSOTemplateDocerSaveRecord">
    <vt:lpwstr>eyJoZGlkIjoiZTgzYjczOTQxZTJiODAzYjYyYzUzN2E0YmJhZTI4MWUifQ==</vt:lpwstr>
  </property>
</Properties>
</file>