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Ansi="黑体"/>
          <w:sz w:val="36"/>
          <w:szCs w:val="36"/>
        </w:rPr>
      </w:pPr>
      <w:r>
        <w:rPr>
          <w:rFonts w:hint="eastAsia" w:hAnsi="黑体"/>
          <w:sz w:val="36"/>
          <w:szCs w:val="36"/>
        </w:rPr>
        <w:t>附件1</w:t>
      </w:r>
    </w:p>
    <w:p>
      <w:pPr>
        <w:pStyle w:val="13"/>
        <w:jc w:val="center"/>
        <w:rPr>
          <w:rFonts w:ascii="Times New Roman" w:hAnsi="Times New Roman" w:cs="Times New Roman"/>
          <w:sz w:val="56"/>
          <w:szCs w:val="56"/>
        </w:rPr>
      </w:pPr>
    </w:p>
    <w:p>
      <w:pPr>
        <w:pStyle w:val="13"/>
        <w:jc w:val="center"/>
        <w:rPr>
          <w:rFonts w:ascii="Times New Roman" w:hAnsi="Times New Roman" w:cs="Times New Roman"/>
          <w:sz w:val="84"/>
          <w:szCs w:val="84"/>
        </w:rPr>
      </w:pPr>
    </w:p>
    <w:p>
      <w:pPr>
        <w:pStyle w:val="13"/>
        <w:jc w:val="center"/>
        <w:rPr>
          <w:rFonts w:ascii="Times New Roman" w:hAnsi="Times New Roman" w:cs="Times New Roman"/>
          <w:sz w:val="84"/>
          <w:szCs w:val="84"/>
        </w:rPr>
      </w:pPr>
    </w:p>
    <w:p>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3"/>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怀化市卫生健康委员会</w:t>
      </w:r>
    </w:p>
    <w:p>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pPr>
        <w:pStyle w:val="13"/>
        <w:jc w:val="center"/>
        <w:rPr>
          <w:rFonts w:ascii="Times New Roman" w:hAnsi="Times New Roman" w:eastAsia="方正小标宋_GBK" w:cs="Times New Roman"/>
          <w:sz w:val="56"/>
          <w:szCs w:val="56"/>
        </w:rPr>
      </w:pPr>
    </w:p>
    <w:p>
      <w:pPr>
        <w:pStyle w:val="13"/>
        <w:jc w:val="center"/>
        <w:rPr>
          <w:rFonts w:ascii="Times New Roman" w:hAnsi="Times New Roman" w:cs="Times New Roman"/>
          <w:sz w:val="56"/>
          <w:szCs w:val="56"/>
        </w:rPr>
      </w:pPr>
    </w:p>
    <w:p>
      <w:pPr>
        <w:pStyle w:val="13"/>
        <w:rPr>
          <w:rFonts w:ascii="Times New Roman" w:hAnsi="Times New Roman" w:cs="Times New Roman"/>
          <w:sz w:val="56"/>
          <w:szCs w:val="56"/>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3"/>
        <w:spacing w:line="600" w:lineRule="exact"/>
        <w:jc w:val="center"/>
        <w:rPr>
          <w:rFonts w:ascii="Times New Roman" w:hAnsi="Times New Roman" w:cs="Times New Roman"/>
          <w:b/>
          <w:sz w:val="36"/>
          <w:szCs w:val="28"/>
        </w:rPr>
      </w:pPr>
    </w:p>
    <w:p>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怀化市卫生健康委员会</w:t>
      </w:r>
      <w:r>
        <w:rPr>
          <w:rFonts w:ascii="Times New Roman" w:hAnsi="Times New Roman" w:cs="Times New Roman"/>
          <w:bCs/>
          <w:sz w:val="32"/>
          <w:szCs w:val="32"/>
        </w:rPr>
        <w:t>概况</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lang w:eastAsia="zh-CN"/>
        </w:rPr>
        <w:t>九、国有资本经营预算收入支出决算情况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3"/>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p>
    <w:p>
      <w:pPr>
        <w:pStyle w:val="13"/>
        <w:spacing w:line="360" w:lineRule="auto"/>
        <w:jc w:val="center"/>
        <w:rPr>
          <w:rFonts w:ascii="Times New Roman" w:hAnsi="Times New Roman" w:eastAsia="方正小标宋_GBK" w:cs="Times New Roman"/>
          <w:sz w:val="52"/>
          <w:szCs w:val="52"/>
        </w:rPr>
      </w:pPr>
    </w:p>
    <w:p>
      <w:pPr>
        <w:pStyle w:val="13"/>
        <w:spacing w:line="360" w:lineRule="auto"/>
        <w:jc w:val="center"/>
        <w:rPr>
          <w:rFonts w:ascii="Times New Roman" w:hAnsi="Times New Roman" w:eastAsia="方正小标宋_GBK" w:cs="Times New Roman"/>
          <w:sz w:val="52"/>
          <w:szCs w:val="52"/>
        </w:rPr>
      </w:pPr>
    </w:p>
    <w:p>
      <w:pPr>
        <w:pStyle w:val="13"/>
        <w:spacing w:line="360" w:lineRule="auto"/>
        <w:jc w:val="center"/>
        <w:rPr>
          <w:rFonts w:ascii="Times New Roman" w:hAnsi="Times New Roman" w:eastAsia="方正小标宋_GBK" w:cs="Times New Roman"/>
          <w:sz w:val="52"/>
          <w:szCs w:val="52"/>
        </w:rPr>
      </w:pPr>
    </w:p>
    <w:p>
      <w:pPr>
        <w:pStyle w:val="13"/>
        <w:spacing w:line="360" w:lineRule="auto"/>
        <w:jc w:val="center"/>
        <w:rPr>
          <w:rFonts w:ascii="Times New Roman" w:hAnsi="Times New Roman" w:eastAsia="方正小标宋_GBK" w:cs="Times New Roman"/>
          <w:sz w:val="52"/>
          <w:szCs w:val="5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怀化市卫生健康委员会</w:t>
      </w:r>
      <w:r>
        <w:rPr>
          <w:rFonts w:ascii="Times New Roman" w:hAnsi="Times New Roman" w:eastAsia="方正小标宋_GBK" w:cs="Times New Roman"/>
          <w:sz w:val="52"/>
          <w:szCs w:val="52"/>
        </w:rPr>
        <w:t>概况</w:t>
      </w:r>
    </w:p>
    <w:p>
      <w:pPr>
        <w:pStyle w:val="4"/>
        <w:ind w:left="0" w:leftChars="0" w:firstLine="0" w:firstLineChars="0"/>
        <w:rPr>
          <w:rFonts w:ascii="Times New Roman" w:hAnsi="Times New Roman" w:cs="Times New Roman"/>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hint="eastAsia" w:ascii="Times New Roman" w:hAnsi="Times New Roman" w:eastAsia="黑体" w:cs="Times New Roman"/>
          <w:sz w:val="32"/>
          <w:szCs w:val="32"/>
        </w:rPr>
      </w:pPr>
    </w:p>
    <w:p>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widowControl/>
        <w:spacing w:line="600" w:lineRule="exact"/>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sz w:val="32"/>
          <w:szCs w:val="32"/>
        </w:rPr>
        <w:t>（一）</w:t>
      </w:r>
      <w:r>
        <w:rPr>
          <w:rFonts w:hint="default" w:ascii="Times New Roman" w:hAnsi="Times New Roman" w:eastAsia="仿宋_GB2312" w:cs="Times New Roman"/>
          <w:bCs/>
          <w:kern w:val="0"/>
          <w:sz w:val="32"/>
          <w:szCs w:val="32"/>
          <w:lang w:eastAsia="zh-CN"/>
        </w:rPr>
        <w:t>贯彻执行国民健康政策及国家卫生健康法律法规，贯彻执行湖南省卫生健康事业发展地方性法规和规章，组织实施全市卫生健康政策、规划、地方标准和技术规范。统筹规划全市卫生健康服务资源配置，指导区域卫生健康规划的编制和实施。制定并组织实施推进卫生健康基本公共服务均等化、普惠化、便捷化和公共资源向基层延伸等政策措施。</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（二）</w:t>
      </w:r>
      <w:r>
        <w:rPr>
          <w:rFonts w:hint="default" w:ascii="Times New Roman" w:hAnsi="Times New Roman" w:eastAsia="仿宋_GB2312" w:cs="Times New Roman"/>
          <w:bCs/>
          <w:kern w:val="0"/>
          <w:sz w:val="32"/>
          <w:szCs w:val="32"/>
          <w:lang w:eastAsia="zh-CN"/>
        </w:rPr>
        <w:t>协调推进全市深化医药卫生体制改革，研究提出全市深化医药卫生体制改革政策与措施的建议。组织深化公立医院综合改革，推进管办分离，健全现代医院管理制度，制定并组织实施推动卫生健康公共服务提供主体多元化、提供方式多样化的政策措施，提出医疗服务和药品价格政策的建议。</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（三）</w:t>
      </w:r>
      <w:r>
        <w:rPr>
          <w:rFonts w:hint="default" w:ascii="Times New Roman" w:hAnsi="Times New Roman" w:eastAsia="仿宋_GB2312" w:cs="Times New Roman"/>
          <w:bCs/>
          <w:kern w:val="0"/>
          <w:sz w:val="32"/>
          <w:szCs w:val="32"/>
          <w:lang w:eastAsia="zh-CN"/>
        </w:rPr>
        <w:t>制定并组织落实全市疾病预防控制规划、免疫规划以及严重危害人民健康公共卫生问题的干预措施。负责卫生应急工作，组织指导突发公共卫生事件的预防控制和各类突发公共事件的医疗卫生救援。承担传染病疫情信息发布工作。</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（四）</w:t>
      </w:r>
      <w:r>
        <w:rPr>
          <w:rFonts w:hint="default" w:ascii="Times New Roman" w:hAnsi="Times New Roman" w:eastAsia="仿宋_GB2312" w:cs="Times New Roman"/>
          <w:bCs/>
          <w:kern w:val="0"/>
          <w:sz w:val="32"/>
          <w:szCs w:val="32"/>
          <w:lang w:eastAsia="zh-CN"/>
        </w:rPr>
        <w:t>组织拟订并协调落实应对人口老龄化政策措施，推进老年健康服务体系建设和医养结合工作。</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（五）</w:t>
      </w:r>
      <w:r>
        <w:rPr>
          <w:rFonts w:hint="default" w:ascii="Times New Roman" w:hAnsi="Times New Roman" w:eastAsia="仿宋_GB2312" w:cs="Times New Roman"/>
          <w:bCs/>
          <w:kern w:val="0"/>
          <w:sz w:val="32"/>
          <w:szCs w:val="32"/>
          <w:lang w:eastAsia="zh-CN"/>
        </w:rPr>
        <w:t>贯彻执行国家药物政策和国家基本药物制度，开展药品使用监测、临床综合评价和短缺药品预警。组织开展食品安全风险监测评估，贯彻执行食品安全标准，负责食源性疾病及与食品安全事故有关的流行病学调查。</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（六）</w:t>
      </w:r>
      <w:r>
        <w:rPr>
          <w:rFonts w:hint="default" w:ascii="Times New Roman" w:hAnsi="Times New Roman" w:eastAsia="仿宋_GB2312" w:cs="Times New Roman"/>
          <w:bCs/>
          <w:kern w:val="0"/>
          <w:sz w:val="32"/>
          <w:szCs w:val="32"/>
          <w:lang w:eastAsia="zh-CN"/>
        </w:rPr>
        <w:t>负责职责范围内的职业卫生、放射卫生、环境卫生、学校卫生、公共场所卫生、饮用水卫生等公共卫生的监督管理。负责传染病防治监督，健全卫生健康综合监督体系。</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（七）</w:t>
      </w:r>
      <w:r>
        <w:rPr>
          <w:rFonts w:hint="default" w:ascii="Times New Roman" w:hAnsi="Times New Roman" w:eastAsia="仿宋_GB2312" w:cs="Times New Roman"/>
          <w:bCs/>
          <w:kern w:val="0"/>
          <w:sz w:val="32"/>
          <w:szCs w:val="32"/>
          <w:lang w:eastAsia="zh-CN"/>
        </w:rPr>
        <w:t>制定医疗机构、医疗服务行业管理办法并监督实施，建立医疗服务评价和监督管理体系。会同有关部门实施卫生健康专业技术人员资格标准。制定并组织实施医疗服务规范、标准和卫生健康专业技术人员执业规则、服务规范。</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（八）</w:t>
      </w:r>
      <w:r>
        <w:rPr>
          <w:rFonts w:hint="default" w:ascii="Times New Roman" w:hAnsi="Times New Roman" w:eastAsia="仿宋_GB2312" w:cs="Times New Roman"/>
          <w:bCs/>
          <w:kern w:val="0"/>
          <w:sz w:val="32"/>
          <w:szCs w:val="32"/>
          <w:lang w:eastAsia="zh-CN"/>
        </w:rPr>
        <w:t>负责计划生育管理和服务工作，开展人口监测预警，研究提出人口与家庭发展相关政策建议，完善计划生育政策。</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（九）</w:t>
      </w:r>
      <w:r>
        <w:rPr>
          <w:rFonts w:hint="default" w:ascii="Times New Roman" w:hAnsi="Times New Roman" w:eastAsia="仿宋_GB2312" w:cs="Times New Roman"/>
          <w:bCs/>
          <w:kern w:val="0"/>
          <w:sz w:val="32"/>
          <w:szCs w:val="32"/>
          <w:lang w:eastAsia="zh-CN"/>
        </w:rPr>
        <w:t>指导全市卫生健康工作，指导基层医疗卫生、妇幼健康服务体系建设，加强全科医生队伍建设。推进卫生健康科技创新发展。</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（十）</w:t>
      </w:r>
      <w:r>
        <w:rPr>
          <w:rFonts w:hint="default" w:ascii="Times New Roman" w:hAnsi="Times New Roman" w:eastAsia="仿宋_GB2312" w:cs="Times New Roman"/>
          <w:bCs/>
          <w:kern w:val="0"/>
          <w:sz w:val="32"/>
          <w:szCs w:val="32"/>
          <w:lang w:eastAsia="zh-CN"/>
        </w:rPr>
        <w:t>负责全市健康教育、健康促进和卫生健康信息化建设等工作。组织实施卫生国际交流合作与援外工作，开展与港澳台的交流与合作。</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（十一）</w:t>
      </w:r>
      <w:r>
        <w:rPr>
          <w:rFonts w:hint="default" w:ascii="Times New Roman" w:hAnsi="Times New Roman" w:eastAsia="仿宋_GB2312" w:cs="Times New Roman"/>
          <w:bCs/>
          <w:kern w:val="0"/>
          <w:sz w:val="32"/>
          <w:szCs w:val="32"/>
          <w:lang w:eastAsia="zh-CN"/>
        </w:rPr>
        <w:t>负责全市保健对象的医疗保健工作，负责重要来宾、重要会议与重大活动的医疗卫生保障工作,指导全市保健工作。</w:t>
      </w:r>
    </w:p>
    <w:p>
      <w:pPr>
        <w:widowControl/>
        <w:tabs>
          <w:tab w:val="left" w:pos="623"/>
        </w:tabs>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（十二）</w:t>
      </w:r>
      <w:r>
        <w:rPr>
          <w:rFonts w:hint="default" w:ascii="Times New Roman" w:hAnsi="Times New Roman" w:eastAsia="仿宋_GB2312" w:cs="Times New Roman"/>
          <w:bCs/>
          <w:kern w:val="0"/>
          <w:sz w:val="32"/>
          <w:szCs w:val="32"/>
          <w:lang w:eastAsia="zh-CN"/>
        </w:rPr>
        <w:t>指导市计划生育协会的业务工作。</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val="en-US" w:eastAsia="zh-CN"/>
        </w:rPr>
        <w:t>（十三）</w:t>
      </w:r>
      <w:r>
        <w:rPr>
          <w:rFonts w:hint="default" w:ascii="Times New Roman" w:hAnsi="Times New Roman" w:eastAsia="仿宋_GB2312" w:cs="Times New Roman"/>
          <w:bCs/>
          <w:kern w:val="0"/>
          <w:sz w:val="32"/>
          <w:szCs w:val="32"/>
          <w:lang w:eastAsia="zh-CN"/>
        </w:rPr>
        <w:t>完成市委、市人民政府交办的其他任务。</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val="en-US" w:eastAsia="zh-CN"/>
        </w:rPr>
        <w:t>（十四）</w:t>
      </w:r>
      <w:r>
        <w:rPr>
          <w:rFonts w:hint="default" w:ascii="Times New Roman" w:hAnsi="Times New Roman" w:eastAsia="仿宋_GB2312" w:cs="Times New Roman"/>
          <w:bCs/>
          <w:kern w:val="0"/>
          <w:sz w:val="32"/>
          <w:szCs w:val="32"/>
          <w:lang w:eastAsia="zh-CN"/>
        </w:rPr>
        <w:t>职能转变。市卫生健康委员会应当牢固树立大卫生、大健康理念，推动实施健康怀化战略，以改革创新为动力，以促健康、转模式、强基层、重保障为着力点，把以治病为中心转变到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pPr>
        <w:widowControl/>
        <w:spacing w:line="600" w:lineRule="exact"/>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val="en-US" w:eastAsia="zh-CN"/>
        </w:rPr>
        <w:t>（十五）</w:t>
      </w:r>
      <w:r>
        <w:rPr>
          <w:rFonts w:hint="default" w:ascii="Times New Roman" w:hAnsi="Times New Roman" w:eastAsia="仿宋_GB2312" w:cs="Times New Roman"/>
          <w:bCs/>
          <w:kern w:val="0"/>
          <w:sz w:val="32"/>
          <w:szCs w:val="32"/>
          <w:lang w:eastAsia="zh-CN"/>
        </w:rPr>
        <w:t>有关职责分工</w:t>
      </w:r>
    </w:p>
    <w:p>
      <w:pPr>
        <w:widowControl/>
        <w:spacing w:line="600" w:lineRule="exact"/>
        <w:ind w:firstLine="640" w:firstLineChars="200"/>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一是</w:t>
      </w:r>
      <w:r>
        <w:rPr>
          <w:rFonts w:hint="default" w:ascii="Times New Roman" w:hAnsi="Times New Roman" w:eastAsia="仿宋_GB2312" w:cs="Times New Roman"/>
          <w:bCs/>
          <w:kern w:val="0"/>
          <w:sz w:val="32"/>
          <w:szCs w:val="32"/>
          <w:lang w:eastAsia="zh-CN"/>
        </w:rPr>
        <w:t>与市发展和改革委的有关职责分工。市卫生健康委负责开展人口监测预警工作，贯彻生育政策，研究提出与生育相关的人口数量、素质、结构、分布方面的政策建议，促进生育政策和相关经济社会政策配套衔接，参与制定人口发展规划和政策，落实国家、省、市人口发展规划中的有关任务。市发展和改革委负责组织监测和评估人口变动情况及趋势影响，建立人口预测预报制度，开展重大决策人口影响评估，完善重大人口政策咨询机制，研究提出全市人口发展战略，拟订人口发展规划和人口政策，研究提出人口与经济、社会、资源、环境协调可持续发展，以及统筹促进人口长期均衡发展的政策建议。</w:t>
      </w:r>
    </w:p>
    <w:p>
      <w:pPr>
        <w:widowControl/>
        <w:spacing w:line="600" w:lineRule="exact"/>
        <w:ind w:firstLine="640" w:firstLineChars="200"/>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二是</w:t>
      </w:r>
      <w:r>
        <w:rPr>
          <w:rFonts w:hint="default" w:ascii="Times New Roman" w:hAnsi="Times New Roman" w:eastAsia="仿宋_GB2312" w:cs="Times New Roman"/>
          <w:bCs/>
          <w:kern w:val="0"/>
          <w:sz w:val="32"/>
          <w:szCs w:val="32"/>
          <w:lang w:eastAsia="zh-CN"/>
        </w:rPr>
        <w:t>与市民政局的有关职责分工。市卫生健康委员会负责拟订应对人口老龄化、医养结合政策措施，综合协调、督促指导、组织推进老龄事业发展，承担老年疾病防治、老年人医疗照护、老年人心理健康与关怀服务等老年健康工作。市民政局负责统筹推进、督促指导、监督管理养老服务工作，负责牵头落实养老服务地方性法规，拟定养老服务体系建设规划、政策、标准并组织实施，承担老年人福利和特殊困难老年人救助工作。</w:t>
      </w:r>
    </w:p>
    <w:p>
      <w:pPr>
        <w:widowControl/>
        <w:spacing w:line="600" w:lineRule="exact"/>
        <w:ind w:firstLine="640" w:firstLineChars="200"/>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三是</w:t>
      </w:r>
      <w:r>
        <w:rPr>
          <w:rFonts w:hint="default" w:ascii="Times New Roman" w:hAnsi="Times New Roman" w:eastAsia="仿宋_GB2312" w:cs="Times New Roman"/>
          <w:bCs/>
          <w:kern w:val="0"/>
          <w:sz w:val="32"/>
          <w:szCs w:val="32"/>
          <w:lang w:eastAsia="zh-CN"/>
        </w:rPr>
        <w:t>与市市场监督管理局的有关职责分工。市卫生健康委负责食品安全风险监测工作，会同市市场监督管理局等部门制定、实施食品安全风险监测计划。市卫生健康委对通过食品安全风险监测或者接到举报发现食品可能存在安全隐患的，应当及时将相关信息通报市市场监督管理局，立即采取措施。市市场监督管理局在监督管理工作中发现需要进行食品安全风险评估的，应当及时向市卫生健康委提出建议。市药品监督管理局会同市卫生健康委建立重大药品不良反应和医疗器械不良事件相互通报机制和联合处置机制。</w:t>
      </w:r>
    </w:p>
    <w:p>
      <w:pPr>
        <w:widowControl/>
        <w:spacing w:line="600" w:lineRule="exact"/>
        <w:ind w:firstLine="640" w:firstLineChars="200"/>
        <w:rPr>
          <w:rFonts w:hint="eastAsia" w:ascii="Times New Roman" w:hAnsi="Times New Roman" w:eastAsia="黑体" w:cs="Times New Roman"/>
          <w:bCs/>
          <w:kern w:val="0"/>
          <w:sz w:val="32"/>
          <w:szCs w:val="32"/>
          <w:lang w:eastAsia="zh-CN"/>
        </w:rPr>
      </w:pPr>
      <w:r>
        <w:rPr>
          <w:rFonts w:hint="eastAsia" w:ascii="Times New Roman" w:hAnsi="Times New Roman" w:eastAsia="仿宋_GB2312" w:cs="Times New Roman"/>
          <w:bCs/>
          <w:kern w:val="0"/>
          <w:sz w:val="32"/>
          <w:szCs w:val="32"/>
          <w:lang w:eastAsia="zh-CN"/>
        </w:rPr>
        <w:t>四是</w:t>
      </w:r>
      <w:r>
        <w:rPr>
          <w:rFonts w:hint="default" w:ascii="Times New Roman" w:hAnsi="Times New Roman" w:eastAsia="仿宋_GB2312" w:cs="Times New Roman"/>
          <w:bCs/>
          <w:kern w:val="0"/>
          <w:sz w:val="32"/>
          <w:szCs w:val="32"/>
          <w:lang w:eastAsia="zh-CN"/>
        </w:rPr>
        <w:t>与市医疗保障局的有关职责分工。市卫生健康委、市医疗保障局等部门在医疗、医保、医药等方面加强制度、政策和信息衔接，建立沟通协商机制，协同推进改革，提高医疗资源使用效率和医疗保障水平</w:t>
      </w:r>
      <w:r>
        <w:rPr>
          <w:rFonts w:hint="eastAsia" w:ascii="Times New Roman" w:hAnsi="Times New Roman" w:eastAsia="仿宋_GB2312" w:cs="Times New Roman"/>
          <w:bCs/>
          <w:kern w:val="0"/>
          <w:sz w:val="32"/>
          <w:szCs w:val="32"/>
          <w:lang w:eastAsia="zh-CN"/>
        </w:rPr>
        <w:t>。</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pPr>
        <w:widowControl/>
        <w:spacing w:line="600" w:lineRule="exact"/>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怀化市卫生健康委员会作为一级部门预算单位，</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lang w:eastAsia="zh-CN"/>
        </w:rPr>
        <w:t>办公室（安全监督管理科）、人事科（国际合作科、退休人员管理服务科）、规划发展与信息化科、财务科、政策法规和行政审批服务科、体制改革科（医改办公室）、疾病预防控制和职业健康科（卫生应急办公室、突发公共卫生事件应急指挥中心）、医政和医疗应急科、基层卫生健康科、中医药管理科（怀化市中医药管理局）、科技教育科、综合监督科（食品安全标准与监测科）、药物政策与基本药物制度科、妇幼健康科、人口监测与家庭发展科、宣传科、爱国卫生科，另设机关党委。</w:t>
      </w:r>
    </w:p>
    <w:p>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怀化市疾病预防控制中心作为怀化市卫生健康委员会的二级预算单位，内设机构包括：办公室、财务科、行政后勤科、人事科、流行病预防控制科、皮肤病性病防治科、地方病慢病控制科、卫生监测科、结核病防治科、职业病防治科、检验科、健康教育科、生物制品科。</w:t>
      </w:r>
    </w:p>
    <w:p>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怀化市卫生计生综合监督执法局作为怀化市卫生健康委员会的二级预算单位，内设机构包括：</w:t>
      </w:r>
      <w:r>
        <w:rPr>
          <w:rFonts w:hint="eastAsia" w:ascii="Times New Roman" w:hAnsi="Times New Roman" w:eastAsia="仿宋_GB2312" w:cs="Times New Roman"/>
          <w:bCs/>
          <w:kern w:val="0"/>
          <w:sz w:val="32"/>
          <w:szCs w:val="32"/>
          <w:lang w:val="en-US" w:eastAsia="zh-CN"/>
        </w:rPr>
        <w:t>办公室、人事科、稽查科、受理发证科、公共场所卫生监督科、传染病防治与学校卫生监督科、食品安全科、职业与放射卫生监督科、医疗机构执业监督科。</w:t>
      </w:r>
    </w:p>
    <w:p>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eastAsia="zh-CN"/>
        </w:rPr>
        <w:t>怀化市中心血站作为怀化市卫生健康委员会的二级预算单位，内设机构包括：办公室、人力资源部、财务部、后勤保障部、业务综合部、献血服务一部、献血服务二部、血液制备部、血液供应部、血液检验部、质量管理部。</w:t>
      </w:r>
    </w:p>
    <w:p>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怀化市卫生健康委员会</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eastAsia="zh-CN"/>
        </w:rPr>
        <w:t>怀化市卫生健康委员会</w:t>
      </w:r>
      <w:r>
        <w:rPr>
          <w:rFonts w:ascii="Times New Roman" w:hAnsi="Times New Roman" w:eastAsia="仿宋_GB2312" w:cs="Times New Roman"/>
          <w:bCs/>
          <w:kern w:val="0"/>
          <w:sz w:val="32"/>
          <w:szCs w:val="32"/>
        </w:rPr>
        <w:t>本级以</w:t>
      </w:r>
      <w:r>
        <w:rPr>
          <w:rFonts w:hint="eastAsia" w:ascii="Times New Roman" w:hAnsi="Times New Roman" w:eastAsia="仿宋_GB2312" w:cs="Times New Roman"/>
          <w:bCs/>
          <w:kern w:val="0"/>
          <w:sz w:val="32"/>
          <w:szCs w:val="32"/>
          <w:lang w:val="en-US" w:eastAsia="zh-CN"/>
        </w:rPr>
        <w:t>及怀化市疾病预防控制中心、怀化市卫生计生综合监督执法局、怀化市中心血站等3个委二级机构。</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13"/>
        <w:jc w:val="center"/>
        <w:rPr>
          <w:rFonts w:ascii="Times New Roman" w:hAnsi="Times New Roman" w:eastAsia="方正小标宋_GBK" w:cs="Times New Roman"/>
          <w:sz w:val="52"/>
          <w:szCs w:val="52"/>
        </w:rPr>
      </w:pPr>
    </w:p>
    <w:p>
      <w:pPr>
        <w:pStyle w:val="13"/>
        <w:jc w:val="center"/>
        <w:rPr>
          <w:rFonts w:ascii="Times New Roman" w:hAnsi="Times New Roman" w:eastAsia="方正小标宋_GBK" w:cs="Times New Roman"/>
          <w:sz w:val="52"/>
          <w:szCs w:val="52"/>
        </w:rPr>
      </w:pPr>
    </w:p>
    <w:p>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pStyle w:val="13"/>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（详见附件一）</w:t>
      </w:r>
    </w:p>
    <w:p>
      <w:pPr>
        <w:pStyle w:val="13"/>
        <w:rPr>
          <w:rFonts w:ascii="Times New Roman" w:hAnsi="Times New Roman" w:cs="Times New Roman"/>
          <w:sz w:val="72"/>
          <w:szCs w:val="72"/>
        </w:rPr>
      </w:pPr>
    </w:p>
    <w:p>
      <w:pPr>
        <w:pStyle w:val="13"/>
        <w:rPr>
          <w:rFonts w:ascii="Times New Roman" w:hAnsi="Times New Roman" w:cs="Times New Roman"/>
          <w:sz w:val="72"/>
          <w:szCs w:val="72"/>
        </w:rPr>
      </w:pPr>
    </w:p>
    <w:p>
      <w:pPr>
        <w:pStyle w:val="13"/>
        <w:tabs>
          <w:tab w:val="left" w:pos="3224"/>
        </w:tabs>
        <w:jc w:val="left"/>
        <w:rPr>
          <w:rFonts w:hint="eastAsia" w:ascii="Times New Roman" w:hAnsi="Times New Roman" w:cs="Times New Roman"/>
          <w:sz w:val="72"/>
          <w:szCs w:val="72"/>
          <w:lang w:eastAsia="zh-CN"/>
        </w:rPr>
      </w:pPr>
      <w:r>
        <w:rPr>
          <w:rFonts w:hint="eastAsia" w:ascii="Times New Roman" w:hAnsi="Times New Roman" w:cs="Times New Roman"/>
          <w:sz w:val="72"/>
          <w:szCs w:val="72"/>
          <w:lang w:eastAsia="zh-CN"/>
        </w:rPr>
        <w:tab/>
      </w: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tabs>
          <w:tab w:val="left" w:pos="3224"/>
        </w:tabs>
        <w:jc w:val="left"/>
        <w:rPr>
          <w:rFonts w:hint="eastAsia" w:ascii="Times New Roman" w:hAnsi="Times New Roman" w:cs="Times New Roman"/>
          <w:sz w:val="72"/>
          <w:szCs w:val="72"/>
          <w:lang w:eastAsia="zh-CN"/>
        </w:rPr>
      </w:pPr>
    </w:p>
    <w:p>
      <w:pPr>
        <w:pStyle w:val="13"/>
        <w:jc w:val="cente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15743.43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3148.83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16.67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市卫健委2024年省级中医药传承创新发展、传染病防控等省级专项资金同比减少224.97万元，市级病媒生物防制专项资金因拨付进度原因同比减少100.58万元；2.从2020年起，全市新冠防控经费纳入市疾控中心账务管理，2024年市本级新冠防控经费主要是用于结算2022年疫情防控开支，同比减少3582.76万元。</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15743.43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13567.05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86.18</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2061.1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13.09</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115.28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0.73</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15743.43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7049.8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44.78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8693.63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55.22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13567.05</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2833.05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17.27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市卫健委2024年省级中医药传承创新发展、传染病防控等省级专项资金同比减少224.97万元，市级病媒生物防制专项资金因拨付进度原因同比减少100.58万元；2.从2020年起，全市新冠防控经费纳入市疾控中心账务管理，2024年市本级新冠防控经费主要是用于结算2022年疫情防控开支，同比减少3582.76万元。</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13567.05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86.18</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2833.05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17.27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市卫健委2024年省级中医药传承创新发展、传染病防控等省级专项资金同比减少224.97万元，市级病媒生物防制专项资金因拨付进度原因同比减少100.58万元；2.从2020年起，全市新冠防控经费纳入市疾控中心账务管理，2024年市本级新冠防控经费主要是用于结算2022年疫情防控开支，同比减少3582.76万元。</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13567.05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37.15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0.27</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19.06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社会保障和就业（类）支出</w:t>
      </w:r>
      <w:r>
        <w:rPr>
          <w:rFonts w:hint="eastAsia" w:ascii="Times New Roman" w:hAnsi="Times New Roman" w:eastAsia="仿宋_GB2312" w:cs="Times New Roman"/>
          <w:sz w:val="32"/>
          <w:szCs w:val="32"/>
          <w:lang w:val="en-US" w:eastAsia="zh-CN"/>
        </w:rPr>
        <w:t>277.88万元，占2.06%；卫生健康（类）支出13226.97万元，占97.49%；住房保障（类）支出1.36万 ，占0.01%；灾害防治及应急管理（类）支出4.63万元，占0.03%。</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7050.77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13567.05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192.42</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eastAsia="zh-CN"/>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其他组织事务支出</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33.37</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年初预算不包括市卫健委</w:t>
      </w:r>
      <w:r>
        <w:rPr>
          <w:rFonts w:hint="eastAsia" w:ascii="Times New Roman" w:hAnsi="Times New Roman" w:eastAsia="仿宋_GB2312" w:cs="Times New Roman"/>
          <w:sz w:val="32"/>
          <w:szCs w:val="32"/>
          <w:lang w:val="en-US" w:eastAsia="zh-CN"/>
        </w:rPr>
        <w:t>2024年人力资源开展专项资金26.37万元和市疾控中心引进人才2023-2024年补贴7万元。</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lang w:eastAsia="zh-CN"/>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其他一般公共服务支出</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3.78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年初预算不包括</w:t>
      </w:r>
      <w:r>
        <w:rPr>
          <w:rFonts w:hint="eastAsia" w:ascii="Times New Roman" w:hAnsi="Times New Roman" w:eastAsia="仿宋_GB2312" w:cs="Times New Roman"/>
          <w:sz w:val="32"/>
          <w:szCs w:val="32"/>
          <w:lang w:val="en-US" w:eastAsia="zh-CN"/>
        </w:rPr>
        <w:t>2024年市卫健委民办党建工作经费。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3.教育支出（类）其他教育支出（款）其他教育支出（项）。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19.06</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年初预算不包括追加的</w:t>
      </w:r>
      <w:r>
        <w:rPr>
          <w:rFonts w:hint="eastAsia" w:ascii="Times New Roman" w:hAnsi="Times New Roman" w:eastAsia="仿宋_GB2312" w:cs="Times New Roman"/>
          <w:sz w:val="32"/>
          <w:szCs w:val="32"/>
          <w:lang w:val="en-US" w:eastAsia="zh-CN"/>
        </w:rPr>
        <w:t>2024年市疾控中心新生入学结核病筛查经费。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4.社会保障和就业支出（类）行政事业单位养老支出（款）机关事业单位基本养老保险支出（项）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150.4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150.4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完成年初预算数的</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一致。</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5.社会保障和就业支出（类）行政事业单位养老支出（款）其他行政事业单位养老支出（项）。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127.17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121.32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，完成年初预算数的</w:t>
      </w:r>
      <w:r>
        <w:rPr>
          <w:rFonts w:hint="eastAsia" w:ascii="Times New Roman" w:hAnsi="Times New Roman" w:eastAsia="仿宋_GB2312" w:cs="Times New Roman"/>
          <w:sz w:val="32"/>
          <w:szCs w:val="32"/>
          <w:lang w:val="en-US" w:eastAsia="zh-CN"/>
        </w:rPr>
        <w:t>95.4%，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按实际发放离退休人员春节一次性补助。</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6.社会保障和就业支出（类）其他社会保障和就业支出（款）其他社会保障和就业支出（项）。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6.16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年初预算不包括追加的生物安全管理工作经费</w:t>
      </w:r>
      <w:r>
        <w:rPr>
          <w:rFonts w:hint="eastAsia" w:ascii="Times New Roman" w:hAnsi="Times New Roman" w:eastAsia="仿宋_GB2312" w:cs="Times New Roman"/>
          <w:sz w:val="32"/>
          <w:szCs w:val="32"/>
          <w:lang w:val="en-US" w:eastAsia="zh-CN"/>
        </w:rPr>
        <w:t>1.16万元和全民健康网络平台测控经费5万元</w:t>
      </w:r>
      <w:r>
        <w:rPr>
          <w:rFonts w:hint="eastAsia" w:ascii="Times New Roman" w:hAnsi="Times New Roman" w:eastAsia="仿宋_GB2312" w:cs="Times New Roman"/>
          <w:sz w:val="32"/>
          <w:szCs w:val="32"/>
          <w:lang w:eastAsia="zh-CN"/>
        </w:rPr>
        <w:t>。</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7.卫生健康支出（类）卫生健康管理事务支出（款）行政运行支出（项）。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1532.63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1494.07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，完成年初预算数的</w:t>
      </w:r>
      <w:r>
        <w:rPr>
          <w:rFonts w:hint="eastAsia" w:ascii="Times New Roman" w:hAnsi="Times New Roman" w:eastAsia="仿宋_GB2312" w:cs="Times New Roman"/>
          <w:sz w:val="32"/>
          <w:szCs w:val="32"/>
          <w:lang w:val="en-US" w:eastAsia="zh-CN"/>
        </w:rPr>
        <w:t>97.48%，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部分年初预算中的资金指标额度未解冻。</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8.卫生健康支出（类）卫生健康管理事务支出（款）其他卫生健康管理事务支出（项）。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559.85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343.92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，完成年初预算数的</w:t>
      </w:r>
      <w:r>
        <w:rPr>
          <w:rFonts w:hint="eastAsia" w:ascii="Times New Roman" w:hAnsi="Times New Roman" w:eastAsia="仿宋_GB2312" w:cs="Times New Roman"/>
          <w:sz w:val="32"/>
          <w:szCs w:val="32"/>
          <w:lang w:val="en-US" w:eastAsia="zh-CN"/>
        </w:rPr>
        <w:t>61.43%，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部分年初预算项目专项资金根据工作进度支出减少。</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9.卫生健康支出（类）公立医院支出（款）中医（民族）医院支出（项）。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81.23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年初预算不包括省级下拨中医药改革示范区建设专项资金。</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10.卫生健康支出（类）公立医院支出（款）其他公立医院支出（项）。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9.61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年初预算不包括省级下拨医疗服务与保障能力提升经费。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11.卫生健康支出（类）基层医疗卫生机构支出（款）其他基层医疗卫生机构支出（项）。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340.02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年初预算不包括省级下拨医疗服务与保障能力提升经费。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12.卫生健康支出（类）公共卫生支出（款）疾病预防控制机构支出（项）。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2727.58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6023.06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，完成年初预算数的220.84%，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结转上年市本级新冠专户疫情防控补助资金3299.96万元</w:t>
      </w:r>
      <w:r>
        <w:rPr>
          <w:rFonts w:hint="eastAsia" w:ascii="Times New Roman" w:hAnsi="Times New Roman" w:eastAsia="仿宋_GB2312" w:cs="Times New Roman"/>
          <w:sz w:val="32"/>
          <w:szCs w:val="32"/>
          <w:lang w:eastAsia="zh-CN"/>
        </w:rPr>
        <w:t>。</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13.卫生健康支出（类）公共卫生支出（款）卫生监督机构支出（项）。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833.71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816.46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，完成年初预算数的97.93%，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部分年初预算中的项目资金指标额度未解冻。</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14.卫生健康支出（类）公共卫生支出（款）采供血机构支出（项）。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1056.27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1154.99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，完成年初预算数的109.35%，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本年度市中心血站新进人员8人，新增人员同步发放工资、缴纳社保，并配置相应公用经费，导致人员工资支出、社保支出及公用经费支出增加，同时实施工资调标，部分人员职称晋升，进一步增加了人员工资类支出总额。</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15.卫生健康支出（类）公共卫生支出（款）重大公共卫生服务支出（项）。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941.38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年初预算不包括省级下拨重大传染病防控资金。</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16.卫生健康支出（类）公共卫生支出（款）突发公共卫生事件应急处理支出（项）。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315.46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年初预算不包括追加的新冠肺炎疫情防控资金</w:t>
      </w:r>
      <w:r>
        <w:rPr>
          <w:rFonts w:hint="eastAsia" w:ascii="Times New Roman" w:hAnsi="Times New Roman" w:eastAsia="仿宋_GB2312" w:cs="Times New Roman"/>
          <w:sz w:val="32"/>
          <w:szCs w:val="32"/>
          <w:lang w:val="en-US" w:eastAsia="zh-CN"/>
        </w:rPr>
        <w:t>300万元和医务人员临时工作补助15.46万元。</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17.卫生健康支出（类）公共卫生支出（款）其他公共卫生支出（项）。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391.72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年初预算不包括追加的创卫经费</w:t>
      </w:r>
      <w:r>
        <w:rPr>
          <w:rFonts w:hint="eastAsia" w:ascii="Times New Roman" w:hAnsi="Times New Roman" w:eastAsia="仿宋_GB2312" w:cs="Times New Roman"/>
          <w:sz w:val="32"/>
          <w:szCs w:val="32"/>
          <w:lang w:val="en-US" w:eastAsia="zh-CN"/>
        </w:rPr>
        <w:t>321.41万元和省级公共卫生专项资金70.31万元。</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18.卫生健康支出（类）行政事业单位医疗支出（款）行政单位医疗支出（项）。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63.16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63.16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，完成年初预算数的100%，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一致。</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19.卫生健康支出（类）行政事业单位医疗支出（款）其他行政单位医疗支出（项）。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年初预算不包括追加的建国初期退休干部医疗补贴。</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20.卫生健康支出（类）中医药支出（款）中医（民族医）药专项支出（项）。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年初预算不包括上年结转项目中医药传承创新发展经费。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21.卫生健康支出（类）疾病预防控制事务（款）其他疾病预防控制事务支出（项）。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0.69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年初预算不包括追加的遗属生活补助。</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22.卫生健康支出（类）其他卫生健康支出（款）其他卫生健康支出（项）。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年初预算为0万元，支出决算为1230.4万元，决算数大于年初预算数的主要原因是：年初预算不包括追加的干部保健费、创卫经费等192.11万元和结转上年怀化市预防控制中心建设项目经费1042.91万元。</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23.住房保障支出（类）住房改革支出（款）住房公积金支出（项）。</w:t>
      </w:r>
      <w:bookmarkStart w:id="0" w:name="_GoBack"/>
      <w:bookmarkEnd w:id="0"/>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年初预算为0万元，支出决算为1.36万元，决算数大于年初预算数的主要原因是：追加了住房公积金财政配套指标。</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24.灾害防治及应急管理支出（类）其他灾害防治及应急管理支出（款）其他灾害防治及应急管理支出（项）。</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年初预算为0万元，支出决算为4.63万元，决算数大于年初预算数的主要原因是：年初预算不包括追加的解决市以来紧急救援中心安全生产工作经费。</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6232.53</w:t>
      </w:r>
      <w:r>
        <w:rPr>
          <w:rFonts w:ascii="Times New Roman" w:hAnsi="Times New Roman" w:eastAsia="仿宋_GB2312" w:cs="Times New Roman"/>
          <w:sz w:val="32"/>
          <w:szCs w:val="32"/>
        </w:rPr>
        <w:t>万元，其中：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5578.78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89.51</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绩效工资、机关事业单位基本养老保险缴费、职工基本医疗保险缴费、其他社会保障缴费、离退休费、抚恤金、生活补助、奖励金、其他对个人和家庭的补助等</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b/>
          <w:bCs/>
          <w:sz w:val="32"/>
          <w:szCs w:val="32"/>
          <w:lang w:val="en-US" w:eastAsia="zh-CN"/>
        </w:rPr>
        <w:t>653.75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10.49</w:t>
      </w:r>
      <w:r>
        <w:rPr>
          <w:rFonts w:ascii="Times New Roman" w:hAnsi="Times New Roman" w:eastAsia="仿宋_GB2312" w:cs="Times New Roman"/>
          <w:sz w:val="32"/>
          <w:szCs w:val="32"/>
        </w:rPr>
        <w:t>%，主要包括办公费、印刷费、咨询费、手续费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水电费、邮电费、物业管理费、差旅费、维修费、租赁费、会议费、培训费、公务接待费、劳务费、委托业务费、工会经费、福利费、公务用车运行维护费、其他交通费用、税金及附加费用、其他商品和服务支出、办公设备购置等</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61.49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60.06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97.67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61.65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50.65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落实过“紧日子”要求，加强部门“三公”经费管理，严格公务接待审批和公务派车审批，压缩公务活动减少公务支出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落实过“紧日子”要求，加强部门“三公”经费管理，严格公务接待审批和公务派车审批，压缩公务活动减少公务支出；2.市卫健委2023年开支2022、2023年两年车辆维修费，导致2023年维修费增加；3.市中心血站公务用车运行维护费决算公开统计口径与上年不同</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53.47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53.47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59.91万元，降低52.84%</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53.47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53.47</w:t>
      </w:r>
      <w:r>
        <w:rPr>
          <w:rFonts w:ascii="Times New Roman" w:hAnsi="Times New Roman" w:eastAsia="仿宋_GB2312" w:cs="Times New Roman"/>
          <w:sz w:val="32"/>
          <w:szCs w:val="32"/>
        </w:rPr>
        <w:t>万元，</w:t>
      </w:r>
    </w:p>
    <w:p>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车辆维修费、油料费、保险费、过路过桥费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59.91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52.84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一致</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落实过“紧日子”要求，加强部门“三公”经费管理，严格公务接待审批和公务派车审批，压缩公务活动减少公务支出；2.市卫健委2023年开支2022、2023年两年车辆维修费，导致2023年维修费增加；3.市中心血站公务用车运行维护费决算公开统计口径与上年不同</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辆。</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8.02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6.59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82.17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1.74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20.89</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落实过“紧日子”要求，加强部门“三公”经费管理，严格公务接待审批，压缩公务活动减少公务支出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落实过“紧日子”要求，加强部门“三公”经费管理，严格公务接待审批，压缩公务活动减少公务支出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91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452</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上级调研和指导工作、下级汇报工作</w:t>
      </w:r>
      <w:r>
        <w:rPr>
          <w:rFonts w:ascii="Times New Roman" w:hAnsi="Times New Roman" w:eastAsia="仿宋_GB2312" w:cs="Times New Roman"/>
          <w:sz w:val="32"/>
          <w:szCs w:val="32"/>
        </w:rPr>
        <w:t>发生的接待支出。</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hint="eastAsia" w:ascii="Times New Roman" w:hAnsi="Times New Roman" w:eastAsia="仿宋_GB2312" w:cs="Times New Roman"/>
          <w:sz w:val="32"/>
          <w:szCs w:val="32"/>
          <w:lang w:eastAsia="zh-CN"/>
        </w:rPr>
        <w:t>本部门无政府性基金收支。</w:t>
      </w:r>
    </w:p>
    <w:p>
      <w:pPr>
        <w:pStyle w:val="13"/>
        <w:overflowPunct w:val="0"/>
        <w:autoSpaceDE/>
        <w:autoSpaceDN/>
        <w:spacing w:line="600" w:lineRule="exact"/>
        <w:ind w:firstLine="640" w:firstLineChars="200"/>
        <w:jc w:val="both"/>
        <w:rPr>
          <w:rFonts w:hint="eastAsia" w:ascii="Times New Roman" w:hAnsi="Times New Roman" w:eastAsia="黑体" w:cs="Times New Roman"/>
          <w:bCs/>
          <w:sz w:val="32"/>
          <w:szCs w:val="32"/>
          <w:lang w:eastAsia="zh-CN"/>
        </w:rPr>
      </w:pPr>
      <w:r>
        <w:rPr>
          <w:rFonts w:hint="eastAsia" w:ascii="Times New Roman" w:hAnsi="Times New Roman" w:cs="Times New Roman"/>
          <w:bCs/>
          <w:sz w:val="32"/>
          <w:szCs w:val="32"/>
          <w:lang w:eastAsia="zh-CN"/>
        </w:rPr>
        <w:t>九、国有资本经营预算收入支出决算情况</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本部门无国有资本经营收支。</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328.42</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30.74</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8.56</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落实过“紧日子”要求，本部门厉行节约，严控办公开支</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25.54</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2024年</w:t>
      </w:r>
      <w:r>
        <w:rPr>
          <w:rFonts w:hint="eastAsia" w:ascii="Times New Roman" w:hAnsi="Times New Roman" w:eastAsia="仿宋_GB2312" w:cs="Times New Roman"/>
          <w:sz w:val="32"/>
          <w:szCs w:val="32"/>
          <w:lang w:eastAsia="zh-CN"/>
        </w:rPr>
        <w:t>全市卫生健康会议及系统党风廉政建设工作</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121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全市卫生健康会议及系统党风廉政建设工作</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用于召开</w:t>
      </w:r>
      <w:r>
        <w:rPr>
          <w:rFonts w:hint="eastAsia" w:ascii="Times New Roman" w:hAnsi="Times New Roman" w:eastAsia="仿宋_GB2312" w:cs="Times New Roman"/>
          <w:sz w:val="32"/>
          <w:szCs w:val="32"/>
          <w:lang w:val="en-US" w:eastAsia="zh-CN"/>
        </w:rPr>
        <w:t>2023年全市财务年报汇总会审会议，人数58人，内容为财务年报汇总会审；用于2024年医师资格考试现场报名审核工作会议，人数30人，内容为医师资格考试现场报名审核</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用于召开全市临床用血质量控制中心授牌会议，人数65人，内容为通报近期全市无偿献血工作情况及部署下阶段工作，并为市临床用血质量控制中心授牌；用于召开全市无偿献血工作座谈会议，人数33人，内容为汇报2024年度无偿献血工作开展情况及下一步工作打算，谈论研究2025年度县市区无偿献血招募目标任务等。</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63.43</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eastAsia="zh-CN"/>
        </w:rPr>
        <w:t>基本公卫绩效评价</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39</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基本公卫绩效评价</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；用于参加新时代爱国卫生工作暨国家卫生城市创建和复审培训班，人数</w:t>
      </w:r>
      <w:r>
        <w:rPr>
          <w:rFonts w:hint="eastAsia" w:ascii="Times New Roman" w:hAnsi="Times New Roman" w:eastAsia="仿宋_GB2312" w:cs="Times New Roman"/>
          <w:sz w:val="32"/>
          <w:szCs w:val="32"/>
          <w:lang w:val="en-US" w:eastAsia="zh-CN"/>
        </w:rPr>
        <w:t>9人，内容为创卫培训；用于开展2024年全市艾滋病结核病诊疗质量提升培训班，人数92人，内容为诊疗质量提升培训</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全市公共场所卫生监督暨卫生城市创建工作</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国家卫生城市和国家卫生县标准》等释义、创卫工作经验交流</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怀化市现制现售饮用水卫生管理知识</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现制现售饮用水卫生管理基本要求》、观看《现制现售饮用水卫生管理要点》、创建国家卫生城市相关标准解读；用于开展长沙健康必读杂志社第二届献血宣传培训班培训费，人数1人，内容为无偿献血宣传培训；用于参加上海血液中心举办血站检验科质量控制研讨班培训，人数3人，内容为血站检验科质量管理；用于参加核酸检测标本培训，人数2人，内容为学习核酸检测标本知识；用于参加湖南省输血协会从业人员岗位考核培训费，人数8人，内容为血站相关专业知识，通过考试获得血站上岗证；用于参加湖南省病原微生物实验室生物安全培训，人数1人，内容为病原微生物实验室生物安全培训；用于参加血站系统无偿献血招募培训，人数3人，内容为无偿献血宣传培训；参加事业单位继续教育，人数67人，内容为根据人社局要求事业单位人员每年必须完成的继续教育等。</w:t>
      </w:r>
    </w:p>
    <w:p>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hint="eastAsia" w:ascii="Times New Roman" w:hAnsi="Times New Roman" w:eastAsia="仿宋_GB2312" w:cs="Times New Roman"/>
          <w:sz w:val="32"/>
          <w:szCs w:val="32"/>
          <w:lang w:val="en-US" w:eastAsia="zh-CN"/>
        </w:rPr>
        <w:t>2024年本部门未</w:t>
      </w:r>
      <w:r>
        <w:rPr>
          <w:rFonts w:ascii="Times New Roman" w:hAnsi="Times New Roman" w:eastAsia="仿宋_GB2312" w:cs="Times New Roman"/>
          <w:sz w:val="32"/>
          <w:szCs w:val="32"/>
        </w:rPr>
        <w:t>举办节庆、晚会、论坛、赛事活动</w:t>
      </w:r>
      <w:r>
        <w:rPr>
          <w:rFonts w:hint="eastAsia" w:ascii="Times New Roman" w:hAnsi="Times New Roman" w:eastAsia="仿宋_GB2312" w:cs="Times New Roman"/>
          <w:sz w:val="32"/>
          <w:szCs w:val="32"/>
          <w:lang w:eastAsia="zh-CN"/>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2450.38</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1954.08</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54.53</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441.77</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2450.38</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2450.38</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7</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10</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一般业务用车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14</w:t>
      </w:r>
      <w:r>
        <w:rPr>
          <w:rFonts w:ascii="Times New Roman" w:hAnsi="Times New Roman" w:eastAsia="仿宋_GB2312" w:cs="Times New Roman"/>
          <w:color w:val="auto"/>
          <w:sz w:val="32"/>
          <w:szCs w:val="32"/>
        </w:rPr>
        <w:t>台（套）。</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77</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15743.43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74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7334.52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54.06</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9761.51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15743.43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161.28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r>
        <w:rPr>
          <w:rFonts w:hint="default" w:ascii="Times New Roman" w:hAnsi="Times New Roman" w:eastAsia="仿宋_GB2312" w:cs="Times New Roman"/>
          <w:sz w:val="32"/>
          <w:szCs w:val="32"/>
          <w:lang w:val="en-US" w:eastAsia="zh-CN"/>
        </w:rPr>
        <w:t>一是五省边区区域医疗中心建设稳步推进。全市新增国家临床重点专科培育项目3个</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全力推进检验检查结果互认，全市线上线下实现检验检查结果互认11.77万人次，为患者节约资金634.86万元</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是深化中医药综合改革示范区先导区建设。新晃县通过全国基层中医药工作示范县现场评审，市中医医院通过三甲复审。举办中医药文化夜市和中医药校园文化节，线下参与人数超1万人次。组织开展大型义诊活动4次、中医药健康知识讲座50余场次。</w:t>
      </w:r>
      <w:r>
        <w:rPr>
          <w:rFonts w:hint="eastAsia"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lang w:val="en-US" w:eastAsia="zh-CN"/>
        </w:rPr>
        <w:t>搭建市域“全民健康信息平台”。二级以上公立医院全面完成检验检查结果互认编码贯标工作，累计开展健康档案调阅16.7万人次</w:t>
      </w: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是基层医疗卫生服务能力不断提升。全面铺开乡村医生三级管理工作，全市全面开展乡村医生等级评审分级管理，共评定一级村医42人，二级村医578人，三级村医1641人。</w:t>
      </w: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val="en-US" w:eastAsia="zh-CN"/>
        </w:rPr>
        <w:t>是疾控事业高质量发展持续推动。</w:t>
      </w:r>
      <w:r>
        <w:rPr>
          <w:rFonts w:hint="default" w:ascii="Times New Roman" w:hAnsi="Times New Roman" w:eastAsia="仿宋_GB2312" w:cs="Times New Roman"/>
          <w:sz w:val="32"/>
          <w:szCs w:val="32"/>
          <w:lang w:val="en" w:eastAsia="zh-CN"/>
        </w:rPr>
        <w:t>全市无甲类传染病报告，乙类传染病报告19种25202例，发病率557.4141/10万，总体情况稳定；报告结核病发病人数2604人，发病率为57.59/10万，较去年实现“双降”。</w:t>
      </w:r>
      <w:r>
        <w:rPr>
          <w:rFonts w:hint="default" w:ascii="Times New Roman" w:hAnsi="Times New Roman" w:eastAsia="仿宋_GB2312" w:cs="Times New Roman"/>
          <w:sz w:val="32"/>
          <w:szCs w:val="32"/>
          <w:lang w:val="en-US" w:eastAsia="zh-CN"/>
        </w:rPr>
        <w:t>开展洪涝灾害公共卫生风险评估194次；派出医疗救治队伍77支282人次，救治人数10050人；出动灾后应急卫生防疫队伍199支4987人次，灾区消毒面积约474.94万平方米，全市未发生因洪涝灾害导致的传染病疫情和突发公共卫生事件</w:t>
      </w: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val="en-US" w:eastAsia="zh-CN"/>
        </w:rPr>
        <w:t>是卫生健康人才队伍建设取得长足发展。高校现场引进人才26名。建有全国基层名老中医药专家传承工作室8个，开设“西学中”人才培训班7个，培养697人；开展基层卫生人才能力提升培训676人,乡村医生精准化能力提升培训3693人；晋升高级职称下基层人员225人。创建怀化市医卫专家工作室10个，评选“怀化名医”49名，表彰“最美医生”42名</w:t>
      </w:r>
      <w:r>
        <w:rPr>
          <w:rFonts w:hint="eastAsia"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val="en-US" w:eastAsia="zh-CN"/>
        </w:rPr>
        <w:t>是用心用情解决群众急难愁盼问题。全力推进2024年民生可感行动，全市新增普惠性托位3364个，完成率108.52%；完成新生儿疾病免费筛查与诊断服务24592人，完成率115.81%；开展中医体质辨识诊断70341人，完成率117.24%</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发现的主要问题及原因：</w:t>
      </w:r>
      <w:r>
        <w:rPr>
          <w:rFonts w:hint="default" w:ascii="Times New Roman" w:hAnsi="Times New Roman" w:eastAsia="仿宋_GB2312" w:cs="Times New Roman"/>
          <w:sz w:val="32"/>
          <w:szCs w:val="32"/>
          <w:lang w:val="en-US" w:eastAsia="zh-CN"/>
        </w:rPr>
        <w:t>预算编制的科学性和准确性有待提高，预算编制不够细化，实际支出与预算存在一定差距；资金绩效评价工作机制有待进一步完善。主要原因是：由于政策的调整和财政资金实际拨付中存在滞后性，部门资金在使用时存在一定的不可预见性；业务科室和财务人员对绩效管理和监督工作重视程度不够</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一是</w:t>
      </w:r>
      <w:r>
        <w:rPr>
          <w:rFonts w:hint="eastAsia" w:ascii="Times New Roman" w:hAnsi="Times New Roman" w:eastAsia="仿宋_GB2312" w:cs="Times New Roman"/>
          <w:sz w:val="32"/>
          <w:szCs w:val="32"/>
          <w:lang w:val="en-US" w:eastAsia="zh-CN"/>
        </w:rPr>
        <w:t>加强预算编制科学性，在年初预算编制过程中，根据部门工作实际情况，合理细化资金使用科目，规范资金使用方向，确保资金使用科学、高效、专款专用、不挤占、挪用、借用或随意调整，资金支付依据和开支标准合法合规。二是加强预算编制人员、资金使用人员业务培训，加强预算执行过程中的监控力度，建立健全预算执行分析体系，确保预算执行均衡性和有效性，同时完善绩效评价指标体系，充分应用绩效评价结果，推动人员业务质量提升和部门预算管理水平提高</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kern w:val="2"/>
          <w:sz w:val="32"/>
          <w:szCs w:val="32"/>
          <w:lang w:val="en-US" w:eastAsia="zh-CN" w:bidi="ar-SA"/>
        </w:rPr>
        <w:t>本部门将2024年市级绩效评价结果作为下一年预算编制依据，对照绩效评价工作中发现的问题，结合绩效评价报告中提出的整改意见，进一步完善预算管理机制，增强支出责任，规范资金使用，强化监督检查，强化财政资金管理水平，提高财政资金使用效益，严格按照财政要求进行公开</w:t>
      </w:r>
      <w:r>
        <w:rPr>
          <w:rFonts w:ascii="Times New Roman" w:hAnsi="Times New Roman" w:eastAsia="仿宋_GB2312" w:cs="Times New Roman"/>
          <w:color w:val="auto"/>
          <w:sz w:val="32"/>
          <w:szCs w:val="32"/>
        </w:rPr>
        <w:t>。</w:t>
      </w: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一</w:t>
      </w:r>
      <w:r>
        <w:rPr>
          <w:rFonts w:hint="default" w:ascii="Times New Roman" w:hAnsi="Times New Roman" w:eastAsia="仿宋_GB2312"/>
          <w:color w:val="auto"/>
          <w:sz w:val="32"/>
          <w:szCs w:val="32"/>
          <w:lang w:val="en-US" w:eastAsia="zh-CN"/>
        </w:rPr>
        <w:t>、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二</w:t>
      </w:r>
      <w:r>
        <w:rPr>
          <w:rFonts w:hint="default" w:ascii="Times New Roman" w:hAnsi="Times New Roman" w:eastAsia="仿宋_GB2312"/>
          <w:color w:val="auto"/>
          <w:sz w:val="32"/>
          <w:szCs w:val="32"/>
          <w:lang w:val="en-US" w:eastAsia="zh-CN"/>
        </w:rPr>
        <w:t>、项目支出：指在基本支出之外为完成特定行政任务和事业发展目标所发生的支出。</w:t>
      </w:r>
    </w:p>
    <w:p>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olor w:val="auto"/>
          <w:sz w:val="32"/>
          <w:szCs w:val="32"/>
          <w:lang w:val="en-US" w:eastAsia="zh-CN"/>
        </w:rPr>
        <w:t>三</w:t>
      </w:r>
      <w:r>
        <w:rPr>
          <w:rFonts w:hint="default" w:ascii="Times New Roman" w:hAnsi="Times New Roman" w:eastAsia="仿宋_GB2312"/>
          <w:color w:val="auto"/>
          <w:sz w:val="32"/>
          <w:szCs w:val="32"/>
          <w:lang w:val="en-US" w:eastAsia="zh-CN"/>
        </w:rPr>
        <w:t>、“三公”经费：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r>
        <w:rPr>
          <w:rFonts w:hint="eastAsia" w:ascii="Times New Roman" w:hAnsi="Times New Roman" w:eastAsia="仿宋_GB2312"/>
          <w:color w:val="auto"/>
          <w:sz w:val="32"/>
          <w:szCs w:val="32"/>
          <w:lang w:val="en-US" w:eastAsia="zh-CN"/>
        </w:rPr>
        <w:t>。</w:t>
      </w:r>
    </w:p>
    <w:p>
      <w:pPr>
        <w:widowControl/>
        <w:ind w:firstLine="640" w:firstLineChars="200"/>
        <w:jc w:val="left"/>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四、机关运行经费：与部门决算中行政单位和参照公务员法管理事业单位一般公共预算财政拨款基本支出中公用经费之和一致，是指各部门的公用经费，包括办公及印刷费、邮电费、差旅费、会议费、福利费、日常维修费、专用材料及一般设备购置费、办公用房水电费、办公用房取暖费、办公用房物业管理费、公务用车运行维护费以及其他费用。</w:t>
      </w:r>
    </w:p>
    <w:p>
      <w:pPr>
        <w:pStyle w:val="13"/>
        <w:jc w:val="both"/>
        <w:rPr>
          <w:rFonts w:ascii="Times New Roman" w:hAnsi="Times New Roman"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3"/>
        <w:numPr>
          <w:ilvl w:val="0"/>
          <w:numId w:val="0"/>
        </w:numPr>
        <w:spacing w:line="600" w:lineRule="exact"/>
        <w:ind w:firstLine="640" w:firstLineChars="200"/>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一、部门决算表</w:t>
      </w:r>
    </w:p>
    <w:p>
      <w:pPr>
        <w:pStyle w:val="13"/>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2024年度部门(单位)整体支出绩效自评报告。</w:t>
      </w:r>
    </w:p>
    <w:p>
      <w:pPr>
        <w:pStyle w:val="13"/>
        <w:ind w:firstLine="1280" w:firstLineChars="400"/>
        <w:rPr>
          <w:rFonts w:ascii="Times New Roman" w:hAnsi="Times New Roman" w:eastAsia="仿宋_GB2312" w:cs="Times New Roman"/>
          <w:sz w:val="32"/>
          <w:szCs w:val="32"/>
        </w:rPr>
      </w:pPr>
    </w:p>
    <w:p>
      <w:pPr>
        <w:pStyle w:val="13"/>
        <w:spacing w:line="600" w:lineRule="exact"/>
        <w:ind w:firstLine="640" w:firstLineChars="200"/>
        <w:rPr>
          <w:rFonts w:ascii="Times New Roman" w:hAnsi="Times New Roman" w:eastAsia="仿宋_GB2312" w:cs="Times New Roman"/>
          <w:sz w:val="32"/>
          <w:szCs w:val="3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footerReference r:id="rId5" w:type="default"/>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Y9gwLAIAAFU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K9j2DAsAgAAVQQAAA4AAAAAAAAAAQAgAAAANQEAAGRy&#10;cy9lMm9Eb2MueG1sUEsFBgAAAAAGAAYAWQEAAN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6D2286"/>
    <w:rsid w:val="1D97DEFF"/>
    <w:rsid w:val="1DFF72E5"/>
    <w:rsid w:val="1EFC6F07"/>
    <w:rsid w:val="2BE5C7E2"/>
    <w:rsid w:val="2FDF85B8"/>
    <w:rsid w:val="2FFFEE04"/>
    <w:rsid w:val="34DF85B0"/>
    <w:rsid w:val="3B8F36BC"/>
    <w:rsid w:val="3DFBFE47"/>
    <w:rsid w:val="3EA36460"/>
    <w:rsid w:val="491FF225"/>
    <w:rsid w:val="4FFD214C"/>
    <w:rsid w:val="54F66F7F"/>
    <w:rsid w:val="5777D4F5"/>
    <w:rsid w:val="59DD8326"/>
    <w:rsid w:val="5BBF2AF7"/>
    <w:rsid w:val="5D32784F"/>
    <w:rsid w:val="5DEF592A"/>
    <w:rsid w:val="5E7756C1"/>
    <w:rsid w:val="5F3DFE88"/>
    <w:rsid w:val="5FC6BB1E"/>
    <w:rsid w:val="5FF720F1"/>
    <w:rsid w:val="61FFB2D8"/>
    <w:rsid w:val="63FEA7E3"/>
    <w:rsid w:val="67D71180"/>
    <w:rsid w:val="67FF5C0B"/>
    <w:rsid w:val="6B367700"/>
    <w:rsid w:val="6DFEDAAF"/>
    <w:rsid w:val="6EFC0924"/>
    <w:rsid w:val="6F6BA078"/>
    <w:rsid w:val="6FB74722"/>
    <w:rsid w:val="6FEF8B7E"/>
    <w:rsid w:val="71A6591B"/>
    <w:rsid w:val="71FFA60E"/>
    <w:rsid w:val="737D59BA"/>
    <w:rsid w:val="77C37683"/>
    <w:rsid w:val="79D19834"/>
    <w:rsid w:val="79FD11F7"/>
    <w:rsid w:val="79FF515B"/>
    <w:rsid w:val="7AF20697"/>
    <w:rsid w:val="7E9E1962"/>
    <w:rsid w:val="7E9F11B4"/>
    <w:rsid w:val="7EBFBDE1"/>
    <w:rsid w:val="7F37EC1E"/>
    <w:rsid w:val="7F7DCD9D"/>
    <w:rsid w:val="7F970A6F"/>
    <w:rsid w:val="7FC1FFF3"/>
    <w:rsid w:val="7FC69637"/>
    <w:rsid w:val="7FDF8620"/>
    <w:rsid w:val="7FE8C8F7"/>
    <w:rsid w:val="7FED7B55"/>
    <w:rsid w:val="7FFB242F"/>
    <w:rsid w:val="7FFDB408"/>
    <w:rsid w:val="7FFE4EEB"/>
    <w:rsid w:val="95FB2B98"/>
    <w:rsid w:val="9A639BC2"/>
    <w:rsid w:val="9CE711AF"/>
    <w:rsid w:val="9FF7D786"/>
    <w:rsid w:val="ABBFB23D"/>
    <w:rsid w:val="ABFF5662"/>
    <w:rsid w:val="AEDFC64D"/>
    <w:rsid w:val="B6F3E832"/>
    <w:rsid w:val="BFE73EFD"/>
    <w:rsid w:val="C3B4DA5A"/>
    <w:rsid w:val="C7F1154D"/>
    <w:rsid w:val="CBFF70E0"/>
    <w:rsid w:val="CFF50B82"/>
    <w:rsid w:val="CFFFAD89"/>
    <w:rsid w:val="D4FF904E"/>
    <w:rsid w:val="DEBA6F81"/>
    <w:rsid w:val="DECF1F66"/>
    <w:rsid w:val="DF7FB594"/>
    <w:rsid w:val="DFEADDED"/>
    <w:rsid w:val="DFFE359E"/>
    <w:rsid w:val="DFFE4FFD"/>
    <w:rsid w:val="EB7394B5"/>
    <w:rsid w:val="EEABED75"/>
    <w:rsid w:val="F56FDF51"/>
    <w:rsid w:val="F6B69F17"/>
    <w:rsid w:val="F73B577D"/>
    <w:rsid w:val="F77F1D61"/>
    <w:rsid w:val="F7FED3A9"/>
    <w:rsid w:val="F8C9DB26"/>
    <w:rsid w:val="F97E8EAE"/>
    <w:rsid w:val="FB36E1A6"/>
    <w:rsid w:val="FB3BB8F0"/>
    <w:rsid w:val="FB3BE134"/>
    <w:rsid w:val="FCFF4275"/>
    <w:rsid w:val="FD7FEEEA"/>
    <w:rsid w:val="FDFFB577"/>
    <w:rsid w:val="FEEA50FE"/>
    <w:rsid w:val="FF7D47A9"/>
    <w:rsid w:val="FF7EF2F4"/>
    <w:rsid w:val="FFC957D5"/>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0</TotalTime>
  <ScaleCrop>false</ScaleCrop>
  <LinksUpToDate>false</LinksUpToDate>
  <CharactersWithSpaces>9786</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2025-08-19T18:17:00Z</dcterms:created>
  <dc:creator>李航 null</dc:creator>
  <cp:lastModifiedBy>greatwall</cp:lastModifiedBy>
  <cp:lastPrinted>2024-08-10T02:20:00Z</cp:lastPrinted>
  <dcterms:modified xsi:type="dcterms:W3CDTF">2025-09-25T11:00:30Z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BB7B6AA21D207914D6FDA268992A22D6</vt:lpwstr>
  </property>
</Properties>
</file>