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jc w:val="center"/>
        <w:rPr>
          <w:sz w:val="56"/>
          <w:szCs w:val="56"/>
        </w:rPr>
      </w:pPr>
      <w:r>
        <w:rPr>
          <w:sz w:val="56"/>
        </w:rPr>
        <mc:AlternateContent>
          <mc:Choice Requires="wps">
            <w:drawing>
              <wp:anchor distT="0" distB="0" distL="114300" distR="114300" simplePos="0" relativeHeight="251658240"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true"/>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18.6pt;margin-top:-23.4pt;height:40.75pt;width:119.95pt;z-index:251658240;mso-width-relative:page;mso-height-relative:page;" fillcolor="#FFFFFF [3201]" filled="t" stroked="f" coordsize="21600,21600" o:gfxdata="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BYAAABkcnMvUEsBAhQAFAAAAAgAh07iQHLwJlDWAAAA&#10;CgEAAA8AAAAAAAAAAQAgAAAAOAAAAGRycy9kb3ducmV2LnhtbFBLAQIUABQAAAAIAIdO4kCq8Au8&#10;QgIAAF4EAAAOAAAAAAAAAAEAIAAAADsBAABkcnMvZTJvRG9jLnhtbFBLBQYAAAAABgAGAFkBAADv&#10;BQAAAAA=&#10;">
                <v:fill on="t" focussize="0,0"/>
                <v:stroke on="f" weight="0.5pt"/>
                <v:imagedata o:title=""/>
                <o:lock v:ext="edit" aspectratio="f"/>
                <v:textbo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pPr>
        <w:pStyle w:val="16"/>
        <w:jc w:val="center"/>
        <w:rPr>
          <w:sz w:val="56"/>
          <w:szCs w:val="56"/>
        </w:rPr>
      </w:pPr>
    </w:p>
    <w:p>
      <w:pPr>
        <w:pStyle w:val="16"/>
        <w:jc w:val="center"/>
        <w:rPr>
          <w:sz w:val="84"/>
          <w:szCs w:val="84"/>
        </w:rPr>
      </w:pPr>
    </w:p>
    <w:p>
      <w:pPr>
        <w:pStyle w:val="16"/>
        <w:jc w:val="center"/>
        <w:rPr>
          <w:sz w:val="84"/>
          <w:szCs w:val="84"/>
        </w:rPr>
      </w:pPr>
    </w:p>
    <w:p>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怀化市民政局</w:t>
      </w:r>
      <w:r>
        <w:rPr>
          <w:rFonts w:hint="eastAsia" w:ascii="方正小标宋_GBK" w:hAnsi="方正小标宋_GBK" w:eastAsia="方正小标宋_GBK" w:cs="方正小标宋_GBK"/>
          <w:sz w:val="84"/>
          <w:szCs w:val="84"/>
        </w:rPr>
        <w:t>部门决算</w:t>
      </w:r>
    </w:p>
    <w:p>
      <w:pPr>
        <w:pStyle w:val="16"/>
        <w:jc w:val="center"/>
        <w:rPr>
          <w:rFonts w:hint="eastAsia" w:ascii="方正小标宋_GBK" w:hAnsi="方正小标宋_GBK" w:eastAsia="方正小标宋_GBK" w:cs="方正小标宋_GBK"/>
          <w:sz w:val="56"/>
          <w:szCs w:val="56"/>
        </w:rPr>
      </w:pPr>
    </w:p>
    <w:p>
      <w:pPr>
        <w:pStyle w:val="16"/>
        <w:jc w:val="center"/>
        <w:rPr>
          <w:sz w:val="56"/>
          <w:szCs w:val="56"/>
        </w:rPr>
      </w:pPr>
    </w:p>
    <w:p>
      <w:pPr>
        <w:pStyle w:val="16"/>
        <w:jc w:val="center"/>
        <w:rPr>
          <w:sz w:val="56"/>
          <w:szCs w:val="56"/>
        </w:rPr>
      </w:pPr>
    </w:p>
    <w:p>
      <w:pPr>
        <w:pStyle w:val="16"/>
        <w:jc w:val="center"/>
        <w:rPr>
          <w:sz w:val="56"/>
          <w:szCs w:val="56"/>
        </w:rPr>
      </w:pPr>
    </w:p>
    <w:p>
      <w:pPr>
        <w:pStyle w:val="16"/>
        <w:jc w:val="center"/>
        <w:rPr>
          <w:sz w:val="32"/>
          <w:szCs w:val="32"/>
        </w:rPr>
      </w:pPr>
    </w:p>
    <w:p>
      <w:pPr>
        <w:pStyle w:val="16"/>
        <w:jc w:val="center"/>
        <w:rPr>
          <w:sz w:val="32"/>
          <w:szCs w:val="32"/>
        </w:rPr>
      </w:pPr>
    </w:p>
    <w:p>
      <w:pPr>
        <w:pStyle w:val="16"/>
        <w:jc w:val="center"/>
        <w:rPr>
          <w:sz w:val="32"/>
          <w:szCs w:val="32"/>
        </w:rPr>
      </w:pPr>
    </w:p>
    <w:p>
      <w:pPr>
        <w:pStyle w:val="16"/>
        <w:jc w:val="center"/>
        <w:rPr>
          <w:sz w:val="32"/>
          <w:szCs w:val="32"/>
        </w:rPr>
      </w:pPr>
    </w:p>
    <w:p>
      <w:pPr>
        <w:pStyle w:val="16"/>
        <w:jc w:val="center"/>
        <w:rPr>
          <w:sz w:val="32"/>
          <w:szCs w:val="32"/>
        </w:rPr>
      </w:pPr>
    </w:p>
    <w:p>
      <w:pPr>
        <w:pStyle w:val="16"/>
        <w:spacing w:line="540" w:lineRule="exact"/>
        <w:jc w:val="center"/>
        <w:rPr>
          <w:sz w:val="56"/>
          <w:szCs w:val="56"/>
        </w:rPr>
      </w:pPr>
    </w:p>
    <w:p>
      <w:pPr>
        <w:pStyle w:val="16"/>
        <w:spacing w:line="500" w:lineRule="exact"/>
        <w:jc w:val="both"/>
        <w:rPr>
          <w:b/>
          <w:sz w:val="36"/>
          <w:szCs w:val="28"/>
        </w:rPr>
      </w:pPr>
    </w:p>
    <w:p>
      <w:pPr>
        <w:pStyle w:val="16"/>
        <w:keepNext w:val="0"/>
        <w:keepLines w:val="0"/>
        <w:pageBreakBefore w:val="0"/>
        <w:widowControl w:val="0"/>
        <w:kinsoku/>
        <w:wordWrap/>
        <w:overflowPunct/>
        <w:topLinePunct w:val="0"/>
        <w:bidi w:val="0"/>
        <w:snapToGrid/>
        <w:spacing w:line="480" w:lineRule="exact"/>
        <w:jc w:val="center"/>
        <w:textAlignment w:val="auto"/>
        <w:rPr>
          <w:b/>
          <w:sz w:val="36"/>
          <w:szCs w:val="28"/>
        </w:rPr>
      </w:pPr>
      <w:r>
        <w:rPr>
          <w:rFonts w:hint="eastAsia"/>
          <w:b/>
          <w:sz w:val="36"/>
          <w:szCs w:val="28"/>
        </w:rPr>
        <w:t>目录</w:t>
      </w:r>
    </w:p>
    <w:p>
      <w:pPr>
        <w:pStyle w:val="16"/>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民政</w:t>
      </w:r>
      <w:r>
        <w:rPr>
          <w:rFonts w:hint="eastAsia" w:ascii="黑体" w:hAnsi="黑体" w:eastAsia="黑体" w:cs="黑体"/>
          <w:b w:val="0"/>
          <w:bCs/>
          <w:sz w:val="28"/>
          <w:szCs w:val="28"/>
          <w:lang w:eastAsia="zh-CN"/>
        </w:rPr>
        <w:t>部门（</w:t>
      </w:r>
      <w:r>
        <w:rPr>
          <w:rFonts w:hint="eastAsia" w:hAnsi="黑体" w:cs="黑体"/>
          <w:b w:val="0"/>
          <w:bCs/>
          <w:sz w:val="28"/>
          <w:szCs w:val="28"/>
          <w:lang w:eastAsia="zh-CN"/>
        </w:rPr>
        <w:t>怀化市民政局</w:t>
      </w:r>
      <w:r>
        <w:rPr>
          <w:rFonts w:hint="eastAsia" w:ascii="黑体" w:hAnsi="黑体" w:eastAsia="黑体" w:cs="黑体"/>
          <w:b w:val="0"/>
          <w:bCs/>
          <w:sz w:val="28"/>
          <w:szCs w:val="28"/>
          <w:lang w:eastAsia="zh-CN"/>
        </w:rPr>
        <w:t>）</w:t>
      </w:r>
      <w:r>
        <w:rPr>
          <w:rFonts w:hint="eastAsia" w:ascii="黑体" w:hAnsi="黑体" w:eastAsia="黑体" w:cs="黑体"/>
          <w:b w:val="0"/>
          <w:bCs/>
          <w:sz w:val="28"/>
          <w:szCs w:val="28"/>
        </w:rPr>
        <w:t>概况</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6"/>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6"/>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keepNext w:val="0"/>
        <w:keepLines w:val="0"/>
        <w:pageBreakBefore w:val="0"/>
        <w:widowControl w:val="0"/>
        <w:kinsoku/>
        <w:wordWrap/>
        <w:overflowPunct/>
        <w:topLinePunct w:val="0"/>
        <w:bidi w:val="0"/>
        <w:snapToGrid/>
        <w:spacing w:line="48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w:t>
      </w:r>
      <w:r>
        <w:rPr>
          <w:rFonts w:hint="eastAsia" w:ascii="仿宋_GB2312" w:hAnsi="仿宋_GB2312" w:eastAsia="仿宋_GB2312" w:cs="仿宋_GB2312"/>
          <w:color w:val="000000"/>
          <w:kern w:val="0"/>
          <w:sz w:val="28"/>
          <w:szCs w:val="28"/>
          <w:lang w:eastAsia="zh-CN"/>
        </w:rPr>
        <w:t>一般公共预算</w:t>
      </w:r>
      <w:r>
        <w:rPr>
          <w:rFonts w:hint="eastAsia" w:ascii="仿宋_GB2312" w:hAnsi="仿宋_GB2312" w:eastAsia="仿宋_GB2312" w:cs="仿宋_GB2312"/>
          <w:color w:val="000000"/>
          <w:kern w:val="0"/>
          <w:sz w:val="28"/>
          <w:szCs w:val="28"/>
        </w:rPr>
        <w:t>财政拨款三公经费支出决算情况说明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九、</w:t>
      </w:r>
      <w:r>
        <w:rPr>
          <w:rFonts w:hint="eastAsia" w:ascii="仿宋_GB2312" w:hAnsi="仿宋_GB2312" w:eastAsia="仿宋_GB2312" w:cs="仿宋_GB2312"/>
          <w:color w:val="000000"/>
          <w:kern w:val="0"/>
          <w:sz w:val="28"/>
          <w:szCs w:val="28"/>
          <w:lang w:eastAsia="zh-CN"/>
        </w:rPr>
        <w:t>国有资本经营预算收入支出决算情况</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十二、</w:t>
      </w:r>
      <w:r>
        <w:rPr>
          <w:rFonts w:hint="eastAsia" w:ascii="仿宋_GB2312" w:hAnsi="仿宋_GB2312" w:eastAsia="仿宋_GB2312" w:cs="仿宋_GB2312"/>
          <w:color w:val="000000"/>
          <w:kern w:val="0"/>
          <w:sz w:val="28"/>
          <w:szCs w:val="28"/>
        </w:rPr>
        <w:t>关于政府采购支出说明</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十三</w:t>
      </w:r>
      <w:r>
        <w:rPr>
          <w:rFonts w:hint="eastAsia" w:ascii="仿宋_GB2312" w:hAnsi="仿宋_GB2312" w:eastAsia="仿宋_GB2312" w:cs="仿宋_GB2312"/>
          <w:sz w:val="28"/>
          <w:szCs w:val="28"/>
        </w:rPr>
        <w:t>、关于国有资产占用情况说明</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pPr>
        <w:pStyle w:val="16"/>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pStyle w:val="16"/>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pPr>
        <w:pStyle w:val="16"/>
        <w:spacing w:line="500" w:lineRule="exact"/>
        <w:rPr>
          <w:rFonts w:hint="eastAsia" w:ascii="黑体" w:hAnsi="黑体" w:eastAsia="黑体" w:cs="黑体"/>
          <w:b w:val="0"/>
          <w:bCs/>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6"/>
        <w:jc w:val="center"/>
        <w:rPr>
          <w:rFonts w:hint="eastAsia" w:ascii="方正小标宋_GBK" w:hAnsi="方正小标宋_GBK" w:eastAsia="方正小标宋_GBK" w:cs="方正小标宋_GBK"/>
          <w:sz w:val="84"/>
          <w:szCs w:val="84"/>
        </w:rPr>
      </w:pPr>
    </w:p>
    <w:p>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怀化市民政局</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pStyle w:val="17"/>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（一）贯彻执行国家和省有关民政工作的法律、法规和方针、政策，制定全市民政事业发展规划和工作计划，并组织实施；指导基层民政组织建设；</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（二）负责全市性社团和民办非企业单位的登记管理工作，依法监督民间组织活动，保障其合法权益，查处违法行为；</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（三）管理全市社会救济工作；组织、实施城市居民最低生活保障制度及建立健全农村特困户救助制度，并对全市工作进行指导、监督、检查；指导农村五保供养和敬老院建设管理工作；</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（四）指导城乡基层政权和基层群众自治组织建设；开展村民自治活动、完善村务公开工作，推进社区建设，指导社区服务管理工作；</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（五）承办行政区划有关工作；负责行政区域界线的勘定和日常管理工作，调查和调处行政区域边界争议；主管全市地名管理工作；设置、管理地名标志，推行地名标准化；</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（六）承担老人、孤儿等特殊困难群体权益保护和行政管理工作；指导社会福利事业单位的建设与管理工作；</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（七）指导城市生活无着落的流浪乞讨人员的救助管理工作；</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（八）主管婚姻登记管理工作；承办涉港、澳的婚姻登记；</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（九）负责儿童收养登记工作；</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（十）主管殡葬管理工作，推行殡葬改革，规范殡仪服务，指导殡葬事业单位的建设与管理；</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（十一）负责全市各类社会福利企业的管理和残疾职工的权益保障；</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（十二）负责福利彩票发行和市本级福利资金的管理使用工作；</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（十三）负责民政事业计划财务和统计工作，指导、监督民政事业费的使用管理；</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（十四）承办市政府交办的其他工作。</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widowControl/>
        <w:spacing w:line="600" w:lineRule="exact"/>
        <w:ind w:firstLine="640" w:firstLineChars="200"/>
        <w:rPr>
          <w:rFonts w:ascii="仿宋" w:hAnsi="仿宋" w:eastAsia="仿宋"/>
          <w:sz w:val="32"/>
          <w:szCs w:val="32"/>
        </w:rPr>
      </w:pPr>
      <w:r>
        <w:rPr>
          <w:rFonts w:hint="eastAsia" w:ascii="Times New Roman" w:hAnsi="Times New Roman" w:eastAsia="仿宋_GB2312" w:cs="仿宋_GB2312"/>
          <w:bCs/>
          <w:kern w:val="0"/>
          <w:sz w:val="32"/>
          <w:szCs w:val="32"/>
        </w:rPr>
        <w:t>（一）内设机构设置。</w:t>
      </w:r>
      <w:r>
        <w:rPr>
          <w:rFonts w:hint="eastAsia" w:ascii="仿宋" w:hAnsi="仿宋" w:eastAsia="仿宋" w:cs="仿宋"/>
          <w:bCs/>
          <w:kern w:val="0"/>
          <w:sz w:val="32"/>
          <w:szCs w:val="32"/>
          <w:lang w:eastAsia="zh-CN"/>
        </w:rPr>
        <w:t>怀化市民政局</w:t>
      </w:r>
      <w:r>
        <w:rPr>
          <w:rFonts w:hint="eastAsia" w:ascii="仿宋" w:hAnsi="仿宋" w:eastAsia="仿宋" w:cs="仿宋"/>
          <w:bCs/>
          <w:kern w:val="0"/>
          <w:sz w:val="32"/>
          <w:szCs w:val="32"/>
        </w:rPr>
        <w:t>内设机构包括：</w:t>
      </w:r>
      <w:r>
        <w:rPr>
          <w:rFonts w:hint="eastAsia" w:ascii="仿宋" w:hAnsi="仿宋" w:eastAsia="仿宋"/>
          <w:sz w:val="32"/>
          <w:szCs w:val="32"/>
        </w:rPr>
        <w:t>办公室（法制科）、规划财务科、社会组织管理科（行政审批服务科）、社会救助科、社会事务科、养老服务和儿童福利科、慈善事业促进和社会工作科、区划地名科、机关党委（人事科）、民政事务中心、慈善总会办公室。直属二级单位</w:t>
      </w:r>
      <w:r>
        <w:rPr>
          <w:rFonts w:ascii="仿宋" w:hAnsi="仿宋" w:eastAsia="仿宋"/>
          <w:sz w:val="32"/>
          <w:szCs w:val="32"/>
        </w:rPr>
        <w:t>4个，市救助站、市殡葬事务中心、市社会福利院、市福利彩票发行中心。</w:t>
      </w:r>
    </w:p>
    <w:p>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怀化市民政局</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ascii="仿宋" w:hAnsi="仿宋" w:eastAsia="仿宋"/>
          <w:sz w:val="32"/>
          <w:szCs w:val="32"/>
        </w:rPr>
        <w:t>市民政局本级、市救助站、市社会福利院、市殡葬事务中心。</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6"/>
        <w:jc w:val="center"/>
        <w:rPr>
          <w:rFonts w:hint="eastAsia" w:ascii="方正小标宋_GBK" w:hAnsi="方正小标宋_GBK" w:eastAsia="方正小标宋_GBK" w:cs="方正小标宋_GBK"/>
          <w:sz w:val="84"/>
          <w:szCs w:val="84"/>
        </w:rPr>
      </w:pPr>
    </w:p>
    <w:p>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6"/>
        <w:jc w:val="center"/>
        <w:rPr>
          <w:rFonts w:hint="eastAsia" w:ascii="方正小标宋_GBK" w:hAnsi="方正小标宋_GBK" w:eastAsia="方正小标宋_GBK" w:cs="方正小标宋_GBK"/>
          <w:sz w:val="84"/>
          <w:szCs w:val="84"/>
        </w:rPr>
      </w:pPr>
    </w:p>
    <w:p>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rFonts w:hint="eastAsia" w:eastAsiaTheme="minorEastAsia"/>
          <w:sz w:val="72"/>
          <w:szCs w:val="72"/>
          <w:lang w:eastAsia="zh-CN"/>
        </w:rPr>
      </w:pPr>
      <w:r>
        <w:rPr>
          <w:rFonts w:hint="eastAsia"/>
          <w:sz w:val="72"/>
          <w:szCs w:val="72"/>
          <w:lang w:eastAsia="zh-CN"/>
        </w:rPr>
        <w:t>（公开表附后）</w:t>
      </w:r>
    </w:p>
    <w:p>
      <w:pPr>
        <w:jc w:val="center"/>
        <w:rPr>
          <w:sz w:val="72"/>
          <w:szCs w:val="72"/>
        </w:rPr>
      </w:pPr>
    </w:p>
    <w:p>
      <w:pPr>
        <w:jc w:val="both"/>
        <w:rPr>
          <w:sz w:val="72"/>
          <w:szCs w:val="72"/>
        </w:rPr>
      </w:pPr>
    </w:p>
    <w:p>
      <w:pPr>
        <w:jc w:val="center"/>
        <w:rPr>
          <w:sz w:val="72"/>
          <w:szCs w:val="72"/>
        </w:rPr>
      </w:pPr>
    </w:p>
    <w:p>
      <w:pPr>
        <w:widowControl/>
        <w:jc w:val="left"/>
        <w:rPr>
          <w:sz w:val="72"/>
          <w:szCs w:val="72"/>
        </w:rPr>
        <w:sectPr>
          <w:pgSz w:w="11906" w:h="16838"/>
          <w:pgMar w:top="720" w:right="720" w:bottom="720" w:left="720" w:header="851" w:footer="992" w:gutter="0"/>
          <w:cols w:space="425" w:num="1"/>
          <w:docGrid w:type="lines" w:linePitch="312" w:charSpace="0"/>
        </w:sectPr>
      </w:pPr>
      <w:bookmarkStart w:id="0" w:name="RANGE!A1:I22"/>
      <w:bookmarkEnd w:id="0"/>
    </w:p>
    <w:p>
      <w:pPr>
        <w:pStyle w:val="16"/>
        <w:rPr>
          <w:sz w:val="72"/>
          <w:szCs w:val="72"/>
        </w:rPr>
      </w:pPr>
    </w:p>
    <w:p>
      <w:pPr>
        <w:pStyle w:val="16"/>
        <w:rPr>
          <w:sz w:val="72"/>
          <w:szCs w:val="72"/>
        </w:rPr>
      </w:pPr>
    </w:p>
    <w:p>
      <w:pPr>
        <w:pStyle w:val="16"/>
        <w:rPr>
          <w:sz w:val="72"/>
          <w:szCs w:val="72"/>
        </w:rPr>
      </w:pPr>
    </w:p>
    <w:p>
      <w:pPr>
        <w:pStyle w:val="16"/>
        <w:rPr>
          <w:sz w:val="72"/>
          <w:szCs w:val="72"/>
        </w:rPr>
      </w:pPr>
    </w:p>
    <w:p>
      <w:pPr>
        <w:pStyle w:val="16"/>
        <w:jc w:val="center"/>
        <w:rPr>
          <w:sz w:val="72"/>
          <w:szCs w:val="72"/>
        </w:rPr>
      </w:pPr>
    </w:p>
    <w:p>
      <w:pPr>
        <w:pStyle w:val="16"/>
        <w:jc w:val="center"/>
        <w:rPr>
          <w:rFonts w:hint="eastAsia" w:ascii="方正小标宋_GBK" w:hAnsi="方正小标宋_GBK" w:eastAsia="方正小标宋_GBK" w:cs="方正小标宋_GBK"/>
          <w:sz w:val="72"/>
          <w:szCs w:val="72"/>
        </w:rPr>
      </w:pPr>
    </w:p>
    <w:p>
      <w:pPr>
        <w:pStyle w:val="16"/>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6"/>
        <w:jc w:val="center"/>
        <w:rPr>
          <w:rFonts w:hint="eastAsia" w:ascii="方正小标宋_GBK" w:hAnsi="方正小标宋_GBK" w:eastAsia="方正小标宋_GBK" w:cs="方正小标宋_GBK"/>
          <w:sz w:val="70"/>
          <w:szCs w:val="70"/>
        </w:rPr>
      </w:pPr>
    </w:p>
    <w:p>
      <w:pPr>
        <w:pStyle w:val="16"/>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default" w:ascii="Times New Roman" w:hAnsi="Times New Roman" w:eastAsia="仿宋_GB2312"/>
          <w:sz w:val="32"/>
          <w:szCs w:val="32"/>
          <w:lang w:val="en"/>
        </w:rPr>
        <w:t>11612.89</w:t>
      </w:r>
      <w:r>
        <w:rPr>
          <w:rFonts w:hint="eastAsia" w:ascii="Times New Roman" w:hAnsi="Times New Roman" w:eastAsia="仿宋_GB2312"/>
          <w:sz w:val="32"/>
          <w:szCs w:val="32"/>
        </w:rPr>
        <w:t>万元。与上年相比，增加</w:t>
      </w:r>
      <w:r>
        <w:rPr>
          <w:rFonts w:hint="default" w:ascii="Times New Roman" w:hAnsi="Times New Roman" w:eastAsia="仿宋_GB2312"/>
          <w:sz w:val="32"/>
          <w:szCs w:val="32"/>
          <w:lang w:val="en"/>
        </w:rPr>
        <w:t>3112.62</w:t>
      </w:r>
      <w:r>
        <w:rPr>
          <w:rFonts w:hint="eastAsia" w:ascii="Times New Roman" w:hAnsi="Times New Roman" w:eastAsia="仿宋_GB2312"/>
          <w:sz w:val="32"/>
          <w:szCs w:val="32"/>
        </w:rPr>
        <w:t>万元，增长</w:t>
      </w:r>
      <w:r>
        <w:rPr>
          <w:rFonts w:hint="default" w:ascii="Times New Roman" w:hAnsi="Times New Roman" w:eastAsia="仿宋_GB2312"/>
          <w:sz w:val="32"/>
          <w:szCs w:val="32"/>
          <w:lang w:val="en"/>
        </w:rPr>
        <w:t>36.6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怀化市第二福利院建设项目资金增加。</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11607.77</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10348.8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89.2</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1167.91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91.06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0.8</w:t>
      </w:r>
      <w:r>
        <w:rPr>
          <w:rFonts w:hint="eastAsia" w:ascii="Times New Roman" w:hAnsi="Times New Roman" w:eastAsia="仿宋_GB2312"/>
          <w:sz w:val="32"/>
          <w:szCs w:val="32"/>
        </w:rPr>
        <w:t>%。</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11584.26</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3182.1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27.5</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8402.16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72.5</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6"/>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default" w:ascii="Times New Roman" w:hAnsi="Times New Roman" w:eastAsia="仿宋_GB2312"/>
          <w:sz w:val="32"/>
          <w:szCs w:val="32"/>
          <w:lang w:val="en"/>
        </w:rPr>
        <w:t>10348.8</w:t>
      </w:r>
      <w:r>
        <w:rPr>
          <w:rFonts w:hint="eastAsia" w:ascii="Times New Roman" w:hAnsi="Times New Roman" w:eastAsia="仿宋_GB2312"/>
          <w:sz w:val="32"/>
          <w:szCs w:val="32"/>
        </w:rPr>
        <w:t>万元，与上年相比，增加</w:t>
      </w:r>
      <w:r>
        <w:rPr>
          <w:rFonts w:hint="default" w:ascii="Times New Roman" w:hAnsi="Times New Roman" w:eastAsia="仿宋_GB2312"/>
          <w:sz w:val="32"/>
          <w:szCs w:val="32"/>
          <w:lang w:val="en"/>
        </w:rPr>
        <w:t>2505.47</w:t>
      </w:r>
      <w:r>
        <w:rPr>
          <w:rFonts w:hint="eastAsia" w:ascii="Times New Roman" w:hAnsi="Times New Roman" w:eastAsia="仿宋_GB2312"/>
          <w:sz w:val="32"/>
          <w:szCs w:val="32"/>
        </w:rPr>
        <w:t>万元,增长</w:t>
      </w:r>
      <w:r>
        <w:rPr>
          <w:rFonts w:hint="default" w:ascii="Times New Roman" w:hAnsi="Times New Roman" w:eastAsia="仿宋_GB2312"/>
          <w:sz w:val="32"/>
          <w:szCs w:val="32"/>
          <w:lang w:val="en"/>
        </w:rPr>
        <w:t>31.9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怀化市第二福利院建设资金增加。</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7249.5</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70</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1015.62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16.3</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怀化市第二福利院建设资金增加。</w:t>
      </w:r>
    </w:p>
    <w:p>
      <w:pPr>
        <w:pStyle w:val="16"/>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7249.5</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55.32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0.76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7139.61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98.5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卫生健康（类）支出</w:t>
      </w:r>
      <w:r>
        <w:rPr>
          <w:rFonts w:hint="eastAsia" w:ascii="Times New Roman" w:hAnsi="Times New Roman" w:eastAsia="仿宋_GB2312"/>
          <w:sz w:val="32"/>
          <w:szCs w:val="32"/>
          <w:lang w:val="en-US" w:eastAsia="zh-CN"/>
        </w:rPr>
        <w:t>54.57万元，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0.74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color w:val="auto"/>
          <w:sz w:val="32"/>
          <w:szCs w:val="32"/>
          <w:lang w:val="en-US" w:eastAsia="zh-CN"/>
        </w:rPr>
        <w:t>3073.28</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7249.5</w:t>
      </w:r>
      <w:r>
        <w:rPr>
          <w:rFonts w:hint="eastAsia" w:ascii="Times New Roman" w:hAnsi="Times New Roman" w:eastAsia="仿宋_GB2312"/>
          <w:sz w:val="32"/>
          <w:szCs w:val="32"/>
        </w:rPr>
        <w:t>万元，完成年初预算的</w:t>
      </w:r>
      <w:r>
        <w:rPr>
          <w:rFonts w:hint="eastAsia" w:ascii="Times New Roman" w:hAnsi="Times New Roman" w:eastAsia="仿宋_GB2312"/>
          <w:color w:val="auto"/>
          <w:sz w:val="32"/>
          <w:szCs w:val="32"/>
          <w:lang w:val="en-US" w:eastAsia="zh-CN"/>
        </w:rPr>
        <w:t>235.9</w:t>
      </w:r>
      <w:r>
        <w:rPr>
          <w:rFonts w:hint="eastAsia" w:ascii="Times New Roman" w:hAnsi="Times New Roman" w:eastAsia="仿宋_GB2312"/>
          <w:sz w:val="32"/>
          <w:szCs w:val="32"/>
        </w:rPr>
        <w:t>%，其中：</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eastAsia="zh-CN"/>
        </w:rPr>
        <w:t>其他一般公共服务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其他一般公共服务</w:t>
      </w:r>
      <w:r>
        <w:rPr>
          <w:rFonts w:hint="eastAsia" w:ascii="Times New Roman" w:hAnsi="Times New Roman" w:eastAsia="仿宋_GB2312"/>
          <w:sz w:val="32"/>
          <w:szCs w:val="32"/>
        </w:rPr>
        <w:t>（项）。</w:t>
      </w:r>
    </w:p>
    <w:p>
      <w:pPr>
        <w:spacing w:line="600" w:lineRule="exact"/>
        <w:ind w:firstLine="640" w:firstLineChars="200"/>
        <w:rPr>
          <w:rFonts w:hint="eastAsia" w:ascii="仿宋_GB2312" w:hAnsi="仿宋_GB2312" w:eastAsia="仿宋_GB2312" w:cs="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color w:val="auto"/>
          <w:sz w:val="32"/>
          <w:szCs w:val="32"/>
          <w:lang w:val="en-US" w:eastAsia="zh-CN"/>
        </w:rPr>
        <w:t>572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55.32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9.7</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仿宋_GB2312" w:hAnsi="仿宋_GB2312" w:eastAsia="仿宋_GB2312" w:cs="仿宋_GB2312"/>
          <w:sz w:val="32"/>
          <w:szCs w:val="32"/>
        </w:rPr>
        <w:t>根据工作要求，年中</w:t>
      </w:r>
      <w:r>
        <w:rPr>
          <w:rFonts w:hint="eastAsia" w:ascii="仿宋_GB2312" w:hAnsi="仿宋_GB2312" w:eastAsia="仿宋_GB2312" w:cs="仿宋_GB2312"/>
          <w:sz w:val="32"/>
          <w:szCs w:val="32"/>
          <w:lang w:eastAsia="zh-CN"/>
        </w:rPr>
        <w:t>缩减</w:t>
      </w:r>
      <w:r>
        <w:rPr>
          <w:rFonts w:hint="eastAsia" w:ascii="仿宋_GB2312" w:hAnsi="仿宋_GB2312" w:eastAsia="仿宋_GB2312" w:cs="仿宋_GB2312"/>
          <w:sz w:val="32"/>
          <w:szCs w:val="32"/>
        </w:rPr>
        <w:t>相关业务经费支出。</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人力资源和社会保障管理事务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13.82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仿宋_GB2312" w:hAnsi="仿宋_GB2312" w:eastAsia="仿宋_GB2312" w:cs="仿宋_GB2312"/>
          <w:sz w:val="32"/>
          <w:szCs w:val="32"/>
        </w:rPr>
        <w:t>根据工作要求，年中追加相关业务经费支出。</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人力资源和社会保障管理事务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其他人力资源和社会保障管理事务</w:t>
      </w:r>
      <w:r>
        <w:rPr>
          <w:rFonts w:hint="eastAsia" w:ascii="Times New Roman" w:hAnsi="Times New Roman" w:eastAsia="仿宋_GB2312"/>
          <w:sz w:val="32"/>
          <w:szCs w:val="32"/>
        </w:rPr>
        <w:t>（项）。</w:t>
      </w:r>
    </w:p>
    <w:p>
      <w:pPr>
        <w:spacing w:line="600" w:lineRule="exact"/>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仿宋_GB2312" w:hAnsi="仿宋_GB2312" w:eastAsia="仿宋_GB2312" w:cs="仿宋_GB2312"/>
          <w:sz w:val="32"/>
          <w:szCs w:val="32"/>
        </w:rPr>
        <w:t>根据工作要求，年中追加相关业务经费支出。</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民政管理事务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1367.52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1134.32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82.9</w:t>
      </w:r>
      <w:r>
        <w:rPr>
          <w:rFonts w:hint="eastAsia" w:ascii="Times New Roman" w:hAnsi="Times New Roman" w:eastAsia="仿宋_GB2312"/>
          <w:sz w:val="32"/>
          <w:szCs w:val="32"/>
        </w:rPr>
        <w:t>%，决算数小于年初预算数的主要原因是：</w:t>
      </w:r>
      <w:r>
        <w:rPr>
          <w:rFonts w:hint="eastAsia" w:ascii="仿宋_GB2312" w:hAnsi="仿宋_GB2312" w:eastAsia="仿宋_GB2312" w:cs="仿宋_GB2312"/>
          <w:sz w:val="32"/>
          <w:szCs w:val="32"/>
        </w:rPr>
        <w:t>根据工作要求，年中</w:t>
      </w:r>
      <w:r>
        <w:rPr>
          <w:rFonts w:hint="eastAsia" w:ascii="仿宋_GB2312" w:hAnsi="仿宋_GB2312" w:eastAsia="仿宋_GB2312" w:cs="仿宋_GB2312"/>
          <w:sz w:val="32"/>
          <w:szCs w:val="32"/>
          <w:lang w:eastAsia="zh-CN"/>
        </w:rPr>
        <w:t>缩减</w:t>
      </w:r>
      <w:r>
        <w:rPr>
          <w:rFonts w:hint="eastAsia" w:ascii="仿宋_GB2312" w:hAnsi="仿宋_GB2312" w:eastAsia="仿宋_GB2312" w:cs="仿宋_GB2312"/>
          <w:sz w:val="32"/>
          <w:szCs w:val="32"/>
        </w:rPr>
        <w:t>相关业务经费支出。</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民政管理事务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行政区划和地名管理</w:t>
      </w:r>
      <w:r>
        <w:rPr>
          <w:rFonts w:hint="eastAsia" w:ascii="Times New Roman" w:hAnsi="Times New Roman" w:eastAsia="仿宋_GB2312"/>
          <w:sz w:val="32"/>
          <w:szCs w:val="32"/>
        </w:rPr>
        <w:t>（项）。</w:t>
      </w:r>
    </w:p>
    <w:p>
      <w:pPr>
        <w:spacing w:line="600" w:lineRule="exact"/>
        <w:ind w:firstLine="640" w:firstLineChars="200"/>
        <w:rPr>
          <w:rFonts w:hint="eastAsia" w:ascii="仿宋_GB2312" w:hAnsi="仿宋_GB2312" w:eastAsia="仿宋_GB2312" w:cs="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仿宋_GB2312" w:hAnsi="仿宋_GB2312" w:eastAsia="仿宋_GB2312" w:cs="仿宋_GB2312"/>
          <w:sz w:val="32"/>
          <w:szCs w:val="32"/>
        </w:rPr>
        <w:t>根据工作要求，年中追加相关业务经费支出。</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民政管理事务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其他民政管理事务</w:t>
      </w:r>
      <w:r>
        <w:rPr>
          <w:rFonts w:hint="eastAsia" w:ascii="Times New Roman" w:hAnsi="Times New Roman" w:eastAsia="仿宋_GB2312"/>
          <w:sz w:val="32"/>
          <w:szCs w:val="32"/>
        </w:rPr>
        <w:t>（项）。</w:t>
      </w:r>
    </w:p>
    <w:p>
      <w:pPr>
        <w:spacing w:line="600" w:lineRule="exact"/>
        <w:ind w:firstLine="640" w:firstLineChars="200"/>
        <w:rPr>
          <w:rFonts w:hint="eastAsia" w:ascii="仿宋_GB2312" w:hAnsi="仿宋_GB2312" w:eastAsia="仿宋_GB2312" w:cs="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206.53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2065</w:t>
      </w:r>
      <w:r>
        <w:rPr>
          <w:rFonts w:hint="eastAsia" w:ascii="Times New Roman" w:hAnsi="Times New Roman" w:eastAsia="仿宋_GB2312"/>
          <w:sz w:val="32"/>
          <w:szCs w:val="32"/>
        </w:rPr>
        <w:t>%，决算数大于年初预算数的主要原因是：</w:t>
      </w:r>
      <w:r>
        <w:rPr>
          <w:rFonts w:hint="eastAsia" w:ascii="仿宋_GB2312" w:hAnsi="仿宋_GB2312" w:eastAsia="仿宋_GB2312" w:cs="仿宋_GB2312"/>
          <w:sz w:val="32"/>
          <w:szCs w:val="32"/>
        </w:rPr>
        <w:t>根据工作要求，年中追加相关业务经费支出。</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行政单位离退休</w:t>
      </w:r>
      <w:r>
        <w:rPr>
          <w:rFonts w:hint="eastAsia" w:ascii="Times New Roman" w:hAnsi="Times New Roman" w:eastAsia="仿宋_GB2312"/>
          <w:sz w:val="32"/>
          <w:szCs w:val="32"/>
        </w:rPr>
        <w:t>（项）。</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105.71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3.25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3.1</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仿宋_GB2312" w:hAnsi="仿宋_GB2312" w:eastAsia="仿宋_GB2312" w:cs="仿宋_GB2312"/>
          <w:sz w:val="32"/>
          <w:szCs w:val="32"/>
        </w:rPr>
        <w:t>根据工作要求，年中</w:t>
      </w:r>
      <w:r>
        <w:rPr>
          <w:rFonts w:hint="eastAsia" w:ascii="仿宋_GB2312" w:hAnsi="仿宋_GB2312" w:eastAsia="仿宋_GB2312" w:cs="仿宋_GB2312"/>
          <w:sz w:val="32"/>
          <w:szCs w:val="32"/>
          <w:lang w:eastAsia="zh-CN"/>
        </w:rPr>
        <w:t>缩减</w:t>
      </w:r>
      <w:r>
        <w:rPr>
          <w:rFonts w:hint="eastAsia" w:ascii="仿宋_GB2312" w:hAnsi="仿宋_GB2312" w:eastAsia="仿宋_GB2312" w:cs="仿宋_GB2312"/>
          <w:sz w:val="32"/>
          <w:szCs w:val="32"/>
        </w:rPr>
        <w:t>相关业务经费支出。</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机关事业单位基本养老保险缴费</w:t>
      </w:r>
      <w:r>
        <w:rPr>
          <w:rFonts w:hint="eastAsia" w:ascii="Times New Roman" w:hAnsi="Times New Roman" w:eastAsia="仿宋_GB2312"/>
          <w:sz w:val="32"/>
          <w:szCs w:val="32"/>
        </w:rPr>
        <w:t>（项）。</w:t>
      </w:r>
    </w:p>
    <w:p>
      <w:pPr>
        <w:spacing w:line="600" w:lineRule="exact"/>
        <w:ind w:firstLine="640" w:firstLineChars="200"/>
        <w:rPr>
          <w:rFonts w:hint="eastAsia" w:ascii="仿宋_GB2312" w:hAnsi="仿宋_GB2312" w:eastAsia="仿宋_GB2312" w:cs="仿宋_GB2312"/>
          <w:sz w:val="32"/>
          <w:szCs w:val="32"/>
          <w:u w:val="none"/>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134.7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110.89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82.3</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仿宋_GB2312" w:hAnsi="仿宋_GB2312" w:eastAsia="仿宋_GB2312" w:cs="仿宋_GB2312"/>
          <w:sz w:val="32"/>
          <w:szCs w:val="32"/>
          <w:u w:val="none"/>
          <w:lang w:eastAsia="zh-CN"/>
        </w:rPr>
        <w:t>年初根据人员数进行测算，上报财政后拨付额度</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eastAsia="zh-CN"/>
        </w:rPr>
        <w:t>因单位人员异动实际支出金额小于预算数</w:t>
      </w:r>
      <w:r>
        <w:rPr>
          <w:rFonts w:hint="eastAsia" w:ascii="仿宋_GB2312" w:hAnsi="仿宋_GB2312" w:eastAsia="仿宋_GB2312" w:cs="仿宋_GB2312"/>
          <w:sz w:val="32"/>
          <w:szCs w:val="32"/>
          <w:u w:val="none"/>
        </w:rPr>
        <w:t>。</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其他行政事业单位养老</w:t>
      </w:r>
      <w:r>
        <w:rPr>
          <w:rFonts w:hint="eastAsia" w:ascii="Times New Roman" w:hAnsi="Times New Roman" w:eastAsia="仿宋_GB2312"/>
          <w:sz w:val="32"/>
          <w:szCs w:val="32"/>
        </w:rPr>
        <w:t>（项）。</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131.94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183.2</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其他</w:t>
      </w:r>
      <w:r>
        <w:rPr>
          <w:rFonts w:hint="eastAsia" w:ascii="仿宋_GB2312" w:hAnsi="仿宋_GB2312" w:eastAsia="仿宋_GB2312" w:cs="仿宋_GB2312"/>
          <w:sz w:val="32"/>
          <w:szCs w:val="32"/>
          <w:u w:val="none"/>
          <w:lang w:eastAsia="zh-CN"/>
        </w:rPr>
        <w:t>行政</w:t>
      </w:r>
      <w:r>
        <w:rPr>
          <w:rFonts w:hint="eastAsia" w:ascii="仿宋_GB2312" w:hAnsi="仿宋_GB2312" w:eastAsia="仿宋_GB2312" w:cs="仿宋_GB2312"/>
          <w:sz w:val="32"/>
          <w:szCs w:val="32"/>
          <w:u w:val="none"/>
        </w:rPr>
        <w:t>事业单位养老保险缴费额度的下拨需年初上报基数，经财政及人社部门审批后，年中拨付相关经费。</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抚恤</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死亡抚恤</w:t>
      </w:r>
      <w:r>
        <w:rPr>
          <w:rFonts w:hint="eastAsia" w:ascii="Times New Roman" w:hAnsi="Times New Roman" w:eastAsia="仿宋_GB2312"/>
          <w:sz w:val="32"/>
          <w:szCs w:val="32"/>
        </w:rPr>
        <w:t>（项）。</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3154.19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仿宋_GB2312" w:hAnsi="仿宋_GB2312" w:eastAsia="仿宋_GB2312" w:cs="仿宋_GB2312"/>
          <w:sz w:val="32"/>
          <w:szCs w:val="32"/>
        </w:rPr>
        <w:t>此项支出用于发放一次性抚恤费，财政部门根据抚恤费实际审批情况按进度予以拨付。</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社会福利</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儿童福利</w:t>
      </w:r>
      <w:r>
        <w:rPr>
          <w:rFonts w:hint="eastAsia" w:ascii="Times New Roman" w:hAnsi="Times New Roman" w:eastAsia="仿宋_GB2312"/>
          <w:sz w:val="32"/>
          <w:szCs w:val="32"/>
        </w:rPr>
        <w:t>（项）。</w:t>
      </w:r>
    </w:p>
    <w:p>
      <w:pPr>
        <w:spacing w:line="600" w:lineRule="exact"/>
        <w:ind w:firstLine="640" w:firstLineChars="200"/>
        <w:rPr>
          <w:rFonts w:hint="eastAsia" w:ascii="仿宋_GB2312" w:hAnsi="仿宋_GB2312" w:eastAsia="仿宋_GB2312" w:cs="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300.3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667.3</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45</w:t>
      </w:r>
      <w:r>
        <w:rPr>
          <w:rFonts w:hint="eastAsia" w:ascii="仿宋_GB2312" w:hAnsi="仿宋_GB2312" w:eastAsia="仿宋_GB2312" w:cs="仿宋_GB2312"/>
          <w:sz w:val="32"/>
          <w:szCs w:val="32"/>
        </w:rPr>
        <w:t>万为市本级财政预算，其余为中央省级下拨资金，未列入市本级年初预算。</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社会福利</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殡葬</w:t>
      </w:r>
      <w:r>
        <w:rPr>
          <w:rFonts w:hint="eastAsia" w:ascii="Times New Roman" w:hAnsi="Times New Roman" w:eastAsia="仿宋_GB2312"/>
          <w:sz w:val="32"/>
          <w:szCs w:val="32"/>
        </w:rPr>
        <w:t>（项）。</w:t>
      </w:r>
    </w:p>
    <w:p>
      <w:pPr>
        <w:spacing w:line="600" w:lineRule="exact"/>
        <w:ind w:firstLine="640" w:firstLineChars="200"/>
        <w:rPr>
          <w:rFonts w:hint="eastAsia" w:ascii="仿宋_GB2312" w:hAnsi="仿宋_GB2312" w:eastAsia="仿宋_GB2312" w:cs="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414.69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1077.58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259.8</w:t>
      </w:r>
      <w:r>
        <w:rPr>
          <w:rFonts w:hint="eastAsia" w:ascii="Times New Roman" w:hAnsi="Times New Roman" w:eastAsia="仿宋_GB2312"/>
          <w:sz w:val="32"/>
          <w:szCs w:val="32"/>
        </w:rPr>
        <w:t>%，决算数大于年初预算数的主要原因是：</w:t>
      </w:r>
      <w:r>
        <w:rPr>
          <w:rFonts w:hint="eastAsia" w:ascii="仿宋_GB2312" w:hAnsi="仿宋_GB2312" w:eastAsia="仿宋_GB2312" w:cs="仿宋_GB2312"/>
          <w:sz w:val="32"/>
          <w:szCs w:val="32"/>
        </w:rPr>
        <w:t>根据工作要求，年中追加相关业务经费支出。</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社会福利</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社会福利事业单位</w:t>
      </w:r>
      <w:r>
        <w:rPr>
          <w:rFonts w:hint="eastAsia" w:ascii="Times New Roman" w:hAnsi="Times New Roman" w:eastAsia="仿宋_GB2312"/>
          <w:sz w:val="32"/>
          <w:szCs w:val="32"/>
        </w:rPr>
        <w:t>（项）。</w:t>
      </w:r>
    </w:p>
    <w:p>
      <w:pPr>
        <w:spacing w:line="600" w:lineRule="exact"/>
        <w:ind w:firstLine="640" w:firstLineChars="200"/>
        <w:rPr>
          <w:rFonts w:hint="eastAsia" w:ascii="仿宋_GB2312" w:hAnsi="仿宋_GB2312" w:eastAsia="仿宋_GB2312" w:cs="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90.62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296.91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327.6</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仿宋_GB2312" w:hAnsi="仿宋_GB2312" w:eastAsia="仿宋_GB2312" w:cs="仿宋_GB2312"/>
          <w:sz w:val="32"/>
          <w:szCs w:val="32"/>
        </w:rPr>
        <w:t>根据工作要求，年中追加相关业务经费支出。</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社会福利</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养老服务</w:t>
      </w:r>
      <w:r>
        <w:rPr>
          <w:rFonts w:hint="eastAsia" w:ascii="Times New Roman" w:hAnsi="Times New Roman" w:eastAsia="仿宋_GB2312"/>
          <w:sz w:val="32"/>
          <w:szCs w:val="32"/>
        </w:rPr>
        <w:t>（项）。</w:t>
      </w:r>
    </w:p>
    <w:p>
      <w:pPr>
        <w:spacing w:line="600" w:lineRule="exact"/>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29.03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仿宋_GB2312" w:hAnsi="仿宋_GB2312" w:eastAsia="仿宋_GB2312" w:cs="仿宋_GB2312"/>
          <w:sz w:val="32"/>
          <w:szCs w:val="32"/>
        </w:rPr>
        <w:t>根据工作要求，年中追加相关业务经费支出。</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社会福利</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其他社会福利</w:t>
      </w:r>
      <w:r>
        <w:rPr>
          <w:rFonts w:hint="eastAsia" w:ascii="Times New Roman" w:hAnsi="Times New Roman" w:eastAsia="仿宋_GB2312"/>
          <w:sz w:val="32"/>
          <w:szCs w:val="32"/>
        </w:rPr>
        <w:t>（项）。</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27.16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仿宋_GB2312" w:hAnsi="仿宋_GB2312" w:eastAsia="仿宋_GB2312" w:cs="仿宋_GB2312"/>
          <w:sz w:val="32"/>
          <w:szCs w:val="32"/>
        </w:rPr>
        <w:t>根据工作要求，年中追加相关业务经费支出。</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残疾人事业</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残疾人康复</w:t>
      </w:r>
      <w:r>
        <w:rPr>
          <w:rFonts w:hint="eastAsia" w:ascii="Times New Roman" w:hAnsi="Times New Roman" w:eastAsia="仿宋_GB2312"/>
          <w:sz w:val="32"/>
          <w:szCs w:val="32"/>
        </w:rPr>
        <w:t>（项）。</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仿宋_GB2312" w:hAnsi="仿宋_GB2312" w:eastAsia="仿宋_GB2312" w:cs="仿宋_GB2312"/>
          <w:sz w:val="32"/>
          <w:szCs w:val="32"/>
        </w:rPr>
        <w:t>根据工作要求，年中追加相关业务经费支出。</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临时救助</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临时救助</w:t>
      </w:r>
      <w:r>
        <w:rPr>
          <w:rFonts w:hint="eastAsia" w:ascii="Times New Roman" w:hAnsi="Times New Roman" w:eastAsia="仿宋_GB2312"/>
          <w:sz w:val="32"/>
          <w:szCs w:val="32"/>
        </w:rPr>
        <w:t>（项）。</w:t>
      </w:r>
    </w:p>
    <w:p>
      <w:pPr>
        <w:spacing w:line="600" w:lineRule="exact"/>
        <w:ind w:firstLine="640" w:firstLineChars="200"/>
        <w:rPr>
          <w:rFonts w:hint="eastAsia" w:ascii="仿宋_GB2312" w:hAnsi="仿宋_GB2312" w:eastAsia="仿宋_GB2312" w:cs="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204.23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仿宋_GB2312" w:hAnsi="仿宋_GB2312" w:eastAsia="仿宋_GB2312" w:cs="仿宋_GB2312"/>
          <w:sz w:val="32"/>
          <w:szCs w:val="32"/>
        </w:rPr>
        <w:t>此项支出用于发放居民困难临时救助，年初未列入部门预算。</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default" w:ascii="Times New Roman" w:hAnsi="Times New Roman" w:eastAsia="仿宋_GB2312"/>
          <w:sz w:val="32"/>
          <w:szCs w:val="32"/>
          <w:lang w:val="en" w:eastAsia="zh-CN"/>
        </w:rPr>
        <w:t>1</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临时救助</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流浪乞讨人员救助</w:t>
      </w:r>
      <w:r>
        <w:rPr>
          <w:rFonts w:hint="eastAsia" w:ascii="Times New Roman" w:hAnsi="Times New Roman" w:eastAsia="仿宋_GB2312"/>
          <w:sz w:val="32"/>
          <w:szCs w:val="32"/>
        </w:rPr>
        <w:t>（项）。</w:t>
      </w:r>
    </w:p>
    <w:p>
      <w:pPr>
        <w:spacing w:line="600" w:lineRule="exact"/>
        <w:ind w:firstLine="640" w:firstLineChars="200"/>
        <w:rPr>
          <w:rFonts w:hint="eastAsia" w:ascii="仿宋_GB2312" w:hAnsi="仿宋_GB2312" w:eastAsia="仿宋_GB2312" w:cs="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369.31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100</w:t>
      </w:r>
      <w:r>
        <w:rPr>
          <w:rFonts w:hint="eastAsia" w:ascii="仿宋_GB2312" w:hAnsi="仿宋_GB2312" w:eastAsia="仿宋_GB2312" w:cs="仿宋_GB2312"/>
          <w:sz w:val="32"/>
          <w:szCs w:val="32"/>
        </w:rPr>
        <w:t>万元为市本级财政预算，其余为中央省级下拨资金，未列入市本级年初预算。</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default" w:ascii="Times New Roman" w:hAnsi="Times New Roman" w:eastAsia="仿宋_GB2312"/>
          <w:sz w:val="32"/>
          <w:szCs w:val="32"/>
          <w:lang w:val="en" w:eastAsia="zh-CN"/>
        </w:rPr>
        <w:t>1</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其他社会保障和就业</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其他社会保障和就业</w:t>
      </w:r>
      <w:r>
        <w:rPr>
          <w:rFonts w:hint="eastAsia" w:ascii="Times New Roman" w:hAnsi="Times New Roman" w:eastAsia="仿宋_GB2312"/>
          <w:sz w:val="32"/>
          <w:szCs w:val="32"/>
        </w:rPr>
        <w:t>（项）。</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58.62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仿宋_GB2312" w:hAnsi="仿宋_GB2312" w:eastAsia="仿宋_GB2312" w:cs="仿宋_GB2312"/>
          <w:sz w:val="32"/>
          <w:szCs w:val="32"/>
        </w:rPr>
        <w:t>根据工作要求，年中追加相关业务经费支出。</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行政单位医疗</w:t>
      </w:r>
      <w:r>
        <w:rPr>
          <w:rFonts w:hint="eastAsia" w:ascii="Times New Roman" w:hAnsi="Times New Roman" w:eastAsia="仿宋_GB2312"/>
          <w:sz w:val="32"/>
          <w:szCs w:val="32"/>
        </w:rPr>
        <w:t>（项）。</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49.77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54.57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109.6</w:t>
      </w:r>
      <w:r>
        <w:rPr>
          <w:rFonts w:hint="eastAsia" w:ascii="Times New Roman" w:hAnsi="Times New Roman" w:eastAsia="仿宋_GB2312"/>
          <w:sz w:val="32"/>
          <w:szCs w:val="32"/>
        </w:rPr>
        <w:t>%，决算数大于年初预算数的主要原因是：</w:t>
      </w:r>
      <w:r>
        <w:rPr>
          <w:rFonts w:hint="eastAsia" w:ascii="仿宋_GB2312" w:hAnsi="仿宋_GB2312" w:eastAsia="仿宋_GB2312" w:cs="仿宋_GB2312"/>
          <w:sz w:val="32"/>
          <w:szCs w:val="32"/>
        </w:rPr>
        <w:t>根据工作要求，年中追加相关业务经费支出。</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事业单位医疗</w:t>
      </w:r>
      <w:r>
        <w:rPr>
          <w:rFonts w:hint="eastAsia" w:ascii="Times New Roman" w:hAnsi="Times New Roman" w:eastAsia="仿宋_GB2312"/>
          <w:sz w:val="32"/>
          <w:szCs w:val="32"/>
        </w:rPr>
        <w:t>（项）。</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6.68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仿宋_GB2312" w:hAnsi="仿宋_GB2312" w:eastAsia="仿宋_GB2312" w:cs="仿宋_GB2312"/>
          <w:sz w:val="32"/>
          <w:szCs w:val="32"/>
        </w:rPr>
        <w:t>根据工作要求，年中</w:t>
      </w:r>
      <w:r>
        <w:rPr>
          <w:rFonts w:hint="eastAsia" w:ascii="仿宋_GB2312" w:hAnsi="仿宋_GB2312" w:eastAsia="仿宋_GB2312" w:cs="仿宋_GB2312"/>
          <w:sz w:val="32"/>
          <w:szCs w:val="32"/>
          <w:lang w:eastAsia="zh-CN"/>
        </w:rPr>
        <w:t>缩减</w:t>
      </w:r>
      <w:r>
        <w:rPr>
          <w:rFonts w:hint="eastAsia" w:ascii="仿宋_GB2312" w:hAnsi="仿宋_GB2312" w:eastAsia="仿宋_GB2312" w:cs="仿宋_GB2312"/>
          <w:sz w:val="32"/>
          <w:szCs w:val="32"/>
        </w:rPr>
        <w:t>相关业务经费支出。</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住房保障</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住房改革</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住房公积金</w:t>
      </w:r>
      <w:r>
        <w:rPr>
          <w:rFonts w:hint="eastAsia" w:ascii="Times New Roman" w:hAnsi="Times New Roman" w:eastAsia="仿宋_GB2312"/>
          <w:sz w:val="32"/>
          <w:szCs w:val="32"/>
        </w:rPr>
        <w:t>（项）。</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104.58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仿宋_GB2312" w:hAnsi="仿宋_GB2312" w:eastAsia="仿宋_GB2312" w:cs="仿宋_GB2312"/>
          <w:sz w:val="32"/>
          <w:szCs w:val="32"/>
        </w:rPr>
        <w:t>根据工作要求，年中</w:t>
      </w:r>
      <w:r>
        <w:rPr>
          <w:rFonts w:hint="eastAsia" w:ascii="仿宋_GB2312" w:hAnsi="仿宋_GB2312" w:eastAsia="仿宋_GB2312" w:cs="仿宋_GB2312"/>
          <w:sz w:val="32"/>
          <w:szCs w:val="32"/>
          <w:lang w:eastAsia="zh-CN"/>
        </w:rPr>
        <w:t>缩减</w:t>
      </w:r>
      <w:r>
        <w:rPr>
          <w:rFonts w:hint="eastAsia" w:ascii="仿宋_GB2312" w:hAnsi="仿宋_GB2312" w:eastAsia="仿宋_GB2312" w:cs="仿宋_GB2312"/>
          <w:sz w:val="32"/>
          <w:szCs w:val="32"/>
        </w:rPr>
        <w:t>相关业务经费支出。</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1994.43</w:t>
      </w:r>
      <w:r>
        <w:rPr>
          <w:rFonts w:hint="eastAsia" w:ascii="Times New Roman" w:hAnsi="Times New Roman" w:eastAsia="仿宋_GB2312"/>
          <w:sz w:val="32"/>
          <w:szCs w:val="32"/>
        </w:rPr>
        <w:t>万元，其中：</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1660.73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83.3</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、机关事业单位基本养老保险缴费、职工基本医疗保险缴费、医疗费、其他工资福利支出、生活补助、其他对个人和家庭的补助。</w:t>
      </w:r>
      <w:r>
        <w:rPr>
          <w:rFonts w:hint="eastAsia" w:ascii="Times New Roman" w:hAnsi="Times New Roman" w:eastAsia="仿宋_GB2312"/>
          <w:sz w:val="32"/>
          <w:szCs w:val="32"/>
          <w:lang w:val="en-US" w:eastAsia="zh-CN"/>
        </w:rPr>
        <w:t xml:space="preserve">  </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333.7</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16.7</w:t>
      </w:r>
      <w:r>
        <w:rPr>
          <w:rFonts w:hint="eastAsia" w:ascii="Times New Roman" w:hAnsi="Times New Roman" w:eastAsia="仿宋_GB2312"/>
          <w:sz w:val="32"/>
          <w:szCs w:val="32"/>
        </w:rPr>
        <w:t>%，主要包括办公费、印刷费、咨询费、</w:t>
      </w:r>
      <w:r>
        <w:rPr>
          <w:rFonts w:hint="eastAsia" w:ascii="Times New Roman" w:hAnsi="Times New Roman" w:eastAsia="仿宋_GB2312"/>
          <w:sz w:val="32"/>
          <w:szCs w:val="32"/>
          <w:lang w:eastAsia="zh-CN"/>
        </w:rPr>
        <w:t>水费、电费、邮电费、物业管理费、差旅费、维修（护）费、会议费、培训费、公务接待费、劳务费、委托业务费、工会经费、福利费、公务用车维护费、其他交通费用、其他商品和服务支出、办公设备购置</w:t>
      </w:r>
      <w:r>
        <w:rPr>
          <w:rFonts w:hint="eastAsia" w:ascii="Times New Roman" w:hAnsi="Times New Roman" w:eastAsia="仿宋_GB2312"/>
          <w:sz w:val="32"/>
          <w:szCs w:val="32"/>
        </w:rPr>
        <w:t>。</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bCs/>
          <w:i/>
          <w:color w:val="auto"/>
          <w:sz w:val="32"/>
          <w:szCs w:val="32"/>
          <w:lang w:eastAsia="zh-CN"/>
        </w:rPr>
        <w:t>（注意：三公经费情况说明，往年为一般公共预算财政拨款口径，今年为财政拨款口径）</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40.36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17.11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42.4</w:t>
      </w:r>
      <w:r>
        <w:rPr>
          <w:rFonts w:hint="eastAsia" w:ascii="Times New Roman" w:hAnsi="Times New Roman" w:eastAsia="仿宋_GB2312"/>
          <w:sz w:val="32"/>
          <w:szCs w:val="32"/>
        </w:rPr>
        <w:t>%，决算数小于预算数的主要原因是</w:t>
      </w:r>
      <w:r>
        <w:rPr>
          <w:rFonts w:hint="eastAsia" w:ascii="仿宋_GB2312" w:hAnsi="仿宋_GB2312" w:eastAsia="仿宋_GB2312" w:cs="仿宋_GB2312"/>
          <w:sz w:val="32"/>
          <w:szCs w:val="32"/>
        </w:rPr>
        <w:t>认真落实厉行节约</w:t>
      </w:r>
      <w:r>
        <w:rPr>
          <w:rFonts w:hint="eastAsia" w:ascii="仿宋_GB2312" w:hAnsi="仿宋_GB2312" w:eastAsia="仿宋_GB2312" w:cs="仿宋_GB2312"/>
          <w:sz w:val="32"/>
          <w:szCs w:val="32"/>
          <w:lang w:eastAsia="zh-CN"/>
        </w:rPr>
        <w:t>和“过紧日子”</w:t>
      </w:r>
      <w:r>
        <w:rPr>
          <w:rFonts w:hint="eastAsia" w:ascii="仿宋_GB2312" w:hAnsi="仿宋_GB2312" w:eastAsia="仿宋_GB2312" w:cs="仿宋_GB2312"/>
          <w:sz w:val="32"/>
          <w:szCs w:val="32"/>
        </w:rPr>
        <w:t>的要求，进一步从严控制“三公”经费开支</w:t>
      </w:r>
      <w:r>
        <w:rPr>
          <w:rFonts w:hint="eastAsia" w:ascii="仿宋_GB2312" w:hAnsi="仿宋_GB2312" w:eastAsia="仿宋_GB2312" w:cs="仿宋_GB2312"/>
          <w:sz w:val="32"/>
          <w:szCs w:val="32"/>
          <w:lang w:eastAsia="zh-CN"/>
        </w:rPr>
        <w:t>。</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4.73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21.6</w:t>
      </w:r>
      <w:r>
        <w:rPr>
          <w:rFonts w:hint="eastAsia" w:ascii="Times New Roman" w:hAnsi="Times New Roman" w:eastAsia="仿宋_GB2312"/>
          <w:sz w:val="32"/>
          <w:szCs w:val="32"/>
        </w:rPr>
        <w:t>%,减少的主要原因是</w:t>
      </w:r>
      <w:r>
        <w:rPr>
          <w:rFonts w:hint="eastAsia" w:ascii="仿宋_GB2312" w:hAnsi="仿宋_GB2312" w:eastAsia="仿宋_GB2312" w:cs="仿宋_GB2312"/>
          <w:sz w:val="32"/>
          <w:szCs w:val="32"/>
        </w:rPr>
        <w:t>认真落实厉行节约</w:t>
      </w:r>
      <w:r>
        <w:rPr>
          <w:rFonts w:hint="eastAsia" w:ascii="仿宋_GB2312" w:hAnsi="仿宋_GB2312" w:eastAsia="仿宋_GB2312" w:cs="仿宋_GB2312"/>
          <w:sz w:val="32"/>
          <w:szCs w:val="32"/>
          <w:lang w:eastAsia="zh-CN"/>
        </w:rPr>
        <w:t>和“过紧日子”</w:t>
      </w:r>
      <w:r>
        <w:rPr>
          <w:rFonts w:hint="eastAsia" w:ascii="仿宋_GB2312" w:hAnsi="仿宋_GB2312" w:eastAsia="仿宋_GB2312" w:cs="仿宋_GB2312"/>
          <w:sz w:val="32"/>
          <w:szCs w:val="32"/>
        </w:rPr>
        <w:t>的要求，进一步从严控制“三公”经费开支</w:t>
      </w:r>
      <w:r>
        <w:rPr>
          <w:rFonts w:hint="eastAsia" w:ascii="Times New Roman" w:hAnsi="Times New Roman" w:eastAsia="仿宋_GB2312"/>
          <w:sz w:val="32"/>
          <w:szCs w:val="32"/>
        </w:rPr>
        <w:t>。其中：</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仿宋_GB2312" w:hAnsi="仿宋_GB2312" w:eastAsia="仿宋_GB2312" w:cs="仿宋_GB2312"/>
          <w:color w:val="000000"/>
          <w:sz w:val="32"/>
          <w:szCs w:val="32"/>
        </w:rPr>
        <w:t>决算数与年初预算数持平，主要原因按预算执行，与上年数持平，主要原因本年度未安排因公出国（境）</w:t>
      </w:r>
      <w:r>
        <w:rPr>
          <w:rFonts w:hint="eastAsia" w:ascii="仿宋_GB2312" w:hAnsi="仿宋_GB2312" w:eastAsia="仿宋_GB2312" w:cs="仿宋_GB2312"/>
          <w:sz w:val="32"/>
          <w:szCs w:val="32"/>
        </w:rPr>
        <w:t>。</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7.5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5.69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75.9</w:t>
      </w:r>
      <w:r>
        <w:rPr>
          <w:rFonts w:hint="eastAsia" w:ascii="Times New Roman" w:hAnsi="Times New Roman" w:eastAsia="仿宋_GB2312"/>
          <w:sz w:val="32"/>
          <w:szCs w:val="32"/>
        </w:rPr>
        <w:t>%，决算数小于预算数的主要原因是</w:t>
      </w:r>
      <w:r>
        <w:rPr>
          <w:rFonts w:hint="eastAsia" w:ascii="仿宋_GB2312" w:hAnsi="仿宋_GB2312" w:eastAsia="仿宋_GB2312" w:cs="仿宋_GB2312"/>
          <w:sz w:val="32"/>
          <w:szCs w:val="32"/>
        </w:rPr>
        <w:t>认真落实中央八项规定和厉行节约的各项要求，进一步从严控制“三公”经费开支</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0.93</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19.5</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eastAsia="zh-CN"/>
        </w:rPr>
        <w:t>根据实际工作需要，增加相应支出</w:t>
      </w:r>
      <w:r>
        <w:rPr>
          <w:rFonts w:hint="eastAsia" w:ascii="Times New Roman" w:hAnsi="Times New Roman" w:eastAsia="仿宋_GB2312"/>
          <w:sz w:val="32"/>
          <w:szCs w:val="32"/>
        </w:rPr>
        <w:t>。</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仿宋_GB2312" w:hAnsi="仿宋_GB2312" w:eastAsia="仿宋_GB2312" w:cs="仿宋_GB2312"/>
          <w:color w:val="000000"/>
          <w:sz w:val="32"/>
          <w:szCs w:val="32"/>
        </w:rPr>
        <w:t>决算数与年初预算数持平，主要原因按预算执行</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与上年数持平，主要原因本年度未安排</w:t>
      </w:r>
      <w:r>
        <w:rPr>
          <w:rFonts w:hint="eastAsia" w:ascii="仿宋_GB2312" w:hAnsi="仿宋_GB2312" w:eastAsia="仿宋_GB2312" w:cs="仿宋_GB2312"/>
          <w:color w:val="000000"/>
          <w:sz w:val="32"/>
          <w:szCs w:val="32"/>
          <w:lang w:eastAsia="zh-CN"/>
        </w:rPr>
        <w:t>公务用车购置费</w:t>
      </w:r>
      <w:r>
        <w:rPr>
          <w:rFonts w:hint="eastAsia" w:ascii="仿宋_GB2312" w:hAnsi="仿宋_GB2312" w:eastAsia="仿宋_GB2312" w:cs="仿宋_GB2312"/>
          <w:sz w:val="32"/>
          <w:szCs w:val="32"/>
        </w:rPr>
        <w:t>。</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32.86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11.41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34.7</w:t>
      </w:r>
      <w:r>
        <w:rPr>
          <w:rFonts w:hint="eastAsia" w:ascii="Times New Roman" w:hAnsi="Times New Roman" w:eastAsia="仿宋_GB2312"/>
          <w:sz w:val="32"/>
          <w:szCs w:val="32"/>
        </w:rPr>
        <w:t>%，决算数小于预算数的主要原因是</w:t>
      </w:r>
      <w:r>
        <w:rPr>
          <w:rFonts w:hint="eastAsia" w:ascii="仿宋_GB2312" w:hAnsi="仿宋_GB2312" w:eastAsia="仿宋_GB2312" w:cs="仿宋_GB2312"/>
          <w:sz w:val="32"/>
          <w:szCs w:val="32"/>
        </w:rPr>
        <w:t>认真落实中央八项规定和厉行节约的各项要求，进一步从严控制公务用车运行维护费开支</w:t>
      </w:r>
      <w:r>
        <w:rPr>
          <w:rFonts w:hint="eastAsia" w:ascii="仿宋_GB2312" w:hAnsi="仿宋_GB2312" w:eastAsia="仿宋_GB2312" w:cs="仿宋_GB2312"/>
          <w:sz w:val="32"/>
          <w:szCs w:val="32"/>
          <w:lang w:eastAsia="zh-CN"/>
        </w:rPr>
        <w:t>。</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35.01</w:t>
      </w:r>
      <w:r>
        <w:rPr>
          <w:rFonts w:hint="eastAsia" w:ascii="Times New Roman" w:hAnsi="Times New Roman" w:eastAsia="仿宋_GB2312"/>
          <w:sz w:val="32"/>
          <w:szCs w:val="32"/>
        </w:rPr>
        <w:t>%,减少的主要原因是</w:t>
      </w:r>
      <w:r>
        <w:rPr>
          <w:rFonts w:hint="eastAsia" w:ascii="仿宋_GB2312" w:hAnsi="仿宋_GB2312" w:eastAsia="仿宋_GB2312" w:cs="仿宋_GB2312"/>
          <w:sz w:val="32"/>
          <w:szCs w:val="32"/>
        </w:rPr>
        <w:t>按照相关规定严格控制车辆运行维护费开支。</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5.69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33.3</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11.41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66.7</w:t>
      </w:r>
      <w:r>
        <w:rPr>
          <w:rFonts w:hint="eastAsia" w:ascii="Times New Roman" w:hAnsi="Times New Roman" w:eastAsia="仿宋_GB2312"/>
          <w:sz w:val="32"/>
          <w:szCs w:val="32"/>
        </w:rPr>
        <w:t>%。其中：</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5.69</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92</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540</w:t>
      </w:r>
      <w:r>
        <w:rPr>
          <w:rFonts w:hint="eastAsia" w:ascii="Times New Roman" w:hAnsi="Times New Roman" w:eastAsia="仿宋_GB2312"/>
          <w:sz w:val="32"/>
          <w:szCs w:val="32"/>
        </w:rPr>
        <w:t>人次，主要是</w:t>
      </w:r>
      <w:r>
        <w:rPr>
          <w:rFonts w:hint="eastAsia" w:ascii="仿宋_GB2312" w:hAnsi="仿宋_GB2312" w:eastAsia="仿宋_GB2312" w:cs="仿宋_GB2312"/>
          <w:sz w:val="32"/>
          <w:szCs w:val="32"/>
        </w:rPr>
        <w:t>上级部门调研、检查，县市区工作人员前来衔接相关业务工作发生的接待支出</w:t>
      </w:r>
      <w:r>
        <w:rPr>
          <w:rFonts w:hint="eastAsia" w:ascii="Times New Roman" w:hAnsi="Times New Roman" w:eastAsia="仿宋_GB2312"/>
          <w:sz w:val="32"/>
          <w:szCs w:val="32"/>
        </w:rPr>
        <w:t>。</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11.41</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，本部门</w:t>
      </w:r>
      <w:r>
        <w:rPr>
          <w:rFonts w:hint="eastAsia" w:ascii="Times New Roman" w:hAnsi="Times New Roman" w:eastAsia="仿宋_GB2312"/>
          <w:sz w:val="32"/>
          <w:szCs w:val="32"/>
          <w:lang w:val="en-US" w:eastAsia="zh-CN"/>
        </w:rPr>
        <w:t>2023年度</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11.41</w:t>
      </w:r>
      <w:r>
        <w:rPr>
          <w:rFonts w:hint="eastAsia" w:ascii="Times New Roman" w:hAnsi="Times New Roman" w:eastAsia="仿宋_GB2312"/>
          <w:sz w:val="32"/>
          <w:szCs w:val="32"/>
        </w:rPr>
        <w:t>万元，主要是</w:t>
      </w:r>
      <w:r>
        <w:rPr>
          <w:rFonts w:hint="eastAsia" w:ascii="仿宋_GB2312" w:hAnsi="仿宋_GB2312" w:eastAsia="仿宋_GB2312" w:cs="仿宋_GB2312"/>
          <w:sz w:val="32"/>
          <w:szCs w:val="32"/>
        </w:rPr>
        <w:t>车辆燃油费、维修费、过路过桥费、车辆保险、司机安全公里奖支出</w:t>
      </w:r>
      <w:r>
        <w:rPr>
          <w:rFonts w:hint="eastAsia" w:ascii="Times New Roman" w:hAnsi="Times New Roman" w:eastAsia="仿宋_GB2312"/>
          <w:sz w:val="32"/>
          <w:szCs w:val="32"/>
        </w:rPr>
        <w:t>，截止202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辆。</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bookmarkStart w:id="19" w:name="_GoBack"/>
      <w:bookmarkEnd w:id="19"/>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3099.3</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3099.3</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eastAsia="zh-CN"/>
        </w:rPr>
        <w:t>其他</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其他政府性基金及对应专项债务收入安排</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其他地方自行试点项目收益专项债券收入安排</w:t>
      </w:r>
      <w:r>
        <w:rPr>
          <w:rFonts w:hint="eastAsia" w:ascii="Times New Roman" w:hAnsi="Times New Roman" w:eastAsia="仿宋_GB2312"/>
          <w:sz w:val="32"/>
          <w:szCs w:val="32"/>
        </w:rPr>
        <w:t>（项）。</w:t>
      </w:r>
    </w:p>
    <w:p>
      <w:pPr>
        <w:spacing w:line="600" w:lineRule="exact"/>
        <w:ind w:firstLine="640" w:firstLineChars="200"/>
        <w:rPr>
          <w:rFonts w:hint="eastAsia" w:ascii="仿宋_GB2312" w:hAnsi="仿宋_GB2312" w:eastAsia="仿宋_GB2312" w:cs="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1973.71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仿宋_GB2312" w:hAnsi="仿宋_GB2312" w:eastAsia="仿宋_GB2312" w:cs="仿宋_GB2312"/>
          <w:sz w:val="32"/>
          <w:szCs w:val="32"/>
        </w:rPr>
        <w:t>此项为中央省级下拨资金，未列入市本级年初预算。</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其他</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彩票公益金安排</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用于社会福利的彩票公益金</w:t>
      </w:r>
      <w:r>
        <w:rPr>
          <w:rFonts w:hint="eastAsia" w:ascii="Times New Roman" w:hAnsi="Times New Roman" w:eastAsia="仿宋_GB2312"/>
          <w:sz w:val="32"/>
          <w:szCs w:val="32"/>
        </w:rPr>
        <w:t>（项）。</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1122.55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仿宋_GB2312" w:hAnsi="仿宋_GB2312" w:eastAsia="仿宋_GB2312" w:cs="仿宋_GB2312"/>
          <w:sz w:val="32"/>
          <w:szCs w:val="32"/>
        </w:rPr>
        <w:t>此项为中央省级下拨资金，未列入市本级年初预算。</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其他</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彩票公益金安排</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用于其他社会公益事业的彩票公益金</w:t>
      </w:r>
      <w:r>
        <w:rPr>
          <w:rFonts w:hint="eastAsia" w:ascii="Times New Roman" w:hAnsi="Times New Roman" w:eastAsia="仿宋_GB2312"/>
          <w:sz w:val="32"/>
          <w:szCs w:val="32"/>
        </w:rPr>
        <w:t>（项）。</w:t>
      </w:r>
    </w:p>
    <w:p>
      <w:pPr>
        <w:spacing w:line="600" w:lineRule="exact"/>
        <w:ind w:firstLine="640" w:firstLineChars="200"/>
        <w:rPr>
          <w:rFonts w:hint="eastAsia" w:ascii="仿宋_GB2312" w:hAnsi="仿宋_GB2312" w:eastAsia="仿宋_GB2312" w:cs="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3.04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仿宋_GB2312" w:hAnsi="仿宋_GB2312" w:eastAsia="仿宋_GB2312" w:cs="仿宋_GB2312"/>
          <w:sz w:val="32"/>
          <w:szCs w:val="32"/>
        </w:rPr>
        <w:t>此项为中央省级下拨资金，未列入市本级年初预算。</w:t>
      </w:r>
    </w:p>
    <w:p>
      <w:pPr>
        <w:pStyle w:val="16"/>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r>
        <w:rPr>
          <w:rFonts w:hint="eastAsia" w:ascii="Times New Roman" w:hAnsi="Times New Roman" w:eastAsia="仿宋_GB2312"/>
          <w:b/>
          <w:color w:val="auto"/>
          <w:sz w:val="32"/>
          <w:szCs w:val="32"/>
          <w:lang w:eastAsia="zh-CN"/>
        </w:rPr>
        <w:t>国有资本经营预算收入支出决算情况</w:t>
      </w:r>
    </w:p>
    <w:p>
      <w:pPr>
        <w:pStyle w:val="16"/>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r>
        <w:rPr>
          <w:rFonts w:hint="eastAsia" w:ascii="Times New Roman" w:hAnsi="Times New Roman" w:eastAsia="仿宋_GB2312"/>
          <w:b w:val="0"/>
          <w:bCs/>
          <w:sz w:val="32"/>
          <w:szCs w:val="32"/>
          <w:lang w:eastAsia="zh-CN"/>
        </w:rPr>
        <w:t>本单位无国有资本经营预算财政拨款收入支出。</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eastAsia="zh-CN"/>
        </w:rPr>
        <w:t>十、</w:t>
      </w:r>
      <w:r>
        <w:rPr>
          <w:rFonts w:hint="eastAsia" w:ascii="Times New Roman" w:hAnsi="Times New Roman" w:eastAsia="仿宋_GB2312"/>
          <w:b/>
          <w:color w:val="auto"/>
          <w:sz w:val="32"/>
          <w:szCs w:val="32"/>
        </w:rPr>
        <w:t>关于机关运行经费支出说明</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333.7</w:t>
      </w:r>
      <w:r>
        <w:rPr>
          <w:rFonts w:hint="eastAsia" w:ascii="Times New Roman" w:hAnsi="Times New Roman" w:eastAsia="仿宋_GB2312"/>
          <w:sz w:val="32"/>
          <w:szCs w:val="32"/>
        </w:rPr>
        <w:t>万元，比上年决算数减少</w:t>
      </w:r>
      <w:r>
        <w:rPr>
          <w:rFonts w:hint="eastAsia" w:ascii="Times New Roman" w:hAnsi="Times New Roman" w:eastAsia="仿宋_GB2312"/>
          <w:sz w:val="32"/>
          <w:szCs w:val="32"/>
          <w:lang w:val="en-US" w:eastAsia="zh-CN"/>
        </w:rPr>
        <w:t>68</w:t>
      </w:r>
      <w:r>
        <w:rPr>
          <w:rFonts w:hint="eastAsia" w:ascii="Times New Roman" w:hAnsi="Times New Roman" w:eastAsia="仿宋_GB2312"/>
          <w:sz w:val="32"/>
          <w:szCs w:val="32"/>
        </w:rPr>
        <w:t>万元，降低</w:t>
      </w: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根据财政要求缩减行政运行经费</w:t>
      </w:r>
      <w:r>
        <w:rPr>
          <w:rFonts w:hint="eastAsia" w:ascii="Times New Roman" w:hAnsi="Times New Roman" w:eastAsia="仿宋_GB2312"/>
          <w:sz w:val="32"/>
          <w:szCs w:val="32"/>
        </w:rPr>
        <w:t>。</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eastAsia="zh-CN"/>
        </w:rPr>
        <w:t>全市民政重点工作推进会</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62</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全市民政局系统重点工作推进及农村互助养老服务工作</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0.74</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eastAsia="zh-CN"/>
        </w:rPr>
        <w:t>事业单位人员线上</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事业人员能力提升</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lang w:eastAsia="zh-CN"/>
        </w:rPr>
        <w:t>未</w:t>
      </w:r>
      <w:r>
        <w:rPr>
          <w:rFonts w:hint="eastAsia" w:ascii="Times New Roman" w:hAnsi="Times New Roman" w:eastAsia="仿宋_GB2312"/>
          <w:sz w:val="32"/>
          <w:szCs w:val="32"/>
        </w:rPr>
        <w:t>举办节庆、晚会、论坛、赛事活动，开支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 xml:space="preserve">   </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1305.7</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463.9</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191.2</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650.6</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1087.9</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83.3</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917.8</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84.4</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42.6</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57.4</w:t>
      </w:r>
      <w:r>
        <w:rPr>
          <w:rFonts w:hint="eastAsia" w:ascii="Times New Roman" w:hAnsi="Times New Roman" w:eastAsia="仿宋_GB2312"/>
          <w:color w:val="auto"/>
          <w:sz w:val="32"/>
          <w:szCs w:val="32"/>
        </w:rPr>
        <w:t>%。</w:t>
      </w:r>
    </w:p>
    <w:p>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三</w:t>
      </w:r>
      <w:r>
        <w:rPr>
          <w:rFonts w:hint="eastAsia" w:ascii="黑体" w:hAnsi="黑体" w:eastAsia="黑体" w:cs="黑体"/>
          <w:b w:val="0"/>
          <w:bCs/>
          <w:color w:val="auto"/>
          <w:sz w:val="32"/>
          <w:szCs w:val="32"/>
        </w:rPr>
        <w:t>、关于国有资产占用情况说明</w:t>
      </w:r>
    </w:p>
    <w:p>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9</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9</w:t>
      </w:r>
      <w:r>
        <w:rPr>
          <w:rFonts w:hint="eastAsia" w:ascii="Times New Roman" w:hAnsi="Times New Roman" w:eastAsia="仿宋_GB2312"/>
          <w:color w:val="auto"/>
          <w:sz w:val="32"/>
          <w:szCs w:val="32"/>
        </w:rPr>
        <w:t>辆，其他用车主要是</w:t>
      </w:r>
      <w:r>
        <w:rPr>
          <w:rFonts w:hint="eastAsia" w:ascii="仿宋_GB2312" w:hAnsi="仿宋_GB2312" w:eastAsia="仿宋_GB2312" w:cs="仿宋_GB2312"/>
          <w:sz w:val="32"/>
          <w:szCs w:val="32"/>
        </w:rPr>
        <w:t>流浪乞讨救助专用车及殡葬服务用车；</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left="0" w:right="0" w:firstLine="632"/>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（一）绩效管理工作开展情况</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left="0" w:right="0" w:firstLine="632"/>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i w:val="0"/>
          <w:caps w:val="0"/>
          <w:color w:val="3D3D3D"/>
          <w:spacing w:val="0"/>
          <w:sz w:val="32"/>
          <w:szCs w:val="32"/>
          <w:shd w:val="clear" w:fill="FFFFFF"/>
        </w:rPr>
        <w:t>202</w:t>
      </w:r>
      <w:r>
        <w:rPr>
          <w:rFonts w:hint="eastAsia" w:ascii="仿宋_GB2312" w:hAnsi="仿宋_GB2312" w:eastAsia="仿宋_GB2312" w:cs="仿宋_GB2312"/>
          <w:i w:val="0"/>
          <w:caps w:val="0"/>
          <w:color w:val="3D3D3D"/>
          <w:spacing w:val="0"/>
          <w:sz w:val="32"/>
          <w:szCs w:val="32"/>
          <w:shd w:val="clear" w:fill="FFFFFF"/>
          <w:lang w:val="en-US" w:eastAsia="zh-CN"/>
        </w:rPr>
        <w:t>3</w:t>
      </w:r>
      <w:r>
        <w:rPr>
          <w:rFonts w:hint="eastAsia" w:ascii="仿宋_GB2312" w:hAnsi="仿宋_GB2312" w:eastAsia="仿宋_GB2312" w:cs="仿宋_GB2312"/>
          <w:i w:val="0"/>
          <w:caps w:val="0"/>
          <w:color w:val="3D3D3D"/>
          <w:spacing w:val="0"/>
          <w:sz w:val="32"/>
          <w:szCs w:val="32"/>
          <w:shd w:val="clear" w:fill="FFFFFF"/>
        </w:rPr>
        <w:t>年，怀化市民政局认真落实市委、市政府决策部署，全面推进各项重点工作，较好地完成了各项目标任务。根据《部门整体支出绩效评价共性指标表》评分，得分9</w:t>
      </w:r>
      <w:r>
        <w:rPr>
          <w:rFonts w:hint="eastAsia" w:ascii="仿宋_GB2312" w:hAnsi="仿宋_GB2312" w:eastAsia="仿宋_GB2312" w:cs="仿宋_GB2312"/>
          <w:i w:val="0"/>
          <w:caps w:val="0"/>
          <w:color w:val="3D3D3D"/>
          <w:spacing w:val="0"/>
          <w:sz w:val="32"/>
          <w:szCs w:val="32"/>
          <w:shd w:val="clear" w:fill="FFFFFF"/>
          <w:lang w:val="en-US" w:eastAsia="zh-CN"/>
        </w:rPr>
        <w:t>5</w:t>
      </w:r>
      <w:r>
        <w:rPr>
          <w:rFonts w:hint="eastAsia" w:ascii="仿宋_GB2312" w:hAnsi="仿宋_GB2312" w:eastAsia="仿宋_GB2312" w:cs="仿宋_GB2312"/>
          <w:i w:val="0"/>
          <w:caps w:val="0"/>
          <w:color w:val="3D3D3D"/>
          <w:spacing w:val="0"/>
          <w:sz w:val="32"/>
          <w:szCs w:val="32"/>
          <w:shd w:val="clear" w:fill="FFFFFF"/>
        </w:rPr>
        <w:t>分，财政支出绩效为“优”。主要绩效如下：</w:t>
      </w:r>
    </w:p>
    <w:p>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部门</w:t>
      </w:r>
      <w:r>
        <w:rPr>
          <w:rFonts w:hint="eastAsia" w:ascii="仿宋_GB2312" w:hAnsi="仿宋_GB2312" w:eastAsia="仿宋_GB2312" w:cs="仿宋_GB2312"/>
          <w:b/>
          <w:bCs/>
          <w:sz w:val="32"/>
          <w:szCs w:val="32"/>
          <w:lang w:eastAsia="zh-CN"/>
        </w:rPr>
        <w:t>（单位）</w:t>
      </w:r>
      <w:r>
        <w:rPr>
          <w:rFonts w:hint="eastAsia" w:ascii="仿宋_GB2312" w:hAnsi="仿宋_GB2312" w:eastAsia="仿宋_GB2312" w:cs="仿宋_GB2312"/>
          <w:b/>
          <w:bCs/>
          <w:sz w:val="32"/>
          <w:szCs w:val="32"/>
        </w:rPr>
        <w:t>整体支出绩效情况</w:t>
      </w:r>
    </w:p>
    <w:p>
      <w:pPr>
        <w:snapToGrid w:val="0"/>
        <w:spacing w:line="560" w:lineRule="exact"/>
        <w:ind w:firstLine="632" w:firstLineChars="200"/>
        <w:rPr>
          <w:rFonts w:hint="eastAsia" w:ascii="仿宋_GB2312" w:hAnsi="仿宋_GB2312" w:eastAsia="仿宋_GB2312" w:cs="仿宋_GB2312"/>
          <w:b/>
          <w:spacing w:val="-2"/>
          <w:sz w:val="32"/>
          <w:szCs w:val="32"/>
        </w:rPr>
      </w:pPr>
      <w:r>
        <w:rPr>
          <w:rFonts w:hint="eastAsia" w:ascii="仿宋_GB2312" w:hAnsi="仿宋_GB2312" w:eastAsia="仿宋_GB2312" w:cs="仿宋_GB2312"/>
          <w:b/>
          <w:spacing w:val="-2"/>
          <w:sz w:val="32"/>
          <w:szCs w:val="32"/>
        </w:rPr>
        <w:t>1.经济性分析。</w:t>
      </w:r>
      <w:r>
        <w:rPr>
          <w:rFonts w:hint="eastAsia" w:ascii="仿宋_GB2312" w:hAnsi="仿宋_GB2312" w:eastAsia="仿宋_GB2312" w:cs="仿宋_GB2312"/>
          <w:spacing w:val="-2"/>
          <w:sz w:val="32"/>
          <w:szCs w:val="32"/>
        </w:rPr>
        <w:t>2023年预算配置控制较好，预算项目资金全部投入项目之中，全年落实各类拨款到账，保证了局机关的正常运转和民政事业发展，局机关全年财务管理和收支目标得以实现。预算执行方面，严格贯彻落实例行节约反对浪费条例，采取一系列措施加强对经费支出的严格控制，费用支出做到事前申报，按流程审批、按标准开支，支出总额控制在预算总额以内，投入进度正常。公用经费预算与决算收支平衡，控制率达100%。“三公经费”总体控制较好，节约率达到28.65%。</w:t>
      </w:r>
    </w:p>
    <w:p>
      <w:pPr>
        <w:snapToGrid w:val="0"/>
        <w:spacing w:line="560" w:lineRule="exact"/>
        <w:ind w:firstLine="632" w:firstLineChars="200"/>
        <w:rPr>
          <w:rFonts w:hint="eastAsia" w:ascii="仿宋_GB2312" w:hAnsi="仿宋_GB2312" w:eastAsia="仿宋_GB2312" w:cs="仿宋_GB2312"/>
          <w:spacing w:val="-2"/>
          <w:sz w:val="32"/>
          <w:szCs w:val="32"/>
        </w:rPr>
      </w:pPr>
      <w:r>
        <w:rPr>
          <w:rFonts w:hint="eastAsia" w:ascii="仿宋_GB2312" w:hAnsi="仿宋_GB2312" w:eastAsia="仿宋_GB2312" w:cs="仿宋_GB2312"/>
          <w:b/>
          <w:spacing w:val="-2"/>
          <w:sz w:val="32"/>
          <w:szCs w:val="32"/>
        </w:rPr>
        <w:t>2.效率性分析。</w:t>
      </w:r>
      <w:r>
        <w:rPr>
          <w:rFonts w:hint="eastAsia" w:ascii="仿宋_GB2312" w:hAnsi="仿宋_GB2312" w:eastAsia="仿宋_GB2312" w:cs="仿宋_GB2312"/>
          <w:spacing w:val="-2"/>
          <w:sz w:val="32"/>
          <w:szCs w:val="32"/>
        </w:rPr>
        <w:t>紧紧围绕深入实施“五新四城”战略，较好地完成了省市工作部署及年初制定工作目标，以民政所为服务全市发展大局。全力组织实施“为民解忧办实事”民生项目，争取上级民政资金9.05亿元，全力推进520张护理型床位建设和1700户困难老年人居家适老化改造，92.3%的县市区已开展或正在开展精神障碍社区康复服务，加快推动市第二福利院、市殡仪馆等重点项目建设，全面推动“一件事一次办”改革，婚姻登记实现“全省通办”，完成河西舞阳大道、中方南湖路整合更名为陆港大道等10条城市道路更名命名工作，民政窗口群众满意率达100%，坚决守住了安全生产、涉老非法集资、资金监管、巡察反馈问题整改、党风廉政建设、舆情风险防控“六条底线”。</w:t>
      </w:r>
    </w:p>
    <w:p>
      <w:pPr>
        <w:snapToGrid w:val="0"/>
        <w:spacing w:line="560" w:lineRule="exact"/>
        <w:ind w:firstLine="632" w:firstLineChars="200"/>
        <w:rPr>
          <w:rFonts w:hint="eastAsia" w:ascii="仿宋_GB2312" w:hAnsi="仿宋_GB2312" w:eastAsia="仿宋_GB2312" w:cs="仿宋_GB2312"/>
          <w:b/>
          <w:spacing w:val="-2"/>
          <w:sz w:val="32"/>
          <w:szCs w:val="32"/>
        </w:rPr>
      </w:pPr>
      <w:r>
        <w:rPr>
          <w:rFonts w:hint="eastAsia" w:ascii="仿宋_GB2312" w:hAnsi="仿宋_GB2312" w:eastAsia="仿宋_GB2312" w:cs="仿宋_GB2312"/>
          <w:b/>
          <w:spacing w:val="-2"/>
          <w:sz w:val="32"/>
          <w:szCs w:val="32"/>
        </w:rPr>
        <w:t>3.有效性分析</w:t>
      </w:r>
    </w:p>
    <w:p>
      <w:pPr>
        <w:snapToGrid w:val="0"/>
        <w:spacing w:line="560" w:lineRule="exact"/>
        <w:ind w:firstLine="632" w:firstLineChars="200"/>
        <w:rPr>
          <w:rFonts w:hint="eastAsia" w:ascii="仿宋_GB2312" w:hAnsi="仿宋_GB2312" w:eastAsia="仿宋_GB2312" w:cs="仿宋_GB2312"/>
          <w:b/>
          <w:spacing w:val="-2"/>
          <w:sz w:val="32"/>
          <w:szCs w:val="32"/>
        </w:rPr>
      </w:pPr>
      <w:r>
        <w:rPr>
          <w:rFonts w:hint="eastAsia" w:ascii="仿宋_GB2312" w:hAnsi="仿宋_GB2312" w:eastAsia="仿宋_GB2312" w:cs="仿宋_GB2312"/>
          <w:spacing w:val="-2"/>
          <w:sz w:val="32"/>
          <w:szCs w:val="32"/>
        </w:rPr>
        <w:t>（1）严格落实社会救助兜底保障，稳步提高三类对象生活保障标准，落实精准救助与主动发现机制，开展城乡低保交叉检查和生活无着流浪乞讨人员救助管理工作“回头看”，推动城乡低保扩围增效，坚决守住不发生规模性返贫底线。全年累计发放城乡低保金4.79亿元，残疾人两项补贴9957.5万元，孤儿散居与集中生活补贴688.89万元。</w:t>
      </w:r>
    </w:p>
    <w:p>
      <w:pPr>
        <w:widowControl/>
        <w:shd w:val="clear" w:color="auto" w:fill="FFFFFF"/>
        <w:spacing w:line="560" w:lineRule="exact"/>
        <w:ind w:firstLine="632" w:firstLineChars="200"/>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2）全面布局“1+N+X”养老服务设施网络体系，在全省率先出台《关于推进基本养老服务体系建设的实施意见》《关于加强农村养老服务体系建设推进农村互助养老服务工作的实施意见》，建成13个失能失智特困人员集中照护中心、45个区域性（乡镇）示范性综合养老服务中心、1656个农村互助养老服务站点，发动8600多名为老志愿者结对4.47万多名特殊困难老人。</w:t>
      </w:r>
    </w:p>
    <w:p>
      <w:pPr>
        <w:widowControl/>
        <w:shd w:val="clear" w:color="auto" w:fill="FFFFFF"/>
        <w:spacing w:line="560" w:lineRule="exact"/>
        <w:ind w:firstLine="632" w:firstLineChars="200"/>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3）建立市县未成年人关爱保护工作联席会议制度，充分发挥未保办牵头抓总作用，开展全市的孤儿及事实无人抚养儿童一对一上门探访，未成年人与电竞酒店“物理隔离”经验做法被文旅部、全国“扫黄打非办”推介，全市困境儿童关爱基地投入常态化运营，累计服务儿童1086人次。凝聚强大合力，推动构建“六位一体”综合保护体系温情打造全市未成年人关爱保护示范基地。</w:t>
      </w:r>
    </w:p>
    <w:p>
      <w:pPr>
        <w:widowControl/>
        <w:shd w:val="clear" w:color="auto" w:fill="FFFFFF"/>
        <w:spacing w:line="560" w:lineRule="exact"/>
        <w:ind w:firstLine="632" w:firstLineChars="200"/>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（4）大力推进殡葬俗改革，成立了市长任组长的殡葬改革领导小组，</w:t>
      </w:r>
      <w:r>
        <w:rPr>
          <w:rFonts w:hint="eastAsia" w:ascii="仿宋_GB2312" w:hAnsi="仿宋_GB2312" w:eastAsia="仿宋_GB2312" w:cs="仿宋_GB2312"/>
          <w:sz w:val="32"/>
          <w:szCs w:val="36"/>
        </w:rPr>
        <w:t>规范医院太平间（停尸房）管理，</w:t>
      </w:r>
      <w:r>
        <w:rPr>
          <w:rFonts w:hint="eastAsia" w:ascii="仿宋_GB2312" w:hAnsi="仿宋_GB2312" w:eastAsia="仿宋_GB2312" w:cs="仿宋_GB2312"/>
          <w:spacing w:val="-2"/>
          <w:sz w:val="32"/>
          <w:szCs w:val="32"/>
        </w:rPr>
        <w:t>出台《怀化市鹤中一体化惠民殡葬实施办法（试行）》，免除遗体接运、遗体火化等五项基本殡葬服务费用，</w:t>
      </w:r>
      <w:r>
        <w:rPr>
          <w:rFonts w:hint="eastAsia" w:ascii="仿宋_GB2312" w:hAnsi="仿宋_GB2312" w:eastAsia="仿宋_GB2312" w:cs="仿宋_GB2312"/>
          <w:sz w:val="32"/>
          <w:szCs w:val="36"/>
        </w:rPr>
        <w:t>为群众减免各项服务费用330余万元。</w:t>
      </w:r>
    </w:p>
    <w:p>
      <w:pPr>
        <w:widowControl/>
        <w:shd w:val="clear" w:color="auto" w:fill="FFFFFF"/>
        <w:spacing w:line="560" w:lineRule="exact"/>
        <w:ind w:firstLine="632" w:firstLineChars="200"/>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5）出台《关于进一步加强城乡社区规范化建设的指导意见》，联合四部门出台《怀化市村级组织工作事务、机制牌子和证明事项指导目录》，梳理形成我市村级组织工作事项指导目录49项，明确村级组织挂牌数量12+2个，明确不应由村级组织出具证明的数量36个，最大限度便民利民、减轻基层负担。</w:t>
      </w:r>
    </w:p>
    <w:p>
      <w:pPr>
        <w:widowControl/>
        <w:shd w:val="clear" w:color="auto" w:fill="FFFFFF"/>
        <w:spacing w:line="560" w:lineRule="exact"/>
        <w:ind w:firstLine="632" w:firstLineChars="200"/>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（6）制定《怀化市基层社工站探索“五社联动”机制实施方案》，指导全市社工站探索创新“五社联动”特色服务，全市26个基层社工站获评省级第一批五星级站点，基层社工站平均持证率为62%。</w:t>
      </w:r>
    </w:p>
    <w:p>
      <w:pPr>
        <w:widowControl/>
        <w:shd w:val="clear" w:color="auto" w:fill="FFFFFF"/>
        <w:spacing w:line="560" w:lineRule="exact"/>
        <w:ind w:firstLine="632" w:firstLineChars="200"/>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7）有序推进福利慈善彩票事业发展，福彩销售总量达4.57亿元，开展怀化扬州慈善励志班、慈善福彩公益夏（冬）令营、“公益福彩·爱心助学”等活动，“慈善长者餐厅”陆续挂牌投入使用，引导社会组织党组织通过认领、募捐等方式建成宝贝小屋、阅读小屋、直播小屋、医生小屋76间，投入资金108.37万元。</w:t>
      </w:r>
    </w:p>
    <w:p>
      <w:pPr>
        <w:snapToGrid w:val="0"/>
        <w:spacing w:line="560" w:lineRule="exact"/>
        <w:ind w:firstLine="632" w:firstLineChars="200"/>
        <w:rPr>
          <w:rFonts w:ascii="Times New Roman" w:hAnsi="Times New Roman" w:eastAsia="方正黑体_GBK" w:cs="Times New Roman"/>
          <w:bCs/>
          <w:color w:val="000000"/>
          <w:sz w:val="32"/>
          <w:szCs w:val="32"/>
          <w:shd w:val="clear" w:color="auto" w:fill="FFFFFF"/>
        </w:rPr>
      </w:pPr>
      <w:r>
        <w:rPr>
          <w:rFonts w:hint="eastAsia" w:ascii="仿宋_GB2312" w:hAnsi="仿宋_GB2312" w:eastAsia="仿宋_GB2312" w:cs="仿宋_GB2312"/>
          <w:b/>
          <w:spacing w:val="-2"/>
          <w:sz w:val="32"/>
          <w:szCs w:val="32"/>
        </w:rPr>
        <w:t>4.可持续性分析。</w:t>
      </w:r>
      <w:r>
        <w:rPr>
          <w:rFonts w:hint="eastAsia" w:ascii="仿宋_GB2312" w:hAnsi="仿宋_GB2312" w:eastAsia="仿宋_GB2312" w:cs="仿宋_GB2312"/>
          <w:spacing w:val="-2"/>
          <w:sz w:val="32"/>
          <w:szCs w:val="32"/>
        </w:rPr>
        <w:t>坚持尽力而为、量力而行，坚持精准研判、厉行节约，既保障了基本民生项目实施，又保障了局机关正常运转，与民政事业发展规划、部门职能职责以及当前财务现状基本吻合，具有可持续性</w:t>
      </w:r>
      <w:r>
        <w:rPr>
          <w:rFonts w:ascii="Times New Roman" w:hAnsi="Times New Roman" w:eastAsia="方正仿宋_GBK" w:cs="Times New Roman"/>
          <w:spacing w:val="-2"/>
          <w:sz w:val="32"/>
          <w:szCs w:val="32"/>
        </w:rPr>
        <w:t>。</w:t>
      </w:r>
    </w:p>
    <w:p>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pPr>
        <w:widowControl/>
        <w:shd w:val="clear" w:color="auto" w:fill="FFFFFF"/>
        <w:spacing w:line="560" w:lineRule="exact"/>
        <w:ind w:firstLine="632" w:firstLineChars="200"/>
        <w:rPr>
          <w:rFonts w:hint="eastAsia" w:ascii="仿宋_GB2312" w:hAnsi="仿宋_GB2312" w:eastAsia="仿宋_GB2312" w:cs="仿宋_GB2312"/>
          <w:spacing w:val="-2"/>
          <w:sz w:val="32"/>
          <w:szCs w:val="32"/>
        </w:rPr>
      </w:pPr>
      <w:r>
        <w:rPr>
          <w:rFonts w:hint="eastAsia" w:ascii="仿宋_GB2312" w:hAnsi="仿宋_GB2312" w:eastAsia="仿宋_GB2312" w:cs="仿宋_GB2312"/>
          <w:b/>
          <w:spacing w:val="-2"/>
          <w:sz w:val="32"/>
          <w:szCs w:val="32"/>
        </w:rPr>
        <w:t>一是</w:t>
      </w:r>
      <w:r>
        <w:rPr>
          <w:rFonts w:hint="eastAsia" w:ascii="仿宋_GB2312" w:hAnsi="仿宋_GB2312" w:eastAsia="仿宋_GB2312" w:cs="仿宋_GB2312"/>
          <w:spacing w:val="-2"/>
          <w:sz w:val="32"/>
          <w:szCs w:val="32"/>
        </w:rPr>
        <w:t>预算安排与实际支出存在一定差异，</w:t>
      </w:r>
      <w:r>
        <w:rPr>
          <w:rFonts w:hint="eastAsia" w:ascii="仿宋_GB2312" w:hAnsi="仿宋_GB2312" w:eastAsia="仿宋_GB2312" w:cs="仿宋_GB2312"/>
          <w:spacing w:val="-2"/>
          <w:sz w:val="32"/>
          <w:szCs w:val="32"/>
          <w:lang w:eastAsia="zh-CN"/>
        </w:rPr>
        <w:t>主要原因是</w:t>
      </w:r>
      <w:r>
        <w:rPr>
          <w:rFonts w:hint="eastAsia" w:ascii="仿宋_GB2312" w:hAnsi="仿宋_GB2312" w:eastAsia="仿宋_GB2312" w:cs="仿宋_GB2312"/>
          <w:spacing w:val="-2"/>
          <w:sz w:val="32"/>
          <w:szCs w:val="32"/>
        </w:rPr>
        <w:t>预算</w:t>
      </w:r>
      <w:r>
        <w:rPr>
          <w:rFonts w:hint="eastAsia" w:ascii="仿宋_GB2312" w:hAnsi="仿宋_GB2312" w:eastAsia="仿宋_GB2312" w:cs="仿宋_GB2312"/>
          <w:spacing w:val="-2"/>
          <w:sz w:val="32"/>
          <w:szCs w:val="32"/>
          <w:lang w:eastAsia="zh-CN"/>
        </w:rPr>
        <w:t>前瞻性、科学性、精准性还有欠缺</w:t>
      </w:r>
      <w:r>
        <w:rPr>
          <w:rFonts w:hint="eastAsia" w:ascii="仿宋_GB2312" w:hAnsi="仿宋_GB2312" w:eastAsia="仿宋_GB2312" w:cs="仿宋_GB2312"/>
          <w:spacing w:val="-2"/>
          <w:sz w:val="32"/>
          <w:szCs w:val="32"/>
        </w:rPr>
        <w:t>，造成了预算数与执行数的偏差。</w:t>
      </w: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hint="eastAsia" w:ascii="仿宋_GB2312" w:hAnsi="仿宋_GB2312" w:eastAsia="仿宋_GB2312" w:cs="仿宋_GB2312"/>
          <w:b/>
          <w:spacing w:val="-2"/>
          <w:sz w:val="32"/>
          <w:szCs w:val="32"/>
        </w:rPr>
        <w:t>二是</w:t>
      </w:r>
      <w:r>
        <w:rPr>
          <w:rFonts w:hint="eastAsia" w:ascii="仿宋_GB2312" w:hAnsi="仿宋_GB2312" w:eastAsia="仿宋_GB2312" w:cs="仿宋_GB2312"/>
          <w:spacing w:val="-2"/>
          <w:sz w:val="32"/>
          <w:szCs w:val="32"/>
        </w:rPr>
        <w:t>绩效指标设置不够完善，年初未能对绩效目标与指标进行统筹设置，产出性指标量化值设置不完善，且缺少可量化的社会经济效益指标。</w:t>
      </w:r>
    </w:p>
    <w:p>
      <w:pPr>
        <w:pStyle w:val="16"/>
        <w:jc w:val="both"/>
        <w:rPr>
          <w:sz w:val="72"/>
          <w:szCs w:val="72"/>
        </w:rPr>
      </w:pPr>
    </w:p>
    <w:p>
      <w:pPr>
        <w:pStyle w:val="16"/>
        <w:jc w:val="center"/>
        <w:rPr>
          <w:sz w:val="72"/>
          <w:szCs w:val="72"/>
        </w:rPr>
      </w:pPr>
    </w:p>
    <w:p>
      <w:pPr>
        <w:pStyle w:val="16"/>
        <w:jc w:val="center"/>
        <w:rPr>
          <w:sz w:val="72"/>
          <w:szCs w:val="72"/>
        </w:rPr>
      </w:pPr>
    </w:p>
    <w:p>
      <w:pPr>
        <w:pStyle w:val="16"/>
        <w:jc w:val="both"/>
        <w:rPr>
          <w:rFonts w:hint="eastAsia" w:ascii="方正小标宋_GBK" w:hAnsi="方正小标宋_GBK" w:eastAsia="方正小标宋_GBK" w:cs="方正小标宋_GBK"/>
          <w:sz w:val="72"/>
          <w:szCs w:val="72"/>
        </w:rPr>
      </w:pPr>
    </w:p>
    <w:p>
      <w:pPr>
        <w:pStyle w:val="16"/>
        <w:jc w:val="center"/>
        <w:rPr>
          <w:rFonts w:hint="eastAsia" w:ascii="方正小标宋_GBK" w:hAnsi="方正小标宋_GBK" w:eastAsia="方正小标宋_GBK" w:cs="方正小标宋_GBK"/>
          <w:sz w:val="72"/>
          <w:szCs w:val="72"/>
        </w:rPr>
      </w:pPr>
    </w:p>
    <w:p>
      <w:pPr>
        <w:pStyle w:val="16"/>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16"/>
        <w:jc w:val="left"/>
        <w:rPr>
          <w:sz w:val="72"/>
          <w:szCs w:val="7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6"/>
        <w:jc w:val="center"/>
        <w:rPr>
          <w:sz w:val="72"/>
          <w:szCs w:val="72"/>
        </w:rPr>
      </w:pPr>
    </w:p>
    <w:p>
      <w:pPr>
        <w:pStyle w:val="16"/>
        <w:jc w:val="center"/>
        <w:rPr>
          <w:sz w:val="72"/>
          <w:szCs w:val="72"/>
        </w:rPr>
      </w:pPr>
    </w:p>
    <w:p>
      <w:pPr>
        <w:pStyle w:val="16"/>
        <w:jc w:val="center"/>
        <w:rPr>
          <w:sz w:val="72"/>
          <w:szCs w:val="72"/>
        </w:rPr>
      </w:pPr>
    </w:p>
    <w:p>
      <w:pPr>
        <w:pStyle w:val="16"/>
        <w:jc w:val="center"/>
        <w:rPr>
          <w:sz w:val="72"/>
          <w:szCs w:val="72"/>
        </w:rPr>
      </w:pPr>
    </w:p>
    <w:p>
      <w:pPr>
        <w:pStyle w:val="16"/>
        <w:jc w:val="center"/>
        <w:rPr>
          <w:sz w:val="72"/>
          <w:szCs w:val="72"/>
        </w:rPr>
      </w:pPr>
    </w:p>
    <w:p>
      <w:pPr>
        <w:pStyle w:val="16"/>
        <w:jc w:val="center"/>
        <w:rPr>
          <w:sz w:val="72"/>
          <w:szCs w:val="72"/>
        </w:rPr>
      </w:pPr>
    </w:p>
    <w:p>
      <w:pPr>
        <w:pStyle w:val="16"/>
        <w:jc w:val="center"/>
        <w:rPr>
          <w:sz w:val="72"/>
          <w:szCs w:val="72"/>
        </w:rPr>
      </w:pPr>
    </w:p>
    <w:p>
      <w:pPr>
        <w:rPr>
          <w:sz w:val="72"/>
          <w:szCs w:val="72"/>
        </w:rPr>
      </w:pPr>
      <w:r>
        <w:rPr>
          <w:sz w:val="72"/>
          <w:szCs w:val="72"/>
        </w:rPr>
        <w:br w:type="page"/>
      </w:r>
    </w:p>
    <w:p>
      <w:pPr>
        <w:pStyle w:val="16"/>
        <w:jc w:val="center"/>
        <w:rPr>
          <w:rFonts w:hint="eastAsia" w:ascii="方正小标宋_GBK" w:hAnsi="方正小标宋_GBK" w:eastAsia="方正小标宋_GBK" w:cs="方正小标宋_GBK"/>
          <w:sz w:val="72"/>
          <w:szCs w:val="72"/>
        </w:rPr>
      </w:pPr>
    </w:p>
    <w:p>
      <w:pPr>
        <w:pStyle w:val="16"/>
        <w:jc w:val="center"/>
        <w:rPr>
          <w:rFonts w:hint="eastAsia" w:ascii="方正小标宋_GBK" w:hAnsi="方正小标宋_GBK" w:eastAsia="方正小标宋_GBK" w:cs="方正小标宋_GBK"/>
          <w:sz w:val="72"/>
          <w:szCs w:val="72"/>
        </w:rPr>
      </w:pPr>
    </w:p>
    <w:p>
      <w:pPr>
        <w:pStyle w:val="16"/>
        <w:jc w:val="center"/>
        <w:rPr>
          <w:rFonts w:hint="eastAsia" w:ascii="方正小标宋_GBK" w:hAnsi="方正小标宋_GBK" w:eastAsia="方正小标宋_GBK" w:cs="方正小标宋_GBK"/>
          <w:sz w:val="72"/>
          <w:szCs w:val="72"/>
        </w:rPr>
      </w:pPr>
    </w:p>
    <w:p>
      <w:pPr>
        <w:pStyle w:val="16"/>
        <w:jc w:val="center"/>
        <w:rPr>
          <w:rFonts w:hint="eastAsia" w:ascii="方正小标宋_GBK" w:hAnsi="方正小标宋_GBK" w:eastAsia="方正小标宋_GBK" w:cs="方正小标宋_GBK"/>
          <w:sz w:val="72"/>
          <w:szCs w:val="72"/>
        </w:rPr>
      </w:pPr>
    </w:p>
    <w:p>
      <w:pPr>
        <w:pStyle w:val="16"/>
        <w:jc w:val="center"/>
        <w:rPr>
          <w:rFonts w:hint="eastAsia" w:ascii="方正小标宋_GBK" w:hAnsi="方正小标宋_GBK" w:eastAsia="方正小标宋_GBK" w:cs="方正小标宋_GBK"/>
          <w:sz w:val="72"/>
          <w:szCs w:val="72"/>
        </w:rPr>
      </w:pPr>
    </w:p>
    <w:p>
      <w:pPr>
        <w:pStyle w:val="16"/>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6"/>
        <w:jc w:val="center"/>
        <w:rPr>
          <w:rFonts w:hint="eastAsia" w:ascii="方正小标宋_GBK" w:hAnsi="方正小标宋_GBK" w:eastAsia="方正小标宋_GBK" w:cs="方正小标宋_GBK"/>
          <w:sz w:val="70"/>
          <w:szCs w:val="70"/>
        </w:rPr>
      </w:pPr>
    </w:p>
    <w:p>
      <w:pPr>
        <w:pStyle w:val="16"/>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rPr>
          <w:sz w:val="72"/>
          <w:szCs w:val="72"/>
        </w:rPr>
      </w:pPr>
      <w:r>
        <w:rPr>
          <w:sz w:val="72"/>
          <w:szCs w:val="72"/>
        </w:rPr>
        <w:br w:type="page"/>
      </w:r>
    </w:p>
    <w:p>
      <w:pPr>
        <w:pStyle w:val="11"/>
        <w:widowControl/>
        <w:shd w:val="clear" w:color="auto" w:fill="FFFFFF"/>
        <w:snapToGrid w:val="0"/>
        <w:spacing w:beforeAutospacing="0" w:afterAutospacing="0" w:line="560" w:lineRule="exact"/>
        <w:jc w:val="center"/>
        <w:rPr>
          <w:rFonts w:ascii="Times New Roman" w:hAnsi="方正小标宋_GBK" w:eastAsia="方正小标宋_GBK"/>
          <w:color w:val="000000"/>
          <w:sz w:val="44"/>
          <w:szCs w:val="44"/>
          <w:shd w:val="clear" w:color="auto" w:fill="FFFFFF"/>
        </w:rPr>
      </w:pPr>
    </w:p>
    <w:p>
      <w:pPr>
        <w:pStyle w:val="11"/>
        <w:widowControl/>
        <w:shd w:val="clear" w:color="auto" w:fill="FFFFFF"/>
        <w:snapToGrid w:val="0"/>
        <w:spacing w:beforeAutospacing="0" w:afterAutospacing="0" w:line="560" w:lineRule="exact"/>
        <w:jc w:val="center"/>
        <w:rPr>
          <w:rFonts w:ascii="Times New Roman" w:hAnsi="Times New Roman" w:eastAsia="方正小标宋_GBK"/>
          <w:color w:val="000000"/>
          <w:sz w:val="44"/>
          <w:szCs w:val="44"/>
          <w:shd w:val="clear" w:color="auto" w:fill="FFFFFF"/>
        </w:rPr>
      </w:pPr>
      <w:r>
        <w:rPr>
          <w:rFonts w:ascii="Times New Roman" w:hAnsi="方正小标宋_GBK" w:eastAsia="方正小标宋_GBK"/>
          <w:color w:val="000000"/>
          <w:sz w:val="44"/>
          <w:szCs w:val="44"/>
          <w:shd w:val="clear" w:color="auto" w:fill="FFFFFF"/>
        </w:rPr>
        <w:t>怀化市民政局</w:t>
      </w:r>
    </w:p>
    <w:p>
      <w:pPr>
        <w:pStyle w:val="11"/>
        <w:widowControl/>
        <w:shd w:val="clear" w:color="auto" w:fill="FFFFFF"/>
        <w:snapToGrid w:val="0"/>
        <w:spacing w:beforeAutospacing="0" w:afterAutospacing="0" w:line="560" w:lineRule="exact"/>
        <w:jc w:val="center"/>
        <w:rPr>
          <w:rFonts w:ascii="Times New Roman" w:hAnsi="Times New Roman" w:eastAsia="方正小标宋_GBK"/>
          <w:color w:val="000000"/>
          <w:sz w:val="44"/>
          <w:szCs w:val="44"/>
          <w:shd w:val="clear" w:color="auto" w:fill="FFFFFF"/>
        </w:rPr>
      </w:pPr>
      <w:r>
        <w:rPr>
          <w:rFonts w:ascii="Times New Roman" w:hAnsi="Times New Roman" w:eastAsia="方正小标宋_GBK"/>
          <w:color w:val="000000"/>
          <w:sz w:val="44"/>
          <w:szCs w:val="44"/>
          <w:shd w:val="clear" w:color="auto" w:fill="FFFFFF"/>
        </w:rPr>
        <w:t>2023</w:t>
      </w:r>
      <w:r>
        <w:rPr>
          <w:rFonts w:ascii="Times New Roman" w:hAnsi="方正小标宋_GBK" w:eastAsia="方正小标宋_GBK"/>
          <w:color w:val="000000"/>
          <w:sz w:val="44"/>
          <w:szCs w:val="44"/>
          <w:shd w:val="clear" w:color="auto" w:fill="FFFFFF"/>
        </w:rPr>
        <w:t>年度部门整体支出绩效自评报告</w:t>
      </w:r>
    </w:p>
    <w:p>
      <w:pPr>
        <w:pStyle w:val="11"/>
        <w:widowControl/>
        <w:shd w:val="clear" w:color="auto" w:fill="FFFFFF"/>
        <w:snapToGrid w:val="0"/>
        <w:spacing w:beforeAutospacing="0" w:afterAutospacing="0" w:line="560" w:lineRule="exact"/>
        <w:ind w:firstLine="480" w:firstLineChars="200"/>
        <w:jc w:val="center"/>
        <w:rPr>
          <w:rFonts w:ascii="Times New Roman" w:hAnsi="Times New Roman" w:eastAsia="方正小标宋_GBK"/>
          <w:color w:val="000000"/>
        </w:rPr>
      </w:pP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spacing w:val="-2"/>
          <w:sz w:val="32"/>
          <w:szCs w:val="32"/>
        </w:rPr>
        <w:t>根据《怀化市财政局关于开展2023年度部门整体支出 专项资金绩效自评工作的通知》（怀财绩〔2024〕46号）文件要求，开展2023年度部门整体支出、专项资金绩效自评，现将绩效评价情况报告如下：</w:t>
      </w:r>
    </w:p>
    <w:p>
      <w:pPr>
        <w:widowControl/>
        <w:shd w:val="clear" w:color="auto" w:fill="FFFFFF"/>
        <w:spacing w:line="560" w:lineRule="exact"/>
        <w:ind w:firstLine="640" w:firstLineChars="200"/>
        <w:rPr>
          <w:rFonts w:ascii="Times New Roman" w:hAnsi="Times New Roman" w:eastAsia="方正黑体_GBK" w:cs="Times New Roman"/>
          <w:bCs/>
          <w:color w:val="000000"/>
          <w:sz w:val="32"/>
          <w:szCs w:val="32"/>
          <w:shd w:val="clear" w:color="auto" w:fill="FFFFFF"/>
        </w:rPr>
      </w:pPr>
      <w:r>
        <w:rPr>
          <w:rFonts w:ascii="Times New Roman" w:hAnsi="Times New Roman" w:eastAsia="方正黑体_GBK" w:cs="Times New Roman"/>
          <w:bCs/>
          <w:color w:val="000000"/>
          <w:sz w:val="32"/>
          <w:szCs w:val="32"/>
          <w:shd w:val="clear" w:color="auto" w:fill="FFFFFF"/>
        </w:rPr>
        <w:t>一、部门、单位基本情况</w:t>
      </w:r>
    </w:p>
    <w:p>
      <w:pPr>
        <w:widowControl/>
        <w:shd w:val="clear" w:color="auto" w:fill="FFFFFF"/>
        <w:spacing w:line="560" w:lineRule="exact"/>
        <w:ind w:firstLine="640" w:firstLineChars="200"/>
        <w:rPr>
          <w:rFonts w:ascii="Times New Roman" w:hAnsi="Times New Roman" w:eastAsia="方正楷体_GBK" w:cs="Times New Roman"/>
          <w:color w:val="000000"/>
          <w:sz w:val="24"/>
        </w:rPr>
      </w:pPr>
      <w:r>
        <w:rPr>
          <w:rFonts w:ascii="Times New Roman" w:hAnsi="Times New Roman" w:eastAsia="方正楷体_GBK" w:cs="Times New Roman"/>
          <w:b/>
          <w:bCs/>
          <w:color w:val="000000"/>
          <w:sz w:val="32"/>
          <w:szCs w:val="32"/>
          <w:shd w:val="clear" w:color="auto" w:fill="FFFFFF"/>
        </w:rPr>
        <w:t>（一）机构设置情况</w:t>
      </w: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spacing w:val="-2"/>
          <w:sz w:val="32"/>
          <w:szCs w:val="32"/>
        </w:rPr>
        <w:t>根据《怀化市民政局职责和机构编制调整方案》（怀办〔2019〕13号），设正科级内设机构8个，办公室（法制科）、规划财务科、社会组织管理科（行政审批科）、社会救助科、社会事务科、养老服务和儿童福利科、慈善事业促进和社会工作科、基政社区和区划地名科，另设机关党委（人事科）。下设直属单位6个，市民政事务中心、市殡葬事务中心、市救助站、市社会福利院、市特困家庭大病医疗慈善救助服务中心、市福利彩票发行中心。</w:t>
      </w:r>
    </w:p>
    <w:p>
      <w:pPr>
        <w:widowControl/>
        <w:shd w:val="clear" w:color="auto" w:fill="FFFFFF"/>
        <w:spacing w:line="560" w:lineRule="exact"/>
        <w:ind w:firstLine="632" w:firstLineChars="200"/>
        <w:rPr>
          <w:rFonts w:hint="default" w:ascii="Times New Roman" w:hAnsi="Times New Roman" w:eastAsia="方正仿宋_GBK" w:cs="Times New Roman"/>
          <w:spacing w:val="-2"/>
          <w:sz w:val="32"/>
          <w:szCs w:val="32"/>
          <w:lang w:val="en-US" w:eastAsia="zh-CN"/>
        </w:rPr>
      </w:pPr>
      <w:r>
        <w:rPr>
          <w:rFonts w:hint="eastAsia" w:ascii="Times New Roman" w:hAnsi="Times New Roman" w:eastAsia="方正仿宋_GBK" w:cs="Times New Roman"/>
          <w:spacing w:val="-2"/>
          <w:sz w:val="32"/>
          <w:szCs w:val="32"/>
          <w:lang w:eastAsia="zh-CN"/>
        </w:rPr>
        <w:t>财务独立的</w:t>
      </w:r>
      <w:r>
        <w:rPr>
          <w:rFonts w:ascii="Times New Roman" w:hAnsi="Times New Roman" w:eastAsia="方正仿宋_GBK" w:cs="Times New Roman"/>
          <w:spacing w:val="-2"/>
          <w:sz w:val="32"/>
          <w:szCs w:val="32"/>
        </w:rPr>
        <w:t>二级部门预算单位3个，分别是：怀化市救助管理站、怀化市社会福利院、怀化市殡葬事务中心</w:t>
      </w:r>
      <w:r>
        <w:rPr>
          <w:rFonts w:hint="eastAsia" w:ascii="Times New Roman" w:hAnsi="Times New Roman" w:eastAsia="方正仿宋_GBK" w:cs="Times New Roman"/>
          <w:spacing w:val="-2"/>
          <w:sz w:val="32"/>
          <w:szCs w:val="32"/>
          <w:lang w:eastAsia="zh-CN"/>
        </w:rPr>
        <w:t>；财务独立的二级非部门预算单位</w:t>
      </w:r>
      <w:r>
        <w:rPr>
          <w:rFonts w:hint="eastAsia" w:ascii="Times New Roman" w:hAnsi="Times New Roman" w:eastAsia="方正仿宋_GBK" w:cs="Times New Roman"/>
          <w:spacing w:val="-2"/>
          <w:sz w:val="32"/>
          <w:szCs w:val="32"/>
          <w:lang w:val="en-US" w:eastAsia="zh-CN"/>
        </w:rPr>
        <w:t>1个：怀化市福利彩票发行中心。</w:t>
      </w:r>
    </w:p>
    <w:p>
      <w:pPr>
        <w:widowControl/>
        <w:shd w:val="clear" w:color="auto" w:fill="FFFFFF"/>
        <w:spacing w:line="560" w:lineRule="exact"/>
        <w:ind w:firstLine="640" w:firstLineChars="200"/>
        <w:rPr>
          <w:rFonts w:ascii="Times New Roman" w:hAnsi="Times New Roman" w:eastAsia="方正楷体_GBK" w:cs="Times New Roman"/>
          <w:b/>
          <w:bCs/>
          <w:color w:val="000000"/>
          <w:sz w:val="32"/>
          <w:szCs w:val="32"/>
          <w:shd w:val="clear" w:color="auto" w:fill="FFFFFF"/>
        </w:rPr>
      </w:pPr>
      <w:r>
        <w:rPr>
          <w:rFonts w:ascii="Times New Roman" w:hAnsi="Times New Roman" w:eastAsia="方正楷体_GBK" w:cs="Times New Roman"/>
          <w:b/>
          <w:bCs/>
          <w:color w:val="000000"/>
          <w:sz w:val="32"/>
          <w:szCs w:val="32"/>
          <w:shd w:val="clear" w:color="auto" w:fill="FFFFFF"/>
        </w:rPr>
        <w:t>（二）人员编制情况</w:t>
      </w:r>
    </w:p>
    <w:p>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核定行政编制29名（含一名周转编制），机关工勤编制3名（人员只出不进）、事业编制103名。截至</w:t>
      </w:r>
      <w:r>
        <w:rPr>
          <w:rFonts w:ascii="Times New Roman" w:hAnsi="Times New Roman" w:eastAsia="方正仿宋_GBK" w:cs="Times New Roman"/>
          <w:spacing w:val="-2"/>
          <w:sz w:val="32"/>
          <w:szCs w:val="32"/>
        </w:rPr>
        <w:t>2023年年末，</w:t>
      </w:r>
      <w:r>
        <w:rPr>
          <w:rFonts w:ascii="Times New Roman" w:hAnsi="Times New Roman" w:eastAsia="方正仿宋_GBK" w:cs="Times New Roman"/>
          <w:sz w:val="32"/>
          <w:szCs w:val="32"/>
        </w:rPr>
        <w:t>实有干部职工</w:t>
      </w:r>
      <w:r>
        <w:rPr>
          <w:rFonts w:hint="default" w:ascii="Times New Roman" w:hAnsi="Times New Roman" w:eastAsia="方正仿宋_GBK" w:cs="Times New Roman"/>
          <w:sz w:val="32"/>
          <w:szCs w:val="32"/>
          <w:lang w:val="en"/>
        </w:rPr>
        <w:t>119</w:t>
      </w:r>
      <w:r>
        <w:rPr>
          <w:rFonts w:ascii="Times New Roman" w:hAnsi="Times New Roman" w:eastAsia="方正仿宋_GBK" w:cs="Times New Roman"/>
          <w:sz w:val="32"/>
          <w:szCs w:val="32"/>
        </w:rPr>
        <w:t>人，其中：在职行政编24名，机关工勤编1名，在职事业编94人；退休干部职工97人。</w:t>
      </w:r>
    </w:p>
    <w:p>
      <w:pPr>
        <w:widowControl/>
        <w:shd w:val="clear" w:color="auto" w:fill="FFFFFF"/>
        <w:spacing w:line="560" w:lineRule="exact"/>
        <w:ind w:firstLine="640" w:firstLineChars="200"/>
        <w:rPr>
          <w:rFonts w:ascii="Times New Roman" w:hAnsi="Times New Roman" w:eastAsia="方正楷体_GBK" w:cs="Times New Roman"/>
          <w:b/>
          <w:bCs/>
          <w:color w:val="000000"/>
          <w:sz w:val="32"/>
          <w:szCs w:val="32"/>
          <w:shd w:val="clear" w:color="auto" w:fill="FFFFFF"/>
        </w:rPr>
      </w:pPr>
      <w:r>
        <w:rPr>
          <w:rFonts w:ascii="Times New Roman" w:hAnsi="Times New Roman" w:eastAsia="方正楷体_GBK" w:cs="Times New Roman"/>
          <w:b/>
          <w:bCs/>
          <w:color w:val="000000"/>
          <w:sz w:val="32"/>
          <w:szCs w:val="32"/>
          <w:shd w:val="clear" w:color="auto" w:fill="FFFFFF"/>
        </w:rPr>
        <w:t>（三）主要职能职责</w:t>
      </w:r>
    </w:p>
    <w:p>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贯彻落实党中央和省委、市委关于民政工作的方针政策和决策部署，在履行职责过程中坚持和加强党对民政工作的集中统一领导，主要职责是：</w:t>
      </w:r>
    </w:p>
    <w:p>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1.拟订全市民政事业发展法规规章草案、政策、规划，制定部门标准并组织实施。</w:t>
      </w:r>
    </w:p>
    <w:p>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2.拟订全市社会团体、基金会、社会服务机构等社会组织登记和监督管理办法并组织实施，依法对社会组织进行登记管理和执法监察。</w:t>
      </w:r>
    </w:p>
    <w:p>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3.拟订全市社会救助政策、标准，统筹社会救助体系建设，负责城乡居民最低生活保障、特困人员救助供养、临时救助、生活无着流浪乞讨人员救助工作。</w:t>
      </w:r>
    </w:p>
    <w:p>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4.拟订全市城乡基层群众自治建设和社区治理政策，指导城乡社区治理体系和治理能力建设，提出加强和改进城乡基层政权建设的建议，推动基层民主政治建设。</w:t>
      </w:r>
    </w:p>
    <w:p>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拟订全市行政区划和地名管理总体规划、相关政策并组织实施；负责报国务院和省、市政府审批的行政区划设立、撤销、更名、行政区域界线变更和政府驻地迁移审核工作；组织、指导行政区域界线的勘定和管理工作；负责全市地名管理工作；编纂出版本市行政区划图。</w:t>
      </w:r>
    </w:p>
    <w:p>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6.拟订全市婚姻管理政策并组织实施，推进婚俗改革,办理涉港、涉澳婚姻登记。</w:t>
      </w:r>
    </w:p>
    <w:p>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7.拟订全市殡葬管理政策、服务规范并组织实施，推进殡葬改革。</w:t>
      </w:r>
    </w:p>
    <w:p>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8.统筹推进、督促指导、监督管理养老服务工作，拟订全市养老服务体系建设规划、政策、标准并组织实施，承担老年人福利和特殊困难老年人救助工作。</w:t>
      </w:r>
    </w:p>
    <w:p>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9.拟订全市残疾人权益保护政策，统筹推进残疾人福利制度建设，指导残疾人社会福利相关工作。</w:t>
      </w:r>
    </w:p>
    <w:p>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10.拟订全市儿童福利、孤弃儿童保障、儿童收养、儿童救助保护政策、标准，健全农村留守儿童关爱服务体系和困境儿童保障制度，办理涉港、涉澳收养登记。</w:t>
      </w:r>
    </w:p>
    <w:p>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11.组织拟订全市促进慈善事业发展政策，指导社会捐助工作，负责福利彩票管理工作。</w:t>
      </w:r>
    </w:p>
    <w:p>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12.拟订全市社会工作、志愿服务政策，会同有关部门推进社会工作人才队伍建设和志愿者队伍建设。</w:t>
      </w:r>
    </w:p>
    <w:p>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13.完成市委市政府交办的其他任务。</w:t>
      </w:r>
    </w:p>
    <w:p>
      <w:pPr>
        <w:widowControl/>
        <w:shd w:val="clear" w:color="auto" w:fill="FFFFFF"/>
        <w:spacing w:line="560" w:lineRule="exact"/>
        <w:ind w:firstLine="640" w:firstLineChars="200"/>
        <w:rPr>
          <w:rFonts w:ascii="Times New Roman" w:hAnsi="Times New Roman" w:eastAsia="方正楷体_GBK" w:cs="Times New Roman"/>
          <w:b/>
          <w:bCs/>
          <w:color w:val="000000"/>
          <w:sz w:val="32"/>
          <w:szCs w:val="32"/>
          <w:shd w:val="clear" w:color="auto" w:fill="FFFFFF"/>
        </w:rPr>
      </w:pPr>
      <w:r>
        <w:rPr>
          <w:rFonts w:ascii="Times New Roman" w:hAnsi="Times New Roman" w:eastAsia="方正楷体_GBK" w:cs="Times New Roman"/>
          <w:b/>
          <w:bCs/>
          <w:color w:val="000000"/>
          <w:sz w:val="32"/>
          <w:szCs w:val="32"/>
          <w:shd w:val="clear" w:color="auto" w:fill="FFFFFF"/>
        </w:rPr>
        <w:t>（四）绩效目标设定情况</w:t>
      </w: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spacing w:val="-2"/>
          <w:sz w:val="32"/>
          <w:szCs w:val="32"/>
        </w:rPr>
        <w:t>部门整体绩效设定包含民政整体工作质量、业务工作目标，绩效考核指标产出指标、效益指标、满意度指标三部分。</w:t>
      </w: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b/>
          <w:spacing w:val="-2"/>
          <w:sz w:val="32"/>
          <w:szCs w:val="32"/>
        </w:rPr>
        <w:t>1.产出指标设定50分。</w:t>
      </w:r>
      <w:r>
        <w:rPr>
          <w:rFonts w:ascii="Times New Roman" w:hAnsi="Times New Roman" w:eastAsia="方正仿宋_GBK" w:cs="Times New Roman"/>
          <w:spacing w:val="-2"/>
          <w:sz w:val="32"/>
          <w:szCs w:val="32"/>
        </w:rPr>
        <w:t>其中：整体工作质量考核达标率100%，得10分；新增困难老年人居家适老化改造完成率100%，得10分；怀化市精神卫生康复中心（第二福利院）按规定时间完成主体建筑建设，得10分；成本控制在总成本范围内，得20分。</w:t>
      </w: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b/>
          <w:spacing w:val="-2"/>
          <w:sz w:val="32"/>
          <w:szCs w:val="32"/>
        </w:rPr>
        <w:t>2.效益指标设定40分。</w:t>
      </w:r>
      <w:r>
        <w:rPr>
          <w:rFonts w:ascii="Times New Roman" w:hAnsi="Times New Roman" w:eastAsia="方正仿宋_GBK" w:cs="Times New Roman"/>
          <w:spacing w:val="-2"/>
          <w:sz w:val="32"/>
          <w:szCs w:val="32"/>
        </w:rPr>
        <w:t>其中：资金使用效益得到有效发挥，得10分；加快推进重点民生实事项目，社会效益效果明显得10分；整体支出对生态环境所带来的直接或间接影响情况，评价获优得10分；整体支出对可持续发展所带来的直接或间接影响情况，效果明显得10分。</w:t>
      </w: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b/>
          <w:spacing w:val="-2"/>
          <w:sz w:val="32"/>
          <w:szCs w:val="32"/>
        </w:rPr>
        <w:t>3.满意度指标设定10分。</w:t>
      </w:r>
      <w:r>
        <w:rPr>
          <w:rFonts w:ascii="Times New Roman" w:hAnsi="Times New Roman" w:eastAsia="方正仿宋_GBK" w:cs="Times New Roman"/>
          <w:spacing w:val="-2"/>
          <w:sz w:val="32"/>
          <w:szCs w:val="32"/>
        </w:rPr>
        <w:t>社会公众满意度达到95%以上，得10分。</w:t>
      </w:r>
    </w:p>
    <w:p>
      <w:pPr>
        <w:widowControl/>
        <w:shd w:val="clear" w:color="auto" w:fill="FFFFFF"/>
        <w:spacing w:line="560" w:lineRule="exact"/>
        <w:ind w:firstLine="640" w:firstLineChars="200"/>
        <w:rPr>
          <w:rFonts w:ascii="Times New Roman" w:hAnsi="Times New Roman" w:eastAsia="方正黑体_GBK" w:cs="Times New Roman"/>
          <w:bCs/>
          <w:color w:val="000000"/>
          <w:sz w:val="32"/>
          <w:szCs w:val="32"/>
          <w:shd w:val="clear" w:color="auto" w:fill="FFFFFF"/>
        </w:rPr>
      </w:pPr>
      <w:r>
        <w:rPr>
          <w:rFonts w:ascii="Times New Roman" w:hAnsi="Times New Roman" w:eastAsia="方正黑体_GBK" w:cs="Times New Roman"/>
          <w:bCs/>
          <w:color w:val="000000"/>
          <w:sz w:val="32"/>
          <w:szCs w:val="32"/>
          <w:shd w:val="clear" w:color="auto" w:fill="FFFFFF"/>
        </w:rPr>
        <w:t>二、部门整体支出管理及使用情况</w:t>
      </w:r>
    </w:p>
    <w:p>
      <w:pPr>
        <w:widowControl/>
        <w:shd w:val="clear" w:color="auto" w:fill="FFFFFF"/>
        <w:spacing w:line="560" w:lineRule="exact"/>
        <w:ind w:firstLine="640" w:firstLineChars="200"/>
        <w:rPr>
          <w:rFonts w:ascii="Times New Roman" w:hAnsi="Times New Roman" w:eastAsia="方正楷体_GBK" w:cs="Times New Roman"/>
          <w:b/>
          <w:bCs/>
          <w:color w:val="000000"/>
          <w:sz w:val="32"/>
          <w:szCs w:val="32"/>
          <w:shd w:val="clear" w:color="auto" w:fill="FFFFFF"/>
        </w:rPr>
      </w:pPr>
      <w:r>
        <w:rPr>
          <w:rFonts w:ascii="Times New Roman" w:hAnsi="Times New Roman" w:eastAsia="方正楷体_GBK" w:cs="Times New Roman"/>
          <w:b/>
          <w:bCs/>
          <w:color w:val="000000"/>
          <w:sz w:val="32"/>
          <w:szCs w:val="32"/>
          <w:shd w:val="clear" w:color="auto" w:fill="FFFFFF"/>
        </w:rPr>
        <w:t>（一）预算执行、使用、管理总体情况</w:t>
      </w: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b/>
          <w:spacing w:val="-2"/>
          <w:sz w:val="32"/>
          <w:szCs w:val="32"/>
        </w:rPr>
        <w:t>1.年初预算</w:t>
      </w:r>
      <w:r>
        <w:rPr>
          <w:rFonts w:hint="eastAsia" w:ascii="Times New Roman" w:hAnsi="Times New Roman" w:eastAsia="方正仿宋_GBK" w:cs="Times New Roman"/>
          <w:b/>
          <w:spacing w:val="-2"/>
          <w:sz w:val="32"/>
          <w:szCs w:val="32"/>
        </w:rPr>
        <w:t>。</w:t>
      </w:r>
      <w:r>
        <w:rPr>
          <w:rFonts w:ascii="Times New Roman" w:hAnsi="Times New Roman" w:eastAsia="方正仿宋_GBK" w:cs="Times New Roman"/>
          <w:spacing w:val="-2"/>
          <w:sz w:val="32"/>
          <w:szCs w:val="32"/>
        </w:rPr>
        <w:t>根据2023年部门预算批复，预算4,243.29万元，</w:t>
      </w:r>
      <w:r>
        <w:rPr>
          <w:rFonts w:hint="eastAsia" w:ascii="Times New Roman" w:hAnsi="Times New Roman" w:eastAsia="方正仿宋_GBK" w:cs="Times New Roman"/>
          <w:spacing w:val="-2"/>
          <w:sz w:val="32"/>
          <w:szCs w:val="32"/>
        </w:rPr>
        <w:t>较上年度</w:t>
      </w:r>
      <w:r>
        <w:rPr>
          <w:rFonts w:ascii="Times New Roman" w:hAnsi="Times New Roman" w:eastAsia="方正仿宋_GBK" w:cs="Times New Roman"/>
          <w:spacing w:val="-2"/>
          <w:sz w:val="32"/>
          <w:szCs w:val="32"/>
        </w:rPr>
        <w:t>增加1,177.36万元，增幅38.40%。其中财政经费拨款3,073.29万元，</w:t>
      </w:r>
      <w:r>
        <w:rPr>
          <w:rFonts w:hint="eastAsia" w:ascii="Times New Roman" w:hAnsi="Times New Roman" w:eastAsia="方正仿宋_GBK" w:cs="Times New Roman"/>
          <w:spacing w:val="-2"/>
          <w:sz w:val="32"/>
          <w:szCs w:val="32"/>
        </w:rPr>
        <w:t>占比72.43%。具体情况如下：</w:t>
      </w:r>
    </w:p>
    <w:p>
      <w:pPr>
        <w:widowControl/>
        <w:spacing w:line="560" w:lineRule="exact"/>
        <w:jc w:val="right"/>
        <w:rPr>
          <w:rFonts w:ascii="Times New Roman" w:hAnsi="Times New Roman" w:eastAsia="仿宋" w:cs="Times New Roman"/>
          <w:color w:val="3D3D3D"/>
          <w:szCs w:val="21"/>
        </w:rPr>
      </w:pPr>
      <w:r>
        <w:rPr>
          <w:rFonts w:ascii="Times New Roman" w:hAnsi="仿宋" w:eastAsia="仿宋" w:cs="Times New Roman"/>
          <w:kern w:val="0"/>
          <w:szCs w:val="21"/>
        </w:rPr>
        <w:t>单位：万元</w:t>
      </w:r>
    </w:p>
    <w:tbl>
      <w:tblPr>
        <w:tblStyle w:val="12"/>
        <w:tblW w:w="8483" w:type="dxa"/>
        <w:tblInd w:w="-17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
      <w:tblGrid>
        <w:gridCol w:w="2574"/>
        <w:gridCol w:w="1430"/>
        <w:gridCol w:w="1392"/>
        <w:gridCol w:w="1390"/>
        <w:gridCol w:w="1697"/>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60" w:hRule="atLeast"/>
        </w:trPr>
        <w:tc>
          <w:tcPr>
            <w:tcW w:w="2574" w:type="dxa"/>
            <w:vMerge w:val="restart"/>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bookmarkStart w:id="1" w:name="OLE_LINK8" w:colFirst="0" w:colLast="4"/>
            <w:r>
              <w:rPr>
                <w:rFonts w:ascii="Times New Roman" w:hAnsi="仿宋" w:eastAsia="仿宋" w:cs="Times New Roman"/>
                <w:kern w:val="0"/>
                <w:szCs w:val="21"/>
              </w:rPr>
              <w:t>预算项目</w:t>
            </w:r>
          </w:p>
        </w:tc>
        <w:tc>
          <w:tcPr>
            <w:tcW w:w="2822" w:type="dxa"/>
            <w:gridSpan w:val="2"/>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预算金额</w:t>
            </w:r>
          </w:p>
        </w:tc>
        <w:tc>
          <w:tcPr>
            <w:tcW w:w="3087" w:type="dxa"/>
            <w:gridSpan w:val="2"/>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较上年增减变化</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PrEx>
        <w:trPr>
          <w:trHeight w:val="245" w:hRule="atLeast"/>
        </w:trPr>
        <w:tc>
          <w:tcPr>
            <w:tcW w:w="2574" w:type="dxa"/>
            <w:vMerge w:val="continue"/>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p>
        </w:tc>
        <w:tc>
          <w:tcPr>
            <w:tcW w:w="14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2023</w:t>
            </w:r>
            <w:r>
              <w:rPr>
                <w:rFonts w:ascii="Times New Roman" w:hAnsi="仿宋" w:eastAsia="仿宋" w:cs="Times New Roman"/>
                <w:kern w:val="0"/>
                <w:szCs w:val="21"/>
              </w:rPr>
              <w:t>年</w:t>
            </w:r>
          </w:p>
        </w:tc>
        <w:tc>
          <w:tcPr>
            <w:tcW w:w="139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2022</w:t>
            </w:r>
            <w:r>
              <w:rPr>
                <w:rFonts w:ascii="Times New Roman" w:hAnsi="仿宋" w:eastAsia="仿宋" w:cs="Times New Roman"/>
                <w:kern w:val="0"/>
                <w:szCs w:val="21"/>
              </w:rPr>
              <w:t>年</w:t>
            </w:r>
          </w:p>
        </w:tc>
        <w:tc>
          <w:tcPr>
            <w:tcW w:w="13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金额</w:t>
            </w:r>
          </w:p>
        </w:tc>
        <w:tc>
          <w:tcPr>
            <w:tcW w:w="169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比例</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PrEx>
        <w:trPr>
          <w:trHeight w:val="90" w:hRule="atLeast"/>
        </w:trPr>
        <w:tc>
          <w:tcPr>
            <w:tcW w:w="257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收入预算</w:t>
            </w:r>
          </w:p>
        </w:tc>
        <w:tc>
          <w:tcPr>
            <w:tcW w:w="14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4,243.29</w:t>
            </w:r>
          </w:p>
        </w:tc>
        <w:tc>
          <w:tcPr>
            <w:tcW w:w="139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3,065.93</w:t>
            </w:r>
          </w:p>
        </w:tc>
        <w:tc>
          <w:tcPr>
            <w:tcW w:w="13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1,177.36</w:t>
            </w:r>
          </w:p>
        </w:tc>
        <w:tc>
          <w:tcPr>
            <w:tcW w:w="169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38.40%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PrEx>
        <w:trPr>
          <w:trHeight w:val="207" w:hRule="atLeast"/>
        </w:trPr>
        <w:tc>
          <w:tcPr>
            <w:tcW w:w="257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其中：财政经费拨款</w:t>
            </w:r>
          </w:p>
        </w:tc>
        <w:tc>
          <w:tcPr>
            <w:tcW w:w="14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3,073.29</w:t>
            </w:r>
          </w:p>
        </w:tc>
        <w:tc>
          <w:tcPr>
            <w:tcW w:w="139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2,020.93</w:t>
            </w:r>
          </w:p>
        </w:tc>
        <w:tc>
          <w:tcPr>
            <w:tcW w:w="13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1,052.36</w:t>
            </w:r>
          </w:p>
        </w:tc>
        <w:tc>
          <w:tcPr>
            <w:tcW w:w="169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52.07%</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PrEx>
        <w:trPr>
          <w:trHeight w:val="207" w:hRule="atLeast"/>
        </w:trPr>
        <w:tc>
          <w:tcPr>
            <w:tcW w:w="257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财政专户管理资金收入</w:t>
            </w:r>
          </w:p>
        </w:tc>
        <w:tc>
          <w:tcPr>
            <w:tcW w:w="14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1,170.00</w:t>
            </w:r>
          </w:p>
        </w:tc>
        <w:tc>
          <w:tcPr>
            <w:tcW w:w="139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1,000.00</w:t>
            </w:r>
          </w:p>
        </w:tc>
        <w:tc>
          <w:tcPr>
            <w:tcW w:w="13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170.00</w:t>
            </w:r>
          </w:p>
        </w:tc>
        <w:tc>
          <w:tcPr>
            <w:tcW w:w="169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17.00%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PrEx>
        <w:trPr>
          <w:trHeight w:val="282" w:hRule="atLeast"/>
        </w:trPr>
        <w:tc>
          <w:tcPr>
            <w:tcW w:w="257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上级补助收入</w:t>
            </w:r>
          </w:p>
        </w:tc>
        <w:tc>
          <w:tcPr>
            <w:tcW w:w="14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39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45.00</w:t>
            </w:r>
          </w:p>
        </w:tc>
        <w:tc>
          <w:tcPr>
            <w:tcW w:w="13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-45.00</w:t>
            </w:r>
          </w:p>
        </w:tc>
        <w:tc>
          <w:tcPr>
            <w:tcW w:w="169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-100.00%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PrEx>
        <w:trPr>
          <w:trHeight w:val="237" w:hRule="atLeast"/>
        </w:trPr>
        <w:tc>
          <w:tcPr>
            <w:tcW w:w="257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支出预算</w:t>
            </w:r>
          </w:p>
        </w:tc>
        <w:tc>
          <w:tcPr>
            <w:tcW w:w="14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4,243.29</w:t>
            </w:r>
          </w:p>
        </w:tc>
        <w:tc>
          <w:tcPr>
            <w:tcW w:w="139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3,065.93</w:t>
            </w:r>
          </w:p>
        </w:tc>
        <w:tc>
          <w:tcPr>
            <w:tcW w:w="13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textAlignment w:val="center"/>
              <w:rPr>
                <w:rFonts w:ascii="Times New Roman" w:hAnsi="Times New Roman" w:eastAsia="仿宋" w:cs="Times New Roman"/>
                <w:color w:val="000000"/>
                <w:szCs w:val="21"/>
              </w:rPr>
            </w:pPr>
            <w:r>
              <w:rPr>
                <w:rFonts w:ascii="Times New Roman" w:hAnsi="Times New Roman" w:eastAsia="仿宋" w:cs="Times New Roman"/>
                <w:color w:val="000000"/>
                <w:kern w:val="0"/>
                <w:szCs w:val="21"/>
              </w:rPr>
              <w:t>1,177.36</w:t>
            </w:r>
          </w:p>
        </w:tc>
        <w:tc>
          <w:tcPr>
            <w:tcW w:w="169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38.40%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PrEx>
        <w:trPr>
          <w:trHeight w:val="207" w:hRule="atLeast"/>
        </w:trPr>
        <w:tc>
          <w:tcPr>
            <w:tcW w:w="257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其中：基本支出</w:t>
            </w:r>
          </w:p>
        </w:tc>
        <w:tc>
          <w:tcPr>
            <w:tcW w:w="14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2,132.41</w:t>
            </w:r>
          </w:p>
        </w:tc>
        <w:tc>
          <w:tcPr>
            <w:tcW w:w="139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1,606.93</w:t>
            </w:r>
          </w:p>
        </w:tc>
        <w:tc>
          <w:tcPr>
            <w:tcW w:w="13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525.48</w:t>
            </w:r>
          </w:p>
        </w:tc>
        <w:tc>
          <w:tcPr>
            <w:tcW w:w="169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32.70%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PrEx>
        <w:trPr>
          <w:trHeight w:val="282" w:hRule="atLeast"/>
        </w:trPr>
        <w:tc>
          <w:tcPr>
            <w:tcW w:w="257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其中：项目支出</w:t>
            </w:r>
          </w:p>
        </w:tc>
        <w:tc>
          <w:tcPr>
            <w:tcW w:w="14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2,110.88</w:t>
            </w:r>
          </w:p>
        </w:tc>
        <w:tc>
          <w:tcPr>
            <w:tcW w:w="139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1,459.00</w:t>
            </w:r>
          </w:p>
        </w:tc>
        <w:tc>
          <w:tcPr>
            <w:tcW w:w="13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651.88</w:t>
            </w:r>
          </w:p>
        </w:tc>
        <w:tc>
          <w:tcPr>
            <w:tcW w:w="169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44.68%</w:t>
            </w:r>
          </w:p>
        </w:tc>
      </w:tr>
      <w:bookmarkEnd w:id="1"/>
    </w:tbl>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b/>
          <w:spacing w:val="-2"/>
          <w:sz w:val="32"/>
          <w:szCs w:val="32"/>
        </w:rPr>
        <w:t>2.年度可用预算指标</w:t>
      </w:r>
      <w:r>
        <w:rPr>
          <w:rFonts w:hint="eastAsia" w:ascii="Times New Roman" w:hAnsi="Times New Roman" w:eastAsia="方正仿宋_GBK" w:cs="Times New Roman"/>
          <w:b/>
          <w:spacing w:val="-2"/>
          <w:sz w:val="32"/>
          <w:szCs w:val="32"/>
        </w:rPr>
        <w:t>。</w:t>
      </w:r>
      <w:r>
        <w:rPr>
          <w:rFonts w:ascii="Times New Roman" w:hAnsi="Times New Roman" w:eastAsia="方正仿宋_GBK" w:cs="Times New Roman"/>
          <w:spacing w:val="-2"/>
          <w:sz w:val="32"/>
          <w:szCs w:val="32"/>
        </w:rPr>
        <w:t>根据年初预算和本年上级拨款，预算可用指标1,1612.89万元，较上年增加3,112.62万元，增加比例36.62%。其中基本支出3,210.73万元，占</w:t>
      </w:r>
      <w:r>
        <w:rPr>
          <w:rFonts w:hint="eastAsia" w:ascii="Times New Roman" w:hAnsi="Times New Roman" w:eastAsia="方正仿宋_GBK" w:cs="Times New Roman"/>
          <w:spacing w:val="-2"/>
          <w:sz w:val="32"/>
          <w:szCs w:val="32"/>
        </w:rPr>
        <w:t>比</w:t>
      </w:r>
      <w:r>
        <w:rPr>
          <w:rFonts w:ascii="Times New Roman" w:hAnsi="Times New Roman" w:eastAsia="方正仿宋_GBK" w:cs="Times New Roman"/>
          <w:spacing w:val="-2"/>
          <w:sz w:val="32"/>
          <w:szCs w:val="32"/>
        </w:rPr>
        <w:t>27.65%；项目支出8,402.16万元，占</w:t>
      </w:r>
      <w:r>
        <w:rPr>
          <w:rFonts w:hint="eastAsia" w:ascii="Times New Roman" w:hAnsi="Times New Roman" w:eastAsia="方正仿宋_GBK" w:cs="Times New Roman"/>
          <w:spacing w:val="-2"/>
          <w:sz w:val="32"/>
          <w:szCs w:val="32"/>
        </w:rPr>
        <w:t>比</w:t>
      </w:r>
      <w:r>
        <w:rPr>
          <w:rFonts w:ascii="Times New Roman" w:hAnsi="Times New Roman" w:eastAsia="方正仿宋_GBK" w:cs="Times New Roman"/>
          <w:spacing w:val="-2"/>
          <w:sz w:val="32"/>
          <w:szCs w:val="32"/>
        </w:rPr>
        <w:t>72.35%。</w:t>
      </w:r>
      <w:r>
        <w:rPr>
          <w:rFonts w:hint="eastAsia" w:ascii="Times New Roman" w:hAnsi="Times New Roman" w:eastAsia="方正仿宋_GBK" w:cs="Times New Roman"/>
          <w:spacing w:val="-2"/>
          <w:sz w:val="32"/>
          <w:szCs w:val="32"/>
        </w:rPr>
        <w:t>具体情况如下：</w:t>
      </w:r>
    </w:p>
    <w:p>
      <w:pPr>
        <w:pStyle w:val="11"/>
        <w:widowControl/>
        <w:spacing w:beforeAutospacing="0" w:afterAutospacing="0" w:line="560" w:lineRule="exact"/>
        <w:jc w:val="right"/>
        <w:rPr>
          <w:rFonts w:ascii="Times New Roman" w:hAnsi="Times New Roman" w:eastAsia="仿宋"/>
          <w:color w:val="3D3D3D"/>
          <w:sz w:val="21"/>
          <w:szCs w:val="21"/>
        </w:rPr>
      </w:pPr>
      <w:r>
        <w:rPr>
          <w:rFonts w:ascii="Times New Roman" w:hAnsi="仿宋" w:eastAsia="仿宋"/>
          <w:sz w:val="21"/>
          <w:szCs w:val="21"/>
        </w:rPr>
        <w:t>单位：万元</w:t>
      </w:r>
    </w:p>
    <w:tbl>
      <w:tblPr>
        <w:tblStyle w:val="12"/>
        <w:tblW w:w="8379" w:type="dxa"/>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
      <w:tblGrid>
        <w:gridCol w:w="1005"/>
        <w:gridCol w:w="2034"/>
        <w:gridCol w:w="1648"/>
        <w:gridCol w:w="1787"/>
        <w:gridCol w:w="1905"/>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90" w:hRule="atLeast"/>
        </w:trPr>
        <w:tc>
          <w:tcPr>
            <w:tcW w:w="100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bookmarkStart w:id="2" w:name="OLE_LINK18" w:colFirst="0" w:colLast="4"/>
            <w:bookmarkStart w:id="3" w:name="OLE_LINK9" w:colFirst="0" w:colLast="3"/>
            <w:r>
              <w:rPr>
                <w:rFonts w:ascii="Times New Roman" w:hAnsi="仿宋" w:eastAsia="仿宋" w:cs="Times New Roman"/>
                <w:kern w:val="0"/>
                <w:szCs w:val="21"/>
              </w:rPr>
              <w:t>年度</w:t>
            </w:r>
          </w:p>
        </w:tc>
        <w:tc>
          <w:tcPr>
            <w:tcW w:w="20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预算项目</w:t>
            </w:r>
          </w:p>
        </w:tc>
        <w:tc>
          <w:tcPr>
            <w:tcW w:w="1648"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基本支出</w:t>
            </w:r>
          </w:p>
        </w:tc>
        <w:tc>
          <w:tcPr>
            <w:tcW w:w="178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项目支出</w:t>
            </w:r>
          </w:p>
        </w:tc>
        <w:tc>
          <w:tcPr>
            <w:tcW w:w="190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合计</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90" w:hRule="atLeast"/>
        </w:trPr>
        <w:tc>
          <w:tcPr>
            <w:tcW w:w="1005" w:type="dxa"/>
            <w:vMerge w:val="restart"/>
            <w:tcBorders>
              <w:top w:val="outset" w:color="000000" w:sz="6" w:space="0"/>
              <w:left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bookmarkStart w:id="4" w:name="OLE_LINK3" w:colFirst="4" w:colLast="4"/>
            <w:bookmarkStart w:id="5" w:name="OLE_LINK5" w:colFirst="2" w:colLast="2"/>
            <w:bookmarkStart w:id="6" w:name="OLE_LINK2" w:colFirst="3" w:colLast="3"/>
            <w:bookmarkStart w:id="7" w:name="OLE_LINK4" w:colFirst="2" w:colLast="2"/>
            <w:r>
              <w:rPr>
                <w:rFonts w:ascii="Times New Roman" w:hAnsi="仿宋" w:eastAsia="仿宋" w:cs="Times New Roman"/>
                <w:kern w:val="0"/>
                <w:szCs w:val="21"/>
              </w:rPr>
              <w:t>本年</w:t>
            </w:r>
          </w:p>
        </w:tc>
        <w:tc>
          <w:tcPr>
            <w:tcW w:w="20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本年预算</w:t>
            </w:r>
          </w:p>
        </w:tc>
        <w:tc>
          <w:tcPr>
            <w:tcW w:w="1648"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2,132.41</w:t>
            </w:r>
          </w:p>
        </w:tc>
        <w:tc>
          <w:tcPr>
            <w:tcW w:w="178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2,110.88</w:t>
            </w:r>
          </w:p>
        </w:tc>
        <w:tc>
          <w:tcPr>
            <w:tcW w:w="190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4,243.29</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30" w:hRule="atLeast"/>
        </w:trPr>
        <w:tc>
          <w:tcPr>
            <w:tcW w:w="1005" w:type="dxa"/>
            <w:vMerge w:val="continue"/>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p>
        </w:tc>
        <w:tc>
          <w:tcPr>
            <w:tcW w:w="20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上级拨款</w:t>
            </w:r>
          </w:p>
        </w:tc>
        <w:tc>
          <w:tcPr>
            <w:tcW w:w="1648"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1,078.32</w:t>
            </w:r>
          </w:p>
        </w:tc>
        <w:tc>
          <w:tcPr>
            <w:tcW w:w="178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6,291.28</w:t>
            </w:r>
          </w:p>
        </w:tc>
        <w:tc>
          <w:tcPr>
            <w:tcW w:w="190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7,369.60</w:t>
            </w:r>
          </w:p>
        </w:tc>
      </w:tr>
      <w:bookmarkEnd w:id="2"/>
      <w:bookmarkEnd w:id="4"/>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90" w:hRule="atLeast"/>
        </w:trPr>
        <w:tc>
          <w:tcPr>
            <w:tcW w:w="1005" w:type="dxa"/>
            <w:vMerge w:val="continue"/>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p>
        </w:tc>
        <w:tc>
          <w:tcPr>
            <w:tcW w:w="20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年初结转</w:t>
            </w:r>
          </w:p>
        </w:tc>
        <w:tc>
          <w:tcPr>
            <w:tcW w:w="1648"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78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90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r>
      <w:bookmarkEnd w:id="5"/>
      <w:bookmarkEnd w:id="6"/>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15" w:hRule="atLeast"/>
        </w:trPr>
        <w:tc>
          <w:tcPr>
            <w:tcW w:w="1005" w:type="dxa"/>
            <w:vMerge w:val="continue"/>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bookmarkStart w:id="8" w:name="OLE_LINK6" w:colFirst="2" w:colLast="3"/>
          </w:p>
        </w:tc>
        <w:tc>
          <w:tcPr>
            <w:tcW w:w="20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本年可用指标</w:t>
            </w:r>
          </w:p>
        </w:tc>
        <w:tc>
          <w:tcPr>
            <w:tcW w:w="1648"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3,210.73</w:t>
            </w:r>
          </w:p>
        </w:tc>
        <w:tc>
          <w:tcPr>
            <w:tcW w:w="178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8,402.16</w:t>
            </w:r>
          </w:p>
        </w:tc>
        <w:tc>
          <w:tcPr>
            <w:tcW w:w="190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1,1612.89</w:t>
            </w:r>
          </w:p>
        </w:tc>
      </w:tr>
      <w:bookmarkEnd w:id="7"/>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14" w:hRule="atLeast"/>
        </w:trPr>
        <w:tc>
          <w:tcPr>
            <w:tcW w:w="3039" w:type="dxa"/>
            <w:gridSpan w:val="2"/>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bookmarkStart w:id="9" w:name="OLE_LINK7" w:colFirst="1" w:colLast="3"/>
            <w:r>
              <w:rPr>
                <w:rFonts w:ascii="Times New Roman" w:hAnsi="仿宋" w:eastAsia="仿宋" w:cs="Times New Roman"/>
                <w:kern w:val="0"/>
                <w:szCs w:val="21"/>
              </w:rPr>
              <w:t>上年可用指标</w:t>
            </w:r>
          </w:p>
        </w:tc>
        <w:tc>
          <w:tcPr>
            <w:tcW w:w="1648"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p>
        </w:tc>
        <w:tc>
          <w:tcPr>
            <w:tcW w:w="178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p>
        </w:tc>
        <w:tc>
          <w:tcPr>
            <w:tcW w:w="190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8,500.27</w:t>
            </w:r>
          </w:p>
        </w:tc>
      </w:tr>
      <w:bookmarkEnd w:id="8"/>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PrEx>
        <w:trPr>
          <w:trHeight w:val="230" w:hRule="atLeast"/>
        </w:trPr>
        <w:tc>
          <w:tcPr>
            <w:tcW w:w="3039" w:type="dxa"/>
            <w:gridSpan w:val="2"/>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较上年增减金额</w:t>
            </w:r>
          </w:p>
        </w:tc>
        <w:tc>
          <w:tcPr>
            <w:tcW w:w="1648"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p>
        </w:tc>
        <w:tc>
          <w:tcPr>
            <w:tcW w:w="178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p>
        </w:tc>
        <w:tc>
          <w:tcPr>
            <w:tcW w:w="190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3,112.62</w:t>
            </w:r>
          </w:p>
        </w:tc>
      </w:tr>
      <w:bookmarkEnd w:id="9"/>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60" w:hRule="atLeast"/>
        </w:trPr>
        <w:tc>
          <w:tcPr>
            <w:tcW w:w="3039" w:type="dxa"/>
            <w:gridSpan w:val="2"/>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较上年增减比例</w:t>
            </w:r>
          </w:p>
        </w:tc>
        <w:tc>
          <w:tcPr>
            <w:tcW w:w="1648"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p>
        </w:tc>
        <w:tc>
          <w:tcPr>
            <w:tcW w:w="178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p>
        </w:tc>
        <w:tc>
          <w:tcPr>
            <w:tcW w:w="190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36.62%</w:t>
            </w:r>
          </w:p>
        </w:tc>
      </w:tr>
      <w:bookmarkEnd w:id="3"/>
    </w:tbl>
    <w:p>
      <w:pPr>
        <w:widowControl/>
        <w:shd w:val="clear" w:color="auto" w:fill="FFFFFF"/>
        <w:spacing w:line="560" w:lineRule="exact"/>
        <w:ind w:firstLine="632" w:firstLineChars="200"/>
        <w:rPr>
          <w:rFonts w:ascii="Times New Roman" w:hAnsi="Times New Roman" w:eastAsia="方正仿宋_GBK" w:cs="Times New Roman"/>
          <w:b/>
          <w:spacing w:val="-2"/>
          <w:sz w:val="32"/>
          <w:szCs w:val="32"/>
        </w:rPr>
      </w:pPr>
      <w:r>
        <w:rPr>
          <w:rFonts w:ascii="Times New Roman" w:hAnsi="Times New Roman" w:eastAsia="方正仿宋_GBK" w:cs="Times New Roman"/>
          <w:b/>
          <w:spacing w:val="-2"/>
          <w:sz w:val="32"/>
          <w:szCs w:val="32"/>
        </w:rPr>
        <w:t>3.财政预算整体支出使用范围、方向和内容</w:t>
      </w:r>
      <w:r>
        <w:rPr>
          <w:rFonts w:hint="eastAsia" w:ascii="Times New Roman" w:hAnsi="Times New Roman" w:eastAsia="方正仿宋_GBK" w:cs="Times New Roman"/>
          <w:b/>
          <w:spacing w:val="-2"/>
          <w:sz w:val="32"/>
          <w:szCs w:val="32"/>
        </w:rPr>
        <w:t>。</w:t>
      </w:r>
      <w:r>
        <w:rPr>
          <w:rFonts w:ascii="Times New Roman" w:hAnsi="Times New Roman" w:eastAsia="方正仿宋_GBK" w:cs="Times New Roman"/>
          <w:spacing w:val="-2"/>
          <w:sz w:val="32"/>
          <w:szCs w:val="32"/>
        </w:rPr>
        <w:t>年初财政预算支出4,243.29万元，</w:t>
      </w:r>
      <w:r>
        <w:rPr>
          <w:rFonts w:hint="eastAsia" w:ascii="Times New Roman" w:hAnsi="Times New Roman" w:eastAsia="方正仿宋_GBK" w:cs="Times New Roman"/>
          <w:spacing w:val="-2"/>
          <w:sz w:val="32"/>
          <w:szCs w:val="32"/>
        </w:rPr>
        <w:t>其中</w:t>
      </w:r>
      <w:r>
        <w:rPr>
          <w:rFonts w:ascii="Times New Roman" w:hAnsi="Times New Roman" w:eastAsia="方正仿宋_GBK" w:cs="Times New Roman"/>
          <w:spacing w:val="-2"/>
          <w:sz w:val="32"/>
          <w:szCs w:val="32"/>
        </w:rPr>
        <w:t>基本支出2,132.41万元，占</w:t>
      </w:r>
      <w:r>
        <w:rPr>
          <w:rFonts w:hint="eastAsia" w:ascii="Times New Roman" w:hAnsi="Times New Roman" w:eastAsia="方正仿宋_GBK" w:cs="Times New Roman"/>
          <w:spacing w:val="-2"/>
          <w:sz w:val="32"/>
          <w:szCs w:val="32"/>
        </w:rPr>
        <w:t>比</w:t>
      </w:r>
      <w:r>
        <w:rPr>
          <w:rFonts w:ascii="Times New Roman" w:hAnsi="Times New Roman" w:eastAsia="方正仿宋_GBK" w:cs="Times New Roman"/>
          <w:spacing w:val="-2"/>
          <w:sz w:val="32"/>
          <w:szCs w:val="32"/>
        </w:rPr>
        <w:t>50.25%；项目支出2,110.88万元，占</w:t>
      </w:r>
      <w:r>
        <w:rPr>
          <w:rFonts w:hint="eastAsia" w:ascii="Times New Roman" w:hAnsi="Times New Roman" w:eastAsia="方正仿宋_GBK" w:cs="Times New Roman"/>
          <w:spacing w:val="-2"/>
          <w:sz w:val="32"/>
          <w:szCs w:val="32"/>
        </w:rPr>
        <w:t>比</w:t>
      </w:r>
      <w:r>
        <w:rPr>
          <w:rFonts w:ascii="Times New Roman" w:hAnsi="Times New Roman" w:eastAsia="方正仿宋_GBK" w:cs="Times New Roman"/>
          <w:spacing w:val="-2"/>
          <w:sz w:val="32"/>
          <w:szCs w:val="32"/>
        </w:rPr>
        <w:t>49.75%。具体使用方向和内容如下：</w:t>
      </w:r>
    </w:p>
    <w:p>
      <w:pPr>
        <w:pStyle w:val="11"/>
        <w:widowControl/>
        <w:spacing w:beforeAutospacing="0" w:afterAutospacing="0" w:line="560" w:lineRule="exact"/>
        <w:jc w:val="right"/>
        <w:rPr>
          <w:rFonts w:ascii="Times New Roman" w:hAnsi="Times New Roman" w:eastAsia="仿宋"/>
          <w:color w:val="3D3D3D"/>
          <w:sz w:val="21"/>
          <w:szCs w:val="21"/>
          <w:shd w:val="clear" w:color="auto" w:fill="FFFFFF"/>
        </w:rPr>
      </w:pPr>
      <w:r>
        <w:rPr>
          <w:rFonts w:ascii="Times New Roman" w:hAnsi="仿宋" w:eastAsia="仿宋"/>
          <w:sz w:val="21"/>
          <w:szCs w:val="21"/>
        </w:rPr>
        <w:t>单位：万元</w:t>
      </w:r>
    </w:p>
    <w:tbl>
      <w:tblPr>
        <w:tblStyle w:val="12"/>
        <w:tblW w:w="8314"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
      <w:tblGrid>
        <w:gridCol w:w="2134"/>
        <w:gridCol w:w="2125"/>
        <w:gridCol w:w="2011"/>
        <w:gridCol w:w="2044"/>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90" w:hRule="atLeast"/>
          <w:jc w:val="center"/>
        </w:trPr>
        <w:tc>
          <w:tcPr>
            <w:tcW w:w="21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bookmarkStart w:id="10" w:name="OLE_LINK10" w:colFirst="0" w:colLast="3"/>
            <w:r>
              <w:rPr>
                <w:rFonts w:ascii="Times New Roman" w:hAnsi="仿宋" w:eastAsia="仿宋" w:cs="Times New Roman"/>
                <w:kern w:val="0"/>
                <w:szCs w:val="21"/>
              </w:rPr>
              <w:t>支出项目</w:t>
            </w:r>
          </w:p>
        </w:tc>
        <w:tc>
          <w:tcPr>
            <w:tcW w:w="2125" w:type="dxa"/>
            <w:tcBorders>
              <w:top w:val="outset" w:color="000000" w:sz="6" w:space="0"/>
              <w:left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基本支出</w:t>
            </w:r>
          </w:p>
        </w:tc>
        <w:tc>
          <w:tcPr>
            <w:tcW w:w="2011" w:type="dxa"/>
            <w:tcBorders>
              <w:top w:val="outset" w:color="000000" w:sz="6" w:space="0"/>
              <w:left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项目支出</w:t>
            </w:r>
          </w:p>
        </w:tc>
        <w:tc>
          <w:tcPr>
            <w:tcW w:w="204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合计</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90" w:hRule="atLeast"/>
          <w:jc w:val="center"/>
        </w:trPr>
        <w:tc>
          <w:tcPr>
            <w:tcW w:w="21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bookmarkStart w:id="11" w:name="OLE_LINK13" w:colFirst="1" w:colLast="1"/>
            <w:bookmarkStart w:id="12" w:name="OLE_LINK16" w:colFirst="3" w:colLast="3"/>
            <w:bookmarkStart w:id="13" w:name="OLE_LINK15" w:colFirst="1" w:colLast="2"/>
            <w:r>
              <w:rPr>
                <w:rFonts w:ascii="Times New Roman" w:hAnsi="仿宋" w:eastAsia="仿宋" w:cs="Times New Roman"/>
                <w:kern w:val="0"/>
                <w:szCs w:val="21"/>
              </w:rPr>
              <w:t>工资福利支出</w:t>
            </w:r>
          </w:p>
        </w:tc>
        <w:tc>
          <w:tcPr>
            <w:tcW w:w="2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841.26</w:t>
            </w:r>
          </w:p>
        </w:tc>
        <w:tc>
          <w:tcPr>
            <w:tcW w:w="201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204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841.26</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45" w:hRule="atLeast"/>
          <w:jc w:val="center"/>
        </w:trPr>
        <w:tc>
          <w:tcPr>
            <w:tcW w:w="21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bookmarkStart w:id="14" w:name="OLE_LINK14" w:colFirst="2" w:colLast="2"/>
            <w:r>
              <w:rPr>
                <w:rFonts w:ascii="Times New Roman" w:hAnsi="仿宋" w:eastAsia="仿宋" w:cs="Times New Roman"/>
                <w:kern w:val="0"/>
                <w:szCs w:val="21"/>
              </w:rPr>
              <w:t>商品和服务支出</w:t>
            </w:r>
          </w:p>
        </w:tc>
        <w:tc>
          <w:tcPr>
            <w:tcW w:w="2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943.83</w:t>
            </w:r>
          </w:p>
        </w:tc>
        <w:tc>
          <w:tcPr>
            <w:tcW w:w="201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204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943.83</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90" w:hRule="atLeast"/>
          <w:jc w:val="center"/>
        </w:trPr>
        <w:tc>
          <w:tcPr>
            <w:tcW w:w="21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对个人和家庭的补助</w:t>
            </w:r>
          </w:p>
        </w:tc>
        <w:tc>
          <w:tcPr>
            <w:tcW w:w="2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 xml:space="preserve">221.20 </w:t>
            </w:r>
          </w:p>
        </w:tc>
        <w:tc>
          <w:tcPr>
            <w:tcW w:w="201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204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 xml:space="preserve">221.20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90" w:hRule="atLeast"/>
          <w:jc w:val="center"/>
        </w:trPr>
        <w:tc>
          <w:tcPr>
            <w:tcW w:w="21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人员类专户结算</w:t>
            </w:r>
          </w:p>
        </w:tc>
        <w:tc>
          <w:tcPr>
            <w:tcW w:w="2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 xml:space="preserve">126.12 </w:t>
            </w:r>
          </w:p>
        </w:tc>
        <w:tc>
          <w:tcPr>
            <w:tcW w:w="201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204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 xml:space="preserve">126.12 </w:t>
            </w:r>
          </w:p>
        </w:tc>
      </w:tr>
      <w:bookmarkEnd w:id="11"/>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45" w:hRule="atLeast"/>
          <w:jc w:val="center"/>
        </w:trPr>
        <w:tc>
          <w:tcPr>
            <w:tcW w:w="21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运转其他类</w:t>
            </w:r>
          </w:p>
        </w:tc>
        <w:tc>
          <w:tcPr>
            <w:tcW w:w="2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201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2,000.88</w:t>
            </w:r>
          </w:p>
        </w:tc>
        <w:tc>
          <w:tcPr>
            <w:tcW w:w="204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 xml:space="preserve">2,000.88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90" w:hRule="atLeast"/>
          <w:jc w:val="center"/>
        </w:trPr>
        <w:tc>
          <w:tcPr>
            <w:tcW w:w="21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特定目标类</w:t>
            </w:r>
          </w:p>
        </w:tc>
        <w:tc>
          <w:tcPr>
            <w:tcW w:w="2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201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110.00</w:t>
            </w:r>
          </w:p>
        </w:tc>
        <w:tc>
          <w:tcPr>
            <w:tcW w:w="204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 xml:space="preserve">110.00 </w:t>
            </w:r>
          </w:p>
        </w:tc>
      </w:tr>
      <w:bookmarkEnd w:id="12"/>
      <w:bookmarkEnd w:id="14"/>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320" w:hRule="atLeast"/>
          <w:jc w:val="center"/>
        </w:trPr>
        <w:tc>
          <w:tcPr>
            <w:tcW w:w="21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合计</w:t>
            </w:r>
          </w:p>
        </w:tc>
        <w:tc>
          <w:tcPr>
            <w:tcW w:w="2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2,132.41</w:t>
            </w:r>
          </w:p>
        </w:tc>
        <w:tc>
          <w:tcPr>
            <w:tcW w:w="201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2,110.88</w:t>
            </w:r>
          </w:p>
        </w:tc>
        <w:tc>
          <w:tcPr>
            <w:tcW w:w="204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 xml:space="preserve">4,243.29 </w:t>
            </w:r>
          </w:p>
        </w:tc>
      </w:tr>
      <w:bookmarkEnd w:id="10"/>
      <w:bookmarkEnd w:id="13"/>
    </w:tbl>
    <w:p>
      <w:pPr>
        <w:widowControl/>
        <w:shd w:val="clear" w:color="auto" w:fill="FFFFFF"/>
        <w:spacing w:line="560" w:lineRule="exact"/>
        <w:ind w:firstLine="632" w:firstLineChars="200"/>
        <w:rPr>
          <w:rFonts w:ascii="Times New Roman" w:hAnsi="Times New Roman" w:eastAsia="方正仿宋_GBK" w:cs="Times New Roman"/>
          <w:b/>
          <w:spacing w:val="-2"/>
          <w:sz w:val="32"/>
          <w:szCs w:val="32"/>
        </w:rPr>
      </w:pPr>
      <w:r>
        <w:rPr>
          <w:rFonts w:ascii="Times New Roman" w:hAnsi="Times New Roman" w:eastAsia="方正仿宋_GBK" w:cs="Times New Roman"/>
          <w:b/>
          <w:spacing w:val="-2"/>
          <w:sz w:val="32"/>
          <w:szCs w:val="32"/>
        </w:rPr>
        <w:t>4.年度预算收入决算</w:t>
      </w:r>
      <w:r>
        <w:rPr>
          <w:rFonts w:hint="eastAsia" w:ascii="Times New Roman" w:hAnsi="Times New Roman" w:eastAsia="方正仿宋_GBK" w:cs="Times New Roman"/>
          <w:b/>
          <w:spacing w:val="-2"/>
          <w:sz w:val="32"/>
          <w:szCs w:val="32"/>
        </w:rPr>
        <w:t>。</w:t>
      </w:r>
      <w:r>
        <w:rPr>
          <w:rFonts w:ascii="Times New Roman" w:hAnsi="Times New Roman" w:eastAsia="方正仿宋_GBK" w:cs="Times New Roman"/>
          <w:spacing w:val="-2"/>
          <w:sz w:val="32"/>
          <w:szCs w:val="32"/>
        </w:rPr>
        <w:t>预算可用指标11,612.89万元，包括本年财政拨款决算收入7,249.50万元，政府性基金预算财政拨款收入3,099.29万元，事业收入1,167.91万元，其他收入91.06万元，使用非财政拨款结余和专用结余5.13万元。</w:t>
      </w: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b/>
          <w:spacing w:val="-2"/>
          <w:sz w:val="32"/>
          <w:szCs w:val="32"/>
        </w:rPr>
        <w:t>5.年度预算支出决算及结余</w:t>
      </w:r>
      <w:r>
        <w:rPr>
          <w:rFonts w:hint="eastAsia" w:ascii="Times New Roman" w:hAnsi="Times New Roman" w:eastAsia="方正仿宋_GBK" w:cs="Times New Roman"/>
          <w:b/>
          <w:spacing w:val="-2"/>
          <w:sz w:val="32"/>
          <w:szCs w:val="32"/>
        </w:rPr>
        <w:t>。</w:t>
      </w:r>
      <w:r>
        <w:rPr>
          <w:rFonts w:ascii="Times New Roman" w:hAnsi="Times New Roman" w:eastAsia="方正仿宋_GBK" w:cs="Times New Roman"/>
          <w:spacing w:val="-2"/>
          <w:sz w:val="32"/>
          <w:szCs w:val="32"/>
        </w:rPr>
        <w:t>决算支出11,584.26万元</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结余分配28.63万元。按支出用途划分，基本支出3,182.10万元，占</w:t>
      </w:r>
      <w:r>
        <w:rPr>
          <w:rFonts w:hint="eastAsia" w:ascii="Times New Roman" w:hAnsi="Times New Roman" w:eastAsia="方正仿宋_GBK" w:cs="Times New Roman"/>
          <w:spacing w:val="-2"/>
          <w:sz w:val="32"/>
          <w:szCs w:val="32"/>
        </w:rPr>
        <w:t>比</w:t>
      </w:r>
      <w:r>
        <w:rPr>
          <w:rFonts w:ascii="Times New Roman" w:hAnsi="Times New Roman" w:eastAsia="方正仿宋_GBK" w:cs="Times New Roman"/>
          <w:spacing w:val="-2"/>
          <w:sz w:val="32"/>
          <w:szCs w:val="32"/>
        </w:rPr>
        <w:t>27.47%；项目支出8,402.16万元，占</w:t>
      </w:r>
      <w:r>
        <w:rPr>
          <w:rFonts w:hint="eastAsia" w:ascii="Times New Roman" w:hAnsi="Times New Roman" w:eastAsia="方正仿宋_GBK" w:cs="Times New Roman"/>
          <w:spacing w:val="-2"/>
          <w:sz w:val="32"/>
          <w:szCs w:val="32"/>
        </w:rPr>
        <w:t>比</w:t>
      </w:r>
      <w:r>
        <w:rPr>
          <w:rFonts w:ascii="Times New Roman" w:hAnsi="Times New Roman" w:eastAsia="方正仿宋_GBK" w:cs="Times New Roman"/>
          <w:spacing w:val="-2"/>
          <w:sz w:val="32"/>
          <w:szCs w:val="32"/>
        </w:rPr>
        <w:t>72.53%。</w:t>
      </w:r>
      <w:r>
        <w:rPr>
          <w:rFonts w:hint="eastAsia" w:ascii="Times New Roman" w:hAnsi="Times New Roman" w:eastAsia="方正仿宋_GBK" w:cs="Times New Roman"/>
          <w:spacing w:val="-2"/>
          <w:sz w:val="32"/>
          <w:szCs w:val="32"/>
        </w:rPr>
        <w:t>具体情况如下：</w:t>
      </w:r>
    </w:p>
    <w:p>
      <w:pPr>
        <w:pStyle w:val="11"/>
        <w:widowControl/>
        <w:spacing w:beforeAutospacing="0" w:afterAutospacing="0" w:line="560" w:lineRule="exact"/>
        <w:jc w:val="right"/>
        <w:rPr>
          <w:rFonts w:ascii="Times New Roman" w:hAnsi="Times New Roman" w:eastAsia="仿宋"/>
          <w:color w:val="3D3D3D"/>
        </w:rPr>
      </w:pPr>
      <w:r>
        <w:rPr>
          <w:rFonts w:ascii="Times New Roman" w:hAnsi="仿宋" w:eastAsia="仿宋"/>
          <w:sz w:val="21"/>
          <w:szCs w:val="21"/>
        </w:rPr>
        <w:t>单位：万元</w:t>
      </w:r>
    </w:p>
    <w:tbl>
      <w:tblPr>
        <w:tblStyle w:val="12"/>
        <w:tblW w:w="10015"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
      <w:tblGrid>
        <w:gridCol w:w="2835"/>
        <w:gridCol w:w="955"/>
        <w:gridCol w:w="1290"/>
        <w:gridCol w:w="1275"/>
        <w:gridCol w:w="1365"/>
        <w:gridCol w:w="1125"/>
        <w:gridCol w:w="1170"/>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90" w:hRule="atLeast"/>
          <w:jc w:val="center"/>
        </w:trPr>
        <w:tc>
          <w:tcPr>
            <w:tcW w:w="283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bookmarkStart w:id="15" w:name="OLE_LINK17"/>
            <w:r>
              <w:rPr>
                <w:rFonts w:ascii="Times New Roman" w:hAnsi="仿宋" w:eastAsia="仿宋" w:cs="Times New Roman"/>
                <w:kern w:val="0"/>
                <w:szCs w:val="21"/>
              </w:rPr>
              <w:t>项</w:t>
            </w:r>
            <w:r>
              <w:rPr>
                <w:rFonts w:ascii="Times New Roman" w:hAnsi="Times New Roman" w:eastAsia="仿宋" w:cs="Times New Roman"/>
                <w:kern w:val="0"/>
                <w:szCs w:val="21"/>
              </w:rPr>
              <w:t xml:space="preserve"> </w:t>
            </w:r>
            <w:r>
              <w:rPr>
                <w:rFonts w:ascii="Times New Roman" w:hAnsi="仿宋" w:eastAsia="仿宋" w:cs="Times New Roman"/>
                <w:kern w:val="0"/>
                <w:szCs w:val="21"/>
              </w:rPr>
              <w:t>目</w:t>
            </w:r>
            <w:r>
              <w:rPr>
                <w:rFonts w:ascii="Times New Roman" w:hAnsi="Times New Roman" w:eastAsia="仿宋" w:cs="Times New Roman"/>
                <w:kern w:val="0"/>
                <w:szCs w:val="21"/>
              </w:rPr>
              <w:t xml:space="preserve"> </w:t>
            </w:r>
          </w:p>
        </w:tc>
        <w:tc>
          <w:tcPr>
            <w:tcW w:w="9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上年结转</w:t>
            </w:r>
          </w:p>
        </w:tc>
        <w:tc>
          <w:tcPr>
            <w:tcW w:w="12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预算收入</w:t>
            </w:r>
          </w:p>
        </w:tc>
        <w:tc>
          <w:tcPr>
            <w:tcW w:w="127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决算支出</w:t>
            </w:r>
          </w:p>
        </w:tc>
        <w:tc>
          <w:tcPr>
            <w:tcW w:w="13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使用非财政拨款结余</w:t>
            </w:r>
          </w:p>
        </w:tc>
        <w:tc>
          <w:tcPr>
            <w:tcW w:w="1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结余分配</w:t>
            </w:r>
          </w:p>
        </w:tc>
        <w:tc>
          <w:tcPr>
            <w:tcW w:w="117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年末结余</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75" w:hRule="atLeast"/>
          <w:jc w:val="center"/>
        </w:trPr>
        <w:tc>
          <w:tcPr>
            <w:tcW w:w="283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bookmarkStart w:id="16" w:name="OLE_LINK12" w:colFirst="2" w:colLast="2"/>
            <w:bookmarkStart w:id="17" w:name="OLE_LINK11" w:colFirst="2" w:colLast="3"/>
            <w:r>
              <w:rPr>
                <w:rFonts w:ascii="Times New Roman" w:hAnsi="仿宋" w:eastAsia="仿宋" w:cs="Times New Roman"/>
                <w:kern w:val="0"/>
                <w:szCs w:val="21"/>
              </w:rPr>
              <w:t>一般公共预算财政拨款收入</w:t>
            </w:r>
          </w:p>
        </w:tc>
        <w:tc>
          <w:tcPr>
            <w:tcW w:w="9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2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7,249.50</w:t>
            </w:r>
          </w:p>
        </w:tc>
        <w:tc>
          <w:tcPr>
            <w:tcW w:w="127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3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7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75" w:hRule="atLeast"/>
          <w:jc w:val="center"/>
        </w:trPr>
        <w:tc>
          <w:tcPr>
            <w:tcW w:w="283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政府性基金预算财政拨款收入</w:t>
            </w:r>
          </w:p>
        </w:tc>
        <w:tc>
          <w:tcPr>
            <w:tcW w:w="9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2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3,099.29</w:t>
            </w:r>
          </w:p>
        </w:tc>
        <w:tc>
          <w:tcPr>
            <w:tcW w:w="127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3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7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75" w:hRule="atLeast"/>
          <w:jc w:val="center"/>
        </w:trPr>
        <w:tc>
          <w:tcPr>
            <w:tcW w:w="283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事业收入</w:t>
            </w:r>
          </w:p>
        </w:tc>
        <w:tc>
          <w:tcPr>
            <w:tcW w:w="9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2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1,167.91</w:t>
            </w:r>
          </w:p>
        </w:tc>
        <w:tc>
          <w:tcPr>
            <w:tcW w:w="127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3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7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60" w:hRule="atLeast"/>
          <w:jc w:val="center"/>
        </w:trPr>
        <w:tc>
          <w:tcPr>
            <w:tcW w:w="283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其他收入</w:t>
            </w:r>
          </w:p>
        </w:tc>
        <w:tc>
          <w:tcPr>
            <w:tcW w:w="9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2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91.06</w:t>
            </w:r>
          </w:p>
        </w:tc>
        <w:tc>
          <w:tcPr>
            <w:tcW w:w="127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3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7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37" w:hRule="atLeast"/>
          <w:jc w:val="center"/>
        </w:trPr>
        <w:tc>
          <w:tcPr>
            <w:tcW w:w="283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基本支出</w:t>
            </w:r>
          </w:p>
        </w:tc>
        <w:tc>
          <w:tcPr>
            <w:tcW w:w="9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2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27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3,182.10</w:t>
            </w:r>
          </w:p>
        </w:tc>
        <w:tc>
          <w:tcPr>
            <w:tcW w:w="13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7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192" w:hRule="atLeast"/>
          <w:jc w:val="center"/>
        </w:trPr>
        <w:tc>
          <w:tcPr>
            <w:tcW w:w="283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项目支出</w:t>
            </w:r>
          </w:p>
        </w:tc>
        <w:tc>
          <w:tcPr>
            <w:tcW w:w="9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2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27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8,402.16</w:t>
            </w:r>
          </w:p>
        </w:tc>
        <w:tc>
          <w:tcPr>
            <w:tcW w:w="13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7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95" w:hRule="atLeast"/>
          <w:jc w:val="center"/>
        </w:trPr>
        <w:tc>
          <w:tcPr>
            <w:tcW w:w="283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使用非财政拨款结余</w:t>
            </w:r>
          </w:p>
        </w:tc>
        <w:tc>
          <w:tcPr>
            <w:tcW w:w="9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2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27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3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5.13</w:t>
            </w:r>
          </w:p>
        </w:tc>
        <w:tc>
          <w:tcPr>
            <w:tcW w:w="1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7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95" w:hRule="atLeast"/>
          <w:jc w:val="center"/>
        </w:trPr>
        <w:tc>
          <w:tcPr>
            <w:tcW w:w="283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结余分配</w:t>
            </w:r>
          </w:p>
        </w:tc>
        <w:tc>
          <w:tcPr>
            <w:tcW w:w="9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2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27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3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28.63</w:t>
            </w:r>
          </w:p>
        </w:tc>
        <w:tc>
          <w:tcPr>
            <w:tcW w:w="117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r>
      <w:bookmarkEnd w:id="16"/>
      <w:bookmarkEnd w:id="17"/>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90" w:hRule="atLeast"/>
          <w:jc w:val="center"/>
        </w:trPr>
        <w:tc>
          <w:tcPr>
            <w:tcW w:w="283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年末结转和结余</w:t>
            </w:r>
          </w:p>
        </w:tc>
        <w:tc>
          <w:tcPr>
            <w:tcW w:w="9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2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27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3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7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350" w:hRule="atLeast"/>
          <w:jc w:val="center"/>
        </w:trPr>
        <w:tc>
          <w:tcPr>
            <w:tcW w:w="283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合计</w:t>
            </w:r>
          </w:p>
        </w:tc>
        <w:tc>
          <w:tcPr>
            <w:tcW w:w="9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2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11,607.76</w:t>
            </w:r>
          </w:p>
        </w:tc>
        <w:tc>
          <w:tcPr>
            <w:tcW w:w="127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11,584.26</w:t>
            </w:r>
          </w:p>
        </w:tc>
        <w:tc>
          <w:tcPr>
            <w:tcW w:w="13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5.13</w:t>
            </w:r>
          </w:p>
        </w:tc>
        <w:tc>
          <w:tcPr>
            <w:tcW w:w="1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28.63</w:t>
            </w:r>
          </w:p>
        </w:tc>
        <w:tc>
          <w:tcPr>
            <w:tcW w:w="117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r>
      <w:bookmarkEnd w:id="15"/>
    </w:tbl>
    <w:p>
      <w:pPr>
        <w:widowControl/>
        <w:shd w:val="clear" w:color="auto" w:fill="FFFFFF"/>
        <w:spacing w:line="560" w:lineRule="exact"/>
        <w:ind w:firstLine="640" w:firstLineChars="200"/>
        <w:rPr>
          <w:rFonts w:ascii="Times New Roman" w:hAnsi="Times New Roman" w:eastAsia="方正楷体_GBK" w:cs="Times New Roman"/>
          <w:b/>
          <w:bCs/>
          <w:color w:val="000000"/>
          <w:sz w:val="32"/>
          <w:szCs w:val="32"/>
          <w:shd w:val="clear" w:color="auto" w:fill="FFFFFF"/>
        </w:rPr>
      </w:pPr>
      <w:r>
        <w:rPr>
          <w:rFonts w:ascii="Times New Roman" w:hAnsi="Times New Roman" w:eastAsia="方正楷体_GBK" w:cs="Times New Roman"/>
          <w:b/>
          <w:bCs/>
          <w:color w:val="000000"/>
          <w:sz w:val="32"/>
          <w:szCs w:val="32"/>
          <w:shd w:val="clear" w:color="auto" w:fill="FFFFFF"/>
        </w:rPr>
        <w:t>（二）部门预算执行情况</w:t>
      </w:r>
    </w:p>
    <w:p>
      <w:pPr>
        <w:widowControl/>
        <w:shd w:val="clear" w:color="auto" w:fill="FFFFFF"/>
        <w:spacing w:line="560" w:lineRule="exact"/>
        <w:ind w:firstLine="632" w:firstLineChars="200"/>
        <w:rPr>
          <w:rFonts w:hint="eastAsia" w:ascii="Times New Roman" w:hAnsi="Times New Roman" w:eastAsia="方正仿宋_GBK" w:cs="Times New Roman"/>
          <w:spacing w:val="-2"/>
          <w:sz w:val="32"/>
          <w:szCs w:val="32"/>
        </w:rPr>
      </w:pPr>
      <w:r>
        <w:rPr>
          <w:rFonts w:ascii="Times New Roman" w:hAnsi="Times New Roman" w:eastAsia="方正仿宋_GBK" w:cs="Times New Roman"/>
          <w:b/>
          <w:spacing w:val="-2"/>
          <w:sz w:val="32"/>
          <w:szCs w:val="32"/>
        </w:rPr>
        <w:t>1.基本支出情况</w:t>
      </w:r>
      <w:r>
        <w:rPr>
          <w:rFonts w:hint="eastAsia" w:ascii="Times New Roman" w:hAnsi="Times New Roman" w:eastAsia="方正仿宋_GBK" w:cs="Times New Roman"/>
          <w:b/>
          <w:spacing w:val="-2"/>
          <w:sz w:val="32"/>
          <w:szCs w:val="32"/>
        </w:rPr>
        <w:t>。</w:t>
      </w:r>
      <w:r>
        <w:rPr>
          <w:rFonts w:ascii="Times New Roman" w:hAnsi="Times New Roman" w:eastAsia="方正仿宋_GBK" w:cs="Times New Roman"/>
          <w:spacing w:val="-2"/>
          <w:sz w:val="32"/>
          <w:szCs w:val="32"/>
        </w:rPr>
        <w:t>基本支出是指用于保障机构正常运转、完成日常工作任务</w:t>
      </w:r>
      <w:r>
        <w:rPr>
          <w:rFonts w:hint="eastAsia" w:ascii="Times New Roman" w:hAnsi="Times New Roman" w:eastAsia="方正仿宋_GBK" w:cs="Times New Roman"/>
          <w:spacing w:val="-2"/>
          <w:sz w:val="32"/>
          <w:szCs w:val="32"/>
        </w:rPr>
        <w:t>所</w:t>
      </w:r>
      <w:r>
        <w:rPr>
          <w:rFonts w:ascii="Times New Roman" w:hAnsi="Times New Roman" w:eastAsia="方正仿宋_GBK" w:cs="Times New Roman"/>
          <w:spacing w:val="-2"/>
          <w:sz w:val="32"/>
          <w:szCs w:val="32"/>
        </w:rPr>
        <w:t>发生的支出，包括人员经费和日常公用经费。</w:t>
      </w:r>
    </w:p>
    <w:p>
      <w:pPr>
        <w:widowControl/>
        <w:shd w:val="clear" w:color="auto" w:fill="FFFFFF"/>
        <w:spacing w:line="560" w:lineRule="exact"/>
        <w:ind w:firstLine="632" w:firstLineChars="200"/>
        <w:rPr>
          <w:rFonts w:ascii="Times New Roman" w:hAnsi="Times New Roman" w:eastAsia="方正仿宋_GBK" w:cs="Times New Roman"/>
          <w:b/>
          <w:spacing w:val="-2"/>
          <w:sz w:val="32"/>
          <w:szCs w:val="32"/>
        </w:rPr>
      </w:pPr>
      <w:r>
        <w:rPr>
          <w:rFonts w:ascii="Times New Roman" w:hAnsi="Times New Roman" w:eastAsia="方正仿宋_GBK" w:cs="Times New Roman"/>
          <w:spacing w:val="-2"/>
          <w:sz w:val="32"/>
          <w:szCs w:val="32"/>
        </w:rPr>
        <w:t>2023年基本支出可用指标3,210.73万元</w:t>
      </w:r>
      <w:r>
        <w:rPr>
          <w:rFonts w:hint="eastAsia" w:ascii="Times New Roman" w:hAnsi="Times New Roman" w:eastAsia="方正仿宋_GBK" w:cs="Times New Roman"/>
          <w:spacing w:val="-2"/>
          <w:sz w:val="32"/>
          <w:szCs w:val="32"/>
        </w:rPr>
        <w:t>，包括</w:t>
      </w:r>
      <w:r>
        <w:rPr>
          <w:rFonts w:ascii="Times New Roman" w:hAnsi="Times New Roman" w:eastAsia="方正仿宋_GBK" w:cs="Times New Roman"/>
          <w:spacing w:val="-2"/>
          <w:sz w:val="32"/>
          <w:szCs w:val="32"/>
        </w:rPr>
        <w:t>年初预算2,132.41万元</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上级拨款1,078.32万元。决算支出为3,182.10万元，其中：人员经费决算支出2,115.32万元，主要为工资薪金及社会保障缴费</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公用经费决算支出1,066.78万元，主要包括办公费、水电费、物业费、差旅费等费用。</w:t>
      </w:r>
    </w:p>
    <w:p>
      <w:pPr>
        <w:widowControl/>
        <w:shd w:val="clear" w:color="auto" w:fill="FFFFFF"/>
        <w:spacing w:line="560" w:lineRule="exact"/>
        <w:ind w:firstLine="632" w:firstLineChars="200"/>
        <w:rPr>
          <w:rFonts w:ascii="Times New Roman" w:hAnsi="Times New Roman" w:eastAsia="方正仿宋_GBK" w:cs="Times New Roman"/>
          <w:b/>
          <w:spacing w:val="-2"/>
          <w:sz w:val="32"/>
          <w:szCs w:val="32"/>
        </w:rPr>
      </w:pPr>
      <w:r>
        <w:rPr>
          <w:rFonts w:ascii="Times New Roman" w:hAnsi="Times New Roman" w:eastAsia="方正仿宋_GBK" w:cs="Times New Roman"/>
          <w:b/>
          <w:spacing w:val="-2"/>
          <w:sz w:val="32"/>
          <w:szCs w:val="32"/>
        </w:rPr>
        <w:t>2.项目支出情况</w:t>
      </w:r>
      <w:r>
        <w:rPr>
          <w:rFonts w:hint="eastAsia" w:ascii="Times New Roman" w:hAnsi="Times New Roman" w:eastAsia="方正仿宋_GBK" w:cs="Times New Roman"/>
          <w:b/>
          <w:spacing w:val="-2"/>
          <w:sz w:val="32"/>
          <w:szCs w:val="32"/>
        </w:rPr>
        <w:t>。</w:t>
      </w: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spacing w:val="-2"/>
          <w:sz w:val="32"/>
          <w:szCs w:val="32"/>
        </w:rPr>
        <w:t>（1）专项资金</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一是完成前一年度已安排未完成的专项任务，二是当年新安排的工作任务，以及本年度临时性承接的工作任务，三是维护常年性的工作任务。具体使用用途为：</w:t>
      </w:r>
      <w:r>
        <w:rPr>
          <w:rFonts w:hint="eastAsia" w:ascii="宋体" w:hAnsi="宋体" w:eastAsia="宋体" w:cs="宋体"/>
          <w:spacing w:val="-2"/>
          <w:sz w:val="32"/>
          <w:szCs w:val="32"/>
        </w:rPr>
        <w:t>①</w:t>
      </w:r>
      <w:r>
        <w:rPr>
          <w:rFonts w:ascii="Times New Roman" w:hAnsi="Times New Roman" w:eastAsia="方正仿宋_GBK" w:cs="Times New Roman"/>
          <w:spacing w:val="-2"/>
          <w:sz w:val="32"/>
          <w:szCs w:val="32"/>
        </w:rPr>
        <w:t>民政管理事务；</w:t>
      </w:r>
      <w:r>
        <w:rPr>
          <w:rFonts w:hint="eastAsia" w:ascii="宋体" w:hAnsi="宋体" w:eastAsia="宋体" w:cs="宋体"/>
          <w:spacing w:val="-2"/>
          <w:sz w:val="32"/>
          <w:szCs w:val="32"/>
        </w:rPr>
        <w:t>②</w:t>
      </w:r>
      <w:r>
        <w:rPr>
          <w:rFonts w:ascii="Times New Roman" w:hAnsi="Times New Roman" w:eastAsia="方正仿宋_GBK" w:cs="Times New Roman"/>
          <w:spacing w:val="-2"/>
          <w:sz w:val="32"/>
          <w:szCs w:val="32"/>
        </w:rPr>
        <w:t>死亡抚恤；</w:t>
      </w:r>
      <w:r>
        <w:rPr>
          <w:rFonts w:hint="eastAsia" w:ascii="宋体" w:hAnsi="宋体" w:eastAsia="宋体" w:cs="宋体"/>
          <w:spacing w:val="-2"/>
          <w:sz w:val="32"/>
          <w:szCs w:val="32"/>
        </w:rPr>
        <w:t>③</w:t>
      </w:r>
      <w:r>
        <w:rPr>
          <w:rFonts w:ascii="Times New Roman" w:hAnsi="Times New Roman" w:eastAsia="方正仿宋_GBK" w:cs="Times New Roman"/>
          <w:spacing w:val="-2"/>
          <w:sz w:val="32"/>
          <w:szCs w:val="32"/>
        </w:rPr>
        <w:t>养老服务；</w:t>
      </w:r>
      <w:r>
        <w:rPr>
          <w:rFonts w:hint="eastAsia" w:ascii="宋体" w:hAnsi="宋体" w:eastAsia="宋体" w:cs="宋体"/>
          <w:spacing w:val="-2"/>
          <w:sz w:val="32"/>
          <w:szCs w:val="32"/>
        </w:rPr>
        <w:t>④</w:t>
      </w:r>
      <w:r>
        <w:rPr>
          <w:rFonts w:ascii="Times New Roman" w:hAnsi="Times New Roman" w:eastAsia="方正仿宋_GBK" w:cs="Times New Roman"/>
          <w:spacing w:val="-2"/>
          <w:sz w:val="32"/>
          <w:szCs w:val="32"/>
        </w:rPr>
        <w:t>儿童福利；</w:t>
      </w:r>
      <w:r>
        <w:rPr>
          <w:rFonts w:hint="eastAsia" w:ascii="宋体" w:hAnsi="宋体" w:eastAsia="宋体" w:cs="宋体"/>
          <w:spacing w:val="-2"/>
          <w:sz w:val="32"/>
          <w:szCs w:val="32"/>
        </w:rPr>
        <w:t>⑤</w:t>
      </w:r>
      <w:r>
        <w:rPr>
          <w:rFonts w:ascii="Times New Roman" w:hAnsi="Times New Roman" w:eastAsia="方正仿宋_GBK" w:cs="Times New Roman"/>
          <w:spacing w:val="-2"/>
          <w:sz w:val="32"/>
          <w:szCs w:val="32"/>
        </w:rPr>
        <w:t>殡葬；</w:t>
      </w:r>
      <w:r>
        <w:rPr>
          <w:rFonts w:hint="eastAsia" w:ascii="宋体" w:hAnsi="宋体" w:eastAsia="宋体" w:cs="宋体"/>
          <w:spacing w:val="-2"/>
          <w:sz w:val="32"/>
          <w:szCs w:val="32"/>
        </w:rPr>
        <w:t>⑥</w:t>
      </w:r>
      <w:r>
        <w:rPr>
          <w:rFonts w:ascii="Times New Roman" w:hAnsi="Times New Roman" w:eastAsia="方正仿宋_GBK" w:cs="Times New Roman"/>
          <w:spacing w:val="-2"/>
          <w:sz w:val="32"/>
          <w:szCs w:val="32"/>
        </w:rPr>
        <w:t>社会福利；</w:t>
      </w:r>
      <w:r>
        <w:rPr>
          <w:rFonts w:hint="eastAsia" w:ascii="宋体" w:hAnsi="宋体" w:eastAsia="宋体" w:cs="宋体"/>
          <w:spacing w:val="-2"/>
          <w:sz w:val="32"/>
          <w:szCs w:val="32"/>
        </w:rPr>
        <w:t>⑦</w:t>
      </w:r>
      <w:r>
        <w:rPr>
          <w:rFonts w:ascii="Times New Roman" w:hAnsi="Times New Roman" w:eastAsia="方正仿宋_GBK" w:cs="Times New Roman"/>
          <w:spacing w:val="-2"/>
          <w:sz w:val="32"/>
          <w:szCs w:val="32"/>
        </w:rPr>
        <w:t>流浪乞讨人员救助；</w:t>
      </w:r>
      <w:r>
        <w:rPr>
          <w:rFonts w:hint="eastAsia" w:ascii="宋体" w:hAnsi="宋体" w:eastAsia="宋体" w:cs="宋体"/>
          <w:spacing w:val="-2"/>
          <w:sz w:val="32"/>
          <w:szCs w:val="32"/>
        </w:rPr>
        <w:t>⑧</w:t>
      </w:r>
      <w:r>
        <w:rPr>
          <w:rFonts w:ascii="Times New Roman" w:hAnsi="Times New Roman" w:eastAsia="方正仿宋_GBK" w:cs="Times New Roman"/>
          <w:spacing w:val="-2"/>
          <w:sz w:val="32"/>
          <w:szCs w:val="32"/>
        </w:rPr>
        <w:t>彩票公益金；</w:t>
      </w:r>
      <w:r>
        <w:rPr>
          <w:rFonts w:hint="eastAsia" w:ascii="宋体" w:hAnsi="宋体" w:eastAsia="宋体" w:cs="宋体"/>
          <w:spacing w:val="-2"/>
          <w:sz w:val="32"/>
          <w:szCs w:val="32"/>
        </w:rPr>
        <w:t>⑨</w:t>
      </w:r>
      <w:r>
        <w:rPr>
          <w:rFonts w:ascii="Times New Roman" w:hAnsi="Times New Roman" w:eastAsia="方正仿宋_GBK" w:cs="Times New Roman"/>
          <w:spacing w:val="-2"/>
          <w:sz w:val="32"/>
          <w:szCs w:val="32"/>
        </w:rPr>
        <w:t>地方自行试点项目收益专项债券收入安排的支出（第二福利院建设）。资金来源主要为本年度列入工作任务的专项预算资金</w:t>
      </w:r>
      <w:r>
        <w:rPr>
          <w:rFonts w:hint="eastAsia" w:ascii="Times New Roman" w:hAnsi="Times New Roman" w:eastAsia="方正仿宋_GBK" w:cs="Times New Roman"/>
          <w:spacing w:val="-2"/>
          <w:sz w:val="32"/>
          <w:szCs w:val="32"/>
        </w:rPr>
        <w:t>和</w:t>
      </w:r>
      <w:r>
        <w:rPr>
          <w:rFonts w:ascii="Times New Roman" w:hAnsi="Times New Roman" w:eastAsia="方正仿宋_GBK" w:cs="Times New Roman"/>
          <w:spacing w:val="-2"/>
          <w:sz w:val="32"/>
          <w:szCs w:val="32"/>
        </w:rPr>
        <w:t>上级单位拨款。</w:t>
      </w: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spacing w:val="-2"/>
          <w:sz w:val="32"/>
          <w:szCs w:val="32"/>
        </w:rPr>
        <w:t>2023年项目支出可用指标8,402.16万元</w:t>
      </w:r>
      <w:r>
        <w:rPr>
          <w:rFonts w:hint="eastAsia" w:ascii="Times New Roman" w:hAnsi="Times New Roman" w:eastAsia="方正仿宋_GBK" w:cs="Times New Roman"/>
          <w:spacing w:val="-2"/>
          <w:sz w:val="32"/>
          <w:szCs w:val="32"/>
        </w:rPr>
        <w:t>，包括</w:t>
      </w:r>
      <w:r>
        <w:rPr>
          <w:rFonts w:ascii="Times New Roman" w:hAnsi="Times New Roman" w:eastAsia="方正仿宋_GBK" w:cs="Times New Roman"/>
          <w:spacing w:val="-2"/>
          <w:sz w:val="32"/>
          <w:szCs w:val="32"/>
        </w:rPr>
        <w:t>年初预算2,110.88万元</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上级拨款6,291.28万元。决算支出8,402.16万元</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其中基本建设类项目3,203.41万元，年末无结余。</w:t>
      </w:r>
    </w:p>
    <w:p>
      <w:pPr>
        <w:widowControl/>
        <w:shd w:val="clear" w:color="auto" w:fill="FFFFFF"/>
        <w:spacing w:line="560" w:lineRule="exact"/>
        <w:ind w:firstLine="632" w:firstLineChars="200"/>
        <w:rPr>
          <w:rFonts w:hint="eastAsia" w:ascii="Times New Roman" w:hAnsi="Times New Roman" w:eastAsia="方正仿宋_GBK" w:cs="Times New Roman"/>
          <w:spacing w:val="-2"/>
          <w:sz w:val="32"/>
          <w:szCs w:val="32"/>
        </w:rPr>
      </w:pPr>
      <w:r>
        <w:rPr>
          <w:rFonts w:ascii="Times New Roman" w:hAnsi="Times New Roman" w:eastAsia="方正仿宋_GBK" w:cs="Times New Roman"/>
          <w:spacing w:val="-2"/>
          <w:sz w:val="32"/>
          <w:szCs w:val="32"/>
        </w:rPr>
        <w:t>（2）专项资金使用情况</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本年项目支出8,402.16万元，投入进度100%。具体情况如下：</w:t>
      </w:r>
    </w:p>
    <w:p>
      <w:pPr>
        <w:widowControl/>
        <w:shd w:val="clear" w:color="auto" w:fill="FFFFFF"/>
        <w:spacing w:line="560" w:lineRule="exact"/>
        <w:jc w:val="right"/>
        <w:rPr>
          <w:rFonts w:ascii="Times New Roman" w:hAnsi="Times New Roman" w:eastAsia="方正仿宋_GBK" w:cs="Times New Roman"/>
          <w:spacing w:val="-2"/>
          <w:sz w:val="32"/>
          <w:szCs w:val="32"/>
        </w:rPr>
      </w:pPr>
      <w:r>
        <w:rPr>
          <w:rFonts w:ascii="Times New Roman" w:hAnsi="仿宋" w:eastAsia="仿宋" w:cs="Times New Roman"/>
          <w:kern w:val="0"/>
          <w:szCs w:val="21"/>
        </w:rPr>
        <w:t>单位：万元</w:t>
      </w:r>
    </w:p>
    <w:tbl>
      <w:tblPr>
        <w:tblStyle w:val="12"/>
        <w:tblpPr w:leftFromText="180" w:rightFromText="180" w:vertAnchor="text" w:horzAnchor="page" w:tblpXSpec="center" w:tblpY="642"/>
        <w:tblOverlap w:val="never"/>
        <w:tblW w:w="8811"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
      <w:tblGrid>
        <w:gridCol w:w="2571"/>
        <w:gridCol w:w="960"/>
        <w:gridCol w:w="1110"/>
        <w:gridCol w:w="1065"/>
        <w:gridCol w:w="1155"/>
        <w:gridCol w:w="1020"/>
        <w:gridCol w:w="930"/>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445"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功能科目分类</w:t>
            </w:r>
          </w:p>
        </w:tc>
        <w:tc>
          <w:tcPr>
            <w:tcW w:w="960" w:type="dxa"/>
            <w:tcBorders>
              <w:top w:val="outset" w:color="000000" w:sz="6" w:space="0"/>
              <w:left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上年结余</w:t>
            </w:r>
          </w:p>
        </w:tc>
        <w:tc>
          <w:tcPr>
            <w:tcW w:w="1110" w:type="dxa"/>
            <w:tcBorders>
              <w:top w:val="outset" w:color="000000" w:sz="6" w:space="0"/>
              <w:left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本年收入</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合计</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本年实际</w:t>
            </w:r>
            <w:r>
              <w:rPr>
                <w:rFonts w:ascii="Times New Roman" w:hAnsi="Times New Roman" w:eastAsia="仿宋" w:cs="Times New Roman"/>
                <w:kern w:val="0"/>
                <w:szCs w:val="21"/>
              </w:rPr>
              <w:t xml:space="preserve"> </w:t>
            </w:r>
            <w:r>
              <w:rPr>
                <w:rFonts w:ascii="Times New Roman" w:hAnsi="仿宋" w:eastAsia="仿宋" w:cs="Times New Roman"/>
                <w:kern w:val="0"/>
                <w:szCs w:val="21"/>
              </w:rPr>
              <w:t>支出</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本年结余</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投入进度</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00"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其他一般公共服务支出</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55.32</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55.32</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55.32</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75"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其他人力资源和社会保障管理事务支</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5.60</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5.60</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5.60</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90"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行政运行</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90.89</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90.89</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90.89</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185"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其他民政管理事务支出</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130.53</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130.53</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130.53</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3"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死亡抚恤</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3,154.19</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3,154.19</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3,154.19</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75"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儿童福利</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300.30</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300.30</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300.30</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75"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殡葬</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824.95</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824.95</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824.95</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3"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社会福利事业单位</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267.54</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267.54</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267.54</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3"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养老服务</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29.02</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29.02</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29.02</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90"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其他社会福利支出</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63.39</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63.39</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63.39</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3"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残疾人康复</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3.20</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3.20</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3.20</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30"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流浪乞讨人员救助支出</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339.80</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339.80</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339.80</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3"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其他社会保障和就业支出</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38.13</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38.13</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38.13</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550"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其他地方自行试点项目收益专项债券收入安排的支出</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1,973.71</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1,973.71</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1,973.71</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75"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用于社会福利的彩票公益金支出</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1,122.55</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1,122.55</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1,122.55</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90"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用于其他社会公益事业的彩票公益金支出</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3.04</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3.04</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3.04</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325"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合计</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8,402.16</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8,402.16</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8,402.16</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100%</w:t>
            </w:r>
          </w:p>
        </w:tc>
      </w:tr>
    </w:tbl>
    <w:p>
      <w:pPr>
        <w:widowControl/>
        <w:shd w:val="clear" w:color="auto" w:fill="FFFFFF"/>
        <w:spacing w:line="560" w:lineRule="exact"/>
        <w:ind w:firstLine="320" w:firstLineChars="100"/>
        <w:rPr>
          <w:rFonts w:ascii="Times New Roman" w:hAnsi="Times New Roman" w:eastAsia="方正楷体_GBK" w:cs="Times New Roman"/>
          <w:b/>
          <w:bCs/>
          <w:color w:val="000000"/>
          <w:sz w:val="32"/>
          <w:szCs w:val="32"/>
          <w:shd w:val="clear" w:color="auto" w:fill="FFFFFF"/>
        </w:rPr>
      </w:pPr>
      <w:r>
        <w:rPr>
          <w:rFonts w:ascii="Times New Roman" w:hAnsi="Times New Roman" w:eastAsia="方正楷体_GBK" w:cs="Times New Roman"/>
          <w:b/>
          <w:bCs/>
          <w:color w:val="000000"/>
          <w:sz w:val="32"/>
          <w:szCs w:val="32"/>
          <w:shd w:val="clear" w:color="auto" w:fill="FFFFFF"/>
        </w:rPr>
        <w:t>（三）</w:t>
      </w:r>
      <w:r>
        <w:rPr>
          <w:rFonts w:hint="eastAsia" w:ascii="Times New Roman" w:hAnsi="Times New Roman" w:eastAsia="方正楷体_GBK" w:cs="Times New Roman"/>
          <w:b/>
          <w:bCs/>
          <w:color w:val="000000"/>
          <w:sz w:val="32"/>
          <w:szCs w:val="32"/>
          <w:shd w:val="clear" w:color="auto" w:fill="FFFFFF"/>
        </w:rPr>
        <w:t>“</w:t>
      </w:r>
      <w:r>
        <w:rPr>
          <w:rFonts w:ascii="Times New Roman" w:hAnsi="Times New Roman" w:eastAsia="方正楷体_GBK" w:cs="Times New Roman"/>
          <w:b/>
          <w:bCs/>
          <w:color w:val="000000"/>
          <w:sz w:val="32"/>
          <w:szCs w:val="32"/>
          <w:shd w:val="clear" w:color="auto" w:fill="FFFFFF"/>
        </w:rPr>
        <w:t>三公</w:t>
      </w:r>
      <w:r>
        <w:rPr>
          <w:rFonts w:hint="eastAsia" w:ascii="Times New Roman" w:hAnsi="Times New Roman" w:eastAsia="方正楷体_GBK" w:cs="Times New Roman"/>
          <w:b/>
          <w:bCs/>
          <w:color w:val="000000"/>
          <w:sz w:val="32"/>
          <w:szCs w:val="32"/>
          <w:shd w:val="clear" w:color="auto" w:fill="FFFFFF"/>
        </w:rPr>
        <w:t>”</w:t>
      </w:r>
      <w:r>
        <w:rPr>
          <w:rFonts w:ascii="Times New Roman" w:hAnsi="Times New Roman" w:eastAsia="方正楷体_GBK" w:cs="Times New Roman"/>
          <w:b/>
          <w:bCs/>
          <w:color w:val="000000"/>
          <w:sz w:val="32"/>
          <w:szCs w:val="32"/>
          <w:shd w:val="clear" w:color="auto" w:fill="FFFFFF"/>
        </w:rPr>
        <w:t>经费使用和管理情况</w:t>
      </w: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spacing w:val="-2"/>
          <w:sz w:val="32"/>
          <w:szCs w:val="32"/>
        </w:rPr>
        <w:t>2023年“三公”经费预算44.64万元，其中公务接待费11.78万</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公务用车运行维护费32.86万元</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无因公出国费用。“三公”经费决算支出31.85万元，其中公务接待费5.63万元</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公务用车运行维护费26.22万元</w:t>
      </w:r>
      <w:bookmarkStart w:id="18" w:name="OLE_LINK1"/>
      <w:r>
        <w:rPr>
          <w:rFonts w:ascii="Times New Roman" w:hAnsi="Times New Roman" w:eastAsia="方正仿宋_GBK" w:cs="Times New Roman"/>
          <w:spacing w:val="-2"/>
          <w:sz w:val="32"/>
          <w:szCs w:val="32"/>
        </w:rPr>
        <w:t>。</w:t>
      </w:r>
      <w:r>
        <w:rPr>
          <w:rFonts w:hint="eastAsia" w:ascii="Times New Roman" w:hAnsi="Times New Roman" w:eastAsia="方正仿宋_GBK" w:cs="Times New Roman"/>
          <w:spacing w:val="-2"/>
          <w:sz w:val="32"/>
          <w:szCs w:val="32"/>
        </w:rPr>
        <w:t>全局进一步</w:t>
      </w:r>
      <w:r>
        <w:rPr>
          <w:rFonts w:ascii="Times New Roman" w:hAnsi="Times New Roman" w:eastAsia="方正仿宋_GBK" w:cs="Times New Roman"/>
          <w:spacing w:val="-2"/>
          <w:sz w:val="32"/>
          <w:szCs w:val="32"/>
        </w:rPr>
        <w:t>牢固树立“过紧日子”思想，严格落实公函和接待清单制度</w:t>
      </w:r>
      <w:r>
        <w:rPr>
          <w:rFonts w:hint="eastAsia" w:ascii="Times New Roman" w:hAnsi="Times New Roman" w:eastAsia="方正仿宋_GBK" w:cs="Times New Roman"/>
          <w:spacing w:val="-2"/>
          <w:sz w:val="32"/>
          <w:szCs w:val="32"/>
        </w:rPr>
        <w:t>，持续</w:t>
      </w:r>
      <w:r>
        <w:rPr>
          <w:rFonts w:ascii="Times New Roman" w:hAnsi="Times New Roman" w:eastAsia="方正仿宋_GBK" w:cs="Times New Roman"/>
          <w:spacing w:val="-2"/>
          <w:sz w:val="32"/>
          <w:szCs w:val="32"/>
        </w:rPr>
        <w:t>加强公务用车管理，</w:t>
      </w:r>
      <w:r>
        <w:rPr>
          <w:rFonts w:hint="eastAsia" w:ascii="Times New Roman" w:hAnsi="Times New Roman" w:eastAsia="方正仿宋_GBK" w:cs="Times New Roman"/>
          <w:spacing w:val="-2"/>
          <w:sz w:val="32"/>
          <w:szCs w:val="32"/>
        </w:rPr>
        <w:t>“三公”经费</w:t>
      </w:r>
      <w:r>
        <w:rPr>
          <w:rFonts w:ascii="Times New Roman" w:hAnsi="Times New Roman" w:eastAsia="方正仿宋_GBK" w:cs="Times New Roman"/>
          <w:spacing w:val="-2"/>
          <w:sz w:val="32"/>
          <w:szCs w:val="32"/>
        </w:rPr>
        <w:t>节约12.79万元，结约率28.65%。</w:t>
      </w:r>
      <w:r>
        <w:rPr>
          <w:rFonts w:hint="eastAsia" w:ascii="Times New Roman" w:hAnsi="Times New Roman" w:eastAsia="方正仿宋_GBK" w:cs="Times New Roman"/>
          <w:spacing w:val="-2"/>
          <w:sz w:val="32"/>
          <w:szCs w:val="32"/>
        </w:rPr>
        <w:t>其中，</w:t>
      </w:r>
      <w:r>
        <w:rPr>
          <w:rFonts w:ascii="Times New Roman" w:hAnsi="Times New Roman" w:eastAsia="方正仿宋_GBK" w:cs="Times New Roman"/>
          <w:spacing w:val="-2"/>
          <w:sz w:val="32"/>
          <w:szCs w:val="32"/>
        </w:rPr>
        <w:t>公务接待费较预算数减少6.15万元，全年公务接待92批次，接待人次数540人</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公务用车运行维护费较预算减少6.64万元</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现有公务车辆9台。具体情况如下表：</w:t>
      </w:r>
    </w:p>
    <w:bookmarkEnd w:id="18"/>
    <w:p>
      <w:pPr>
        <w:widowControl/>
        <w:shd w:val="clear" w:color="auto" w:fill="FFFFFF"/>
        <w:spacing w:line="560" w:lineRule="exact"/>
        <w:ind w:firstLine="7140" w:firstLineChars="3400"/>
        <w:jc w:val="left"/>
        <w:rPr>
          <w:rFonts w:ascii="Times New Roman" w:hAnsi="Times New Roman" w:eastAsia="仿宋" w:cs="Times New Roman"/>
          <w:kern w:val="0"/>
          <w:szCs w:val="21"/>
        </w:rPr>
      </w:pPr>
      <w:r>
        <w:rPr>
          <w:rFonts w:ascii="Times New Roman" w:hAnsi="仿宋" w:eastAsia="仿宋" w:cs="Times New Roman"/>
          <w:kern w:val="0"/>
          <w:szCs w:val="21"/>
        </w:rPr>
        <w:t>单位：万元</w:t>
      </w:r>
    </w:p>
    <w:tbl>
      <w:tblPr>
        <w:tblStyle w:val="12"/>
        <w:tblW w:w="8314"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
      <w:tblGrid>
        <w:gridCol w:w="2067"/>
        <w:gridCol w:w="2100"/>
        <w:gridCol w:w="2115"/>
        <w:gridCol w:w="2032"/>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90" w:hRule="atLeast"/>
          <w:jc w:val="center"/>
        </w:trPr>
        <w:tc>
          <w:tcPr>
            <w:tcW w:w="206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费用项目</w:t>
            </w:r>
          </w:p>
        </w:tc>
        <w:tc>
          <w:tcPr>
            <w:tcW w:w="2100" w:type="dxa"/>
            <w:tcBorders>
              <w:top w:val="outset" w:color="000000" w:sz="6" w:space="0"/>
              <w:left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预算</w:t>
            </w:r>
          </w:p>
        </w:tc>
        <w:tc>
          <w:tcPr>
            <w:tcW w:w="2115" w:type="dxa"/>
            <w:tcBorders>
              <w:top w:val="outset" w:color="000000" w:sz="6" w:space="0"/>
              <w:left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本年决算</w:t>
            </w:r>
          </w:p>
        </w:tc>
        <w:tc>
          <w:tcPr>
            <w:tcW w:w="203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节约金额</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60" w:hRule="atLeast"/>
          <w:jc w:val="center"/>
        </w:trPr>
        <w:tc>
          <w:tcPr>
            <w:tcW w:w="206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公务接待费</w:t>
            </w:r>
          </w:p>
        </w:tc>
        <w:tc>
          <w:tcPr>
            <w:tcW w:w="210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11.78</w:t>
            </w:r>
          </w:p>
        </w:tc>
        <w:tc>
          <w:tcPr>
            <w:tcW w:w="211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5.63</w:t>
            </w:r>
          </w:p>
        </w:tc>
        <w:tc>
          <w:tcPr>
            <w:tcW w:w="203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6.15</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75" w:hRule="atLeast"/>
          <w:jc w:val="center"/>
        </w:trPr>
        <w:tc>
          <w:tcPr>
            <w:tcW w:w="206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公车运行维护费</w:t>
            </w:r>
          </w:p>
        </w:tc>
        <w:tc>
          <w:tcPr>
            <w:tcW w:w="210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32.86</w:t>
            </w:r>
          </w:p>
        </w:tc>
        <w:tc>
          <w:tcPr>
            <w:tcW w:w="211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26.22</w:t>
            </w:r>
          </w:p>
        </w:tc>
        <w:tc>
          <w:tcPr>
            <w:tcW w:w="203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6.64</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75" w:hRule="atLeast"/>
          <w:jc w:val="center"/>
        </w:trPr>
        <w:tc>
          <w:tcPr>
            <w:tcW w:w="206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因公出国费用</w:t>
            </w:r>
          </w:p>
        </w:tc>
        <w:tc>
          <w:tcPr>
            <w:tcW w:w="210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211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203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75" w:hRule="atLeast"/>
          <w:jc w:val="center"/>
        </w:trPr>
        <w:tc>
          <w:tcPr>
            <w:tcW w:w="206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仿宋" w:eastAsia="仿宋" w:cs="Times New Roman"/>
                <w:kern w:val="0"/>
                <w:szCs w:val="21"/>
              </w:rPr>
              <w:t>合计</w:t>
            </w:r>
          </w:p>
        </w:tc>
        <w:tc>
          <w:tcPr>
            <w:tcW w:w="210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44.64</w:t>
            </w:r>
          </w:p>
        </w:tc>
        <w:tc>
          <w:tcPr>
            <w:tcW w:w="211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31.85</w:t>
            </w:r>
          </w:p>
        </w:tc>
        <w:tc>
          <w:tcPr>
            <w:tcW w:w="203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560" w:lineRule="exact"/>
              <w:jc w:val="center"/>
              <w:rPr>
                <w:rFonts w:ascii="Times New Roman" w:hAnsi="Times New Roman" w:eastAsia="仿宋" w:cs="Times New Roman"/>
                <w:kern w:val="0"/>
                <w:szCs w:val="21"/>
              </w:rPr>
            </w:pPr>
            <w:r>
              <w:rPr>
                <w:rFonts w:ascii="Times New Roman" w:hAnsi="Times New Roman" w:eastAsia="仿宋" w:cs="Times New Roman"/>
                <w:kern w:val="0"/>
                <w:szCs w:val="21"/>
              </w:rPr>
              <w:t>12.79</w:t>
            </w:r>
          </w:p>
        </w:tc>
      </w:tr>
    </w:tbl>
    <w:p>
      <w:pPr>
        <w:widowControl/>
        <w:shd w:val="clear" w:color="auto" w:fill="FFFFFF"/>
        <w:spacing w:line="560" w:lineRule="exact"/>
        <w:ind w:firstLine="640" w:firstLineChars="200"/>
        <w:rPr>
          <w:rFonts w:ascii="Times New Roman" w:hAnsi="Times New Roman" w:eastAsia="方正黑体_GBK" w:cs="Times New Roman"/>
          <w:bCs/>
          <w:color w:val="000000"/>
          <w:sz w:val="32"/>
          <w:szCs w:val="32"/>
          <w:shd w:val="clear" w:color="auto" w:fill="FFFFFF"/>
        </w:rPr>
      </w:pPr>
      <w:r>
        <w:rPr>
          <w:rFonts w:ascii="Times New Roman" w:hAnsi="Times New Roman" w:eastAsia="方正黑体_GBK" w:cs="Times New Roman"/>
          <w:bCs/>
          <w:color w:val="000000"/>
          <w:sz w:val="32"/>
          <w:szCs w:val="32"/>
          <w:shd w:val="clear" w:color="auto" w:fill="FFFFFF"/>
        </w:rPr>
        <w:t>三、政府性基金预算支出情况</w:t>
      </w: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spacing w:val="-2"/>
          <w:sz w:val="32"/>
          <w:szCs w:val="32"/>
        </w:rPr>
        <w:t>2023年政府性基金预算财政拨款收入预算3,099.29万元，其中：地方自行试点项目收益专项债券收入1,973.71万元，社会福利的彩票公益金1,122.54万元，其他社会公益事业的彩票公益金3.04万元。</w:t>
      </w: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spacing w:val="-2"/>
          <w:sz w:val="32"/>
          <w:szCs w:val="32"/>
        </w:rPr>
        <w:t>2023年政府性基金预算决算支出3,099.29万元，其中：其他地方自行试点项目收益专项债券支出1,973.71万元，主要用于第二福利院建设项目</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社会福利的彩票公益金支出1,122.54万元</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其他社会公益事业的彩票公益金</w:t>
      </w:r>
      <w:r>
        <w:rPr>
          <w:rFonts w:hint="eastAsia" w:ascii="Times New Roman" w:hAnsi="Times New Roman" w:eastAsia="方正仿宋_GBK" w:cs="Times New Roman"/>
          <w:spacing w:val="-2"/>
          <w:sz w:val="32"/>
          <w:szCs w:val="32"/>
        </w:rPr>
        <w:t>支出</w:t>
      </w:r>
      <w:r>
        <w:rPr>
          <w:rFonts w:ascii="Times New Roman" w:hAnsi="Times New Roman" w:eastAsia="方正仿宋_GBK" w:cs="Times New Roman"/>
          <w:spacing w:val="-2"/>
          <w:sz w:val="32"/>
          <w:szCs w:val="32"/>
        </w:rPr>
        <w:t>3.04万元。</w:t>
      </w:r>
    </w:p>
    <w:p>
      <w:pPr>
        <w:widowControl/>
        <w:shd w:val="clear" w:color="auto" w:fill="FFFFFF"/>
        <w:spacing w:line="560" w:lineRule="exact"/>
        <w:ind w:firstLine="640" w:firstLineChars="200"/>
        <w:rPr>
          <w:rFonts w:ascii="Times New Roman" w:hAnsi="Times New Roman" w:eastAsia="方正黑体_GBK" w:cs="Times New Roman"/>
          <w:bCs/>
          <w:color w:val="000000"/>
          <w:sz w:val="32"/>
          <w:szCs w:val="32"/>
          <w:shd w:val="clear" w:color="auto" w:fill="FFFFFF"/>
        </w:rPr>
      </w:pPr>
      <w:r>
        <w:rPr>
          <w:rFonts w:ascii="Times New Roman" w:hAnsi="Times New Roman" w:eastAsia="方正黑体_GBK" w:cs="Times New Roman"/>
          <w:bCs/>
          <w:color w:val="000000"/>
          <w:sz w:val="32"/>
          <w:szCs w:val="32"/>
          <w:shd w:val="clear" w:color="auto" w:fill="FFFFFF"/>
        </w:rPr>
        <w:t>四、国有资本经营预算支出情况</w:t>
      </w: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spacing w:val="-2"/>
          <w:sz w:val="32"/>
          <w:szCs w:val="32"/>
        </w:rPr>
        <w:t>无国有资本经营预算支出情况。</w:t>
      </w:r>
    </w:p>
    <w:p>
      <w:pPr>
        <w:widowControl/>
        <w:shd w:val="clear" w:color="auto" w:fill="FFFFFF"/>
        <w:spacing w:line="560" w:lineRule="exact"/>
        <w:ind w:firstLine="640" w:firstLineChars="200"/>
        <w:rPr>
          <w:rFonts w:ascii="Times New Roman" w:hAnsi="Times New Roman" w:eastAsia="方正仿宋_GBK" w:cs="Times New Roman"/>
          <w:spacing w:val="-2"/>
          <w:sz w:val="32"/>
          <w:szCs w:val="32"/>
        </w:rPr>
      </w:pPr>
      <w:r>
        <w:rPr>
          <w:rFonts w:ascii="Times New Roman" w:hAnsi="Times New Roman" w:eastAsia="方正黑体_GBK" w:cs="Times New Roman"/>
          <w:bCs/>
          <w:color w:val="000000"/>
          <w:sz w:val="32"/>
          <w:szCs w:val="32"/>
          <w:shd w:val="clear" w:color="auto" w:fill="FFFFFF"/>
        </w:rPr>
        <w:t>五、社会保险基金预算支出情况</w:t>
      </w: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spacing w:val="-2"/>
          <w:sz w:val="32"/>
          <w:szCs w:val="32"/>
        </w:rPr>
        <w:t>无社会保险基金预算支出情况。</w:t>
      </w:r>
    </w:p>
    <w:p>
      <w:pPr>
        <w:widowControl/>
        <w:shd w:val="clear" w:color="auto" w:fill="FFFFFF"/>
        <w:spacing w:line="560" w:lineRule="exact"/>
        <w:ind w:firstLine="640" w:firstLineChars="200"/>
        <w:rPr>
          <w:rFonts w:ascii="Times New Roman" w:hAnsi="Times New Roman" w:eastAsia="方正仿宋_GBK" w:cs="Times New Roman"/>
          <w:spacing w:val="-2"/>
          <w:sz w:val="32"/>
          <w:szCs w:val="32"/>
        </w:rPr>
      </w:pPr>
      <w:r>
        <w:rPr>
          <w:rFonts w:ascii="Times New Roman" w:hAnsi="Times New Roman" w:eastAsia="方正黑体_GBK" w:cs="Times New Roman"/>
          <w:bCs/>
          <w:color w:val="000000"/>
          <w:sz w:val="32"/>
          <w:szCs w:val="32"/>
          <w:shd w:val="clear" w:color="auto" w:fill="FFFFFF"/>
        </w:rPr>
        <w:t>六、部门整体支出绩效情况</w:t>
      </w:r>
    </w:p>
    <w:p>
      <w:pPr>
        <w:widowControl/>
        <w:shd w:val="clear" w:color="auto" w:fill="FFFFFF"/>
        <w:spacing w:line="560" w:lineRule="exact"/>
        <w:ind w:firstLine="640" w:firstLineChars="200"/>
        <w:rPr>
          <w:rFonts w:ascii="Times New Roman" w:hAnsi="Times New Roman" w:eastAsia="方正楷体_GBK" w:cs="Times New Roman"/>
          <w:b/>
          <w:bCs/>
          <w:color w:val="000000"/>
          <w:sz w:val="32"/>
          <w:szCs w:val="32"/>
          <w:shd w:val="clear" w:color="auto" w:fill="FFFFFF"/>
        </w:rPr>
      </w:pPr>
      <w:r>
        <w:rPr>
          <w:rFonts w:ascii="Times New Roman" w:hAnsi="Times New Roman" w:eastAsia="方正楷体_GBK" w:cs="Times New Roman"/>
          <w:b/>
          <w:bCs/>
          <w:color w:val="000000"/>
          <w:sz w:val="32"/>
          <w:szCs w:val="32"/>
          <w:shd w:val="clear" w:color="auto" w:fill="FFFFFF"/>
        </w:rPr>
        <w:t>（一）综合评价结论</w:t>
      </w: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spacing w:val="-2"/>
          <w:sz w:val="32"/>
          <w:szCs w:val="32"/>
        </w:rPr>
        <w:t>2023年怀化市民政局认真落实市委、市政府决策部署，全面推进各项重点工作，较好地完成了各项目标任务。根据《整体支出绩效自评表》评分，得分95分，财政支出绩效为“优”。</w:t>
      </w:r>
    </w:p>
    <w:p>
      <w:pPr>
        <w:widowControl/>
        <w:shd w:val="clear" w:color="auto" w:fill="FFFFFF"/>
        <w:spacing w:line="560" w:lineRule="exact"/>
        <w:ind w:firstLine="640" w:firstLineChars="200"/>
        <w:rPr>
          <w:rFonts w:ascii="Times New Roman" w:hAnsi="Times New Roman" w:eastAsia="方正楷体_GBK" w:cs="Times New Roman"/>
          <w:b/>
          <w:bCs/>
          <w:color w:val="000000"/>
          <w:sz w:val="32"/>
          <w:szCs w:val="32"/>
          <w:shd w:val="clear" w:color="auto" w:fill="FFFFFF"/>
        </w:rPr>
      </w:pPr>
      <w:r>
        <w:rPr>
          <w:rFonts w:ascii="Times New Roman" w:hAnsi="Times New Roman" w:eastAsia="方正楷体_GBK" w:cs="Times New Roman"/>
          <w:b/>
          <w:bCs/>
          <w:color w:val="000000"/>
          <w:sz w:val="32"/>
          <w:szCs w:val="32"/>
          <w:shd w:val="clear" w:color="auto" w:fill="FFFFFF"/>
        </w:rPr>
        <w:t>（二）评价指标分析</w:t>
      </w:r>
    </w:p>
    <w:p>
      <w:pPr>
        <w:snapToGrid w:val="0"/>
        <w:spacing w:line="560" w:lineRule="exact"/>
        <w:ind w:firstLine="632" w:firstLineChars="200"/>
        <w:rPr>
          <w:rFonts w:hint="eastAsia" w:ascii="Times New Roman" w:hAnsi="Times New Roman" w:eastAsia="方正仿宋_GBK" w:cs="Times New Roman"/>
          <w:b/>
          <w:spacing w:val="-2"/>
          <w:sz w:val="32"/>
          <w:szCs w:val="32"/>
        </w:rPr>
      </w:pPr>
      <w:r>
        <w:rPr>
          <w:rFonts w:ascii="Times New Roman" w:hAnsi="Times New Roman" w:eastAsia="方正仿宋_GBK" w:cs="Times New Roman"/>
          <w:b/>
          <w:spacing w:val="-2"/>
          <w:sz w:val="32"/>
          <w:szCs w:val="32"/>
        </w:rPr>
        <w:t>1.经济性分析</w:t>
      </w:r>
      <w:r>
        <w:rPr>
          <w:rFonts w:hint="eastAsia" w:ascii="Times New Roman" w:hAnsi="Times New Roman" w:eastAsia="方正仿宋_GBK" w:cs="Times New Roman"/>
          <w:b/>
          <w:spacing w:val="-2"/>
          <w:sz w:val="32"/>
          <w:szCs w:val="32"/>
        </w:rPr>
        <w:t>。</w:t>
      </w:r>
      <w:r>
        <w:rPr>
          <w:rFonts w:ascii="Times New Roman" w:hAnsi="Times New Roman" w:eastAsia="方正仿宋_GBK" w:cs="Times New Roman"/>
          <w:spacing w:val="-2"/>
          <w:sz w:val="32"/>
          <w:szCs w:val="32"/>
        </w:rPr>
        <w:t>2023年预算配置控制较好，预算项目资金全部投入项目之中，全年落实各类拨款到账，保证了局机关的正常运转和民政事业发展</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局机关全年财务管理和收支目标得以实现。预算执行方面，</w:t>
      </w:r>
      <w:r>
        <w:rPr>
          <w:rFonts w:hint="eastAsia" w:ascii="Times New Roman" w:hAnsi="Times New Roman" w:eastAsia="方正仿宋_GBK" w:cs="Times New Roman"/>
          <w:spacing w:val="-2"/>
          <w:sz w:val="32"/>
          <w:szCs w:val="32"/>
        </w:rPr>
        <w:t>严格</w:t>
      </w:r>
      <w:r>
        <w:rPr>
          <w:rFonts w:ascii="Times New Roman" w:hAnsi="Times New Roman" w:eastAsia="方正仿宋_GBK" w:cs="Times New Roman"/>
          <w:spacing w:val="-2"/>
          <w:sz w:val="32"/>
          <w:szCs w:val="32"/>
        </w:rPr>
        <w:t>贯彻</w:t>
      </w:r>
      <w:r>
        <w:rPr>
          <w:rFonts w:hint="eastAsia" w:ascii="Times New Roman" w:hAnsi="Times New Roman" w:eastAsia="方正仿宋_GBK" w:cs="Times New Roman"/>
          <w:spacing w:val="-2"/>
          <w:sz w:val="32"/>
          <w:szCs w:val="32"/>
        </w:rPr>
        <w:t>落实</w:t>
      </w:r>
      <w:r>
        <w:rPr>
          <w:rFonts w:ascii="Times New Roman" w:hAnsi="Times New Roman" w:eastAsia="方正仿宋_GBK" w:cs="Times New Roman"/>
          <w:spacing w:val="-2"/>
          <w:sz w:val="32"/>
          <w:szCs w:val="32"/>
        </w:rPr>
        <w:t>例行节约反对浪费条例，采取一系列措施加强对经费支出的严格控制，费用支出做到事前申报，按流程审批</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按标准</w:t>
      </w:r>
      <w:r>
        <w:rPr>
          <w:rFonts w:hint="eastAsia" w:ascii="Times New Roman" w:hAnsi="Times New Roman" w:eastAsia="方正仿宋_GBK" w:cs="Times New Roman"/>
          <w:spacing w:val="-2"/>
          <w:sz w:val="32"/>
          <w:szCs w:val="32"/>
        </w:rPr>
        <w:t>开支</w:t>
      </w:r>
      <w:r>
        <w:rPr>
          <w:rFonts w:ascii="Times New Roman" w:hAnsi="Times New Roman" w:eastAsia="方正仿宋_GBK" w:cs="Times New Roman"/>
          <w:spacing w:val="-2"/>
          <w:sz w:val="32"/>
          <w:szCs w:val="32"/>
        </w:rPr>
        <w:t>，支出总额控制在预算总额以内，投入进度正常</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公用经费</w:t>
      </w:r>
      <w:r>
        <w:rPr>
          <w:rFonts w:hint="eastAsia" w:ascii="Times New Roman" w:hAnsi="Times New Roman" w:eastAsia="方正仿宋_GBK" w:cs="Times New Roman"/>
          <w:spacing w:val="-2"/>
          <w:sz w:val="32"/>
          <w:szCs w:val="32"/>
        </w:rPr>
        <w:t>预算与</w:t>
      </w:r>
      <w:r>
        <w:rPr>
          <w:rFonts w:ascii="Times New Roman" w:hAnsi="Times New Roman" w:eastAsia="方正仿宋_GBK" w:cs="Times New Roman"/>
          <w:spacing w:val="-2"/>
          <w:sz w:val="32"/>
          <w:szCs w:val="32"/>
        </w:rPr>
        <w:t>决算</w:t>
      </w:r>
      <w:r>
        <w:rPr>
          <w:rFonts w:hint="eastAsia" w:ascii="Times New Roman" w:hAnsi="Times New Roman" w:eastAsia="方正仿宋_GBK" w:cs="Times New Roman"/>
          <w:spacing w:val="-2"/>
          <w:sz w:val="32"/>
          <w:szCs w:val="32"/>
        </w:rPr>
        <w:t>收支平衡，</w:t>
      </w:r>
      <w:r>
        <w:rPr>
          <w:rFonts w:ascii="Times New Roman" w:hAnsi="Times New Roman" w:eastAsia="方正仿宋_GBK" w:cs="Times New Roman"/>
          <w:spacing w:val="-2"/>
          <w:sz w:val="32"/>
          <w:szCs w:val="32"/>
        </w:rPr>
        <w:t>控制率</w:t>
      </w:r>
      <w:r>
        <w:rPr>
          <w:rFonts w:hint="eastAsia" w:ascii="Times New Roman" w:hAnsi="Times New Roman" w:eastAsia="方正仿宋_GBK" w:cs="Times New Roman"/>
          <w:spacing w:val="-2"/>
          <w:sz w:val="32"/>
          <w:szCs w:val="32"/>
        </w:rPr>
        <w:t>达</w:t>
      </w:r>
      <w:r>
        <w:rPr>
          <w:rFonts w:ascii="Times New Roman" w:hAnsi="Times New Roman" w:eastAsia="方正仿宋_GBK" w:cs="Times New Roman"/>
          <w:spacing w:val="-2"/>
          <w:sz w:val="32"/>
          <w:szCs w:val="32"/>
        </w:rPr>
        <w:t>100%。“三公经费”总体控制较好，</w:t>
      </w:r>
      <w:r>
        <w:rPr>
          <w:rFonts w:hint="eastAsia" w:ascii="Times New Roman" w:hAnsi="Times New Roman" w:eastAsia="方正仿宋_GBK" w:cs="Times New Roman"/>
          <w:spacing w:val="-2"/>
          <w:sz w:val="32"/>
          <w:szCs w:val="32"/>
        </w:rPr>
        <w:t>节约</w:t>
      </w:r>
      <w:r>
        <w:rPr>
          <w:rFonts w:ascii="Times New Roman" w:hAnsi="Times New Roman" w:eastAsia="方正仿宋_GBK" w:cs="Times New Roman"/>
          <w:spacing w:val="-2"/>
          <w:sz w:val="32"/>
          <w:szCs w:val="32"/>
        </w:rPr>
        <w:t>率</w:t>
      </w:r>
      <w:r>
        <w:rPr>
          <w:rFonts w:hint="eastAsia" w:ascii="Times New Roman" w:hAnsi="Times New Roman" w:eastAsia="方正仿宋_GBK" w:cs="Times New Roman"/>
          <w:spacing w:val="-2"/>
          <w:sz w:val="32"/>
          <w:szCs w:val="32"/>
        </w:rPr>
        <w:t>达到</w:t>
      </w:r>
      <w:r>
        <w:rPr>
          <w:rFonts w:ascii="Times New Roman" w:hAnsi="Times New Roman" w:eastAsia="方正仿宋_GBK" w:cs="Times New Roman"/>
          <w:spacing w:val="-2"/>
          <w:sz w:val="32"/>
          <w:szCs w:val="32"/>
        </w:rPr>
        <w:t>28.65%。</w:t>
      </w:r>
    </w:p>
    <w:p>
      <w:pPr>
        <w:snapToGrid w:val="0"/>
        <w:spacing w:line="560" w:lineRule="exact"/>
        <w:ind w:firstLine="632" w:firstLineChars="200"/>
        <w:rPr>
          <w:rFonts w:hint="eastAsia" w:ascii="Times New Roman" w:hAnsi="Times New Roman" w:eastAsia="方正仿宋_GBK" w:cs="Times New Roman"/>
          <w:spacing w:val="-2"/>
          <w:sz w:val="32"/>
          <w:szCs w:val="32"/>
        </w:rPr>
      </w:pPr>
      <w:r>
        <w:rPr>
          <w:rFonts w:ascii="Times New Roman" w:hAnsi="Times New Roman" w:eastAsia="方正仿宋_GBK" w:cs="Times New Roman"/>
          <w:b/>
          <w:spacing w:val="-2"/>
          <w:sz w:val="32"/>
          <w:szCs w:val="32"/>
        </w:rPr>
        <w:t>2.效率性分析</w:t>
      </w:r>
      <w:r>
        <w:rPr>
          <w:rFonts w:hint="eastAsia" w:ascii="Times New Roman" w:hAnsi="Times New Roman" w:eastAsia="方正仿宋_GBK" w:cs="Times New Roman"/>
          <w:b/>
          <w:spacing w:val="-2"/>
          <w:sz w:val="32"/>
          <w:szCs w:val="32"/>
        </w:rPr>
        <w:t>。</w:t>
      </w:r>
      <w:r>
        <w:rPr>
          <w:rFonts w:hint="eastAsia" w:ascii="Times New Roman" w:hAnsi="Times New Roman" w:eastAsia="方正仿宋_GBK" w:cs="Times New Roman"/>
          <w:spacing w:val="-2"/>
          <w:sz w:val="32"/>
          <w:szCs w:val="32"/>
        </w:rPr>
        <w:t>紧紧围绕</w:t>
      </w:r>
      <w:r>
        <w:rPr>
          <w:rFonts w:ascii="Times New Roman" w:hAnsi="Times New Roman" w:eastAsia="方正仿宋_GBK" w:cs="Times New Roman"/>
          <w:spacing w:val="-2"/>
          <w:sz w:val="32"/>
          <w:szCs w:val="32"/>
        </w:rPr>
        <w:t>深入实施“五新四城”战略，</w:t>
      </w:r>
      <w:r>
        <w:rPr>
          <w:rFonts w:hint="eastAsia" w:ascii="Times New Roman" w:hAnsi="Times New Roman" w:eastAsia="方正仿宋_GBK" w:cs="Times New Roman"/>
          <w:spacing w:val="-2"/>
          <w:sz w:val="32"/>
          <w:szCs w:val="32"/>
        </w:rPr>
        <w:t>较好地完成了省市工作部署及年初制定工作目标，以民政所为服务全市发展大局。</w:t>
      </w:r>
      <w:r>
        <w:rPr>
          <w:rFonts w:ascii="Times New Roman" w:hAnsi="Times New Roman" w:eastAsia="方正仿宋_GBK" w:cs="Times New Roman"/>
          <w:spacing w:val="-2"/>
          <w:sz w:val="32"/>
          <w:szCs w:val="32"/>
        </w:rPr>
        <w:t>全力组织实施“为民解忧办实事”民生项目，争取上级民政资金</w:t>
      </w:r>
      <w:r>
        <w:rPr>
          <w:rFonts w:hint="eastAsia" w:ascii="Times New Roman" w:hAnsi="Times New Roman" w:eastAsia="方正仿宋_GBK" w:cs="Times New Roman"/>
          <w:spacing w:val="-2"/>
          <w:sz w:val="32"/>
          <w:szCs w:val="32"/>
        </w:rPr>
        <w:t>9.05</w:t>
      </w:r>
      <w:r>
        <w:rPr>
          <w:rFonts w:ascii="Times New Roman" w:hAnsi="Times New Roman" w:eastAsia="方正仿宋_GBK" w:cs="Times New Roman"/>
          <w:spacing w:val="-2"/>
          <w:sz w:val="32"/>
          <w:szCs w:val="32"/>
        </w:rPr>
        <w:t>亿元，全力推进520张护理型床位建设和1700户困难老年人居家适老化改造，92.3%的县市区已开展或正在开展精神障碍社区康复服务</w:t>
      </w:r>
      <w:r>
        <w:rPr>
          <w:rFonts w:hint="eastAsia" w:ascii="Times New Roman" w:hAnsi="Times New Roman" w:eastAsia="方正仿宋_GBK" w:cs="Times New Roman"/>
          <w:spacing w:val="-2"/>
          <w:sz w:val="32"/>
          <w:szCs w:val="32"/>
        </w:rPr>
        <w:t>，加快推动市第二福利院、市殡仪馆等重点项目建设，</w:t>
      </w:r>
      <w:r>
        <w:rPr>
          <w:rFonts w:ascii="Times New Roman" w:hAnsi="Times New Roman" w:eastAsia="方正仿宋_GBK" w:cs="Times New Roman"/>
          <w:spacing w:val="-2"/>
          <w:sz w:val="32"/>
          <w:szCs w:val="32"/>
        </w:rPr>
        <w:t>全面</w:t>
      </w:r>
      <w:r>
        <w:rPr>
          <w:rFonts w:hint="eastAsia" w:ascii="Times New Roman" w:hAnsi="Times New Roman" w:eastAsia="方正仿宋_GBK" w:cs="Times New Roman"/>
          <w:spacing w:val="-2"/>
          <w:sz w:val="32"/>
          <w:szCs w:val="32"/>
        </w:rPr>
        <w:t>推动</w:t>
      </w:r>
      <w:r>
        <w:rPr>
          <w:rFonts w:ascii="Times New Roman" w:hAnsi="Times New Roman" w:eastAsia="方正仿宋_GBK" w:cs="Times New Roman"/>
          <w:spacing w:val="-2"/>
          <w:sz w:val="32"/>
          <w:szCs w:val="32"/>
        </w:rPr>
        <w:t>“一件事一次办”改革，婚姻登记实现“全省通办”，</w:t>
      </w:r>
      <w:r>
        <w:rPr>
          <w:rFonts w:hint="eastAsia" w:ascii="Times New Roman" w:hAnsi="Times New Roman" w:eastAsia="方正仿宋_GBK" w:cs="Times New Roman"/>
          <w:spacing w:val="-2"/>
          <w:sz w:val="32"/>
          <w:szCs w:val="32"/>
        </w:rPr>
        <w:t>完成河西舞阳大道、中方南湖路整合更名为陆港大道等</w:t>
      </w:r>
      <w:r>
        <w:rPr>
          <w:rFonts w:ascii="Times New Roman" w:hAnsi="Times New Roman" w:eastAsia="方正仿宋_GBK" w:cs="Times New Roman"/>
          <w:spacing w:val="-2"/>
          <w:sz w:val="32"/>
          <w:szCs w:val="32"/>
        </w:rPr>
        <w:t>10条城市道路更名命名</w:t>
      </w:r>
      <w:r>
        <w:rPr>
          <w:rFonts w:hint="eastAsia" w:ascii="Times New Roman" w:hAnsi="Times New Roman" w:eastAsia="方正仿宋_GBK" w:cs="Times New Roman"/>
          <w:spacing w:val="-2"/>
          <w:sz w:val="32"/>
          <w:szCs w:val="32"/>
        </w:rPr>
        <w:t>工作，</w:t>
      </w:r>
      <w:r>
        <w:rPr>
          <w:rFonts w:ascii="Times New Roman" w:hAnsi="Times New Roman" w:eastAsia="方正仿宋_GBK" w:cs="Times New Roman"/>
          <w:spacing w:val="-2"/>
          <w:sz w:val="32"/>
          <w:szCs w:val="32"/>
        </w:rPr>
        <w:t>民政窗口群众满意率达100%</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坚决守住了安全生产、涉老非法集资、资金监管、巡察反馈问题整改、党风廉政建设、舆情风险防控“六条底线”。</w:t>
      </w:r>
    </w:p>
    <w:p>
      <w:pPr>
        <w:snapToGrid w:val="0"/>
        <w:spacing w:line="560" w:lineRule="exact"/>
        <w:ind w:firstLine="632" w:firstLineChars="200"/>
        <w:rPr>
          <w:rFonts w:hint="eastAsia" w:ascii="Times New Roman" w:hAnsi="Times New Roman" w:eastAsia="方正仿宋_GBK" w:cs="Times New Roman"/>
          <w:b/>
          <w:spacing w:val="-2"/>
          <w:sz w:val="32"/>
          <w:szCs w:val="32"/>
        </w:rPr>
      </w:pPr>
      <w:r>
        <w:rPr>
          <w:rFonts w:ascii="Times New Roman" w:hAnsi="Times New Roman" w:eastAsia="方正仿宋_GBK" w:cs="Times New Roman"/>
          <w:b/>
          <w:spacing w:val="-2"/>
          <w:sz w:val="32"/>
          <w:szCs w:val="32"/>
        </w:rPr>
        <w:t>3.有效性分析</w:t>
      </w:r>
    </w:p>
    <w:p>
      <w:pPr>
        <w:snapToGrid w:val="0"/>
        <w:spacing w:line="560" w:lineRule="exact"/>
        <w:ind w:firstLine="632" w:firstLineChars="200"/>
        <w:rPr>
          <w:rFonts w:ascii="Times New Roman" w:hAnsi="Times New Roman" w:eastAsia="方正仿宋_GBK" w:cs="Times New Roman"/>
          <w:b/>
          <w:spacing w:val="-2"/>
          <w:sz w:val="32"/>
          <w:szCs w:val="32"/>
        </w:rPr>
      </w:pPr>
      <w:r>
        <w:rPr>
          <w:rFonts w:ascii="Times New Roman" w:hAnsi="Times New Roman" w:eastAsia="方正仿宋_GBK" w:cs="Times New Roman"/>
          <w:spacing w:val="-2"/>
          <w:sz w:val="32"/>
          <w:szCs w:val="32"/>
        </w:rPr>
        <w:t>（1）严格落实社会救助兜底保障，稳步提高三类对象生活保障标准，落实精准救助与主动发现机制，</w:t>
      </w:r>
      <w:r>
        <w:rPr>
          <w:rFonts w:hint="eastAsia" w:ascii="Times New Roman" w:hAnsi="Times New Roman" w:eastAsia="方正仿宋_GBK" w:cs="Times New Roman"/>
          <w:spacing w:val="-2"/>
          <w:sz w:val="32"/>
          <w:szCs w:val="32"/>
        </w:rPr>
        <w:t>开展城乡低保交叉检查和生活无着流浪乞讨人员救助管理工作“回头看”，</w:t>
      </w:r>
      <w:r>
        <w:rPr>
          <w:rFonts w:ascii="Times New Roman" w:hAnsi="Times New Roman" w:eastAsia="方正仿宋_GBK" w:cs="Times New Roman"/>
          <w:spacing w:val="-2"/>
          <w:sz w:val="32"/>
          <w:szCs w:val="32"/>
        </w:rPr>
        <w:t>推动城乡低保扩围增效，</w:t>
      </w:r>
      <w:r>
        <w:rPr>
          <w:rFonts w:hint="eastAsia" w:ascii="Times New Roman" w:hAnsi="Times New Roman" w:eastAsia="方正仿宋_GBK" w:cs="Times New Roman"/>
          <w:spacing w:val="-2"/>
          <w:sz w:val="32"/>
          <w:szCs w:val="32"/>
        </w:rPr>
        <w:t>坚决守住不发生规模性返贫底线。全年</w:t>
      </w:r>
      <w:r>
        <w:rPr>
          <w:rFonts w:ascii="Times New Roman" w:hAnsi="Times New Roman" w:eastAsia="方正仿宋_GBK" w:cs="Times New Roman"/>
          <w:spacing w:val="-2"/>
          <w:sz w:val="32"/>
          <w:szCs w:val="32"/>
        </w:rPr>
        <w:t>累计发放城乡低保金4.79亿元</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残疾人两项补贴9957.5万元</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孤儿散居与集中生活补贴688.89万元</w:t>
      </w:r>
      <w:r>
        <w:rPr>
          <w:rFonts w:hint="eastAsia" w:ascii="Times New Roman" w:hAnsi="Times New Roman" w:eastAsia="方正仿宋_GBK" w:cs="Times New Roman"/>
          <w:spacing w:val="-2"/>
          <w:sz w:val="32"/>
          <w:szCs w:val="32"/>
        </w:rPr>
        <w:t>。</w:t>
      </w:r>
    </w:p>
    <w:p>
      <w:pPr>
        <w:widowControl/>
        <w:shd w:val="clear" w:color="auto" w:fill="FFFFFF"/>
        <w:spacing w:line="560" w:lineRule="exact"/>
        <w:ind w:firstLine="632" w:firstLineChars="200"/>
        <w:rPr>
          <w:rFonts w:hint="eastAsia" w:ascii="Times New Roman" w:hAnsi="Times New Roman" w:eastAsia="方正仿宋_GBK" w:cs="Times New Roman"/>
          <w:spacing w:val="-2"/>
          <w:sz w:val="32"/>
          <w:szCs w:val="32"/>
        </w:rPr>
      </w:pPr>
      <w:r>
        <w:rPr>
          <w:rFonts w:ascii="Times New Roman" w:hAnsi="Times New Roman" w:eastAsia="方正仿宋_GBK" w:cs="Times New Roman"/>
          <w:spacing w:val="-2"/>
          <w:sz w:val="32"/>
          <w:szCs w:val="32"/>
        </w:rPr>
        <w:t>（2）</w:t>
      </w:r>
      <w:r>
        <w:rPr>
          <w:rFonts w:hint="eastAsia" w:ascii="Times New Roman" w:hAnsi="Times New Roman" w:eastAsia="方正仿宋_GBK" w:cs="Times New Roman"/>
          <w:spacing w:val="-2"/>
          <w:sz w:val="32"/>
          <w:szCs w:val="32"/>
        </w:rPr>
        <w:t>全面布局</w:t>
      </w:r>
      <w:r>
        <w:rPr>
          <w:rFonts w:ascii="Times New Roman" w:hAnsi="Times New Roman" w:eastAsia="方正仿宋_GBK" w:cs="Times New Roman"/>
          <w:spacing w:val="-2"/>
          <w:sz w:val="32"/>
          <w:szCs w:val="32"/>
        </w:rPr>
        <w:t>“1+N+X”养老服务设施网络体系</w:t>
      </w:r>
      <w:r>
        <w:rPr>
          <w:rFonts w:hint="eastAsia" w:ascii="Times New Roman" w:hAnsi="Times New Roman" w:eastAsia="方正仿宋_GBK" w:cs="Times New Roman"/>
          <w:spacing w:val="-2"/>
          <w:sz w:val="32"/>
          <w:szCs w:val="32"/>
        </w:rPr>
        <w:t>，在全省率先出台</w:t>
      </w:r>
      <w:r>
        <w:rPr>
          <w:rFonts w:ascii="Times New Roman" w:hAnsi="Times New Roman" w:eastAsia="方正仿宋_GBK" w:cs="Times New Roman"/>
          <w:spacing w:val="-2"/>
          <w:sz w:val="32"/>
          <w:szCs w:val="32"/>
        </w:rPr>
        <w:t>《</w:t>
      </w:r>
      <w:r>
        <w:rPr>
          <w:rFonts w:hint="eastAsia" w:ascii="Times New Roman" w:hAnsi="Times New Roman" w:eastAsia="方正仿宋_GBK" w:cs="Times New Roman"/>
          <w:spacing w:val="-2"/>
          <w:sz w:val="32"/>
          <w:szCs w:val="32"/>
        </w:rPr>
        <w:t>关于</w:t>
      </w:r>
      <w:r>
        <w:rPr>
          <w:rFonts w:ascii="Times New Roman" w:hAnsi="Times New Roman" w:eastAsia="方正仿宋_GBK" w:cs="Times New Roman"/>
          <w:spacing w:val="-2"/>
          <w:sz w:val="32"/>
          <w:szCs w:val="32"/>
        </w:rPr>
        <w:t>推进基本养老服务体系建设</w:t>
      </w:r>
      <w:r>
        <w:rPr>
          <w:rFonts w:hint="eastAsia" w:ascii="Times New Roman" w:hAnsi="Times New Roman" w:eastAsia="方正仿宋_GBK" w:cs="Times New Roman"/>
          <w:spacing w:val="-2"/>
          <w:sz w:val="32"/>
          <w:szCs w:val="32"/>
        </w:rPr>
        <w:t>的</w:t>
      </w:r>
      <w:r>
        <w:rPr>
          <w:rFonts w:ascii="Times New Roman" w:hAnsi="Times New Roman" w:eastAsia="方正仿宋_GBK" w:cs="Times New Roman"/>
          <w:spacing w:val="-2"/>
          <w:sz w:val="32"/>
          <w:szCs w:val="32"/>
        </w:rPr>
        <w:t>实施</w:t>
      </w:r>
      <w:r>
        <w:rPr>
          <w:rFonts w:hint="eastAsia" w:ascii="Times New Roman" w:hAnsi="Times New Roman" w:eastAsia="方正仿宋_GBK" w:cs="Times New Roman"/>
          <w:spacing w:val="-2"/>
          <w:sz w:val="32"/>
          <w:szCs w:val="32"/>
        </w:rPr>
        <w:t>意见</w:t>
      </w:r>
      <w:r>
        <w:rPr>
          <w:rFonts w:ascii="Times New Roman" w:hAnsi="Times New Roman" w:eastAsia="方正仿宋_GBK" w:cs="Times New Roman"/>
          <w:spacing w:val="-2"/>
          <w:sz w:val="32"/>
          <w:szCs w:val="32"/>
        </w:rPr>
        <w:t>》《关于加强农村养老服务体系建设推进农村互助养老服务工作的实施意见》</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建成13个失能失智特困人员集中照护中心、45个区域性（乡镇）示范性综合养老服务中心、1656个农村互助养老服务站点，发动8600多名为老志愿者结对4.47万多</w:t>
      </w:r>
      <w:r>
        <w:rPr>
          <w:rFonts w:hint="eastAsia" w:ascii="Times New Roman" w:hAnsi="Times New Roman" w:eastAsia="方正仿宋_GBK" w:cs="Times New Roman"/>
          <w:spacing w:val="-2"/>
          <w:sz w:val="32"/>
          <w:szCs w:val="32"/>
        </w:rPr>
        <w:t>名</w:t>
      </w:r>
      <w:r>
        <w:rPr>
          <w:rFonts w:ascii="Times New Roman" w:hAnsi="Times New Roman" w:eastAsia="方正仿宋_GBK" w:cs="Times New Roman"/>
          <w:spacing w:val="-2"/>
          <w:sz w:val="32"/>
          <w:szCs w:val="32"/>
        </w:rPr>
        <w:t>特殊困难老人。</w:t>
      </w:r>
    </w:p>
    <w:p>
      <w:pPr>
        <w:widowControl/>
        <w:shd w:val="clear" w:color="auto" w:fill="FFFFFF"/>
        <w:spacing w:line="560" w:lineRule="exact"/>
        <w:ind w:firstLine="632" w:firstLineChars="200"/>
        <w:rPr>
          <w:rFonts w:hint="eastAsia" w:ascii="Times New Roman" w:hAnsi="Times New Roman" w:eastAsia="方正仿宋_GBK" w:cs="Times New Roman"/>
          <w:spacing w:val="-2"/>
          <w:sz w:val="32"/>
          <w:szCs w:val="32"/>
        </w:rPr>
      </w:pPr>
      <w:r>
        <w:rPr>
          <w:rFonts w:ascii="Times New Roman" w:hAnsi="Times New Roman" w:eastAsia="方正仿宋_GBK" w:cs="Times New Roman"/>
          <w:spacing w:val="-2"/>
          <w:sz w:val="32"/>
          <w:szCs w:val="32"/>
        </w:rPr>
        <w:t>（3）建立市县未成年人关爱保护工作联席会议制度，充分发挥未保办牵头抓总作用</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开展全市的孤儿及事实无人抚养儿童一对一上门探访，未成年人与电竞酒店“物理隔离”经验做法被文旅部、全国“扫黄打非办”推介，全市困境儿童关爱基地投入常态化运营，累计服务儿童1086人次。凝聚强大合力，推动构建“六位一体”综合保护体系温情打造全市未成年人关爱保护示范基地。</w:t>
      </w: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spacing w:val="-2"/>
          <w:sz w:val="32"/>
          <w:szCs w:val="32"/>
        </w:rPr>
        <w:t>（4）大力</w:t>
      </w:r>
      <w:r>
        <w:rPr>
          <w:rFonts w:hint="eastAsia" w:ascii="Times New Roman" w:hAnsi="Times New Roman" w:eastAsia="方正仿宋_GBK" w:cs="Times New Roman"/>
          <w:spacing w:val="-2"/>
          <w:sz w:val="32"/>
          <w:szCs w:val="32"/>
        </w:rPr>
        <w:t>推进殡葬</w:t>
      </w:r>
      <w:r>
        <w:rPr>
          <w:rFonts w:ascii="Times New Roman" w:hAnsi="Times New Roman" w:eastAsia="方正仿宋_GBK" w:cs="Times New Roman"/>
          <w:spacing w:val="-2"/>
          <w:sz w:val="32"/>
          <w:szCs w:val="32"/>
        </w:rPr>
        <w:t>俗改革，</w:t>
      </w:r>
      <w:r>
        <w:rPr>
          <w:rFonts w:hint="eastAsia" w:ascii="Times New Roman" w:hAnsi="Times New Roman" w:eastAsia="方正仿宋_GBK" w:cs="Times New Roman"/>
          <w:spacing w:val="-2"/>
          <w:sz w:val="32"/>
          <w:szCs w:val="32"/>
        </w:rPr>
        <w:t>成立了市长任组长的殡葬改革领导小组，</w:t>
      </w:r>
      <w:r>
        <w:rPr>
          <w:rFonts w:eastAsia="方正仿宋_GBK"/>
          <w:sz w:val="32"/>
          <w:szCs w:val="36"/>
        </w:rPr>
        <w:t>规范医院太平间（停尸房）管理</w:t>
      </w:r>
      <w:r>
        <w:rPr>
          <w:rFonts w:hint="eastAsia" w:eastAsia="方正仿宋_GBK"/>
          <w:sz w:val="32"/>
          <w:szCs w:val="36"/>
        </w:rPr>
        <w:t>，</w:t>
      </w:r>
      <w:r>
        <w:rPr>
          <w:rFonts w:ascii="Times New Roman" w:hAnsi="Times New Roman" w:eastAsia="方正仿宋_GBK" w:cs="Times New Roman"/>
          <w:spacing w:val="-2"/>
          <w:sz w:val="32"/>
          <w:szCs w:val="32"/>
        </w:rPr>
        <w:t>出台《怀化市鹤中一体化惠民殡葬实施办法（试行）》，免除遗体接运、遗体火化等五项基本殡葬服务费用，</w:t>
      </w:r>
      <w:r>
        <w:rPr>
          <w:rFonts w:hint="eastAsia" w:eastAsia="方正仿宋_GBK"/>
          <w:sz w:val="32"/>
          <w:szCs w:val="36"/>
        </w:rPr>
        <w:t>为群众</w:t>
      </w:r>
      <w:r>
        <w:rPr>
          <w:rFonts w:eastAsia="方正仿宋_GBK"/>
          <w:sz w:val="32"/>
          <w:szCs w:val="36"/>
        </w:rPr>
        <w:t>减免各项服务费用</w:t>
      </w:r>
      <w:r>
        <w:rPr>
          <w:rFonts w:hint="eastAsia" w:eastAsia="方正仿宋_GBK"/>
          <w:sz w:val="32"/>
          <w:szCs w:val="36"/>
        </w:rPr>
        <w:t>330余</w:t>
      </w:r>
      <w:r>
        <w:rPr>
          <w:rFonts w:eastAsia="方正仿宋_GBK"/>
          <w:sz w:val="32"/>
          <w:szCs w:val="36"/>
        </w:rPr>
        <w:t>万元</w:t>
      </w:r>
      <w:r>
        <w:rPr>
          <w:rFonts w:hint="eastAsia" w:eastAsia="方正仿宋_GBK"/>
          <w:sz w:val="32"/>
          <w:szCs w:val="36"/>
        </w:rPr>
        <w:t>。</w:t>
      </w:r>
    </w:p>
    <w:p>
      <w:pPr>
        <w:widowControl/>
        <w:shd w:val="clear" w:color="auto" w:fill="FFFFFF"/>
        <w:spacing w:line="560" w:lineRule="exact"/>
        <w:ind w:firstLine="632" w:firstLineChars="200"/>
        <w:rPr>
          <w:rFonts w:hint="eastAsia" w:ascii="Times New Roman" w:hAnsi="Times New Roman" w:eastAsia="方正仿宋_GBK" w:cs="Times New Roman"/>
          <w:spacing w:val="-2"/>
          <w:sz w:val="32"/>
          <w:szCs w:val="32"/>
        </w:rPr>
      </w:pPr>
      <w:r>
        <w:rPr>
          <w:rFonts w:ascii="Times New Roman" w:hAnsi="Times New Roman" w:eastAsia="方正仿宋_GBK" w:cs="Times New Roman"/>
          <w:spacing w:val="-2"/>
          <w:sz w:val="32"/>
          <w:szCs w:val="32"/>
        </w:rPr>
        <w:t>（5）</w:t>
      </w:r>
      <w:r>
        <w:rPr>
          <w:rFonts w:hint="eastAsia" w:ascii="Times New Roman" w:hAnsi="Times New Roman" w:eastAsia="方正仿宋_GBK" w:cs="Times New Roman"/>
          <w:spacing w:val="-2"/>
          <w:sz w:val="32"/>
          <w:szCs w:val="32"/>
        </w:rPr>
        <w:t>出台</w:t>
      </w:r>
      <w:r>
        <w:rPr>
          <w:rFonts w:ascii="Times New Roman" w:hAnsi="Times New Roman" w:eastAsia="方正仿宋_GBK" w:cs="Times New Roman"/>
          <w:spacing w:val="-2"/>
          <w:sz w:val="32"/>
          <w:szCs w:val="32"/>
        </w:rPr>
        <w:t>《关于进一步</w:t>
      </w:r>
      <w:r>
        <w:rPr>
          <w:rFonts w:hint="eastAsia" w:ascii="Times New Roman" w:hAnsi="Times New Roman" w:eastAsia="方正仿宋_GBK" w:cs="Times New Roman"/>
          <w:spacing w:val="-2"/>
          <w:sz w:val="32"/>
          <w:szCs w:val="32"/>
        </w:rPr>
        <w:t>加强城乡社区规范化建设的指导意见》，联合四部门出台《怀化市村级组织工作事务、机制牌子和证明事项指导目录》，梳理形成我市村级组织工作事项指导目录49项，明确村级组织挂牌数量12+2个，明确不应由村级组织出具证明的数量36个，最大限度便民利民、减轻基层负担。</w:t>
      </w:r>
    </w:p>
    <w:p>
      <w:pPr>
        <w:widowControl/>
        <w:shd w:val="clear" w:color="auto" w:fill="FFFFFF"/>
        <w:spacing w:line="560" w:lineRule="exact"/>
        <w:ind w:firstLine="632" w:firstLineChars="200"/>
        <w:rPr>
          <w:rFonts w:hint="eastAsia" w:ascii="Times New Roman" w:hAnsi="Times New Roman" w:eastAsia="方正仿宋_GBK" w:cs="Times New Roman"/>
          <w:spacing w:val="-2"/>
          <w:sz w:val="32"/>
          <w:szCs w:val="32"/>
        </w:rPr>
      </w:pPr>
      <w:r>
        <w:rPr>
          <w:rFonts w:hint="eastAsia" w:ascii="Times New Roman" w:hAnsi="Times New Roman" w:eastAsia="方正仿宋_GBK" w:cs="Times New Roman"/>
          <w:spacing w:val="-2"/>
          <w:sz w:val="32"/>
          <w:szCs w:val="32"/>
        </w:rPr>
        <w:t>（6）制定《怀化市基层社工站探索“五社联动”机制实施方案》，指导全市社工站探索创新“五社联动”特色服务，全市26个基层社工站获评省级第一批五星级站点，基层社工站平均持证率为6</w:t>
      </w:r>
      <w:r>
        <w:rPr>
          <w:rFonts w:ascii="Times New Roman" w:hAnsi="Times New Roman" w:eastAsia="方正仿宋_GBK" w:cs="Times New Roman"/>
          <w:spacing w:val="-2"/>
          <w:sz w:val="32"/>
          <w:szCs w:val="32"/>
        </w:rPr>
        <w:t>2</w:t>
      </w:r>
      <w:r>
        <w:rPr>
          <w:rFonts w:hint="eastAsia" w:ascii="Times New Roman" w:hAnsi="Times New Roman" w:eastAsia="方正仿宋_GBK" w:cs="Times New Roman"/>
          <w:spacing w:val="-2"/>
          <w:sz w:val="32"/>
          <w:szCs w:val="32"/>
        </w:rPr>
        <w:t>%。</w:t>
      </w: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hint="eastAsia" w:ascii="Times New Roman" w:hAnsi="Times New Roman" w:eastAsia="方正仿宋_GBK" w:cs="Times New Roman"/>
          <w:spacing w:val="-2"/>
          <w:sz w:val="32"/>
          <w:szCs w:val="32"/>
        </w:rPr>
        <w:t>（7）</w:t>
      </w:r>
      <w:r>
        <w:rPr>
          <w:rFonts w:ascii="Times New Roman" w:hAnsi="Times New Roman" w:eastAsia="方正仿宋_GBK" w:cs="Times New Roman"/>
          <w:spacing w:val="-2"/>
          <w:sz w:val="32"/>
          <w:szCs w:val="32"/>
        </w:rPr>
        <w:t>有序推进福利慈善彩票事业发展，</w:t>
      </w:r>
      <w:r>
        <w:rPr>
          <w:rFonts w:hint="eastAsia" w:ascii="Times New Roman" w:hAnsi="Times New Roman" w:eastAsia="方正仿宋_GBK" w:cs="Times New Roman"/>
          <w:spacing w:val="-2"/>
          <w:sz w:val="32"/>
          <w:szCs w:val="32"/>
        </w:rPr>
        <w:t>福彩</w:t>
      </w:r>
      <w:r>
        <w:rPr>
          <w:rFonts w:ascii="Times New Roman" w:hAnsi="Times New Roman" w:eastAsia="方正仿宋_GBK" w:cs="Times New Roman"/>
          <w:spacing w:val="-2"/>
          <w:sz w:val="32"/>
          <w:szCs w:val="32"/>
        </w:rPr>
        <w:t>销售总量</w:t>
      </w:r>
      <w:r>
        <w:rPr>
          <w:rFonts w:hint="eastAsia" w:ascii="Times New Roman" w:hAnsi="Times New Roman" w:eastAsia="方正仿宋_GBK" w:cs="Times New Roman"/>
          <w:spacing w:val="-2"/>
          <w:sz w:val="32"/>
          <w:szCs w:val="32"/>
        </w:rPr>
        <w:t>达4.57</w:t>
      </w:r>
      <w:r>
        <w:rPr>
          <w:rFonts w:ascii="Times New Roman" w:hAnsi="Times New Roman" w:eastAsia="方正仿宋_GBK" w:cs="Times New Roman"/>
          <w:spacing w:val="-2"/>
          <w:sz w:val="32"/>
          <w:szCs w:val="32"/>
        </w:rPr>
        <w:t>亿元，</w:t>
      </w:r>
      <w:r>
        <w:rPr>
          <w:rFonts w:hint="eastAsia" w:ascii="Times New Roman" w:hAnsi="Times New Roman" w:eastAsia="方正仿宋_GBK" w:cs="Times New Roman"/>
          <w:spacing w:val="-2"/>
          <w:sz w:val="32"/>
          <w:szCs w:val="32"/>
        </w:rPr>
        <w:t>开展怀化扬州慈善励志班、</w:t>
      </w:r>
      <w:r>
        <w:rPr>
          <w:rFonts w:ascii="Times New Roman" w:hAnsi="Times New Roman" w:eastAsia="方正仿宋_GBK" w:cs="Times New Roman"/>
          <w:spacing w:val="-2"/>
          <w:sz w:val="32"/>
          <w:szCs w:val="32"/>
        </w:rPr>
        <w:t>慈善福彩公益夏</w:t>
      </w:r>
      <w:r>
        <w:rPr>
          <w:rFonts w:hint="eastAsia" w:ascii="Times New Roman" w:hAnsi="Times New Roman" w:eastAsia="方正仿宋_GBK" w:cs="Times New Roman"/>
          <w:spacing w:val="-2"/>
          <w:sz w:val="32"/>
          <w:szCs w:val="32"/>
        </w:rPr>
        <w:t>（冬）</w:t>
      </w:r>
      <w:r>
        <w:rPr>
          <w:rFonts w:ascii="Times New Roman" w:hAnsi="Times New Roman" w:eastAsia="方正仿宋_GBK" w:cs="Times New Roman"/>
          <w:spacing w:val="-2"/>
          <w:sz w:val="32"/>
          <w:szCs w:val="32"/>
        </w:rPr>
        <w:t>令</w:t>
      </w:r>
      <w:r>
        <w:rPr>
          <w:rFonts w:hint="eastAsia" w:ascii="Times New Roman" w:hAnsi="Times New Roman" w:eastAsia="方正仿宋_GBK" w:cs="Times New Roman"/>
          <w:spacing w:val="-2"/>
          <w:sz w:val="32"/>
          <w:szCs w:val="32"/>
        </w:rPr>
        <w:t>营、</w:t>
      </w:r>
      <w:r>
        <w:rPr>
          <w:rFonts w:ascii="Times New Roman" w:hAnsi="Times New Roman" w:eastAsia="方正仿宋_GBK" w:cs="Times New Roman"/>
          <w:spacing w:val="-2"/>
          <w:sz w:val="32"/>
          <w:szCs w:val="32"/>
        </w:rPr>
        <w:t>“公益福彩·爱心助学”</w:t>
      </w:r>
      <w:r>
        <w:rPr>
          <w:rFonts w:hint="eastAsia" w:ascii="Times New Roman" w:hAnsi="Times New Roman" w:eastAsia="方正仿宋_GBK" w:cs="Times New Roman"/>
          <w:spacing w:val="-2"/>
          <w:sz w:val="32"/>
          <w:szCs w:val="32"/>
        </w:rPr>
        <w:t>等</w:t>
      </w:r>
      <w:r>
        <w:rPr>
          <w:rFonts w:ascii="Times New Roman" w:hAnsi="Times New Roman" w:eastAsia="方正仿宋_GBK" w:cs="Times New Roman"/>
          <w:spacing w:val="-2"/>
          <w:sz w:val="32"/>
          <w:szCs w:val="32"/>
        </w:rPr>
        <w:t>活动</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“慈善长者餐厅”陆续挂牌投入使用</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引导社会组织党组织通过认领、募捐等方式建成宝贝小屋、阅读小屋、直播小屋、医生小屋76间，投入资金108.37万元。</w:t>
      </w:r>
    </w:p>
    <w:p>
      <w:pPr>
        <w:snapToGrid w:val="0"/>
        <w:spacing w:line="560" w:lineRule="exact"/>
        <w:ind w:firstLine="632" w:firstLineChars="200"/>
        <w:rPr>
          <w:rFonts w:ascii="Times New Roman" w:hAnsi="Times New Roman" w:eastAsia="方正仿宋_GBK" w:cs="Times New Roman"/>
          <w:b/>
          <w:spacing w:val="-2"/>
          <w:sz w:val="32"/>
          <w:szCs w:val="32"/>
        </w:rPr>
      </w:pPr>
      <w:r>
        <w:rPr>
          <w:rFonts w:ascii="Times New Roman" w:hAnsi="Times New Roman" w:eastAsia="方正仿宋_GBK" w:cs="Times New Roman"/>
          <w:b/>
          <w:spacing w:val="-2"/>
          <w:sz w:val="32"/>
          <w:szCs w:val="32"/>
        </w:rPr>
        <w:t>4.可持续性分析</w:t>
      </w:r>
      <w:r>
        <w:rPr>
          <w:rFonts w:hint="eastAsia" w:ascii="Times New Roman" w:hAnsi="Times New Roman" w:eastAsia="方正仿宋_GBK" w:cs="Times New Roman"/>
          <w:b/>
          <w:spacing w:val="-2"/>
          <w:sz w:val="32"/>
          <w:szCs w:val="32"/>
        </w:rPr>
        <w:t>。</w:t>
      </w:r>
      <w:r>
        <w:rPr>
          <w:rFonts w:hint="eastAsia" w:ascii="Times New Roman" w:hAnsi="Times New Roman" w:eastAsia="方正仿宋_GBK" w:cs="Times New Roman"/>
          <w:spacing w:val="-2"/>
          <w:sz w:val="32"/>
          <w:szCs w:val="32"/>
        </w:rPr>
        <w:t>坚持尽力而为、量力而行，坚持精准研判、厉行节约，既</w:t>
      </w:r>
      <w:r>
        <w:rPr>
          <w:rFonts w:ascii="Times New Roman" w:hAnsi="Times New Roman" w:eastAsia="方正仿宋_GBK" w:cs="Times New Roman"/>
          <w:spacing w:val="-2"/>
          <w:sz w:val="32"/>
          <w:szCs w:val="32"/>
        </w:rPr>
        <w:t>保障了</w:t>
      </w:r>
      <w:r>
        <w:rPr>
          <w:rFonts w:hint="eastAsia" w:ascii="Times New Roman" w:hAnsi="Times New Roman" w:eastAsia="方正仿宋_GBK" w:cs="Times New Roman"/>
          <w:spacing w:val="-2"/>
          <w:sz w:val="32"/>
          <w:szCs w:val="32"/>
        </w:rPr>
        <w:t>基本民生项目实施，又保障了局机关正常</w:t>
      </w:r>
      <w:r>
        <w:rPr>
          <w:rFonts w:ascii="Times New Roman" w:hAnsi="Times New Roman" w:eastAsia="方正仿宋_GBK" w:cs="Times New Roman"/>
          <w:spacing w:val="-2"/>
          <w:sz w:val="32"/>
          <w:szCs w:val="32"/>
        </w:rPr>
        <w:t>运转，</w:t>
      </w:r>
      <w:r>
        <w:rPr>
          <w:rFonts w:hint="eastAsia" w:ascii="Times New Roman" w:hAnsi="Times New Roman" w:eastAsia="方正仿宋_GBK" w:cs="Times New Roman"/>
          <w:spacing w:val="-2"/>
          <w:sz w:val="32"/>
          <w:szCs w:val="32"/>
        </w:rPr>
        <w:t>与</w:t>
      </w:r>
      <w:r>
        <w:rPr>
          <w:rFonts w:ascii="Times New Roman" w:hAnsi="Times New Roman" w:eastAsia="方正仿宋_GBK" w:cs="Times New Roman"/>
          <w:spacing w:val="-2"/>
          <w:sz w:val="32"/>
          <w:szCs w:val="32"/>
        </w:rPr>
        <w:t>民政事业发展规划</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部门职能</w:t>
      </w:r>
      <w:r>
        <w:rPr>
          <w:rFonts w:hint="eastAsia" w:ascii="Times New Roman" w:hAnsi="Times New Roman" w:eastAsia="方正仿宋_GBK" w:cs="Times New Roman"/>
          <w:spacing w:val="-2"/>
          <w:sz w:val="32"/>
          <w:szCs w:val="32"/>
        </w:rPr>
        <w:t>职责以及当前财务现状</w:t>
      </w:r>
      <w:r>
        <w:rPr>
          <w:rFonts w:ascii="Times New Roman" w:hAnsi="Times New Roman" w:eastAsia="方正仿宋_GBK" w:cs="Times New Roman"/>
          <w:spacing w:val="-2"/>
          <w:sz w:val="32"/>
          <w:szCs w:val="32"/>
        </w:rPr>
        <w:t>基本吻合</w:t>
      </w:r>
      <w:r>
        <w:rPr>
          <w:rFonts w:hint="eastAsia" w:ascii="Times New Roman" w:hAnsi="Times New Roman" w:eastAsia="方正仿宋_GBK" w:cs="Times New Roman"/>
          <w:spacing w:val="-2"/>
          <w:sz w:val="32"/>
          <w:szCs w:val="32"/>
        </w:rPr>
        <w:t>，</w:t>
      </w:r>
      <w:r>
        <w:rPr>
          <w:rFonts w:ascii="Times New Roman" w:hAnsi="Times New Roman" w:eastAsia="方正仿宋_GBK" w:cs="Times New Roman"/>
          <w:spacing w:val="-2"/>
          <w:sz w:val="32"/>
          <w:szCs w:val="32"/>
        </w:rPr>
        <w:t>具有可持续性。</w:t>
      </w:r>
    </w:p>
    <w:p>
      <w:pPr>
        <w:widowControl/>
        <w:shd w:val="clear" w:color="auto" w:fill="FFFFFF"/>
        <w:spacing w:line="560" w:lineRule="exact"/>
        <w:ind w:firstLine="640" w:firstLineChars="200"/>
        <w:rPr>
          <w:rFonts w:ascii="Times New Roman" w:hAnsi="Times New Roman" w:eastAsia="方正黑体_GBK" w:cs="Times New Roman"/>
          <w:bCs/>
          <w:color w:val="000000"/>
          <w:sz w:val="32"/>
          <w:szCs w:val="32"/>
          <w:shd w:val="clear" w:color="auto" w:fill="FFFFFF"/>
        </w:rPr>
      </w:pPr>
      <w:r>
        <w:rPr>
          <w:rFonts w:ascii="Times New Roman" w:hAnsi="Times New Roman" w:eastAsia="方正黑体_GBK" w:cs="Times New Roman"/>
          <w:bCs/>
          <w:color w:val="000000"/>
          <w:sz w:val="32"/>
          <w:szCs w:val="32"/>
          <w:shd w:val="clear" w:color="auto" w:fill="FFFFFF"/>
        </w:rPr>
        <w:t>七、存在的问题及原因分析</w:t>
      </w: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b/>
          <w:spacing w:val="-2"/>
          <w:sz w:val="32"/>
          <w:szCs w:val="32"/>
        </w:rPr>
        <w:t>一是</w:t>
      </w:r>
      <w:r>
        <w:rPr>
          <w:rFonts w:ascii="Times New Roman" w:hAnsi="Times New Roman" w:eastAsia="方正仿宋_GBK" w:cs="Times New Roman"/>
          <w:spacing w:val="-2"/>
          <w:sz w:val="32"/>
          <w:szCs w:val="32"/>
        </w:rPr>
        <w:t>预算安排与实际支出存在一定差异，</w:t>
      </w:r>
      <w:r>
        <w:rPr>
          <w:rFonts w:hint="eastAsia" w:ascii="Times New Roman" w:hAnsi="Times New Roman" w:eastAsia="方正仿宋_GBK" w:cs="Times New Roman"/>
          <w:spacing w:val="-2"/>
          <w:sz w:val="32"/>
          <w:szCs w:val="32"/>
          <w:lang w:eastAsia="zh-CN"/>
        </w:rPr>
        <w:t>主要原因是</w:t>
      </w:r>
      <w:r>
        <w:rPr>
          <w:rFonts w:ascii="Times New Roman" w:hAnsi="Times New Roman" w:eastAsia="方正仿宋_GBK" w:cs="Times New Roman"/>
          <w:spacing w:val="-2"/>
          <w:sz w:val="32"/>
          <w:szCs w:val="32"/>
        </w:rPr>
        <w:t>预算</w:t>
      </w:r>
      <w:r>
        <w:rPr>
          <w:rFonts w:hint="eastAsia" w:ascii="Times New Roman" w:hAnsi="Times New Roman" w:eastAsia="方正仿宋_GBK" w:cs="Times New Roman"/>
          <w:spacing w:val="-2"/>
          <w:sz w:val="32"/>
          <w:szCs w:val="32"/>
          <w:lang w:eastAsia="zh-CN"/>
        </w:rPr>
        <w:t>前瞻性、科学性、精准性还有欠缺</w:t>
      </w:r>
      <w:r>
        <w:rPr>
          <w:rFonts w:ascii="Times New Roman" w:hAnsi="Times New Roman" w:eastAsia="方正仿宋_GBK" w:cs="Times New Roman"/>
          <w:spacing w:val="-2"/>
          <w:sz w:val="32"/>
          <w:szCs w:val="32"/>
        </w:rPr>
        <w:t>，造成了预算数与执行数的偏差。</w:t>
      </w: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b/>
          <w:spacing w:val="-2"/>
          <w:sz w:val="32"/>
          <w:szCs w:val="32"/>
        </w:rPr>
        <w:t>二是</w:t>
      </w:r>
      <w:r>
        <w:rPr>
          <w:rFonts w:ascii="Times New Roman" w:hAnsi="Times New Roman" w:eastAsia="方正仿宋_GBK" w:cs="Times New Roman"/>
          <w:spacing w:val="-2"/>
          <w:sz w:val="32"/>
          <w:szCs w:val="32"/>
        </w:rPr>
        <w:t>绩效指标设置不够完善，年初未能对绩效目标与指标进行统筹设置，产出性指标量化值设置不完善，且缺少可量化的社会经济效益指标。</w:t>
      </w:r>
    </w:p>
    <w:p>
      <w:pPr>
        <w:widowControl/>
        <w:shd w:val="clear" w:color="auto" w:fill="FFFFFF"/>
        <w:spacing w:line="560" w:lineRule="exact"/>
        <w:ind w:firstLine="640" w:firstLineChars="200"/>
        <w:rPr>
          <w:rFonts w:ascii="Times New Roman" w:hAnsi="Times New Roman" w:eastAsia="方正黑体_GBK" w:cs="Times New Roman"/>
          <w:bCs/>
          <w:color w:val="000000"/>
          <w:sz w:val="32"/>
          <w:szCs w:val="32"/>
          <w:shd w:val="clear" w:color="auto" w:fill="FFFFFF"/>
        </w:rPr>
      </w:pPr>
      <w:r>
        <w:rPr>
          <w:rFonts w:ascii="Times New Roman" w:hAnsi="Times New Roman" w:eastAsia="方正黑体_GBK" w:cs="Times New Roman"/>
          <w:bCs/>
          <w:color w:val="000000"/>
          <w:sz w:val="32"/>
          <w:szCs w:val="32"/>
          <w:shd w:val="clear" w:color="auto" w:fill="FFFFFF"/>
        </w:rPr>
        <w:t>八、下一步改进措施</w:t>
      </w: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b/>
          <w:spacing w:val="-2"/>
          <w:sz w:val="32"/>
          <w:szCs w:val="32"/>
        </w:rPr>
        <w:t>一是</w:t>
      </w:r>
      <w:r>
        <w:rPr>
          <w:rFonts w:ascii="Times New Roman" w:hAnsi="Times New Roman" w:eastAsia="方正仿宋_GBK" w:cs="Times New Roman"/>
          <w:spacing w:val="-2"/>
          <w:sz w:val="32"/>
          <w:szCs w:val="32"/>
        </w:rPr>
        <w:t>科学合理编制预算，严格执行预算。加强预算编制的前瞻性，按照新《预算法》及其实施条例的相关规定，及本单位的发展规划，结合上一年度预算执行情况和本年度预算收支变化因素，科学、合理地编制本年预算。</w:t>
      </w:r>
    </w:p>
    <w:p>
      <w:pPr>
        <w:widowControl/>
        <w:shd w:val="clear" w:color="auto" w:fill="FFFFFF"/>
        <w:spacing w:line="560" w:lineRule="exact"/>
        <w:ind w:firstLine="632" w:firstLineChars="200"/>
        <w:rPr>
          <w:rFonts w:ascii="Times New Roman" w:hAnsi="Times New Roman" w:eastAsia="黑体" w:cs="Times New Roman"/>
          <w:color w:val="00B050"/>
          <w:sz w:val="32"/>
          <w:szCs w:val="32"/>
          <w:shd w:val="clear" w:color="auto" w:fill="FFFFFF"/>
        </w:rPr>
      </w:pPr>
      <w:r>
        <w:rPr>
          <w:rFonts w:ascii="Times New Roman" w:hAnsi="Times New Roman" w:eastAsia="方正仿宋_GBK" w:cs="Times New Roman"/>
          <w:b/>
          <w:spacing w:val="-2"/>
          <w:sz w:val="32"/>
          <w:szCs w:val="32"/>
        </w:rPr>
        <w:t>二是</w:t>
      </w:r>
      <w:r>
        <w:rPr>
          <w:rFonts w:ascii="Times New Roman" w:hAnsi="Times New Roman" w:eastAsia="方正仿宋_GBK" w:cs="Times New Roman"/>
          <w:spacing w:val="-2"/>
          <w:sz w:val="32"/>
          <w:szCs w:val="32"/>
        </w:rPr>
        <w:t>加强绩效管理学习，</w:t>
      </w:r>
      <w:r>
        <w:rPr>
          <w:rFonts w:hint="eastAsia" w:ascii="Times New Roman" w:hAnsi="Times New Roman" w:eastAsia="方正仿宋_GBK" w:cs="Times New Roman"/>
          <w:spacing w:val="-2"/>
          <w:sz w:val="32"/>
          <w:szCs w:val="32"/>
        </w:rPr>
        <w:t>科学设定目标。</w:t>
      </w:r>
      <w:r>
        <w:rPr>
          <w:rFonts w:ascii="Times New Roman" w:hAnsi="Times New Roman" w:eastAsia="方正仿宋_GBK" w:cs="Times New Roman"/>
          <w:spacing w:val="-2"/>
          <w:sz w:val="32"/>
          <w:szCs w:val="32"/>
        </w:rPr>
        <w:t>在明确绩效目标设置依据及方法的基础上，对项目实施内容及成果的预期使用效果进行梳理，完成目标设定，目标设定既要有可操作性又要有前瞻性，对产出和效益指标要尽可能量化，提升绩效目标的可考核性和可实现性。</w:t>
      </w:r>
    </w:p>
    <w:p>
      <w:pPr>
        <w:widowControl/>
        <w:shd w:val="clear" w:color="auto" w:fill="FFFFFF"/>
        <w:spacing w:line="560" w:lineRule="exact"/>
        <w:ind w:firstLine="640" w:firstLineChars="200"/>
        <w:rPr>
          <w:rFonts w:ascii="Times New Roman" w:hAnsi="Times New Roman" w:eastAsia="方正黑体_GBK" w:cs="Times New Roman"/>
          <w:bCs/>
          <w:color w:val="000000"/>
          <w:sz w:val="32"/>
          <w:szCs w:val="32"/>
          <w:shd w:val="clear" w:color="auto" w:fill="FFFFFF"/>
        </w:rPr>
      </w:pPr>
      <w:r>
        <w:rPr>
          <w:rFonts w:ascii="Times New Roman" w:hAnsi="Times New Roman" w:eastAsia="方正黑体_GBK" w:cs="Times New Roman"/>
          <w:bCs/>
          <w:color w:val="000000"/>
          <w:sz w:val="32"/>
          <w:szCs w:val="32"/>
          <w:shd w:val="clear" w:color="auto" w:fill="FFFFFF"/>
        </w:rPr>
        <w:t>九、其他需要说明的情况</w:t>
      </w: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spacing w:val="-2"/>
          <w:sz w:val="32"/>
          <w:szCs w:val="32"/>
        </w:rPr>
        <w:t>无其他需要说明的情况</w:t>
      </w:r>
    </w:p>
    <w:p>
      <w:pPr>
        <w:pStyle w:val="11"/>
        <w:widowControl/>
        <w:shd w:val="clear" w:color="auto" w:fill="FFFFFF"/>
        <w:snapToGrid w:val="0"/>
        <w:spacing w:beforeAutospacing="0" w:afterAutospacing="0" w:line="560" w:lineRule="exact"/>
        <w:rPr>
          <w:rFonts w:ascii="Times New Roman" w:hAnsi="Times New Roman"/>
          <w:color w:val="000000"/>
        </w:rPr>
      </w:pP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spacing w:val="-2"/>
          <w:sz w:val="32"/>
          <w:szCs w:val="32"/>
        </w:rPr>
        <w:t>附件：</w:t>
      </w:r>
    </w:p>
    <w:p>
      <w:pPr>
        <w:widowControl/>
        <w:shd w:val="clear" w:color="auto" w:fill="FFFFFF"/>
        <w:spacing w:line="560" w:lineRule="exact"/>
        <w:ind w:firstLine="632" w:firstLineChars="200"/>
        <w:rPr>
          <w:rFonts w:ascii="Times New Roman" w:hAnsi="Times New Roman" w:eastAsia="方正仿宋_GBK" w:cs="Times New Roman"/>
          <w:spacing w:val="-2"/>
          <w:sz w:val="32"/>
          <w:szCs w:val="32"/>
        </w:rPr>
      </w:pPr>
      <w:r>
        <w:rPr>
          <w:rFonts w:ascii="Times New Roman" w:hAnsi="Times New Roman" w:eastAsia="方正仿宋_GBK" w:cs="Times New Roman"/>
          <w:spacing w:val="-2"/>
          <w:sz w:val="32"/>
          <w:szCs w:val="32"/>
        </w:rPr>
        <w:t>1-1.部门整体支出绩效评价基础数据表</w:t>
      </w:r>
    </w:p>
    <w:p>
      <w:pPr>
        <w:widowControl/>
        <w:shd w:val="clear" w:color="auto" w:fill="FFFFFF"/>
        <w:spacing w:line="560" w:lineRule="exact"/>
        <w:ind w:firstLine="632" w:firstLineChars="200"/>
        <w:rPr>
          <w:rFonts w:hint="eastAsia" w:ascii="Times New Roman" w:hAnsi="Times New Roman" w:eastAsia="方正仿宋_GBK" w:cs="Times New Roman"/>
          <w:spacing w:val="-2"/>
          <w:sz w:val="32"/>
          <w:szCs w:val="32"/>
        </w:rPr>
      </w:pPr>
      <w:r>
        <w:rPr>
          <w:rFonts w:ascii="Times New Roman" w:hAnsi="Times New Roman" w:eastAsia="方正仿宋_GBK" w:cs="Times New Roman"/>
          <w:spacing w:val="-2"/>
          <w:sz w:val="32"/>
          <w:szCs w:val="32"/>
        </w:rPr>
        <w:t>1-2.部门整体支出绩效自评表</w:t>
      </w:r>
    </w:p>
    <w:p>
      <w:pPr>
        <w:spacing w:line="560" w:lineRule="exact"/>
      </w:pPr>
    </w:p>
    <w:p>
      <w:pPr>
        <w:widowControl/>
        <w:shd w:val="clear" w:color="auto" w:fill="FFFFFF"/>
        <w:spacing w:line="560" w:lineRule="exact"/>
        <w:ind w:firstLine="5214" w:firstLineChars="1650"/>
        <w:rPr>
          <w:rFonts w:ascii="Times New Roman" w:hAnsi="Times New Roman" w:eastAsia="方正仿宋_GBK" w:cs="Times New Roman"/>
          <w:spacing w:val="-2"/>
          <w:sz w:val="32"/>
          <w:szCs w:val="32"/>
        </w:rPr>
      </w:pPr>
      <w:r>
        <w:rPr>
          <w:rFonts w:ascii="Times New Roman" w:hAnsi="Times New Roman" w:eastAsia="方正仿宋_GBK" w:cs="Times New Roman"/>
          <w:spacing w:val="-2"/>
          <w:sz w:val="32"/>
          <w:szCs w:val="32"/>
        </w:rPr>
        <w:t>怀化市民政局</w:t>
      </w:r>
    </w:p>
    <w:p>
      <w:pPr>
        <w:widowControl/>
        <w:shd w:val="clear" w:color="auto" w:fill="FFFFFF"/>
        <w:spacing w:line="560" w:lineRule="exact"/>
        <w:ind w:firstLine="4898" w:firstLineChars="1550"/>
        <w:rPr>
          <w:rFonts w:hint="eastAsia" w:ascii="Times New Roman" w:hAnsi="Times New Roman" w:eastAsia="方正仿宋_GBK" w:cs="Times New Roman"/>
          <w:spacing w:val="-2"/>
          <w:sz w:val="32"/>
          <w:szCs w:val="32"/>
        </w:rPr>
      </w:pPr>
      <w:r>
        <w:rPr>
          <w:rFonts w:ascii="Times New Roman" w:hAnsi="Times New Roman" w:eastAsia="方正仿宋_GBK" w:cs="Times New Roman"/>
          <w:spacing w:val="-2"/>
          <w:sz w:val="32"/>
          <w:szCs w:val="32"/>
        </w:rPr>
        <w:t>2024年6月24日</w:t>
      </w:r>
    </w:p>
    <w:p>
      <w:pPr>
        <w:pStyle w:val="11"/>
        <w:widowControl/>
        <w:shd w:val="clear" w:color="auto" w:fill="FFFFFF"/>
        <w:spacing w:beforeAutospacing="0" w:afterAutospacing="0" w:line="240" w:lineRule="atLeast"/>
        <w:jc w:val="both"/>
        <w:rPr>
          <w:rFonts w:ascii="方正小标宋_GBK" w:hAnsi="方正小标宋_GBK" w:eastAsia="方正小标宋_GBK" w:cs="方正小标宋_GBK"/>
          <w:color w:val="000000"/>
          <w:shd w:val="clear" w:color="auto" w:fill="FFFFFF"/>
        </w:rPr>
      </w:pPr>
      <w:r>
        <w:rPr>
          <w:rFonts w:hint="eastAsia" w:ascii="方正小标宋_GBK" w:hAnsi="方正小标宋_GBK" w:eastAsia="方正小标宋_GBK" w:cs="方正小标宋_GBK"/>
          <w:color w:val="000000"/>
          <w:shd w:val="clear" w:color="auto" w:fill="FFFFFF"/>
        </w:rPr>
        <w:t xml:space="preserve">附件1-1 </w:t>
      </w:r>
    </w:p>
    <w:p>
      <w:pPr>
        <w:widowControl/>
        <w:tabs>
          <w:tab w:val="left" w:pos="3611"/>
          <w:tab w:val="left" w:pos="4791"/>
          <w:tab w:val="left" w:pos="5951"/>
          <w:tab w:val="left" w:pos="7071"/>
          <w:tab w:val="left" w:pos="8191"/>
          <w:tab w:val="left" w:pos="9311"/>
        </w:tabs>
        <w:spacing w:line="240" w:lineRule="atLeast"/>
        <w:ind w:left="91"/>
        <w:jc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部门整体支出绩效评价基础数据表</w:t>
      </w:r>
    </w:p>
    <w:p>
      <w:pPr>
        <w:widowControl/>
        <w:tabs>
          <w:tab w:val="left" w:pos="3611"/>
          <w:tab w:val="left" w:pos="4791"/>
          <w:tab w:val="left" w:pos="5951"/>
          <w:tab w:val="left" w:pos="7071"/>
          <w:tab w:val="left" w:pos="8191"/>
          <w:tab w:val="left" w:pos="9311"/>
        </w:tabs>
        <w:spacing w:line="240" w:lineRule="atLeast"/>
        <w:ind w:left="91"/>
        <w:jc w:val="left"/>
        <w:rPr>
          <w:rFonts w:eastAsia="仿宋_GB2312"/>
          <w:kern w:val="0"/>
          <w:sz w:val="24"/>
        </w:rPr>
      </w:pPr>
      <w:r>
        <w:rPr>
          <w:rFonts w:hint="eastAsia" w:eastAsia="仿宋_GB2312"/>
          <w:kern w:val="0"/>
          <w:sz w:val="24"/>
        </w:rPr>
        <w:t>填报单位:</w:t>
      </w:r>
      <w:r>
        <w:rPr>
          <w:rFonts w:hint="eastAsia" w:ascii="仿宋" w:hAnsi="仿宋" w:eastAsia="仿宋" w:cs="仿宋"/>
          <w:kern w:val="0"/>
          <w:sz w:val="24"/>
        </w:rPr>
        <w:t xml:space="preserve">怀化市民政局  </w:t>
      </w:r>
    </w:p>
    <w:tbl>
      <w:tblPr>
        <w:tblStyle w:val="12"/>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财政供养人员情况</w:t>
            </w:r>
          </w:p>
        </w:tc>
        <w:tc>
          <w:tcPr>
            <w:tcW w:w="2038" w:type="dxa"/>
            <w:gridSpan w:val="2"/>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编制数</w:t>
            </w:r>
          </w:p>
        </w:tc>
        <w:tc>
          <w:tcPr>
            <w:tcW w:w="2240" w:type="dxa"/>
            <w:gridSpan w:val="2"/>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2023年实际在职人数</w:t>
            </w:r>
          </w:p>
        </w:tc>
        <w:tc>
          <w:tcPr>
            <w:tcW w:w="1832" w:type="dxa"/>
            <w:gridSpan w:val="2"/>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ign w:val="center"/>
          </w:tcPr>
          <w:p>
            <w:pPr>
              <w:widowControl/>
              <w:spacing w:line="240" w:lineRule="atLeast"/>
              <w:jc w:val="left"/>
              <w:rPr>
                <w:rFonts w:ascii="仿宋" w:hAnsi="仿宋" w:eastAsia="仿宋" w:cs="仿宋"/>
                <w:kern w:val="0"/>
                <w:sz w:val="20"/>
                <w:szCs w:val="20"/>
              </w:rPr>
            </w:pPr>
          </w:p>
        </w:tc>
        <w:tc>
          <w:tcPr>
            <w:tcW w:w="2038" w:type="dxa"/>
            <w:gridSpan w:val="2"/>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134</w:t>
            </w:r>
          </w:p>
        </w:tc>
        <w:tc>
          <w:tcPr>
            <w:tcW w:w="2240" w:type="dxa"/>
            <w:gridSpan w:val="2"/>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119</w:t>
            </w:r>
          </w:p>
        </w:tc>
        <w:tc>
          <w:tcPr>
            <w:tcW w:w="1832" w:type="dxa"/>
            <w:gridSpan w:val="2"/>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88.81%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经费控制情况</w:t>
            </w:r>
          </w:p>
        </w:tc>
        <w:tc>
          <w:tcPr>
            <w:tcW w:w="2038" w:type="dxa"/>
            <w:gridSpan w:val="2"/>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2022年决算数</w:t>
            </w:r>
          </w:p>
        </w:tc>
        <w:tc>
          <w:tcPr>
            <w:tcW w:w="2240" w:type="dxa"/>
            <w:gridSpan w:val="2"/>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2023年预算数</w:t>
            </w:r>
          </w:p>
        </w:tc>
        <w:tc>
          <w:tcPr>
            <w:tcW w:w="1832" w:type="dxa"/>
            <w:gridSpan w:val="2"/>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2023年决算数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三公经费</w:t>
            </w:r>
          </w:p>
        </w:tc>
        <w:tc>
          <w:tcPr>
            <w:tcW w:w="2038" w:type="dxa"/>
            <w:gridSpan w:val="2"/>
            <w:noWrap/>
            <w:vAlign w:val="center"/>
          </w:tcPr>
          <w:p>
            <w:pPr>
              <w:widowControl/>
              <w:spacing w:line="240" w:lineRule="atLeast"/>
              <w:jc w:val="right"/>
              <w:textAlignment w:val="center"/>
              <w:rPr>
                <w:rFonts w:ascii="Times New Roman" w:hAnsi="Times New Roman" w:eastAsia="宋体" w:cs="Times New Roman"/>
                <w:color w:val="000000"/>
                <w:kern w:val="0"/>
                <w:sz w:val="20"/>
                <w:szCs w:val="20"/>
              </w:rPr>
            </w:pPr>
            <w:r>
              <w:rPr>
                <w:rFonts w:ascii="Times New Roman" w:hAnsi="Times New Roman" w:cs="Times New Roman"/>
                <w:color w:val="000000"/>
                <w:kern w:val="0"/>
                <w:sz w:val="20"/>
                <w:szCs w:val="20"/>
              </w:rPr>
              <w:t>21.69</w:t>
            </w:r>
            <w:r>
              <w:rPr>
                <w:rFonts w:ascii="Times New Roman" w:hAnsi="Times New Roman" w:eastAsia="宋体" w:cs="Times New Roman"/>
                <w:color w:val="000000"/>
                <w:kern w:val="0"/>
                <w:sz w:val="20"/>
                <w:szCs w:val="20"/>
              </w:rPr>
              <w:t>　</w:t>
            </w:r>
          </w:p>
        </w:tc>
        <w:tc>
          <w:tcPr>
            <w:tcW w:w="2240"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44.64　</w:t>
            </w:r>
          </w:p>
        </w:tc>
        <w:tc>
          <w:tcPr>
            <w:tcW w:w="1832" w:type="dxa"/>
            <w:gridSpan w:val="2"/>
            <w:noWrap/>
            <w:vAlign w:val="center"/>
          </w:tcPr>
          <w:p>
            <w:pPr>
              <w:widowControl/>
              <w:spacing w:line="240" w:lineRule="atLeast"/>
              <w:jc w:val="right"/>
              <w:textAlignment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31.85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 xml:space="preserve">   1、公务用车购置和维护经费</w:t>
            </w:r>
          </w:p>
        </w:tc>
        <w:tc>
          <w:tcPr>
            <w:tcW w:w="2038" w:type="dxa"/>
            <w:gridSpan w:val="2"/>
            <w:noWrap/>
            <w:vAlign w:val="center"/>
          </w:tcPr>
          <w:p>
            <w:pPr>
              <w:widowControl/>
              <w:spacing w:line="240" w:lineRule="atLeast"/>
              <w:jc w:val="right"/>
              <w:textAlignment w:val="center"/>
              <w:rPr>
                <w:rFonts w:ascii="Times New Roman" w:hAnsi="Times New Roman" w:eastAsia="宋体" w:cs="Times New Roman"/>
                <w:color w:val="000000"/>
                <w:kern w:val="0"/>
                <w:sz w:val="20"/>
                <w:szCs w:val="20"/>
              </w:rPr>
            </w:pPr>
            <w:r>
              <w:rPr>
                <w:rFonts w:ascii="Times New Roman" w:hAnsi="Times New Roman" w:cs="Times New Roman"/>
                <w:color w:val="000000"/>
                <w:kern w:val="0"/>
                <w:sz w:val="20"/>
                <w:szCs w:val="20"/>
              </w:rPr>
              <w:t>19.01</w:t>
            </w:r>
            <w:r>
              <w:rPr>
                <w:rFonts w:ascii="Times New Roman" w:hAnsi="Times New Roman" w:eastAsia="宋体" w:cs="Times New Roman"/>
                <w:color w:val="000000"/>
                <w:kern w:val="0"/>
                <w:sz w:val="20"/>
                <w:szCs w:val="20"/>
              </w:rPr>
              <w:t>　</w:t>
            </w:r>
          </w:p>
        </w:tc>
        <w:tc>
          <w:tcPr>
            <w:tcW w:w="2240"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　32.86　</w:t>
            </w:r>
          </w:p>
        </w:tc>
        <w:tc>
          <w:tcPr>
            <w:tcW w:w="1832" w:type="dxa"/>
            <w:gridSpan w:val="2"/>
            <w:noWrap/>
            <w:vAlign w:val="center"/>
          </w:tcPr>
          <w:p>
            <w:pPr>
              <w:widowControl/>
              <w:spacing w:line="240" w:lineRule="atLeast"/>
              <w:jc w:val="right"/>
              <w:textAlignment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26.22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 xml:space="preserve">       其中：公车购置</w:t>
            </w:r>
          </w:p>
        </w:tc>
        <w:tc>
          <w:tcPr>
            <w:tcW w:w="2038" w:type="dxa"/>
            <w:gridSpan w:val="2"/>
            <w:noWrap/>
            <w:vAlign w:val="center"/>
          </w:tcPr>
          <w:p>
            <w:pPr>
              <w:widowControl/>
              <w:spacing w:line="240" w:lineRule="atLeast"/>
              <w:jc w:val="right"/>
              <w:textAlignment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　</w:t>
            </w:r>
          </w:p>
        </w:tc>
        <w:tc>
          <w:tcPr>
            <w:tcW w:w="2240"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1832" w:type="dxa"/>
            <w:gridSpan w:val="2"/>
            <w:noWrap/>
            <w:vAlign w:val="center"/>
          </w:tcPr>
          <w:p>
            <w:pPr>
              <w:widowControl/>
              <w:spacing w:line="240" w:lineRule="atLeast"/>
              <w:jc w:val="right"/>
              <w:textAlignment w:val="center"/>
              <w:rPr>
                <w:rFonts w:ascii="Times New Roman" w:hAnsi="Times New Roman" w:eastAsia="宋体" w:cs="Times New Roman"/>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 xml:space="preserve">             公车运行维护</w:t>
            </w:r>
          </w:p>
        </w:tc>
        <w:tc>
          <w:tcPr>
            <w:tcW w:w="2038" w:type="dxa"/>
            <w:gridSpan w:val="2"/>
            <w:noWrap/>
            <w:vAlign w:val="center"/>
          </w:tcPr>
          <w:p>
            <w:pPr>
              <w:widowControl/>
              <w:spacing w:line="240" w:lineRule="atLeast"/>
              <w:jc w:val="right"/>
              <w:textAlignment w:val="center"/>
              <w:rPr>
                <w:rFonts w:ascii="Times New Roman" w:hAnsi="Times New Roman" w:eastAsia="宋体" w:cs="Times New Roman"/>
                <w:color w:val="000000"/>
                <w:kern w:val="0"/>
                <w:sz w:val="20"/>
                <w:szCs w:val="20"/>
              </w:rPr>
            </w:pPr>
            <w:r>
              <w:rPr>
                <w:rFonts w:ascii="Times New Roman" w:hAnsi="Times New Roman" w:cs="Times New Roman"/>
                <w:color w:val="000000"/>
                <w:kern w:val="0"/>
                <w:sz w:val="20"/>
                <w:szCs w:val="20"/>
              </w:rPr>
              <w:t>19.01</w:t>
            </w:r>
            <w:r>
              <w:rPr>
                <w:rFonts w:ascii="Times New Roman" w:hAnsi="Times New Roman" w:eastAsia="宋体" w:cs="Times New Roman"/>
                <w:color w:val="000000"/>
                <w:kern w:val="0"/>
                <w:sz w:val="20"/>
                <w:szCs w:val="20"/>
              </w:rPr>
              <w:t>　</w:t>
            </w:r>
          </w:p>
        </w:tc>
        <w:tc>
          <w:tcPr>
            <w:tcW w:w="2240"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　32.86</w:t>
            </w:r>
          </w:p>
        </w:tc>
        <w:tc>
          <w:tcPr>
            <w:tcW w:w="1832" w:type="dxa"/>
            <w:gridSpan w:val="2"/>
            <w:noWrap/>
            <w:vAlign w:val="center"/>
          </w:tcPr>
          <w:p>
            <w:pPr>
              <w:widowControl/>
              <w:spacing w:line="240" w:lineRule="atLeast"/>
              <w:jc w:val="right"/>
              <w:textAlignment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26.22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 xml:space="preserve">   2、出国经费</w:t>
            </w:r>
          </w:p>
        </w:tc>
        <w:tc>
          <w:tcPr>
            <w:tcW w:w="2038" w:type="dxa"/>
            <w:gridSpan w:val="2"/>
            <w:noWrap/>
            <w:vAlign w:val="center"/>
          </w:tcPr>
          <w:p>
            <w:pPr>
              <w:widowControl/>
              <w:spacing w:line="240" w:lineRule="atLeast"/>
              <w:jc w:val="right"/>
              <w:textAlignment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　</w:t>
            </w:r>
          </w:p>
        </w:tc>
        <w:tc>
          <w:tcPr>
            <w:tcW w:w="2240"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1832" w:type="dxa"/>
            <w:gridSpan w:val="2"/>
            <w:noWrap/>
            <w:vAlign w:val="center"/>
          </w:tcPr>
          <w:p>
            <w:pPr>
              <w:widowControl/>
              <w:spacing w:line="240" w:lineRule="atLeast"/>
              <w:jc w:val="right"/>
              <w:textAlignment w:val="center"/>
              <w:rPr>
                <w:rFonts w:ascii="Times New Roman" w:hAnsi="Times New Roman" w:eastAsia="宋体" w:cs="Times New Roman"/>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 xml:space="preserve">   3、公务接待</w:t>
            </w:r>
          </w:p>
        </w:tc>
        <w:tc>
          <w:tcPr>
            <w:tcW w:w="2038" w:type="dxa"/>
            <w:gridSpan w:val="2"/>
            <w:noWrap/>
            <w:vAlign w:val="center"/>
          </w:tcPr>
          <w:p>
            <w:pPr>
              <w:widowControl/>
              <w:spacing w:line="240" w:lineRule="atLeast"/>
              <w:jc w:val="right"/>
              <w:textAlignment w:val="center"/>
              <w:rPr>
                <w:rFonts w:ascii="Times New Roman" w:hAnsi="Times New Roman" w:eastAsia="宋体" w:cs="Times New Roman"/>
                <w:color w:val="000000"/>
                <w:kern w:val="0"/>
                <w:sz w:val="20"/>
                <w:szCs w:val="20"/>
              </w:rPr>
            </w:pPr>
            <w:r>
              <w:rPr>
                <w:rFonts w:hint="eastAsia" w:ascii="Times New Roman" w:hAnsi="Times New Roman" w:cs="Times New Roman"/>
                <w:color w:val="000000"/>
                <w:kern w:val="0"/>
                <w:sz w:val="20"/>
                <w:szCs w:val="20"/>
              </w:rPr>
              <w:t>2.68</w:t>
            </w:r>
            <w:r>
              <w:rPr>
                <w:rFonts w:ascii="Times New Roman" w:hAnsi="Times New Roman" w:eastAsia="宋体" w:cs="Times New Roman"/>
                <w:color w:val="000000"/>
                <w:kern w:val="0"/>
                <w:sz w:val="20"/>
                <w:szCs w:val="20"/>
              </w:rPr>
              <w:t>　</w:t>
            </w:r>
          </w:p>
        </w:tc>
        <w:tc>
          <w:tcPr>
            <w:tcW w:w="2240"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11.78　</w:t>
            </w:r>
          </w:p>
        </w:tc>
        <w:tc>
          <w:tcPr>
            <w:tcW w:w="1832" w:type="dxa"/>
            <w:gridSpan w:val="2"/>
            <w:noWrap/>
            <w:vAlign w:val="center"/>
          </w:tcPr>
          <w:p>
            <w:pPr>
              <w:widowControl/>
              <w:spacing w:line="240" w:lineRule="atLeast"/>
              <w:jc w:val="right"/>
              <w:textAlignment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5.63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项目支出：</w:t>
            </w:r>
          </w:p>
        </w:tc>
        <w:tc>
          <w:tcPr>
            <w:tcW w:w="2038"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2240"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1832"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 xml:space="preserve">    1、业务工作经费</w:t>
            </w:r>
          </w:p>
        </w:tc>
        <w:tc>
          <w:tcPr>
            <w:tcW w:w="2038"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2240"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290.00</w:t>
            </w:r>
          </w:p>
        </w:tc>
        <w:tc>
          <w:tcPr>
            <w:tcW w:w="1832"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 xml:space="preserve">    2、运行维护经费</w:t>
            </w:r>
          </w:p>
        </w:tc>
        <w:tc>
          <w:tcPr>
            <w:tcW w:w="2038"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2240"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1832"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3、市级专项资金</w:t>
            </w:r>
          </w:p>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（一个专项一行）</w:t>
            </w:r>
          </w:p>
        </w:tc>
        <w:tc>
          <w:tcPr>
            <w:tcW w:w="2038" w:type="dxa"/>
            <w:gridSpan w:val="2"/>
            <w:noWrap/>
            <w:vAlign w:val="center"/>
          </w:tcPr>
          <w:p>
            <w:pPr>
              <w:widowControl/>
              <w:spacing w:line="240" w:lineRule="atLeast"/>
              <w:jc w:val="right"/>
              <w:rPr>
                <w:rFonts w:ascii="仿宋" w:hAnsi="仿宋" w:eastAsia="仿宋" w:cs="仿宋"/>
                <w:kern w:val="0"/>
                <w:sz w:val="20"/>
                <w:szCs w:val="20"/>
              </w:rPr>
            </w:pPr>
          </w:p>
        </w:tc>
        <w:tc>
          <w:tcPr>
            <w:tcW w:w="2240" w:type="dxa"/>
            <w:gridSpan w:val="2"/>
            <w:noWrap/>
            <w:vAlign w:val="center"/>
          </w:tcPr>
          <w:p>
            <w:pPr>
              <w:widowControl/>
              <w:spacing w:line="240" w:lineRule="atLeast"/>
              <w:jc w:val="right"/>
              <w:rPr>
                <w:rFonts w:ascii="仿宋" w:hAnsi="仿宋" w:eastAsia="仿宋" w:cs="仿宋"/>
                <w:kern w:val="0"/>
                <w:sz w:val="20"/>
                <w:szCs w:val="20"/>
              </w:rPr>
            </w:pPr>
          </w:p>
        </w:tc>
        <w:tc>
          <w:tcPr>
            <w:tcW w:w="1832" w:type="dxa"/>
            <w:gridSpan w:val="2"/>
            <w:noWrap/>
            <w:vAlign w:val="center"/>
          </w:tcPr>
          <w:p>
            <w:pPr>
              <w:widowControl/>
              <w:spacing w:line="240" w:lineRule="atLeast"/>
              <w:jc w:val="right"/>
              <w:rPr>
                <w:rFonts w:ascii="仿宋" w:hAnsi="仿宋" w:eastAsia="仿宋" w:cs="仿宋"/>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社会工作</w:t>
            </w:r>
          </w:p>
        </w:tc>
        <w:tc>
          <w:tcPr>
            <w:tcW w:w="2038"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73.70</w:t>
            </w:r>
          </w:p>
        </w:tc>
        <w:tc>
          <w:tcPr>
            <w:tcW w:w="2240" w:type="dxa"/>
            <w:gridSpan w:val="2"/>
            <w:noWrap/>
            <w:vAlign w:val="center"/>
          </w:tcPr>
          <w:p>
            <w:pPr>
              <w:widowControl/>
              <w:spacing w:line="240" w:lineRule="atLeast"/>
              <w:jc w:val="right"/>
              <w:rPr>
                <w:rFonts w:ascii="仿宋" w:hAnsi="仿宋" w:eastAsia="仿宋" w:cs="仿宋"/>
                <w:kern w:val="0"/>
                <w:sz w:val="20"/>
                <w:szCs w:val="20"/>
              </w:rPr>
            </w:pPr>
          </w:p>
        </w:tc>
        <w:tc>
          <w:tcPr>
            <w:tcW w:w="1832"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110.72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社会组织</w:t>
            </w:r>
          </w:p>
        </w:tc>
        <w:tc>
          <w:tcPr>
            <w:tcW w:w="2038"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61.14</w:t>
            </w:r>
          </w:p>
        </w:tc>
        <w:tc>
          <w:tcPr>
            <w:tcW w:w="2240" w:type="dxa"/>
            <w:gridSpan w:val="2"/>
            <w:noWrap/>
            <w:vAlign w:val="center"/>
          </w:tcPr>
          <w:p>
            <w:pPr>
              <w:widowControl/>
              <w:spacing w:line="240" w:lineRule="atLeast"/>
              <w:jc w:val="right"/>
              <w:rPr>
                <w:rFonts w:ascii="仿宋" w:hAnsi="仿宋" w:eastAsia="仿宋" w:cs="仿宋"/>
                <w:kern w:val="0"/>
                <w:sz w:val="20"/>
                <w:szCs w:val="20"/>
              </w:rPr>
            </w:pPr>
          </w:p>
        </w:tc>
        <w:tc>
          <w:tcPr>
            <w:tcW w:w="1832"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63.33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居家养老服务及儿童福利</w:t>
            </w:r>
          </w:p>
        </w:tc>
        <w:tc>
          <w:tcPr>
            <w:tcW w:w="2038"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80.73</w:t>
            </w:r>
          </w:p>
        </w:tc>
        <w:tc>
          <w:tcPr>
            <w:tcW w:w="2240" w:type="dxa"/>
            <w:gridSpan w:val="2"/>
            <w:noWrap/>
            <w:vAlign w:val="center"/>
          </w:tcPr>
          <w:p>
            <w:pPr>
              <w:widowControl/>
              <w:spacing w:line="240" w:lineRule="atLeast"/>
              <w:jc w:val="right"/>
              <w:rPr>
                <w:rFonts w:ascii="仿宋" w:hAnsi="仿宋" w:eastAsia="仿宋" w:cs="仿宋"/>
                <w:kern w:val="0"/>
                <w:sz w:val="20"/>
                <w:szCs w:val="20"/>
              </w:rPr>
            </w:pPr>
          </w:p>
        </w:tc>
        <w:tc>
          <w:tcPr>
            <w:tcW w:w="1832"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462.42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未成年人保护</w:t>
            </w:r>
          </w:p>
        </w:tc>
        <w:tc>
          <w:tcPr>
            <w:tcW w:w="2038" w:type="dxa"/>
            <w:gridSpan w:val="2"/>
            <w:noWrap/>
            <w:vAlign w:val="center"/>
          </w:tcPr>
          <w:p>
            <w:pPr>
              <w:widowControl/>
              <w:spacing w:line="240" w:lineRule="atLeast"/>
              <w:jc w:val="right"/>
              <w:rPr>
                <w:rFonts w:ascii="仿宋" w:hAnsi="仿宋" w:eastAsia="仿宋" w:cs="仿宋"/>
                <w:kern w:val="0"/>
                <w:sz w:val="20"/>
                <w:szCs w:val="20"/>
              </w:rPr>
            </w:pPr>
          </w:p>
        </w:tc>
        <w:tc>
          <w:tcPr>
            <w:tcW w:w="2240" w:type="dxa"/>
            <w:gridSpan w:val="2"/>
            <w:noWrap/>
            <w:vAlign w:val="center"/>
          </w:tcPr>
          <w:p>
            <w:pPr>
              <w:widowControl/>
              <w:spacing w:line="240" w:lineRule="atLeast"/>
              <w:jc w:val="right"/>
              <w:rPr>
                <w:rFonts w:ascii="仿宋" w:hAnsi="仿宋" w:eastAsia="仿宋" w:cs="仿宋"/>
                <w:kern w:val="0"/>
                <w:sz w:val="20"/>
                <w:szCs w:val="20"/>
              </w:rPr>
            </w:pPr>
          </w:p>
        </w:tc>
        <w:tc>
          <w:tcPr>
            <w:tcW w:w="1832"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路门牌及路名牌管理</w:t>
            </w:r>
          </w:p>
        </w:tc>
        <w:tc>
          <w:tcPr>
            <w:tcW w:w="2038"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70.70</w:t>
            </w:r>
          </w:p>
        </w:tc>
        <w:tc>
          <w:tcPr>
            <w:tcW w:w="2240" w:type="dxa"/>
            <w:gridSpan w:val="2"/>
            <w:noWrap/>
            <w:vAlign w:val="center"/>
          </w:tcPr>
          <w:p>
            <w:pPr>
              <w:widowControl/>
              <w:spacing w:line="240" w:lineRule="atLeast"/>
              <w:jc w:val="right"/>
              <w:rPr>
                <w:rFonts w:ascii="仿宋" w:hAnsi="仿宋" w:eastAsia="仿宋" w:cs="仿宋"/>
                <w:kern w:val="0"/>
                <w:sz w:val="20"/>
                <w:szCs w:val="20"/>
              </w:rPr>
            </w:pPr>
          </w:p>
        </w:tc>
        <w:tc>
          <w:tcPr>
            <w:tcW w:w="1832"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91.51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基政社区和区划地名</w:t>
            </w:r>
          </w:p>
        </w:tc>
        <w:tc>
          <w:tcPr>
            <w:tcW w:w="2038"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12.80</w:t>
            </w:r>
          </w:p>
        </w:tc>
        <w:tc>
          <w:tcPr>
            <w:tcW w:w="2240" w:type="dxa"/>
            <w:gridSpan w:val="2"/>
            <w:noWrap/>
            <w:vAlign w:val="center"/>
          </w:tcPr>
          <w:p>
            <w:pPr>
              <w:widowControl/>
              <w:spacing w:line="240" w:lineRule="atLeast"/>
              <w:jc w:val="right"/>
              <w:rPr>
                <w:rFonts w:ascii="仿宋" w:hAnsi="仿宋" w:eastAsia="仿宋" w:cs="仿宋"/>
                <w:kern w:val="0"/>
                <w:sz w:val="20"/>
                <w:szCs w:val="20"/>
              </w:rPr>
            </w:pPr>
          </w:p>
        </w:tc>
        <w:tc>
          <w:tcPr>
            <w:tcW w:w="1832"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21.20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社会救助</w:t>
            </w:r>
          </w:p>
        </w:tc>
        <w:tc>
          <w:tcPr>
            <w:tcW w:w="2038"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5.90</w:t>
            </w:r>
          </w:p>
        </w:tc>
        <w:tc>
          <w:tcPr>
            <w:tcW w:w="2240" w:type="dxa"/>
            <w:gridSpan w:val="2"/>
            <w:noWrap/>
            <w:vAlign w:val="center"/>
          </w:tcPr>
          <w:p>
            <w:pPr>
              <w:widowControl/>
              <w:spacing w:line="240" w:lineRule="atLeast"/>
              <w:jc w:val="right"/>
              <w:rPr>
                <w:rFonts w:ascii="仿宋" w:hAnsi="仿宋" w:eastAsia="仿宋" w:cs="仿宋"/>
                <w:kern w:val="0"/>
                <w:sz w:val="20"/>
                <w:szCs w:val="20"/>
              </w:rPr>
            </w:pPr>
          </w:p>
        </w:tc>
        <w:tc>
          <w:tcPr>
            <w:tcW w:w="1832"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43.30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慈善基金</w:t>
            </w:r>
          </w:p>
        </w:tc>
        <w:tc>
          <w:tcPr>
            <w:tcW w:w="2038"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6.05</w:t>
            </w:r>
          </w:p>
        </w:tc>
        <w:tc>
          <w:tcPr>
            <w:tcW w:w="2240" w:type="dxa"/>
            <w:gridSpan w:val="2"/>
            <w:noWrap/>
            <w:vAlign w:val="center"/>
          </w:tcPr>
          <w:p>
            <w:pPr>
              <w:widowControl/>
              <w:spacing w:line="240" w:lineRule="atLeast"/>
              <w:jc w:val="right"/>
              <w:rPr>
                <w:rFonts w:ascii="仿宋" w:hAnsi="仿宋" w:eastAsia="仿宋" w:cs="仿宋"/>
                <w:kern w:val="0"/>
                <w:sz w:val="20"/>
                <w:szCs w:val="20"/>
              </w:rPr>
            </w:pPr>
          </w:p>
        </w:tc>
        <w:tc>
          <w:tcPr>
            <w:tcW w:w="1832"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一次性抚恤费</w:t>
            </w:r>
          </w:p>
        </w:tc>
        <w:tc>
          <w:tcPr>
            <w:tcW w:w="2038"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1,707.29</w:t>
            </w:r>
          </w:p>
        </w:tc>
        <w:tc>
          <w:tcPr>
            <w:tcW w:w="2240" w:type="dxa"/>
            <w:gridSpan w:val="2"/>
            <w:noWrap/>
            <w:vAlign w:val="center"/>
          </w:tcPr>
          <w:p>
            <w:pPr>
              <w:widowControl/>
              <w:spacing w:line="240" w:lineRule="atLeast"/>
              <w:jc w:val="right"/>
              <w:rPr>
                <w:rFonts w:ascii="仿宋" w:hAnsi="仿宋" w:eastAsia="仿宋" w:cs="仿宋"/>
                <w:kern w:val="0"/>
                <w:sz w:val="20"/>
                <w:szCs w:val="20"/>
              </w:rPr>
            </w:pPr>
          </w:p>
        </w:tc>
        <w:tc>
          <w:tcPr>
            <w:tcW w:w="1832"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3,154.19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第二福利院建设项目</w:t>
            </w:r>
          </w:p>
        </w:tc>
        <w:tc>
          <w:tcPr>
            <w:tcW w:w="2038"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1,311.63</w:t>
            </w:r>
          </w:p>
        </w:tc>
        <w:tc>
          <w:tcPr>
            <w:tcW w:w="2240" w:type="dxa"/>
            <w:gridSpan w:val="2"/>
            <w:noWrap/>
            <w:vAlign w:val="center"/>
          </w:tcPr>
          <w:p>
            <w:pPr>
              <w:widowControl/>
              <w:spacing w:line="240" w:lineRule="atLeast"/>
              <w:jc w:val="right"/>
              <w:rPr>
                <w:rFonts w:ascii="仿宋" w:hAnsi="仿宋" w:eastAsia="仿宋" w:cs="仿宋"/>
                <w:kern w:val="0"/>
                <w:sz w:val="20"/>
                <w:szCs w:val="20"/>
              </w:rPr>
            </w:pPr>
          </w:p>
        </w:tc>
        <w:tc>
          <w:tcPr>
            <w:tcW w:w="1832" w:type="dxa"/>
            <w:gridSpan w:val="2"/>
            <w:noWrap/>
            <w:vAlign w:val="center"/>
          </w:tcPr>
          <w:p>
            <w:pPr>
              <w:widowControl/>
              <w:spacing w:line="240" w:lineRule="atLeast"/>
              <w:jc w:val="right"/>
              <w:rPr>
                <w:rFonts w:ascii="仿宋" w:hAnsi="仿宋" w:eastAsia="仿宋" w:cs="仿宋"/>
                <w:color w:val="FF0000"/>
                <w:kern w:val="0"/>
                <w:sz w:val="20"/>
                <w:szCs w:val="20"/>
              </w:rPr>
            </w:pPr>
            <w:r>
              <w:rPr>
                <w:rFonts w:ascii="仿宋" w:hAnsi="仿宋" w:eastAsia="仿宋" w:cs="仿宋"/>
                <w:color w:val="000000" w:themeColor="text1"/>
                <w:kern w:val="0"/>
                <w:sz w:val="20"/>
                <w:szCs w:val="20"/>
                <w14:textFill>
                  <w14:solidFill>
                    <w14:schemeClr w14:val="tx1"/>
                  </w14:solidFill>
                </w14:textFill>
              </w:rPr>
              <w:t>1,9</w:t>
            </w:r>
            <w:r>
              <w:rPr>
                <w:rFonts w:hint="eastAsia" w:ascii="仿宋" w:hAnsi="仿宋" w:eastAsia="仿宋" w:cs="仿宋"/>
                <w:color w:val="000000" w:themeColor="text1"/>
                <w:kern w:val="0"/>
                <w:sz w:val="20"/>
                <w:szCs w:val="20"/>
                <w14:textFill>
                  <w14:solidFill>
                    <w14:schemeClr w14:val="tx1"/>
                  </w14:solidFill>
                </w14:textFill>
              </w:rPr>
              <w:t>76</w:t>
            </w:r>
            <w:r>
              <w:rPr>
                <w:rFonts w:ascii="仿宋" w:hAnsi="仿宋" w:eastAsia="仿宋" w:cs="仿宋"/>
                <w:color w:val="000000" w:themeColor="text1"/>
                <w:kern w:val="0"/>
                <w:sz w:val="20"/>
                <w:szCs w:val="20"/>
                <w14:textFill>
                  <w14:solidFill>
                    <w14:schemeClr w14:val="tx1"/>
                  </w14:solidFill>
                </w14:textFill>
              </w:rPr>
              <w:t>.</w:t>
            </w:r>
            <w:r>
              <w:rPr>
                <w:rFonts w:hint="eastAsia" w:ascii="仿宋" w:hAnsi="仿宋" w:eastAsia="仿宋" w:cs="仿宋"/>
                <w:color w:val="000000" w:themeColor="text1"/>
                <w:kern w:val="0"/>
                <w:sz w:val="20"/>
                <w:szCs w:val="20"/>
                <w14:textFill>
                  <w14:solidFill>
                    <w14:schemeClr w14:val="tx1"/>
                  </w14:solidFill>
                </w14:textFill>
              </w:rPr>
              <w:t>7</w:t>
            </w:r>
            <w:r>
              <w:rPr>
                <w:rFonts w:ascii="仿宋" w:hAnsi="仿宋" w:eastAsia="仿宋" w:cs="仿宋"/>
                <w:color w:val="000000" w:themeColor="text1"/>
                <w:kern w:val="0"/>
                <w:sz w:val="20"/>
                <w:szCs w:val="20"/>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4、其他事业类发展资金</w:t>
            </w:r>
          </w:p>
        </w:tc>
        <w:tc>
          <w:tcPr>
            <w:tcW w:w="2038"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2240"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1832"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w:t>
            </w:r>
          </w:p>
        </w:tc>
        <w:tc>
          <w:tcPr>
            <w:tcW w:w="2038" w:type="dxa"/>
            <w:gridSpan w:val="2"/>
            <w:noWrap/>
            <w:vAlign w:val="center"/>
          </w:tcPr>
          <w:p>
            <w:pPr>
              <w:widowControl/>
              <w:spacing w:line="240" w:lineRule="atLeast"/>
              <w:jc w:val="right"/>
              <w:rPr>
                <w:rFonts w:ascii="仿宋" w:hAnsi="仿宋" w:eastAsia="仿宋" w:cs="仿宋"/>
                <w:kern w:val="0"/>
                <w:sz w:val="20"/>
                <w:szCs w:val="20"/>
              </w:rPr>
            </w:pPr>
          </w:p>
        </w:tc>
        <w:tc>
          <w:tcPr>
            <w:tcW w:w="2240" w:type="dxa"/>
            <w:gridSpan w:val="2"/>
            <w:noWrap/>
            <w:vAlign w:val="center"/>
          </w:tcPr>
          <w:p>
            <w:pPr>
              <w:widowControl/>
              <w:spacing w:line="240" w:lineRule="atLeast"/>
              <w:jc w:val="right"/>
              <w:rPr>
                <w:rFonts w:ascii="仿宋" w:hAnsi="仿宋" w:eastAsia="仿宋" w:cs="仿宋"/>
                <w:kern w:val="0"/>
                <w:sz w:val="20"/>
                <w:szCs w:val="20"/>
              </w:rPr>
            </w:pPr>
          </w:p>
        </w:tc>
        <w:tc>
          <w:tcPr>
            <w:tcW w:w="1832" w:type="dxa"/>
            <w:gridSpan w:val="2"/>
            <w:noWrap/>
            <w:vAlign w:val="center"/>
          </w:tcPr>
          <w:p>
            <w:pPr>
              <w:widowControl/>
              <w:spacing w:line="240" w:lineRule="atLeast"/>
              <w:jc w:val="right"/>
              <w:rPr>
                <w:rFonts w:ascii="仿宋" w:hAnsi="仿宋" w:eastAsia="仿宋" w:cs="仿宋"/>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公用经费</w:t>
            </w:r>
          </w:p>
        </w:tc>
        <w:tc>
          <w:tcPr>
            <w:tcW w:w="2038"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2240"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1832"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 xml:space="preserve">    其中：办公费</w:t>
            </w:r>
          </w:p>
        </w:tc>
        <w:tc>
          <w:tcPr>
            <w:tcW w:w="2038" w:type="dxa"/>
            <w:gridSpan w:val="2"/>
            <w:noWrap/>
            <w:vAlign w:val="center"/>
          </w:tcPr>
          <w:p>
            <w:pPr>
              <w:widowControl/>
              <w:spacing w:line="240" w:lineRule="atLeast"/>
              <w:jc w:val="right"/>
              <w:rPr>
                <w:rFonts w:ascii="仿宋" w:hAnsi="仿宋" w:eastAsia="仿宋" w:cs="仿宋"/>
                <w:color w:val="FF0000"/>
                <w:kern w:val="0"/>
                <w:sz w:val="20"/>
                <w:szCs w:val="20"/>
              </w:rPr>
            </w:pPr>
            <w:r>
              <w:rPr>
                <w:rFonts w:hint="eastAsia" w:ascii="仿宋" w:hAnsi="仿宋" w:eastAsia="仿宋" w:cs="仿宋"/>
                <w:color w:val="FF0000"/>
                <w:kern w:val="0"/>
                <w:sz w:val="20"/>
                <w:szCs w:val="20"/>
              </w:rPr>
              <w:t>　</w:t>
            </w:r>
          </w:p>
        </w:tc>
        <w:tc>
          <w:tcPr>
            <w:tcW w:w="2240"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19.00　</w:t>
            </w:r>
          </w:p>
        </w:tc>
        <w:tc>
          <w:tcPr>
            <w:tcW w:w="1832"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21.61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 xml:space="preserve">          水费、电费、差旅费</w:t>
            </w:r>
          </w:p>
        </w:tc>
        <w:tc>
          <w:tcPr>
            <w:tcW w:w="2038" w:type="dxa"/>
            <w:gridSpan w:val="2"/>
            <w:noWrap/>
            <w:vAlign w:val="center"/>
          </w:tcPr>
          <w:p>
            <w:pPr>
              <w:widowControl/>
              <w:spacing w:line="240" w:lineRule="atLeast"/>
              <w:jc w:val="right"/>
              <w:rPr>
                <w:rFonts w:ascii="仿宋" w:hAnsi="仿宋" w:eastAsia="仿宋" w:cs="仿宋"/>
                <w:color w:val="FF0000"/>
                <w:kern w:val="0"/>
                <w:sz w:val="20"/>
                <w:szCs w:val="20"/>
              </w:rPr>
            </w:pPr>
            <w:r>
              <w:rPr>
                <w:rFonts w:hint="eastAsia" w:ascii="仿宋" w:hAnsi="仿宋" w:eastAsia="仿宋" w:cs="仿宋"/>
                <w:color w:val="FF0000"/>
                <w:kern w:val="0"/>
                <w:sz w:val="20"/>
                <w:szCs w:val="20"/>
              </w:rPr>
              <w:t>　</w:t>
            </w:r>
          </w:p>
        </w:tc>
        <w:tc>
          <w:tcPr>
            <w:tcW w:w="2240"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10,00　</w:t>
            </w:r>
          </w:p>
        </w:tc>
        <w:tc>
          <w:tcPr>
            <w:tcW w:w="1832"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99.99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 xml:space="preserve">          会议费、培训费</w:t>
            </w:r>
          </w:p>
        </w:tc>
        <w:tc>
          <w:tcPr>
            <w:tcW w:w="2038" w:type="dxa"/>
            <w:gridSpan w:val="2"/>
            <w:noWrap/>
            <w:vAlign w:val="center"/>
          </w:tcPr>
          <w:p>
            <w:pPr>
              <w:widowControl/>
              <w:spacing w:line="240" w:lineRule="atLeast"/>
              <w:jc w:val="right"/>
              <w:rPr>
                <w:rFonts w:ascii="仿宋" w:hAnsi="仿宋" w:eastAsia="仿宋" w:cs="仿宋"/>
                <w:color w:val="FF0000"/>
                <w:kern w:val="0"/>
                <w:sz w:val="20"/>
                <w:szCs w:val="20"/>
              </w:rPr>
            </w:pPr>
            <w:r>
              <w:rPr>
                <w:rFonts w:hint="eastAsia" w:ascii="仿宋" w:hAnsi="仿宋" w:eastAsia="仿宋" w:cs="仿宋"/>
                <w:color w:val="FF0000"/>
                <w:kern w:val="0"/>
                <w:sz w:val="20"/>
                <w:szCs w:val="20"/>
              </w:rPr>
              <w:t>　</w:t>
            </w:r>
          </w:p>
        </w:tc>
        <w:tc>
          <w:tcPr>
            <w:tcW w:w="2240"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4.00　</w:t>
            </w:r>
          </w:p>
        </w:tc>
        <w:tc>
          <w:tcPr>
            <w:tcW w:w="1832"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4.02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政府采购金额</w:t>
            </w:r>
          </w:p>
        </w:tc>
        <w:tc>
          <w:tcPr>
            <w:tcW w:w="2038" w:type="dxa"/>
            <w:gridSpan w:val="2"/>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w:t>
            </w:r>
          </w:p>
        </w:tc>
        <w:tc>
          <w:tcPr>
            <w:tcW w:w="2240"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1832"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1,305.70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 xml:space="preserve">部门基本支出预算调整 </w:t>
            </w:r>
          </w:p>
        </w:tc>
        <w:tc>
          <w:tcPr>
            <w:tcW w:w="2038" w:type="dxa"/>
            <w:gridSpan w:val="2"/>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w:t>
            </w:r>
          </w:p>
        </w:tc>
        <w:tc>
          <w:tcPr>
            <w:tcW w:w="2240"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1832" w:type="dxa"/>
            <w:gridSpan w:val="2"/>
            <w:noWrap/>
            <w:vAlign w:val="center"/>
          </w:tcPr>
          <w:p>
            <w:pPr>
              <w:widowControl/>
              <w:spacing w:line="240" w:lineRule="atLeast"/>
              <w:jc w:val="right"/>
              <w:rPr>
                <w:rFonts w:ascii="仿宋" w:hAnsi="仿宋" w:eastAsia="仿宋" w:cs="仿宋"/>
                <w:kern w:val="0"/>
                <w:sz w:val="20"/>
                <w:szCs w:val="20"/>
              </w:rPr>
            </w:pPr>
            <w:r>
              <w:rPr>
                <w:rFonts w:hint="eastAsia" w:ascii="仿宋" w:hAnsi="仿宋" w:eastAsia="仿宋" w:cs="仿宋"/>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楼堂馆所控制情况</w:t>
            </w:r>
            <w:r>
              <w:rPr>
                <w:rFonts w:hint="eastAsia" w:ascii="仿宋" w:hAnsi="仿宋" w:eastAsia="仿宋" w:cs="仿宋"/>
                <w:kern w:val="0"/>
                <w:sz w:val="20"/>
                <w:szCs w:val="20"/>
              </w:rPr>
              <w:br w:type="textWrapping"/>
            </w:r>
          </w:p>
        </w:tc>
        <w:tc>
          <w:tcPr>
            <w:tcW w:w="1189" w:type="dxa"/>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批复规模</w:t>
            </w:r>
            <w:r>
              <w:rPr>
                <w:rFonts w:hint="eastAsia" w:ascii="仿宋" w:hAnsi="仿宋" w:eastAsia="仿宋" w:cs="仿宋"/>
                <w:kern w:val="0"/>
                <w:sz w:val="20"/>
                <w:szCs w:val="20"/>
              </w:rPr>
              <w:br w:type="textWrapping"/>
            </w:r>
            <w:r>
              <w:rPr>
                <w:rFonts w:hint="eastAsia" w:ascii="仿宋" w:hAnsi="仿宋" w:eastAsia="仿宋" w:cs="仿宋"/>
                <w:kern w:val="0"/>
                <w:sz w:val="20"/>
                <w:szCs w:val="20"/>
              </w:rPr>
              <w:t>（㎡）</w:t>
            </w:r>
          </w:p>
        </w:tc>
        <w:tc>
          <w:tcPr>
            <w:tcW w:w="849" w:type="dxa"/>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实际规模（㎡）</w:t>
            </w:r>
          </w:p>
        </w:tc>
        <w:tc>
          <w:tcPr>
            <w:tcW w:w="1129" w:type="dxa"/>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规模控制率</w:t>
            </w:r>
          </w:p>
        </w:tc>
        <w:tc>
          <w:tcPr>
            <w:tcW w:w="1111" w:type="dxa"/>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预算投资（万元）</w:t>
            </w:r>
          </w:p>
        </w:tc>
        <w:tc>
          <w:tcPr>
            <w:tcW w:w="969" w:type="dxa"/>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实际投资（万元）</w:t>
            </w:r>
          </w:p>
        </w:tc>
        <w:tc>
          <w:tcPr>
            <w:tcW w:w="863" w:type="dxa"/>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投资概算控制率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ign w:val="center"/>
          </w:tcPr>
          <w:p>
            <w:pPr>
              <w:widowControl/>
              <w:spacing w:line="240" w:lineRule="atLeast"/>
              <w:jc w:val="left"/>
              <w:rPr>
                <w:rFonts w:ascii="仿宋" w:hAnsi="仿宋" w:eastAsia="仿宋" w:cs="仿宋"/>
                <w:kern w:val="0"/>
                <w:sz w:val="20"/>
                <w:szCs w:val="20"/>
              </w:rPr>
            </w:pPr>
          </w:p>
        </w:tc>
        <w:tc>
          <w:tcPr>
            <w:tcW w:w="1189" w:type="dxa"/>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　无</w:t>
            </w:r>
          </w:p>
        </w:tc>
        <w:tc>
          <w:tcPr>
            <w:tcW w:w="849"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　无</w:t>
            </w:r>
          </w:p>
        </w:tc>
        <w:tc>
          <w:tcPr>
            <w:tcW w:w="1129"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　无</w:t>
            </w:r>
          </w:p>
        </w:tc>
        <w:tc>
          <w:tcPr>
            <w:tcW w:w="1111"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　无</w:t>
            </w:r>
          </w:p>
        </w:tc>
        <w:tc>
          <w:tcPr>
            <w:tcW w:w="969"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　无</w:t>
            </w:r>
          </w:p>
        </w:tc>
        <w:tc>
          <w:tcPr>
            <w:tcW w:w="863" w:type="dxa"/>
            <w:noWrap/>
            <w:vAlign w:val="center"/>
          </w:tcPr>
          <w:p>
            <w:pPr>
              <w:widowControl/>
              <w:spacing w:line="240" w:lineRule="atLeast"/>
              <w:jc w:val="left"/>
              <w:rPr>
                <w:rFonts w:ascii="仿宋" w:hAnsi="仿宋" w:eastAsia="仿宋" w:cs="仿宋"/>
                <w:kern w:val="0"/>
                <w:sz w:val="20"/>
                <w:szCs w:val="20"/>
              </w:rPr>
            </w:pPr>
            <w:r>
              <w:rPr>
                <w:rFonts w:hint="eastAsia" w:ascii="仿宋" w:hAnsi="仿宋" w:eastAsia="仿宋" w:cs="仿宋"/>
                <w:kern w:val="0"/>
                <w:sz w:val="20"/>
                <w:szCs w:val="20"/>
              </w:rPr>
              <w:t>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厉行节约保障措施</w:t>
            </w:r>
          </w:p>
        </w:tc>
        <w:tc>
          <w:tcPr>
            <w:tcW w:w="6110" w:type="dxa"/>
            <w:gridSpan w:val="6"/>
            <w:noWrap/>
            <w:vAlign w:val="center"/>
          </w:tcPr>
          <w:p>
            <w:pPr>
              <w:widowControl/>
              <w:spacing w:line="240" w:lineRule="atLeast"/>
              <w:jc w:val="center"/>
              <w:rPr>
                <w:rFonts w:ascii="仿宋" w:hAnsi="仿宋" w:eastAsia="仿宋" w:cs="仿宋"/>
                <w:kern w:val="0"/>
                <w:sz w:val="20"/>
                <w:szCs w:val="20"/>
              </w:rPr>
            </w:pPr>
            <w:r>
              <w:rPr>
                <w:rFonts w:hint="eastAsia" w:ascii="仿宋" w:hAnsi="仿宋" w:eastAsia="仿宋" w:cs="仿宋"/>
                <w:kern w:val="0"/>
                <w:sz w:val="20"/>
                <w:szCs w:val="20"/>
              </w:rPr>
              <w:t>　</w:t>
            </w:r>
          </w:p>
        </w:tc>
      </w:tr>
    </w:tbl>
    <w:p>
      <w:pPr>
        <w:pStyle w:val="22"/>
        <w:spacing w:line="240" w:lineRule="atLeast"/>
        <w:ind w:firstLine="0" w:firstLineChars="0"/>
        <w:rPr>
          <w:rFonts w:hint="eastAsia"/>
        </w:rPr>
      </w:pPr>
      <w:r>
        <w:rPr>
          <w:rFonts w:eastAsia="仿宋_GB2312"/>
          <w:kern w:val="0"/>
          <w:sz w:val="22"/>
        </w:rPr>
        <w:t>说明：“项目支出”需要填报基本支出以外的所有项目支出情况，“公用经费”填报基本支出中的一般商品和服务支出。</w:t>
      </w:r>
    </w:p>
    <w:p>
      <w:pPr>
        <w:spacing w:line="240" w:lineRule="atLeast"/>
        <w:rPr>
          <w:rFonts w:ascii="Times New Roman" w:hAnsi="Times New Roman" w:eastAsia="仿宋_GB2312" w:cs="Times New Roman"/>
          <w:color w:val="000000"/>
          <w:kern w:val="0"/>
          <w:sz w:val="24"/>
        </w:rPr>
      </w:pPr>
    </w:p>
    <w:p>
      <w:pPr>
        <w:spacing w:line="240" w:lineRule="atLeast"/>
        <w:rPr>
          <w:rFonts w:hint="default" w:ascii="方正小标宋_GBK" w:hAnsi="方正小标宋_GBK" w:eastAsia="仿宋_GB2312" w:cs="方正小标宋_GBK"/>
          <w:color w:val="000000"/>
          <w:sz w:val="32"/>
          <w:szCs w:val="32"/>
          <w:shd w:val="clear" w:color="auto" w:fill="FFFFFF"/>
          <w:lang w:val="en-US" w:eastAsia="zh-CN"/>
        </w:rPr>
      </w:pPr>
      <w:r>
        <w:rPr>
          <w:rFonts w:ascii="Times New Roman" w:hAnsi="Times New Roman" w:eastAsia="仿宋_GB2312" w:cs="Times New Roman"/>
          <w:color w:val="000000"/>
          <w:kern w:val="0"/>
          <w:sz w:val="24"/>
        </w:rPr>
        <w:t>填表人：</w:t>
      </w:r>
      <w:r>
        <w:rPr>
          <w:rFonts w:hint="eastAsia" w:ascii="Times New Roman" w:hAnsi="Times New Roman" w:eastAsia="仿宋_GB2312" w:cs="Times New Roman"/>
          <w:color w:val="000000"/>
          <w:kern w:val="0"/>
          <w:sz w:val="24"/>
        </w:rPr>
        <w:t xml:space="preserve">姚升延          </w:t>
      </w:r>
      <w:r>
        <w:rPr>
          <w:rFonts w:ascii="Times New Roman" w:hAnsi="Times New Roman" w:eastAsia="仿宋_GB2312" w:cs="Times New Roman"/>
          <w:color w:val="000000"/>
          <w:kern w:val="0"/>
          <w:sz w:val="24"/>
        </w:rPr>
        <w:t>填报日期：</w:t>
      </w:r>
      <w:r>
        <w:rPr>
          <w:rFonts w:hint="eastAsia" w:ascii="Times New Roman" w:hAnsi="Times New Roman" w:eastAsia="仿宋_GB2312" w:cs="Times New Roman"/>
          <w:color w:val="000000"/>
          <w:kern w:val="0"/>
          <w:sz w:val="24"/>
        </w:rPr>
        <w:t xml:space="preserve">2024.6.20 </w:t>
      </w:r>
      <w:r>
        <w:rPr>
          <w:rFonts w:hint="eastAsia" w:ascii="Times New Roman" w:hAnsi="Times New Roman" w:eastAsia="仿宋_GB2312" w:cs="Times New Roman"/>
          <w:color w:val="000000"/>
          <w:kern w:val="0"/>
          <w:sz w:val="24"/>
          <w:lang w:val="en-US" w:eastAsia="zh-CN"/>
        </w:rPr>
        <w:t xml:space="preserve">  </w:t>
      </w:r>
      <w:r>
        <w:rPr>
          <w:rFonts w:hint="eastAsia" w:ascii="Times New Roman" w:hAnsi="Times New Roman" w:eastAsia="仿宋_GB2312" w:cs="Times New Roman"/>
          <w:color w:val="000000"/>
          <w:kern w:val="0"/>
          <w:sz w:val="24"/>
        </w:rPr>
        <w:t xml:space="preserve">   </w:t>
      </w:r>
      <w:r>
        <w:rPr>
          <w:rFonts w:ascii="Times New Roman" w:hAnsi="Times New Roman" w:eastAsia="仿宋_GB2312" w:cs="Times New Roman"/>
          <w:color w:val="000000"/>
          <w:kern w:val="0"/>
          <w:sz w:val="24"/>
        </w:rPr>
        <w:t>联系电话：</w:t>
      </w:r>
      <w:r>
        <w:rPr>
          <w:rFonts w:hint="eastAsia" w:ascii="Times New Roman" w:hAnsi="Times New Roman" w:eastAsia="仿宋_GB2312" w:cs="Times New Roman"/>
          <w:color w:val="000000"/>
          <w:kern w:val="0"/>
          <w:sz w:val="24"/>
          <w:lang w:val="en-US" w:eastAsia="zh-CN"/>
        </w:rPr>
        <w:t>2235336</w:t>
      </w:r>
    </w:p>
    <w:p>
      <w:pPr>
        <w:pStyle w:val="11"/>
        <w:widowControl/>
        <w:shd w:val="clear" w:color="auto" w:fill="FFFFFF"/>
        <w:spacing w:beforeAutospacing="0" w:afterAutospacing="0" w:line="240" w:lineRule="atLeast"/>
        <w:jc w:val="both"/>
        <w:rPr>
          <w:rFonts w:ascii="方正小标宋_GBK" w:hAnsi="方正小标宋_GBK" w:eastAsia="方正小标宋_GBK" w:cs="方正小标宋_GBK"/>
          <w:color w:val="000000"/>
          <w:sz w:val="32"/>
          <w:szCs w:val="32"/>
          <w:shd w:val="clear" w:color="auto" w:fill="FFFFFF"/>
        </w:rPr>
      </w:pPr>
    </w:p>
    <w:p>
      <w:pPr>
        <w:pStyle w:val="11"/>
        <w:widowControl/>
        <w:shd w:val="clear" w:color="auto" w:fill="FFFFFF"/>
        <w:spacing w:beforeAutospacing="0" w:afterAutospacing="0" w:line="240" w:lineRule="atLeast"/>
        <w:jc w:val="both"/>
        <w:rPr>
          <w:rFonts w:ascii="方正小标宋_GBK" w:hAnsi="方正小标宋_GBK" w:eastAsia="方正小标宋_GBK" w:cs="方正小标宋_GBK"/>
          <w:color w:val="000000"/>
          <w:sz w:val="32"/>
          <w:szCs w:val="32"/>
          <w:shd w:val="clear" w:color="auto" w:fill="FFFFFF"/>
        </w:rPr>
      </w:pPr>
    </w:p>
    <w:p>
      <w:pPr>
        <w:pStyle w:val="11"/>
        <w:widowControl/>
        <w:shd w:val="clear" w:color="auto" w:fill="FFFFFF"/>
        <w:spacing w:beforeAutospacing="0" w:afterAutospacing="0" w:line="520" w:lineRule="exact"/>
        <w:ind w:firstLine="640" w:firstLineChars="200"/>
        <w:jc w:val="both"/>
        <w:rPr>
          <w:rFonts w:ascii="方正小标宋_GBK" w:hAnsi="方正小标宋_GBK" w:eastAsia="方正小标宋_GBK" w:cs="方正小标宋_GBK"/>
          <w:color w:val="000000"/>
          <w:sz w:val="32"/>
          <w:szCs w:val="32"/>
          <w:shd w:val="clear" w:color="auto" w:fill="FFFFFF"/>
        </w:rPr>
      </w:pPr>
    </w:p>
    <w:p>
      <w:pPr>
        <w:pStyle w:val="11"/>
        <w:widowControl/>
        <w:shd w:val="clear" w:color="auto" w:fill="FFFFFF"/>
        <w:spacing w:beforeAutospacing="0" w:afterAutospacing="0" w:line="520" w:lineRule="exact"/>
        <w:ind w:firstLine="640" w:firstLineChars="200"/>
        <w:jc w:val="both"/>
        <w:rPr>
          <w:rFonts w:ascii="方正小标宋_GBK" w:hAnsi="方正小标宋_GBK" w:eastAsia="方正小标宋_GBK" w:cs="方正小标宋_GBK"/>
          <w:color w:val="000000"/>
          <w:sz w:val="32"/>
          <w:szCs w:val="32"/>
          <w:shd w:val="clear" w:color="auto" w:fill="FFFFFF"/>
        </w:rPr>
      </w:pPr>
    </w:p>
    <w:p>
      <w:pPr>
        <w:pStyle w:val="11"/>
        <w:widowControl/>
        <w:shd w:val="clear" w:color="auto" w:fill="FFFFFF"/>
        <w:spacing w:beforeAutospacing="0" w:afterAutospacing="0" w:line="520" w:lineRule="exact"/>
        <w:ind w:firstLine="640" w:firstLineChars="200"/>
        <w:jc w:val="both"/>
        <w:rPr>
          <w:rFonts w:ascii="方正小标宋_GBK" w:hAnsi="方正小标宋_GBK" w:eastAsia="方正小标宋_GBK" w:cs="方正小标宋_GBK"/>
          <w:color w:val="000000"/>
          <w:sz w:val="32"/>
          <w:szCs w:val="32"/>
          <w:shd w:val="clear" w:color="auto" w:fill="FFFFFF"/>
        </w:rPr>
      </w:pPr>
    </w:p>
    <w:p>
      <w:pPr>
        <w:pStyle w:val="11"/>
        <w:widowControl/>
        <w:shd w:val="clear" w:color="auto" w:fill="FFFFFF"/>
        <w:spacing w:beforeAutospacing="0" w:afterAutospacing="0" w:line="520" w:lineRule="exact"/>
        <w:ind w:firstLine="640" w:firstLineChars="200"/>
        <w:jc w:val="both"/>
        <w:rPr>
          <w:rFonts w:ascii="方正小标宋_GBK" w:hAnsi="方正小标宋_GBK" w:eastAsia="方正小标宋_GBK" w:cs="方正小标宋_GBK"/>
          <w:color w:val="000000"/>
          <w:sz w:val="32"/>
          <w:szCs w:val="32"/>
          <w:shd w:val="clear" w:color="auto" w:fill="FFFFFF"/>
        </w:rPr>
      </w:pPr>
    </w:p>
    <w:p>
      <w:pPr>
        <w:pStyle w:val="11"/>
        <w:widowControl/>
        <w:shd w:val="clear" w:color="auto" w:fill="FFFFFF"/>
        <w:spacing w:beforeAutospacing="0" w:afterAutospacing="0" w:line="520" w:lineRule="exact"/>
        <w:ind w:firstLine="640" w:firstLineChars="200"/>
        <w:jc w:val="both"/>
        <w:rPr>
          <w:rFonts w:ascii="方正小标宋_GBK" w:hAnsi="方正小标宋_GBK" w:eastAsia="方正小标宋_GBK" w:cs="方正小标宋_GBK"/>
          <w:color w:val="000000"/>
          <w:sz w:val="32"/>
          <w:szCs w:val="32"/>
          <w:shd w:val="clear" w:color="auto" w:fill="FFFFFF"/>
        </w:rPr>
      </w:pPr>
    </w:p>
    <w:p>
      <w:pPr>
        <w:pStyle w:val="11"/>
        <w:widowControl/>
        <w:shd w:val="clear" w:color="auto" w:fill="FFFFFF"/>
        <w:spacing w:beforeAutospacing="0" w:afterAutospacing="0" w:line="520" w:lineRule="exact"/>
        <w:ind w:firstLine="640" w:firstLineChars="200"/>
        <w:jc w:val="both"/>
        <w:rPr>
          <w:rFonts w:ascii="方正小标宋_GBK" w:hAnsi="方正小标宋_GBK" w:eastAsia="方正小标宋_GBK" w:cs="方正小标宋_GBK"/>
          <w:color w:val="000000"/>
          <w:sz w:val="32"/>
          <w:szCs w:val="32"/>
          <w:shd w:val="clear" w:color="auto" w:fill="FFFFFF"/>
        </w:rPr>
      </w:pPr>
    </w:p>
    <w:p>
      <w:pPr>
        <w:pStyle w:val="11"/>
        <w:widowControl/>
        <w:shd w:val="clear" w:color="auto" w:fill="FFFFFF"/>
        <w:spacing w:beforeAutospacing="0" w:afterAutospacing="0" w:line="520" w:lineRule="exact"/>
        <w:ind w:firstLine="640" w:firstLineChars="200"/>
        <w:jc w:val="both"/>
        <w:rPr>
          <w:rFonts w:ascii="方正小标宋_GBK" w:hAnsi="方正小标宋_GBK" w:eastAsia="方正小标宋_GBK" w:cs="方正小标宋_GBK"/>
          <w:color w:val="000000"/>
          <w:sz w:val="32"/>
          <w:szCs w:val="32"/>
          <w:shd w:val="clear" w:color="auto" w:fill="FFFFFF"/>
        </w:rPr>
      </w:pPr>
    </w:p>
    <w:p>
      <w:pPr>
        <w:pStyle w:val="11"/>
        <w:widowControl/>
        <w:shd w:val="clear" w:color="auto" w:fill="FFFFFF"/>
        <w:spacing w:beforeAutospacing="0" w:afterAutospacing="0" w:line="520" w:lineRule="exact"/>
        <w:ind w:firstLine="640" w:firstLineChars="200"/>
        <w:jc w:val="both"/>
        <w:rPr>
          <w:rFonts w:ascii="方正小标宋_GBK" w:hAnsi="方正小标宋_GBK" w:eastAsia="方正小标宋_GBK" w:cs="方正小标宋_GBK"/>
          <w:color w:val="000000"/>
          <w:sz w:val="32"/>
          <w:szCs w:val="32"/>
          <w:shd w:val="clear" w:color="auto" w:fill="FFFFFF"/>
        </w:rPr>
      </w:pPr>
    </w:p>
    <w:p>
      <w:pPr>
        <w:pStyle w:val="11"/>
        <w:widowControl/>
        <w:shd w:val="clear" w:color="auto" w:fill="FFFFFF"/>
        <w:spacing w:beforeAutospacing="0" w:afterAutospacing="0" w:line="520" w:lineRule="exact"/>
        <w:ind w:firstLine="640" w:firstLineChars="200"/>
        <w:jc w:val="both"/>
        <w:rPr>
          <w:rFonts w:ascii="方正小标宋_GBK" w:hAnsi="方正小标宋_GBK" w:eastAsia="方正小标宋_GBK" w:cs="方正小标宋_GBK"/>
          <w:color w:val="000000"/>
          <w:sz w:val="32"/>
          <w:szCs w:val="32"/>
          <w:shd w:val="clear" w:color="auto" w:fill="FFFFFF"/>
        </w:rPr>
      </w:pPr>
    </w:p>
    <w:p>
      <w:pPr>
        <w:pStyle w:val="11"/>
        <w:widowControl/>
        <w:shd w:val="clear" w:color="auto" w:fill="FFFFFF"/>
        <w:spacing w:beforeAutospacing="0" w:afterAutospacing="0" w:line="520" w:lineRule="exact"/>
        <w:ind w:firstLine="640" w:firstLineChars="200"/>
        <w:jc w:val="both"/>
        <w:rPr>
          <w:rFonts w:ascii="方正小标宋_GBK" w:hAnsi="方正小标宋_GBK" w:eastAsia="方正小标宋_GBK" w:cs="方正小标宋_GBK"/>
          <w:color w:val="000000"/>
          <w:sz w:val="32"/>
          <w:szCs w:val="32"/>
          <w:shd w:val="clear" w:color="auto" w:fill="FFFFFF"/>
        </w:rPr>
      </w:pPr>
    </w:p>
    <w:p>
      <w:pPr>
        <w:pStyle w:val="11"/>
        <w:widowControl/>
        <w:shd w:val="clear" w:color="auto" w:fill="FFFFFF"/>
        <w:spacing w:beforeAutospacing="0" w:afterAutospacing="0" w:line="520" w:lineRule="exact"/>
        <w:ind w:firstLine="640" w:firstLineChars="200"/>
        <w:jc w:val="both"/>
        <w:rPr>
          <w:rFonts w:ascii="方正小标宋_GBK" w:hAnsi="方正小标宋_GBK" w:eastAsia="方正小标宋_GBK" w:cs="方正小标宋_GBK"/>
          <w:color w:val="000000"/>
          <w:sz w:val="32"/>
          <w:szCs w:val="32"/>
          <w:shd w:val="clear" w:color="auto" w:fill="FFFFFF"/>
        </w:rPr>
      </w:pPr>
    </w:p>
    <w:p>
      <w:pPr>
        <w:pStyle w:val="11"/>
        <w:widowControl/>
        <w:shd w:val="clear" w:color="auto" w:fill="FFFFFF"/>
        <w:spacing w:beforeAutospacing="0" w:afterAutospacing="0" w:line="240" w:lineRule="atLeast"/>
        <w:jc w:val="both"/>
        <w:rPr>
          <w:rFonts w:ascii="方正小标宋_GBK" w:hAnsi="方正小标宋_GBK" w:eastAsia="方正小标宋_GBK" w:cs="方正小标宋_GBK"/>
          <w:color w:val="000000"/>
          <w:sz w:val="32"/>
          <w:szCs w:val="32"/>
          <w:shd w:val="clear" w:color="auto" w:fill="FFFFFF"/>
        </w:rPr>
      </w:pPr>
      <w:r>
        <w:rPr>
          <w:rFonts w:ascii="方正小标宋_GBK" w:hAnsi="方正小标宋_GBK" w:eastAsia="方正小标宋_GBK" w:cs="方正小标宋_GBK"/>
          <w:color w:val="000000"/>
          <w:sz w:val="32"/>
          <w:szCs w:val="32"/>
          <w:shd w:val="clear" w:color="auto" w:fill="FFFFFF"/>
        </w:rPr>
        <w:t>附件1-2</w:t>
      </w:r>
    </w:p>
    <w:p>
      <w:pPr>
        <w:widowControl/>
        <w:tabs>
          <w:tab w:val="left" w:pos="3611"/>
          <w:tab w:val="left" w:pos="4791"/>
          <w:tab w:val="left" w:pos="5951"/>
          <w:tab w:val="left" w:pos="7071"/>
          <w:tab w:val="left" w:pos="8191"/>
          <w:tab w:val="left" w:pos="9311"/>
        </w:tabs>
        <w:spacing w:line="240" w:lineRule="atLeast"/>
        <w:ind w:left="91"/>
        <w:jc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整体支出绩效自评表</w:t>
      </w:r>
    </w:p>
    <w:tbl>
      <w:tblPr>
        <w:tblStyle w:val="12"/>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1119"/>
        <w:gridCol w:w="955"/>
        <w:gridCol w:w="1090"/>
        <w:gridCol w:w="110"/>
        <w:gridCol w:w="1140"/>
        <w:gridCol w:w="1118"/>
        <w:gridCol w:w="689"/>
        <w:gridCol w:w="816"/>
        <w:gridCol w:w="1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12"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预算单位名称</w:t>
            </w:r>
          </w:p>
        </w:tc>
        <w:tc>
          <w:tcPr>
            <w:tcW w:w="8150" w:type="dxa"/>
            <w:gridSpan w:val="9"/>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怀化市民政局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12" w:type="dxa"/>
            <w:vMerge w:val="restart"/>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074" w:type="dxa"/>
            <w:gridSpan w:val="2"/>
            <w:noWrap/>
            <w:vAlign w:val="center"/>
          </w:tcPr>
          <w:p>
            <w:pPr>
              <w:widowControl/>
              <w:spacing w:line="240" w:lineRule="atLeast"/>
              <w:jc w:val="center"/>
              <w:rPr>
                <w:rFonts w:ascii="仿宋" w:hAnsi="仿宋" w:eastAsia="仿宋" w:cs="仿宋"/>
                <w:sz w:val="20"/>
                <w:szCs w:val="20"/>
              </w:rPr>
            </w:pPr>
          </w:p>
        </w:tc>
        <w:tc>
          <w:tcPr>
            <w:tcW w:w="1090" w:type="dxa"/>
            <w:noWrap/>
            <w:vAlign w:val="center"/>
          </w:tcPr>
          <w:p>
            <w:pPr>
              <w:widowControl/>
              <w:spacing w:line="240" w:lineRule="atLeast"/>
              <w:jc w:val="center"/>
              <w:rPr>
                <w:rFonts w:ascii="仿宋" w:hAnsi="仿宋" w:eastAsia="仿宋" w:cs="仿宋"/>
                <w:sz w:val="20"/>
                <w:szCs w:val="20"/>
              </w:rPr>
            </w:pPr>
            <w:r>
              <w:rPr>
                <w:rFonts w:hint="eastAsia" w:ascii="仿宋" w:hAnsi="仿宋" w:eastAsia="仿宋" w:cs="仿宋"/>
                <w:sz w:val="20"/>
                <w:szCs w:val="20"/>
              </w:rPr>
              <w:t>年初</w:t>
            </w:r>
          </w:p>
          <w:p>
            <w:pPr>
              <w:widowControl/>
              <w:spacing w:line="240" w:lineRule="atLeast"/>
              <w:jc w:val="center"/>
              <w:rPr>
                <w:rFonts w:ascii="仿宋" w:hAnsi="仿宋" w:eastAsia="仿宋" w:cs="仿宋"/>
                <w:sz w:val="20"/>
                <w:szCs w:val="20"/>
              </w:rPr>
            </w:pPr>
            <w:r>
              <w:rPr>
                <w:rFonts w:hint="eastAsia" w:ascii="仿宋" w:hAnsi="仿宋" w:eastAsia="仿宋" w:cs="仿宋"/>
                <w:sz w:val="20"/>
                <w:szCs w:val="20"/>
              </w:rPr>
              <w:t>预算数</w:t>
            </w:r>
          </w:p>
        </w:tc>
        <w:tc>
          <w:tcPr>
            <w:tcW w:w="1250" w:type="dxa"/>
            <w:gridSpan w:val="2"/>
            <w:noWrap/>
            <w:vAlign w:val="center"/>
          </w:tcPr>
          <w:p>
            <w:pPr>
              <w:widowControl/>
              <w:spacing w:line="240" w:lineRule="atLeast"/>
              <w:jc w:val="center"/>
              <w:rPr>
                <w:rFonts w:ascii="仿宋" w:hAnsi="仿宋" w:eastAsia="仿宋" w:cs="仿宋"/>
                <w:sz w:val="20"/>
                <w:szCs w:val="20"/>
              </w:rPr>
            </w:pPr>
            <w:r>
              <w:rPr>
                <w:rFonts w:hint="eastAsia" w:ascii="仿宋" w:hAnsi="仿宋" w:eastAsia="仿宋" w:cs="仿宋"/>
                <w:sz w:val="20"/>
                <w:szCs w:val="20"/>
              </w:rPr>
              <w:t>全年预算数</w:t>
            </w:r>
          </w:p>
        </w:tc>
        <w:tc>
          <w:tcPr>
            <w:tcW w:w="1118" w:type="dxa"/>
            <w:noWrap/>
            <w:vAlign w:val="center"/>
          </w:tcPr>
          <w:p>
            <w:pPr>
              <w:widowControl/>
              <w:spacing w:line="240" w:lineRule="atLeast"/>
              <w:jc w:val="center"/>
              <w:rPr>
                <w:rFonts w:ascii="仿宋" w:hAnsi="仿宋" w:eastAsia="仿宋" w:cs="仿宋"/>
                <w:sz w:val="20"/>
                <w:szCs w:val="20"/>
              </w:rPr>
            </w:pPr>
            <w:r>
              <w:rPr>
                <w:rFonts w:hint="eastAsia" w:ascii="仿宋" w:hAnsi="仿宋" w:eastAsia="仿宋" w:cs="仿宋"/>
                <w:sz w:val="20"/>
                <w:szCs w:val="20"/>
              </w:rPr>
              <w:t>全年</w:t>
            </w:r>
          </w:p>
          <w:p>
            <w:pPr>
              <w:widowControl/>
              <w:spacing w:line="240" w:lineRule="atLeast"/>
              <w:jc w:val="center"/>
              <w:rPr>
                <w:rFonts w:ascii="仿宋" w:hAnsi="仿宋" w:eastAsia="仿宋" w:cs="仿宋"/>
                <w:sz w:val="20"/>
                <w:szCs w:val="20"/>
              </w:rPr>
            </w:pPr>
            <w:r>
              <w:rPr>
                <w:rFonts w:hint="eastAsia" w:ascii="仿宋" w:hAnsi="仿宋" w:eastAsia="仿宋" w:cs="仿宋"/>
                <w:sz w:val="20"/>
                <w:szCs w:val="20"/>
              </w:rPr>
              <w:t>执行数</w:t>
            </w:r>
          </w:p>
        </w:tc>
        <w:tc>
          <w:tcPr>
            <w:tcW w:w="689" w:type="dxa"/>
            <w:noWrap/>
            <w:vAlign w:val="center"/>
          </w:tcPr>
          <w:p>
            <w:pPr>
              <w:widowControl/>
              <w:spacing w:line="240" w:lineRule="atLeast"/>
              <w:jc w:val="center"/>
              <w:rPr>
                <w:rFonts w:ascii="仿宋" w:hAnsi="仿宋" w:eastAsia="仿宋" w:cs="仿宋"/>
                <w:sz w:val="20"/>
                <w:szCs w:val="20"/>
              </w:rPr>
            </w:pPr>
            <w:r>
              <w:rPr>
                <w:rFonts w:hint="eastAsia" w:ascii="仿宋" w:hAnsi="仿宋" w:eastAsia="仿宋" w:cs="仿宋"/>
                <w:sz w:val="20"/>
                <w:szCs w:val="20"/>
              </w:rPr>
              <w:t>分值</w:t>
            </w:r>
          </w:p>
        </w:tc>
        <w:tc>
          <w:tcPr>
            <w:tcW w:w="816" w:type="dxa"/>
            <w:noWrap/>
            <w:vAlign w:val="center"/>
          </w:tcPr>
          <w:p>
            <w:pPr>
              <w:widowControl/>
              <w:spacing w:line="240" w:lineRule="atLeast"/>
              <w:jc w:val="center"/>
              <w:rPr>
                <w:rFonts w:ascii="仿宋" w:hAnsi="仿宋" w:eastAsia="仿宋" w:cs="仿宋"/>
                <w:sz w:val="20"/>
                <w:szCs w:val="20"/>
              </w:rPr>
            </w:pPr>
            <w:r>
              <w:rPr>
                <w:rFonts w:hint="eastAsia" w:ascii="仿宋" w:hAnsi="仿宋" w:eastAsia="仿宋" w:cs="仿宋"/>
                <w:sz w:val="20"/>
                <w:szCs w:val="20"/>
              </w:rPr>
              <w:t>执行率</w:t>
            </w:r>
          </w:p>
        </w:tc>
        <w:tc>
          <w:tcPr>
            <w:tcW w:w="1113" w:type="dxa"/>
            <w:noWrap/>
            <w:vAlign w:val="center"/>
          </w:tcPr>
          <w:p>
            <w:pPr>
              <w:widowControl/>
              <w:spacing w:line="240" w:lineRule="atLeast"/>
              <w:jc w:val="center"/>
              <w:rPr>
                <w:rFonts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noWrap/>
            <w:vAlign w:val="center"/>
          </w:tcPr>
          <w:p>
            <w:pPr>
              <w:widowControl/>
              <w:spacing w:line="240" w:lineRule="atLeast"/>
              <w:jc w:val="center"/>
              <w:rPr>
                <w:rFonts w:ascii="仿宋" w:hAnsi="仿宋" w:eastAsia="仿宋" w:cs="仿宋"/>
                <w:color w:val="000000"/>
                <w:kern w:val="0"/>
                <w:sz w:val="20"/>
                <w:szCs w:val="20"/>
              </w:rPr>
            </w:pPr>
          </w:p>
        </w:tc>
        <w:tc>
          <w:tcPr>
            <w:tcW w:w="2074" w:type="dxa"/>
            <w:gridSpan w:val="2"/>
            <w:noWrap/>
            <w:vAlign w:val="center"/>
          </w:tcPr>
          <w:p>
            <w:pPr>
              <w:widowControl/>
              <w:spacing w:line="240" w:lineRule="atLeast"/>
              <w:jc w:val="center"/>
              <w:rPr>
                <w:rFonts w:ascii="仿宋" w:hAnsi="仿宋" w:eastAsia="仿宋" w:cs="仿宋"/>
                <w:sz w:val="20"/>
                <w:szCs w:val="20"/>
              </w:rPr>
            </w:pPr>
            <w:r>
              <w:rPr>
                <w:rFonts w:hint="eastAsia" w:ascii="仿宋" w:hAnsi="仿宋" w:eastAsia="仿宋" w:cs="仿宋"/>
                <w:color w:val="000000"/>
                <w:kern w:val="0"/>
                <w:sz w:val="20"/>
                <w:szCs w:val="20"/>
              </w:rPr>
              <w:t>年度资金总额</w:t>
            </w:r>
          </w:p>
        </w:tc>
        <w:tc>
          <w:tcPr>
            <w:tcW w:w="1090" w:type="dxa"/>
            <w:noWrap/>
            <w:vAlign w:val="center"/>
          </w:tcPr>
          <w:p>
            <w:pPr>
              <w:widowControl/>
              <w:spacing w:line="240" w:lineRule="atLeast"/>
              <w:jc w:val="center"/>
              <w:rPr>
                <w:rFonts w:ascii="仿宋" w:hAnsi="仿宋" w:eastAsia="仿宋" w:cs="仿宋"/>
                <w:sz w:val="20"/>
                <w:szCs w:val="20"/>
              </w:rPr>
            </w:pPr>
            <w:r>
              <w:rPr>
                <w:rFonts w:hint="eastAsia" w:ascii="仿宋" w:hAnsi="仿宋" w:eastAsia="仿宋" w:cs="仿宋"/>
                <w:sz w:val="20"/>
                <w:szCs w:val="20"/>
              </w:rPr>
              <w:t>4,243.28</w:t>
            </w:r>
          </w:p>
        </w:tc>
        <w:tc>
          <w:tcPr>
            <w:tcW w:w="1250" w:type="dxa"/>
            <w:gridSpan w:val="2"/>
            <w:noWrap/>
            <w:vAlign w:val="center"/>
          </w:tcPr>
          <w:p>
            <w:pPr>
              <w:widowControl/>
              <w:spacing w:line="240" w:lineRule="atLeast"/>
              <w:jc w:val="center"/>
              <w:rPr>
                <w:rFonts w:ascii="仿宋" w:hAnsi="仿宋" w:eastAsia="仿宋" w:cs="仿宋"/>
                <w:sz w:val="20"/>
                <w:szCs w:val="20"/>
              </w:rPr>
            </w:pPr>
            <w:r>
              <w:rPr>
                <w:rFonts w:hint="eastAsia" w:ascii="仿宋" w:hAnsi="仿宋" w:eastAsia="仿宋" w:cs="仿宋"/>
                <w:sz w:val="20"/>
                <w:szCs w:val="20"/>
              </w:rPr>
              <w:t>11,612.89</w:t>
            </w:r>
          </w:p>
        </w:tc>
        <w:tc>
          <w:tcPr>
            <w:tcW w:w="1118" w:type="dxa"/>
            <w:noWrap/>
            <w:vAlign w:val="center"/>
          </w:tcPr>
          <w:p>
            <w:pPr>
              <w:widowControl/>
              <w:spacing w:line="240" w:lineRule="atLeast"/>
              <w:jc w:val="center"/>
              <w:rPr>
                <w:rFonts w:ascii="仿宋" w:hAnsi="仿宋" w:eastAsia="仿宋" w:cs="仿宋"/>
                <w:sz w:val="20"/>
                <w:szCs w:val="20"/>
              </w:rPr>
            </w:pPr>
            <w:r>
              <w:rPr>
                <w:rFonts w:hint="eastAsia" w:ascii="仿宋" w:hAnsi="仿宋" w:eastAsia="仿宋" w:cs="仿宋"/>
                <w:sz w:val="20"/>
                <w:szCs w:val="20"/>
              </w:rPr>
              <w:t>11,584.26</w:t>
            </w:r>
          </w:p>
        </w:tc>
        <w:tc>
          <w:tcPr>
            <w:tcW w:w="689" w:type="dxa"/>
            <w:noWrap/>
            <w:vAlign w:val="center"/>
          </w:tcPr>
          <w:p>
            <w:pPr>
              <w:widowControl/>
              <w:spacing w:line="240" w:lineRule="atLeast"/>
              <w:jc w:val="center"/>
              <w:rPr>
                <w:rFonts w:ascii="仿宋" w:hAnsi="仿宋" w:eastAsia="仿宋" w:cs="仿宋"/>
                <w:sz w:val="20"/>
                <w:szCs w:val="20"/>
              </w:rPr>
            </w:pPr>
            <w:r>
              <w:rPr>
                <w:rFonts w:hint="eastAsia" w:ascii="仿宋" w:hAnsi="仿宋" w:eastAsia="仿宋" w:cs="仿宋"/>
                <w:sz w:val="20"/>
                <w:szCs w:val="20"/>
              </w:rPr>
              <w:t>10</w:t>
            </w:r>
          </w:p>
        </w:tc>
        <w:tc>
          <w:tcPr>
            <w:tcW w:w="816" w:type="dxa"/>
            <w:noWrap/>
            <w:vAlign w:val="center"/>
          </w:tcPr>
          <w:p>
            <w:pPr>
              <w:widowControl/>
              <w:spacing w:line="240" w:lineRule="atLeast"/>
              <w:jc w:val="center"/>
              <w:rPr>
                <w:rFonts w:ascii="仿宋" w:hAnsi="仿宋" w:eastAsia="仿宋" w:cs="仿宋"/>
                <w:sz w:val="20"/>
                <w:szCs w:val="20"/>
              </w:rPr>
            </w:pPr>
            <w:r>
              <w:rPr>
                <w:rFonts w:hint="eastAsia" w:ascii="仿宋" w:hAnsi="仿宋" w:eastAsia="仿宋" w:cs="仿宋"/>
                <w:sz w:val="20"/>
                <w:szCs w:val="20"/>
              </w:rPr>
              <w:t>99.75%</w:t>
            </w:r>
          </w:p>
        </w:tc>
        <w:tc>
          <w:tcPr>
            <w:tcW w:w="1113" w:type="dxa"/>
            <w:noWrap/>
            <w:vAlign w:val="center"/>
          </w:tcPr>
          <w:p>
            <w:pPr>
              <w:widowControl/>
              <w:spacing w:line="240" w:lineRule="atLeast"/>
              <w:jc w:val="center"/>
              <w:rPr>
                <w:rFonts w:ascii="仿宋" w:hAnsi="仿宋" w:eastAsia="仿宋" w:cs="仿宋"/>
                <w:sz w:val="20"/>
                <w:szCs w:val="20"/>
              </w:rPr>
            </w:pPr>
            <w:r>
              <w:rPr>
                <w:rFonts w:hint="eastAsia" w:ascii="仿宋" w:hAnsi="仿宋" w:eastAsia="仿宋" w:cs="仿宋"/>
                <w:sz w:val="20"/>
                <w:szCs w:val="20"/>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noWrap/>
            <w:vAlign w:val="center"/>
          </w:tcPr>
          <w:p>
            <w:pPr>
              <w:widowControl/>
              <w:spacing w:line="240" w:lineRule="atLeast"/>
              <w:jc w:val="left"/>
              <w:rPr>
                <w:rFonts w:ascii="仿宋" w:hAnsi="仿宋" w:eastAsia="仿宋" w:cs="仿宋"/>
                <w:color w:val="000000"/>
                <w:kern w:val="0"/>
                <w:sz w:val="20"/>
                <w:szCs w:val="20"/>
              </w:rPr>
            </w:pPr>
          </w:p>
        </w:tc>
        <w:tc>
          <w:tcPr>
            <w:tcW w:w="4414" w:type="dxa"/>
            <w:gridSpan w:val="5"/>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736" w:type="dxa"/>
            <w:gridSpan w:val="4"/>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noWrap/>
            <w:vAlign w:val="center"/>
          </w:tcPr>
          <w:p>
            <w:pPr>
              <w:widowControl/>
              <w:spacing w:line="240" w:lineRule="atLeast"/>
              <w:jc w:val="left"/>
              <w:rPr>
                <w:rFonts w:ascii="仿宋" w:hAnsi="仿宋" w:eastAsia="仿宋" w:cs="仿宋"/>
                <w:color w:val="000000"/>
                <w:kern w:val="0"/>
                <w:sz w:val="20"/>
                <w:szCs w:val="20"/>
              </w:rPr>
            </w:pPr>
          </w:p>
        </w:tc>
        <w:tc>
          <w:tcPr>
            <w:tcW w:w="4414" w:type="dxa"/>
            <w:gridSpan w:val="5"/>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一般公共预算：7,249.50</w:t>
            </w:r>
          </w:p>
        </w:tc>
        <w:tc>
          <w:tcPr>
            <w:tcW w:w="3736" w:type="dxa"/>
            <w:gridSpan w:val="4"/>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其中：基本支出：3,182.10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noWrap/>
            <w:vAlign w:val="center"/>
          </w:tcPr>
          <w:p>
            <w:pPr>
              <w:widowControl/>
              <w:spacing w:line="240" w:lineRule="atLeast"/>
              <w:jc w:val="left"/>
              <w:rPr>
                <w:rFonts w:ascii="仿宋" w:hAnsi="仿宋" w:eastAsia="仿宋" w:cs="仿宋"/>
                <w:color w:val="000000"/>
                <w:kern w:val="0"/>
                <w:sz w:val="20"/>
                <w:szCs w:val="20"/>
              </w:rPr>
            </w:pPr>
          </w:p>
        </w:tc>
        <w:tc>
          <w:tcPr>
            <w:tcW w:w="4414" w:type="dxa"/>
            <w:gridSpan w:val="5"/>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政府性基金拨款：3,099.30</w:t>
            </w:r>
          </w:p>
        </w:tc>
        <w:tc>
          <w:tcPr>
            <w:tcW w:w="3736" w:type="dxa"/>
            <w:gridSpan w:val="4"/>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项目支出：8,402.16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noWrap/>
            <w:vAlign w:val="center"/>
          </w:tcPr>
          <w:p>
            <w:pPr>
              <w:widowControl/>
              <w:spacing w:line="240" w:lineRule="atLeast"/>
              <w:jc w:val="left"/>
              <w:rPr>
                <w:rFonts w:ascii="仿宋" w:hAnsi="仿宋" w:eastAsia="仿宋" w:cs="仿宋"/>
                <w:color w:val="000000"/>
                <w:kern w:val="0"/>
                <w:sz w:val="20"/>
                <w:szCs w:val="20"/>
              </w:rPr>
            </w:pPr>
          </w:p>
        </w:tc>
        <w:tc>
          <w:tcPr>
            <w:tcW w:w="4414" w:type="dxa"/>
            <w:gridSpan w:val="5"/>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纳入专户管理的非税收入拨款：1,167.90</w:t>
            </w:r>
          </w:p>
        </w:tc>
        <w:tc>
          <w:tcPr>
            <w:tcW w:w="3736" w:type="dxa"/>
            <w:gridSpan w:val="4"/>
            <w:noWrap/>
            <w:vAlign w:val="center"/>
          </w:tcPr>
          <w:p>
            <w:pPr>
              <w:widowControl/>
              <w:spacing w:line="240" w:lineRule="atLeast"/>
              <w:jc w:val="left"/>
              <w:rPr>
                <w:rFonts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2" w:type="dxa"/>
            <w:vMerge w:val="continue"/>
            <w:noWrap/>
            <w:vAlign w:val="center"/>
          </w:tcPr>
          <w:p>
            <w:pPr>
              <w:widowControl/>
              <w:spacing w:line="240" w:lineRule="atLeast"/>
              <w:jc w:val="left"/>
              <w:rPr>
                <w:rFonts w:ascii="仿宋" w:hAnsi="仿宋" w:eastAsia="仿宋" w:cs="仿宋"/>
                <w:color w:val="000000"/>
                <w:kern w:val="0"/>
                <w:sz w:val="20"/>
                <w:szCs w:val="20"/>
              </w:rPr>
            </w:pPr>
          </w:p>
        </w:tc>
        <w:tc>
          <w:tcPr>
            <w:tcW w:w="4414" w:type="dxa"/>
            <w:gridSpan w:val="5"/>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其他资金：91.06</w:t>
            </w:r>
          </w:p>
        </w:tc>
        <w:tc>
          <w:tcPr>
            <w:tcW w:w="3736" w:type="dxa"/>
            <w:gridSpan w:val="4"/>
            <w:noWrap/>
            <w:vAlign w:val="center"/>
          </w:tcPr>
          <w:p>
            <w:pPr>
              <w:widowControl/>
              <w:spacing w:line="240" w:lineRule="atLeast"/>
              <w:jc w:val="left"/>
              <w:rPr>
                <w:rFonts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restart"/>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414" w:type="dxa"/>
            <w:gridSpan w:val="5"/>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736" w:type="dxa"/>
            <w:gridSpan w:val="4"/>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112" w:type="dxa"/>
            <w:vMerge w:val="continue"/>
            <w:noWrap/>
            <w:vAlign w:val="center"/>
          </w:tcPr>
          <w:p>
            <w:pPr>
              <w:widowControl/>
              <w:spacing w:line="240" w:lineRule="atLeast"/>
              <w:jc w:val="left"/>
              <w:rPr>
                <w:rFonts w:ascii="仿宋" w:hAnsi="仿宋" w:eastAsia="仿宋" w:cs="仿宋"/>
                <w:color w:val="000000"/>
                <w:kern w:val="0"/>
                <w:sz w:val="20"/>
                <w:szCs w:val="20"/>
              </w:rPr>
            </w:pPr>
          </w:p>
        </w:tc>
        <w:tc>
          <w:tcPr>
            <w:tcW w:w="4414" w:type="dxa"/>
            <w:gridSpan w:val="5"/>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按照“学中力行、稳中求进、严中求实”的工作思路，全面学习贯彻党的二十大精神，统筹发展与安全，坚持“底线工作严防死守、重点工作擦亮品牌”，深入开展作风建设专项行动，持续巩固“三整顿两提升”活动成果，积极投身实施“五新四城”战略主战场，全力推进新时代民政事业高质量发展</w:t>
            </w:r>
            <w:r>
              <w:rPr>
                <w:rFonts w:hint="eastAsia" w:ascii="宋体" w:hAnsi="宋体" w:eastAsia="宋体" w:cs="宋体"/>
                <w:color w:val="000000"/>
                <w:kern w:val="0"/>
                <w:sz w:val="18"/>
                <w:szCs w:val="18"/>
              </w:rPr>
              <w:t>。</w:t>
            </w:r>
            <w:r>
              <w:rPr>
                <w:rFonts w:hint="eastAsia" w:ascii="仿宋" w:hAnsi="仿宋" w:eastAsia="仿宋" w:cs="仿宋"/>
                <w:color w:val="000000"/>
                <w:kern w:val="0"/>
                <w:sz w:val="20"/>
                <w:szCs w:val="20"/>
              </w:rPr>
              <w:t>　</w:t>
            </w:r>
          </w:p>
        </w:tc>
        <w:tc>
          <w:tcPr>
            <w:tcW w:w="3736" w:type="dxa"/>
            <w:gridSpan w:val="4"/>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2023年全面学习贯彻党的二十大精神，深入开展了作风建设专项行动，持续巩固了“三整顿两提升”活动成果，稳定持续地推动了民政事业的高质量发展</w:t>
            </w:r>
            <w:r>
              <w:rPr>
                <w:rFonts w:hint="eastAsia" w:ascii="宋体" w:hAnsi="宋体" w:eastAsia="宋体" w:cs="宋体"/>
                <w:color w:val="000000"/>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12" w:type="dxa"/>
            <w:vMerge w:val="restart"/>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19"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955"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200" w:type="dxa"/>
            <w:gridSpan w:val="2"/>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40"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18"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89"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16"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13" w:type="dxa"/>
            <w:noWrap/>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noWrap/>
            <w:vAlign w:val="center"/>
          </w:tcPr>
          <w:p>
            <w:pPr>
              <w:widowControl/>
              <w:spacing w:line="240" w:lineRule="atLeast"/>
              <w:jc w:val="center"/>
              <w:rPr>
                <w:rFonts w:ascii="仿宋" w:hAnsi="仿宋" w:eastAsia="仿宋" w:cs="仿宋"/>
                <w:color w:val="000000"/>
                <w:kern w:val="0"/>
                <w:sz w:val="20"/>
                <w:szCs w:val="20"/>
              </w:rPr>
            </w:pPr>
          </w:p>
        </w:tc>
        <w:tc>
          <w:tcPr>
            <w:tcW w:w="1119" w:type="dxa"/>
            <w:vMerge w:val="restart"/>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（50分)</w:t>
            </w:r>
          </w:p>
        </w:tc>
        <w:tc>
          <w:tcPr>
            <w:tcW w:w="955"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数量</w:t>
            </w:r>
          </w:p>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200" w:type="dxa"/>
            <w:gridSpan w:val="2"/>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新增困难老年人居家适老化改造</w:t>
            </w:r>
          </w:p>
        </w:tc>
        <w:tc>
          <w:tcPr>
            <w:tcW w:w="1140"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2000户</w:t>
            </w:r>
          </w:p>
        </w:tc>
        <w:tc>
          <w:tcPr>
            <w:tcW w:w="1118"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完成2000户</w:t>
            </w:r>
          </w:p>
        </w:tc>
        <w:tc>
          <w:tcPr>
            <w:tcW w:w="689"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16"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113"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noWrap/>
            <w:vAlign w:val="center"/>
          </w:tcPr>
          <w:p>
            <w:pPr>
              <w:widowControl/>
              <w:spacing w:line="240" w:lineRule="atLeast"/>
              <w:jc w:val="center"/>
              <w:rPr>
                <w:rFonts w:ascii="仿宋" w:hAnsi="仿宋" w:eastAsia="仿宋" w:cs="仿宋"/>
                <w:color w:val="000000"/>
                <w:kern w:val="0"/>
                <w:sz w:val="20"/>
                <w:szCs w:val="20"/>
              </w:rPr>
            </w:pPr>
          </w:p>
        </w:tc>
        <w:tc>
          <w:tcPr>
            <w:tcW w:w="1119" w:type="dxa"/>
            <w:vMerge w:val="continue"/>
            <w:noWrap/>
            <w:vAlign w:val="center"/>
          </w:tcPr>
          <w:p>
            <w:pPr>
              <w:widowControl/>
              <w:spacing w:line="240" w:lineRule="atLeast"/>
              <w:jc w:val="left"/>
              <w:rPr>
                <w:rFonts w:ascii="仿宋" w:hAnsi="仿宋" w:eastAsia="仿宋" w:cs="仿宋"/>
                <w:color w:val="000000"/>
                <w:kern w:val="0"/>
                <w:sz w:val="20"/>
                <w:szCs w:val="20"/>
              </w:rPr>
            </w:pPr>
          </w:p>
        </w:tc>
        <w:tc>
          <w:tcPr>
            <w:tcW w:w="955"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质量</w:t>
            </w:r>
          </w:p>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200" w:type="dxa"/>
            <w:gridSpan w:val="2"/>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达标完成率</w:t>
            </w:r>
          </w:p>
        </w:tc>
        <w:tc>
          <w:tcPr>
            <w:tcW w:w="1140"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100%</w:t>
            </w:r>
          </w:p>
        </w:tc>
        <w:tc>
          <w:tcPr>
            <w:tcW w:w="1118"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100%</w:t>
            </w:r>
          </w:p>
        </w:tc>
        <w:tc>
          <w:tcPr>
            <w:tcW w:w="689"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16"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113"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noWrap/>
            <w:vAlign w:val="center"/>
          </w:tcPr>
          <w:p>
            <w:pPr>
              <w:widowControl/>
              <w:spacing w:line="240" w:lineRule="atLeast"/>
              <w:jc w:val="center"/>
              <w:rPr>
                <w:rFonts w:ascii="仿宋" w:hAnsi="仿宋" w:eastAsia="仿宋" w:cs="仿宋"/>
                <w:color w:val="000000"/>
                <w:kern w:val="0"/>
                <w:sz w:val="20"/>
                <w:szCs w:val="20"/>
              </w:rPr>
            </w:pPr>
          </w:p>
        </w:tc>
        <w:tc>
          <w:tcPr>
            <w:tcW w:w="1119" w:type="dxa"/>
            <w:vMerge w:val="continue"/>
            <w:noWrap/>
            <w:vAlign w:val="center"/>
          </w:tcPr>
          <w:p>
            <w:pPr>
              <w:widowControl/>
              <w:spacing w:line="240" w:lineRule="atLeast"/>
              <w:jc w:val="left"/>
              <w:rPr>
                <w:rFonts w:ascii="仿宋" w:hAnsi="仿宋" w:eastAsia="仿宋" w:cs="仿宋"/>
                <w:color w:val="000000"/>
                <w:kern w:val="0"/>
                <w:sz w:val="20"/>
                <w:szCs w:val="20"/>
              </w:rPr>
            </w:pPr>
          </w:p>
        </w:tc>
        <w:tc>
          <w:tcPr>
            <w:tcW w:w="955"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时效</w:t>
            </w:r>
          </w:p>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200" w:type="dxa"/>
            <w:gridSpan w:val="2"/>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140"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2023年12月31日前怀化市精神卫生康复中心（第二福利院）完成主体建筑建设</w:t>
            </w:r>
          </w:p>
        </w:tc>
        <w:tc>
          <w:tcPr>
            <w:tcW w:w="1118"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根据发改立项批复要求，已于2022年4月开工建设计划建设工期36个月，预计2024年底完成建设</w:t>
            </w:r>
            <w:r>
              <w:rPr>
                <w:rFonts w:hint="eastAsia" w:ascii="宋体" w:hAnsi="宋体" w:eastAsia="宋体" w:cs="宋体"/>
                <w:color w:val="000000"/>
                <w:kern w:val="0"/>
                <w:sz w:val="20"/>
                <w:szCs w:val="20"/>
              </w:rPr>
              <w:t>。</w:t>
            </w:r>
          </w:p>
        </w:tc>
        <w:tc>
          <w:tcPr>
            <w:tcW w:w="689"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16"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9</w:t>
            </w:r>
          </w:p>
        </w:tc>
        <w:tc>
          <w:tcPr>
            <w:tcW w:w="1113"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2" w:type="dxa"/>
            <w:vMerge w:val="continue"/>
            <w:noWrap/>
            <w:vAlign w:val="center"/>
          </w:tcPr>
          <w:p>
            <w:pPr>
              <w:widowControl/>
              <w:spacing w:line="240" w:lineRule="atLeast"/>
              <w:jc w:val="center"/>
              <w:rPr>
                <w:rFonts w:ascii="仿宋" w:hAnsi="仿宋" w:eastAsia="仿宋" w:cs="仿宋"/>
                <w:color w:val="000000"/>
                <w:kern w:val="0"/>
                <w:sz w:val="20"/>
                <w:szCs w:val="20"/>
              </w:rPr>
            </w:pPr>
          </w:p>
        </w:tc>
        <w:tc>
          <w:tcPr>
            <w:tcW w:w="1119" w:type="dxa"/>
            <w:vMerge w:val="continue"/>
            <w:noWrap/>
            <w:vAlign w:val="center"/>
          </w:tcPr>
          <w:p>
            <w:pPr>
              <w:widowControl/>
              <w:spacing w:line="240" w:lineRule="atLeast"/>
              <w:jc w:val="left"/>
              <w:rPr>
                <w:rFonts w:ascii="仿宋" w:hAnsi="仿宋" w:eastAsia="仿宋" w:cs="仿宋"/>
                <w:color w:val="000000"/>
                <w:kern w:val="0"/>
                <w:sz w:val="20"/>
                <w:szCs w:val="20"/>
              </w:rPr>
            </w:pPr>
          </w:p>
        </w:tc>
        <w:tc>
          <w:tcPr>
            <w:tcW w:w="955"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成本</w:t>
            </w:r>
          </w:p>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200" w:type="dxa"/>
            <w:gridSpan w:val="2"/>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成本节约率</w:t>
            </w:r>
          </w:p>
        </w:tc>
        <w:tc>
          <w:tcPr>
            <w:tcW w:w="1140"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≥0</w:t>
            </w:r>
          </w:p>
        </w:tc>
        <w:tc>
          <w:tcPr>
            <w:tcW w:w="1118"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全年支出基本在成本控制内</w:t>
            </w:r>
          </w:p>
        </w:tc>
        <w:tc>
          <w:tcPr>
            <w:tcW w:w="689"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20</w:t>
            </w:r>
          </w:p>
        </w:tc>
        <w:tc>
          <w:tcPr>
            <w:tcW w:w="816"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19</w:t>
            </w:r>
          </w:p>
        </w:tc>
        <w:tc>
          <w:tcPr>
            <w:tcW w:w="1113"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noWrap/>
            <w:vAlign w:val="center"/>
          </w:tcPr>
          <w:p>
            <w:pPr>
              <w:widowControl/>
              <w:spacing w:line="240" w:lineRule="atLeast"/>
              <w:jc w:val="center"/>
              <w:rPr>
                <w:rFonts w:ascii="仿宋" w:hAnsi="仿宋" w:eastAsia="仿宋" w:cs="仿宋"/>
                <w:color w:val="000000"/>
                <w:kern w:val="0"/>
                <w:sz w:val="20"/>
                <w:szCs w:val="20"/>
              </w:rPr>
            </w:pPr>
          </w:p>
        </w:tc>
        <w:tc>
          <w:tcPr>
            <w:tcW w:w="1119" w:type="dxa"/>
            <w:vMerge w:val="restart"/>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955"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00" w:type="dxa"/>
            <w:gridSpan w:val="2"/>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推动民政事业高质量跨越式发展</w:t>
            </w:r>
          </w:p>
        </w:tc>
        <w:tc>
          <w:tcPr>
            <w:tcW w:w="1140"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18"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资金使用效益情况明显</w:t>
            </w:r>
          </w:p>
        </w:tc>
        <w:tc>
          <w:tcPr>
            <w:tcW w:w="689"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16"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9</w:t>
            </w:r>
          </w:p>
        </w:tc>
        <w:tc>
          <w:tcPr>
            <w:tcW w:w="1113"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noWrap/>
            <w:vAlign w:val="center"/>
          </w:tcPr>
          <w:p>
            <w:pPr>
              <w:widowControl/>
              <w:spacing w:line="240" w:lineRule="atLeast"/>
              <w:jc w:val="center"/>
              <w:rPr>
                <w:rFonts w:ascii="仿宋" w:hAnsi="仿宋" w:eastAsia="仿宋" w:cs="仿宋"/>
                <w:color w:val="000000"/>
                <w:kern w:val="0"/>
                <w:sz w:val="20"/>
                <w:szCs w:val="20"/>
              </w:rPr>
            </w:pPr>
          </w:p>
        </w:tc>
        <w:tc>
          <w:tcPr>
            <w:tcW w:w="1119" w:type="dxa"/>
            <w:vMerge w:val="continue"/>
            <w:noWrap/>
            <w:vAlign w:val="center"/>
          </w:tcPr>
          <w:p>
            <w:pPr>
              <w:widowControl/>
              <w:spacing w:line="240" w:lineRule="atLeast"/>
              <w:jc w:val="left"/>
              <w:rPr>
                <w:rFonts w:ascii="仿宋" w:hAnsi="仿宋" w:eastAsia="仿宋" w:cs="仿宋"/>
                <w:color w:val="000000"/>
                <w:kern w:val="0"/>
                <w:sz w:val="20"/>
                <w:szCs w:val="20"/>
              </w:rPr>
            </w:pPr>
          </w:p>
        </w:tc>
        <w:tc>
          <w:tcPr>
            <w:tcW w:w="955"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00" w:type="dxa"/>
            <w:gridSpan w:val="2"/>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加快推进社会重点民生项目</w:t>
            </w:r>
          </w:p>
        </w:tc>
        <w:tc>
          <w:tcPr>
            <w:tcW w:w="1140"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18"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重点民生项目社会效益情况明显</w:t>
            </w:r>
          </w:p>
        </w:tc>
        <w:tc>
          <w:tcPr>
            <w:tcW w:w="689"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16"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9</w:t>
            </w:r>
          </w:p>
        </w:tc>
        <w:tc>
          <w:tcPr>
            <w:tcW w:w="1113"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noWrap/>
            <w:vAlign w:val="center"/>
          </w:tcPr>
          <w:p>
            <w:pPr>
              <w:widowControl/>
              <w:spacing w:line="240" w:lineRule="atLeast"/>
              <w:jc w:val="center"/>
              <w:rPr>
                <w:rFonts w:ascii="仿宋" w:hAnsi="仿宋" w:eastAsia="仿宋" w:cs="仿宋"/>
                <w:color w:val="000000"/>
                <w:kern w:val="0"/>
                <w:sz w:val="20"/>
                <w:szCs w:val="20"/>
              </w:rPr>
            </w:pPr>
          </w:p>
        </w:tc>
        <w:tc>
          <w:tcPr>
            <w:tcW w:w="1119" w:type="dxa"/>
            <w:vMerge w:val="continue"/>
            <w:noWrap/>
            <w:vAlign w:val="center"/>
          </w:tcPr>
          <w:p>
            <w:pPr>
              <w:widowControl/>
              <w:spacing w:line="240" w:lineRule="atLeast"/>
              <w:jc w:val="left"/>
              <w:rPr>
                <w:rFonts w:ascii="仿宋" w:hAnsi="仿宋" w:eastAsia="仿宋" w:cs="仿宋"/>
                <w:color w:val="000000"/>
                <w:kern w:val="0"/>
                <w:sz w:val="20"/>
                <w:szCs w:val="20"/>
              </w:rPr>
            </w:pPr>
          </w:p>
        </w:tc>
        <w:tc>
          <w:tcPr>
            <w:tcW w:w="955"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00" w:type="dxa"/>
            <w:gridSpan w:val="2"/>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推动生态环境优化程度</w:t>
            </w:r>
          </w:p>
        </w:tc>
        <w:tc>
          <w:tcPr>
            <w:tcW w:w="1140"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18"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整体对生态环境未带来直接或间接不利影响</w:t>
            </w:r>
          </w:p>
        </w:tc>
        <w:tc>
          <w:tcPr>
            <w:tcW w:w="689"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5</w:t>
            </w:r>
          </w:p>
        </w:tc>
        <w:tc>
          <w:tcPr>
            <w:tcW w:w="816"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5</w:t>
            </w:r>
          </w:p>
        </w:tc>
        <w:tc>
          <w:tcPr>
            <w:tcW w:w="1113"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noWrap/>
            <w:vAlign w:val="center"/>
          </w:tcPr>
          <w:p>
            <w:pPr>
              <w:widowControl/>
              <w:spacing w:line="240" w:lineRule="atLeast"/>
              <w:jc w:val="center"/>
              <w:rPr>
                <w:rFonts w:ascii="仿宋" w:hAnsi="仿宋" w:eastAsia="仿宋" w:cs="仿宋"/>
                <w:color w:val="000000"/>
                <w:kern w:val="0"/>
                <w:sz w:val="20"/>
                <w:szCs w:val="20"/>
              </w:rPr>
            </w:pPr>
          </w:p>
        </w:tc>
        <w:tc>
          <w:tcPr>
            <w:tcW w:w="1119" w:type="dxa"/>
            <w:vMerge w:val="continue"/>
            <w:noWrap/>
            <w:vAlign w:val="center"/>
          </w:tcPr>
          <w:p>
            <w:pPr>
              <w:widowControl/>
              <w:spacing w:line="240" w:lineRule="atLeast"/>
              <w:jc w:val="left"/>
              <w:rPr>
                <w:rFonts w:ascii="仿宋" w:hAnsi="仿宋" w:eastAsia="仿宋" w:cs="仿宋"/>
                <w:color w:val="000000"/>
                <w:kern w:val="0"/>
                <w:sz w:val="20"/>
                <w:szCs w:val="20"/>
              </w:rPr>
            </w:pPr>
          </w:p>
        </w:tc>
        <w:tc>
          <w:tcPr>
            <w:tcW w:w="955"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200" w:type="dxa"/>
            <w:gridSpan w:val="2"/>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推动社会可持续影响程度</w:t>
            </w:r>
          </w:p>
        </w:tc>
        <w:tc>
          <w:tcPr>
            <w:tcW w:w="1140"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18"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整体支出对可持续发展的影响显著</w:t>
            </w:r>
          </w:p>
        </w:tc>
        <w:tc>
          <w:tcPr>
            <w:tcW w:w="689"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5</w:t>
            </w:r>
          </w:p>
        </w:tc>
        <w:tc>
          <w:tcPr>
            <w:tcW w:w="816"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5</w:t>
            </w:r>
          </w:p>
        </w:tc>
        <w:tc>
          <w:tcPr>
            <w:tcW w:w="1113"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noWrap/>
            <w:vAlign w:val="center"/>
          </w:tcPr>
          <w:p>
            <w:pPr>
              <w:widowControl/>
              <w:spacing w:line="240" w:lineRule="atLeast"/>
              <w:jc w:val="left"/>
              <w:rPr>
                <w:rFonts w:ascii="仿宋" w:hAnsi="仿宋" w:eastAsia="仿宋" w:cs="仿宋"/>
                <w:color w:val="000000"/>
                <w:kern w:val="0"/>
                <w:sz w:val="20"/>
                <w:szCs w:val="20"/>
              </w:rPr>
            </w:pPr>
          </w:p>
        </w:tc>
        <w:tc>
          <w:tcPr>
            <w:tcW w:w="1119"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955"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200" w:type="dxa"/>
            <w:gridSpan w:val="2"/>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140"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≥95%</w:t>
            </w:r>
          </w:p>
        </w:tc>
        <w:tc>
          <w:tcPr>
            <w:tcW w:w="1118"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≥95%</w:t>
            </w:r>
          </w:p>
        </w:tc>
        <w:tc>
          <w:tcPr>
            <w:tcW w:w="689"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16"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113"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44" w:type="dxa"/>
            <w:gridSpan w:val="7"/>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89" w:type="dxa"/>
            <w:noWrap/>
            <w:vAlign w:val="center"/>
          </w:tcPr>
          <w:p>
            <w:pPr>
              <w:widowControl/>
              <w:spacing w:line="240" w:lineRule="atLeas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16"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95</w:t>
            </w:r>
          </w:p>
        </w:tc>
        <w:tc>
          <w:tcPr>
            <w:tcW w:w="1113" w:type="dxa"/>
            <w:noWrap/>
            <w:vAlign w:val="center"/>
          </w:tcPr>
          <w:p>
            <w:pPr>
              <w:widowControl/>
              <w:spacing w:line="240" w:lineRule="atLeas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spacing w:line="240" w:lineRule="atLeast"/>
        <w:rPr>
          <w:rFonts w:ascii="Times New Roman" w:hAnsi="Times New Roman" w:eastAsia="仿宋_GB2312" w:cs="Times New Roman"/>
          <w:color w:val="000000"/>
          <w:kern w:val="0"/>
          <w:sz w:val="24"/>
        </w:rPr>
      </w:pPr>
    </w:p>
    <w:p>
      <w:pPr>
        <w:spacing w:line="240" w:lineRule="atLeast"/>
        <w:rPr>
          <w:rFonts w:hint="default" w:ascii="Times New Roman" w:hAnsi="Times New Roman" w:eastAsia="仿宋_GB2312" w:cs="Times New Roman"/>
          <w:color w:val="000000"/>
          <w:kern w:val="0"/>
          <w:sz w:val="32"/>
          <w:szCs w:val="32"/>
          <w:lang w:val="en-US" w:eastAsia="zh-CN"/>
        </w:rPr>
      </w:pPr>
      <w:r>
        <w:rPr>
          <w:rFonts w:ascii="Times New Roman" w:hAnsi="Times New Roman" w:eastAsia="仿宋_GB2312" w:cs="Times New Roman"/>
          <w:color w:val="000000"/>
          <w:kern w:val="0"/>
          <w:sz w:val="24"/>
        </w:rPr>
        <w:t>填表人：</w:t>
      </w:r>
      <w:r>
        <w:rPr>
          <w:rFonts w:hint="eastAsia" w:ascii="Times New Roman" w:hAnsi="Times New Roman" w:eastAsia="仿宋_GB2312" w:cs="Times New Roman"/>
          <w:color w:val="000000"/>
          <w:kern w:val="0"/>
          <w:sz w:val="24"/>
        </w:rPr>
        <w:t xml:space="preserve">姚升延          </w:t>
      </w:r>
      <w:r>
        <w:rPr>
          <w:rFonts w:ascii="Times New Roman" w:hAnsi="Times New Roman" w:eastAsia="仿宋_GB2312" w:cs="Times New Roman"/>
          <w:color w:val="000000"/>
          <w:kern w:val="0"/>
          <w:sz w:val="24"/>
        </w:rPr>
        <w:t xml:space="preserve">  填报日期：</w:t>
      </w:r>
      <w:r>
        <w:rPr>
          <w:rFonts w:hint="eastAsia" w:ascii="Times New Roman" w:hAnsi="Times New Roman" w:eastAsia="仿宋_GB2312" w:cs="Times New Roman"/>
          <w:color w:val="000000"/>
          <w:kern w:val="0"/>
          <w:sz w:val="24"/>
        </w:rPr>
        <w:t xml:space="preserve">2024.6.20          </w:t>
      </w:r>
      <w:r>
        <w:rPr>
          <w:rFonts w:ascii="Times New Roman" w:hAnsi="Times New Roman" w:eastAsia="仿宋_GB2312" w:cs="Times New Roman"/>
          <w:color w:val="000000"/>
          <w:kern w:val="0"/>
          <w:sz w:val="24"/>
        </w:rPr>
        <w:t>联系电话：</w:t>
      </w:r>
      <w:r>
        <w:rPr>
          <w:rFonts w:hint="eastAsia" w:ascii="Times New Roman" w:hAnsi="Times New Roman" w:eastAsia="仿宋_GB2312" w:cs="Times New Roman"/>
          <w:color w:val="000000"/>
          <w:kern w:val="0"/>
          <w:sz w:val="24"/>
          <w:lang w:val="en-US" w:eastAsia="zh-CN"/>
        </w:rPr>
        <w:t>2235336</w:t>
      </w:r>
    </w:p>
    <w:p>
      <w:pPr>
        <w:spacing w:line="240" w:lineRule="atLeas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font>
  <w:font w:name="方正楷体_GBK">
    <w:panose1 w:val="02000000000000000000"/>
    <w:charset w:val="86"/>
    <w:family w:val="script"/>
    <w:pitch w:val="default"/>
    <w:sig w:usb0="A00002BF" w:usb1="38CF7CFA" w:usb2="00082016" w:usb3="00000000" w:csb0="00040001" w:csb1="00000000"/>
  </w:font>
  <w:font w:name="方正小标宋简体">
    <w:altName w:val="方正小标宋_GBK"/>
    <w:panose1 w:val="03000509000000000000"/>
    <w:charset w:val="86"/>
    <w:family w:val="script"/>
    <w:pitch w:val="default"/>
    <w:sig w:usb0="00000000" w:usb1="00000000" w:usb2="0000001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5B9E22"/>
    <w:multiLevelType w:val="singleLevel"/>
    <w:tmpl w:val="B75B9E22"/>
    <w:lvl w:ilvl="0" w:tentative="0">
      <w:start w:val="9"/>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D97DEFF"/>
    <w:rsid w:val="1DF77399"/>
    <w:rsid w:val="1DFF72E5"/>
    <w:rsid w:val="1EFC6F07"/>
    <w:rsid w:val="2FDF85B8"/>
    <w:rsid w:val="2FFFEE04"/>
    <w:rsid w:val="34DF85B0"/>
    <w:rsid w:val="3B8F36BC"/>
    <w:rsid w:val="3DBE28E6"/>
    <w:rsid w:val="491FF225"/>
    <w:rsid w:val="4FFD214C"/>
    <w:rsid w:val="5777D4F5"/>
    <w:rsid w:val="59DD8326"/>
    <w:rsid w:val="5DEF592A"/>
    <w:rsid w:val="5DF7563D"/>
    <w:rsid w:val="5FC6BB1E"/>
    <w:rsid w:val="5FF720F1"/>
    <w:rsid w:val="67FF5C0B"/>
    <w:rsid w:val="6EFC0924"/>
    <w:rsid w:val="6FB74722"/>
    <w:rsid w:val="6FEF8B7E"/>
    <w:rsid w:val="6FF6206B"/>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B1FFB9E2"/>
    <w:rsid w:val="BBEB4C84"/>
    <w:rsid w:val="BBFECCD7"/>
    <w:rsid w:val="C3B4DA5A"/>
    <w:rsid w:val="CBFF70E0"/>
    <w:rsid w:val="CFF50B82"/>
    <w:rsid w:val="CFFFAD89"/>
    <w:rsid w:val="DFE7FE0E"/>
    <w:rsid w:val="DFFE359E"/>
    <w:rsid w:val="DFFE4FFD"/>
    <w:rsid w:val="E7DD78D7"/>
    <w:rsid w:val="EEABED75"/>
    <w:rsid w:val="F56FDF51"/>
    <w:rsid w:val="F5AE5BA1"/>
    <w:rsid w:val="F5BA0059"/>
    <w:rsid w:val="F6B69F17"/>
    <w:rsid w:val="F75192B1"/>
    <w:rsid w:val="F77F1D61"/>
    <w:rsid w:val="F7FED3A9"/>
    <w:rsid w:val="F8C9DB26"/>
    <w:rsid w:val="F97E8EAE"/>
    <w:rsid w:val="FB36E1A6"/>
    <w:rsid w:val="FB3BE134"/>
    <w:rsid w:val="FC5FB1F2"/>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semiHidden/>
    <w:unhideWhenUsed/>
    <w:qFormat/>
    <w:uiPriority w:val="0"/>
    <w:pPr>
      <w:keepNext/>
      <w:keepLines/>
      <w:spacing w:line="560" w:lineRule="exact"/>
      <w:ind w:firstLine="200" w:firstLineChars="200"/>
      <w:outlineLvl w:val="1"/>
    </w:pPr>
    <w:rPr>
      <w:rFonts w:eastAsia="楷体_GB2312" w:asciiTheme="majorHAnsi" w:hAnsiTheme="majorHAnsi" w:cstheme="majorBidi"/>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link w:val="15"/>
    <w:unhideWhenUsed/>
    <w:qFormat/>
    <w:uiPriority w:val="99"/>
    <w:pPr>
      <w:tabs>
        <w:tab w:val="center" w:pos="4153"/>
        <w:tab w:val="right" w:pos="8306"/>
      </w:tabs>
      <w:snapToGrid w:val="0"/>
      <w:jc w:val="left"/>
    </w:pPr>
    <w:rPr>
      <w:sz w:val="18"/>
      <w:szCs w:val="18"/>
    </w:rPr>
  </w:style>
  <w:style w:type="paragraph" w:styleId="3">
    <w:name w:val="index 5"/>
    <w:basedOn w:val="1"/>
    <w:next w:val="1"/>
    <w:unhideWhenUsed/>
    <w:qFormat/>
    <w:uiPriority w:val="99"/>
    <w:pPr>
      <w:ind w:left="1680"/>
    </w:pPr>
    <w:rPr>
      <w:rFonts w:ascii="Calibri" w:hAnsi="Calibri" w:eastAsia="宋体" w:cs="Times New Roman"/>
      <w:szCs w:val="22"/>
    </w:rPr>
  </w:style>
  <w:style w:type="paragraph" w:styleId="5">
    <w:name w:val="Body Text Indent"/>
    <w:basedOn w:val="1"/>
    <w:next w:val="6"/>
    <w:unhideWhenUsed/>
    <w:qFormat/>
    <w:uiPriority w:val="99"/>
    <w:pPr>
      <w:widowControl/>
      <w:spacing w:after="120"/>
      <w:ind w:left="420" w:leftChars="200"/>
      <w:jc w:val="left"/>
    </w:pPr>
    <w:rPr>
      <w:rFonts w:ascii="宋体" w:hAnsi="宋体" w:eastAsia="宋体" w:cs="宋体"/>
      <w:kern w:val="0"/>
      <w:sz w:val="24"/>
    </w:rPr>
  </w:style>
  <w:style w:type="paragraph" w:styleId="6">
    <w:name w:val="Body Text First Indent 2"/>
    <w:basedOn w:val="5"/>
    <w:next w:val="1"/>
    <w:unhideWhenUsed/>
    <w:qFormat/>
    <w:uiPriority w:val="99"/>
    <w:pPr>
      <w:ind w:firstLine="420" w:firstLineChars="200"/>
    </w:pPr>
  </w:style>
  <w:style w:type="paragraph" w:styleId="7">
    <w:name w:val="Balloon Text"/>
    <w:basedOn w:val="1"/>
    <w:link w:val="18"/>
    <w:semiHidden/>
    <w:unhideWhenUsed/>
    <w:qFormat/>
    <w:uiPriority w:val="99"/>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6"/>
    <w:semiHidden/>
    <w:qFormat/>
    <w:uiPriority w:val="0"/>
    <w:pPr>
      <w:snapToGrid w:val="0"/>
      <w:jc w:val="left"/>
    </w:pPr>
    <w:rPr>
      <w:sz w:val="18"/>
      <w:szCs w:val="18"/>
    </w:rPr>
  </w:style>
  <w:style w:type="paragraph" w:styleId="10">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unhideWhenUsed/>
    <w:qFormat/>
    <w:uiPriority w:val="99"/>
    <w:pPr>
      <w:spacing w:before="0" w:beforeAutospacing="1" w:after="0" w:afterAutospacing="1"/>
      <w:ind w:left="0" w:right="0"/>
      <w:jc w:val="left"/>
    </w:pPr>
    <w:rPr>
      <w:kern w:val="0"/>
      <w:sz w:val="24"/>
      <w:lang w:val="en-US" w:eastAsia="zh-CN" w:bidi="ar"/>
    </w:rPr>
  </w:style>
  <w:style w:type="character" w:customStyle="1" w:styleId="14">
    <w:name w:val="页眉 Char"/>
    <w:basedOn w:val="13"/>
    <w:link w:val="8"/>
    <w:qFormat/>
    <w:uiPriority w:val="99"/>
    <w:rPr>
      <w:sz w:val="18"/>
      <w:szCs w:val="18"/>
    </w:rPr>
  </w:style>
  <w:style w:type="character" w:customStyle="1" w:styleId="15">
    <w:name w:val="页脚 Char"/>
    <w:basedOn w:val="13"/>
    <w:link w:val="2"/>
    <w:qFormat/>
    <w:uiPriority w:val="99"/>
    <w:rPr>
      <w:sz w:val="18"/>
      <w:szCs w:val="18"/>
    </w:r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7">
    <w:name w:val="List Paragraph"/>
    <w:basedOn w:val="1"/>
    <w:qFormat/>
    <w:uiPriority w:val="34"/>
    <w:pPr>
      <w:ind w:firstLine="420" w:firstLineChars="200"/>
    </w:pPr>
  </w:style>
  <w:style w:type="character" w:customStyle="1" w:styleId="18">
    <w:name w:val="批注框文本 Char"/>
    <w:basedOn w:val="13"/>
    <w:link w:val="7"/>
    <w:semiHidden/>
    <w:qFormat/>
    <w:uiPriority w:val="99"/>
    <w:rPr>
      <w:sz w:val="18"/>
      <w:szCs w:val="18"/>
    </w:rPr>
  </w:style>
  <w:style w:type="character" w:customStyle="1" w:styleId="19">
    <w:name w:val="font01"/>
    <w:basedOn w:val="13"/>
    <w:qFormat/>
    <w:uiPriority w:val="0"/>
    <w:rPr>
      <w:rFonts w:hint="eastAsia" w:ascii="宋体" w:hAnsi="宋体" w:eastAsia="宋体" w:cs="宋体"/>
      <w:color w:val="000000"/>
      <w:sz w:val="22"/>
      <w:szCs w:val="22"/>
      <w:u w:val="none"/>
    </w:rPr>
  </w:style>
  <w:style w:type="character" w:customStyle="1" w:styleId="20">
    <w:name w:val="font21"/>
    <w:basedOn w:val="13"/>
    <w:qFormat/>
    <w:uiPriority w:val="0"/>
    <w:rPr>
      <w:rFonts w:hint="eastAsia" w:ascii="宋体" w:hAnsi="宋体" w:eastAsia="宋体" w:cs="宋体"/>
      <w:color w:val="000000"/>
      <w:sz w:val="24"/>
      <w:szCs w:val="24"/>
      <w:u w:val="none"/>
    </w:rPr>
  </w:style>
  <w:style w:type="character" w:customStyle="1" w:styleId="21">
    <w:name w:val="font11"/>
    <w:basedOn w:val="13"/>
    <w:qFormat/>
    <w:uiPriority w:val="0"/>
    <w:rPr>
      <w:rFonts w:hint="eastAsia" w:ascii="宋体" w:hAnsi="宋体" w:eastAsia="宋体" w:cs="宋体"/>
      <w:color w:val="000000"/>
      <w:sz w:val="24"/>
      <w:szCs w:val="24"/>
      <w:u w:val="none"/>
    </w:rPr>
  </w:style>
  <w:style w:type="paragraph" w:customStyle="1" w:styleId="22">
    <w:name w:val="标题1"/>
    <w:basedOn w:val="4"/>
    <w:qFormat/>
    <w:uiPriority w:val="0"/>
    <w:rPr>
      <w:rFonts w:eastAsia="黑体"/>
    </w:rPr>
  </w:style>
  <w:style w:type="paragraph" w:customStyle="1" w:styleId="23">
    <w:name w:val="无间隔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6</TotalTime>
  <ScaleCrop>false</ScaleCrop>
  <LinksUpToDate>false</LinksUpToDate>
  <CharactersWithSpaces>9008</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2020-07-10T10:32:00Z</dcterms:created>
  <dc:creator>李航 null</dc:creator>
  <cp:lastModifiedBy>greatwall</cp:lastModifiedBy>
  <cp:lastPrinted>2024-08-10T18:20:00Z</cp:lastPrinted>
  <dcterms:modified xsi:type="dcterms:W3CDTF">2024-09-26T17:30:25Z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