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6"/>
        <w:jc w:val="both"/>
        <w:rPr>
          <w:rFonts w:hAnsi="黑体"/>
          <w:sz w:val="36"/>
          <w:szCs w:val="36"/>
        </w:rPr>
      </w:pPr>
      <w:r>
        <w:rPr>
          <w:rFonts w:hint="eastAsia" w:hAnsi="黑体"/>
          <w:sz w:val="36"/>
          <w:szCs w:val="36"/>
        </w:rPr>
        <w:t>附件1</w:t>
      </w:r>
    </w:p>
    <w:p>
      <w:pPr>
        <w:pStyle w:val="16"/>
        <w:jc w:val="center"/>
        <w:rPr>
          <w:rFonts w:ascii="Times New Roman" w:hAnsi="Times New Roman" w:cs="Times New Roman"/>
          <w:sz w:val="56"/>
          <w:szCs w:val="56"/>
        </w:rPr>
      </w:pPr>
    </w:p>
    <w:p>
      <w:pPr>
        <w:pStyle w:val="16"/>
        <w:jc w:val="center"/>
        <w:rPr>
          <w:rFonts w:ascii="Times New Roman" w:hAnsi="Times New Roman" w:cs="Times New Roman"/>
          <w:sz w:val="84"/>
          <w:szCs w:val="84"/>
        </w:rPr>
      </w:pPr>
    </w:p>
    <w:p>
      <w:pPr>
        <w:pStyle w:val="16"/>
        <w:jc w:val="center"/>
        <w:rPr>
          <w:rFonts w:ascii="Times New Roman" w:hAnsi="Times New Roman" w:cs="Times New Roman"/>
          <w:sz w:val="84"/>
          <w:szCs w:val="84"/>
        </w:rPr>
      </w:pPr>
    </w:p>
    <w:p>
      <w:pPr>
        <w:pStyle w:val="16"/>
        <w:jc w:val="center"/>
        <w:rPr>
          <w:rFonts w:ascii="Times New Roman" w:hAnsi="Times New Roman" w:eastAsia="方正小标宋简体" w:cs="Times New Roman"/>
          <w:sz w:val="72"/>
          <w:szCs w:val="72"/>
        </w:rPr>
      </w:pPr>
      <w:r>
        <w:rPr>
          <w:rFonts w:ascii="Times New Roman" w:hAnsi="Times New Roman" w:eastAsia="方正小标宋简体" w:cs="Times New Roman"/>
          <w:sz w:val="72"/>
          <w:szCs w:val="72"/>
        </w:rPr>
        <w:t>2024年度</w:t>
      </w:r>
    </w:p>
    <w:p>
      <w:pPr>
        <w:pStyle w:val="16"/>
        <w:jc w:val="center"/>
        <w:rPr>
          <w:rFonts w:hint="eastAsia" w:ascii="Times New Roman" w:hAnsi="Times New Roman" w:eastAsia="方正小标宋简体" w:cs="Times New Roman"/>
          <w:sz w:val="72"/>
          <w:szCs w:val="72"/>
        </w:rPr>
      </w:pPr>
      <w:r>
        <w:rPr>
          <w:rFonts w:hint="eastAsia" w:ascii="Times New Roman" w:hAnsi="Times New Roman" w:eastAsia="方正小标宋简体" w:cs="Times New Roman"/>
          <w:sz w:val="72"/>
          <w:szCs w:val="72"/>
        </w:rPr>
        <w:t>怀化市殡葬事务中心</w:t>
      </w:r>
    </w:p>
    <w:p>
      <w:pPr>
        <w:pStyle w:val="16"/>
        <w:jc w:val="center"/>
        <w:rPr>
          <w:rFonts w:ascii="Times New Roman" w:hAnsi="Times New Roman" w:eastAsia="方正小标宋简体" w:cs="Times New Roman"/>
          <w:sz w:val="72"/>
          <w:szCs w:val="72"/>
        </w:rPr>
      </w:pPr>
      <w:bookmarkStart w:id="3" w:name="_GoBack"/>
      <w:bookmarkEnd w:id="3"/>
      <w:r>
        <w:rPr>
          <w:rFonts w:ascii="Times New Roman" w:hAnsi="Times New Roman" w:eastAsia="方正小标宋简体" w:cs="Times New Roman"/>
          <w:sz w:val="72"/>
          <w:szCs w:val="72"/>
        </w:rPr>
        <w:t>部门决算</w:t>
      </w:r>
    </w:p>
    <w:p>
      <w:pPr>
        <w:rPr>
          <w:rFonts w:ascii="Times New Roman" w:hAnsi="Times New Roman" w:cs="Times New Roman"/>
          <w:b/>
          <w:sz w:val="36"/>
          <w:szCs w:val="28"/>
        </w:rPr>
        <w:sectPr>
          <w:pgSz w:w="11906" w:h="16838"/>
          <w:pgMar w:top="1417" w:right="1588" w:bottom="1417" w:left="1588" w:header="851" w:footer="992" w:gutter="0"/>
          <w:cols w:space="425" w:num="1"/>
          <w:docGrid w:type="lines" w:linePitch="312" w:charSpace="0"/>
        </w:sectPr>
      </w:pPr>
    </w:p>
    <w:p>
      <w:pPr>
        <w:pStyle w:val="16"/>
        <w:spacing w:line="600" w:lineRule="exact"/>
        <w:jc w:val="both"/>
        <w:rPr>
          <w:rFonts w:ascii="Times New Roman" w:hAnsi="Times New Roman" w:cs="Times New Roman"/>
          <w:b/>
          <w:sz w:val="36"/>
          <w:szCs w:val="28"/>
        </w:rPr>
        <w:sectPr>
          <w:footerReference r:id="rId3" w:type="default"/>
          <w:pgSz w:w="11906" w:h="16838"/>
          <w:pgMar w:top="1417" w:right="1588" w:bottom="1417" w:left="1588" w:header="851" w:footer="992" w:gutter="0"/>
          <w:pgNumType w:start="1"/>
          <w:cols w:space="425" w:num="1"/>
          <w:docGrid w:type="lines" w:linePitch="312" w:charSpace="0"/>
        </w:sectPr>
      </w:pPr>
    </w:p>
    <w:p>
      <w:pPr>
        <w:pStyle w:val="16"/>
        <w:spacing w:line="600" w:lineRule="exact"/>
        <w:jc w:val="both"/>
        <w:rPr>
          <w:rFonts w:ascii="Times New Roman" w:hAnsi="Times New Roman" w:cs="Times New Roman"/>
          <w:b/>
          <w:sz w:val="36"/>
          <w:szCs w:val="28"/>
        </w:rPr>
      </w:pPr>
    </w:p>
    <w:p>
      <w:pPr>
        <w:pStyle w:val="16"/>
        <w:spacing w:line="600" w:lineRule="exact"/>
        <w:jc w:val="center"/>
        <w:rPr>
          <w:rFonts w:ascii="Times New Roman" w:hAnsi="Times New Roman" w:cs="Times New Roman"/>
          <w:bCs/>
          <w:sz w:val="36"/>
          <w:szCs w:val="28"/>
        </w:rPr>
      </w:pPr>
      <w:r>
        <w:rPr>
          <w:rFonts w:ascii="Times New Roman" w:hAnsi="Times New Roman" w:cs="Times New Roman"/>
          <w:bCs/>
          <w:sz w:val="36"/>
          <w:szCs w:val="28"/>
        </w:rPr>
        <w:t>目  录</w:t>
      </w:r>
    </w:p>
    <w:p>
      <w:pPr>
        <w:pStyle w:val="16"/>
        <w:spacing w:line="600" w:lineRule="exact"/>
        <w:jc w:val="center"/>
        <w:rPr>
          <w:rFonts w:ascii="Times New Roman" w:hAnsi="Times New Roman" w:cs="Times New Roman"/>
          <w:b/>
          <w:sz w:val="36"/>
          <w:szCs w:val="28"/>
        </w:rPr>
      </w:pPr>
    </w:p>
    <w:p>
      <w:pPr>
        <w:pStyle w:val="16"/>
        <w:spacing w:afterLines="50" w:line="600" w:lineRule="exact"/>
        <w:rPr>
          <w:rFonts w:ascii="Times New Roman" w:hAnsi="Times New Roman" w:cs="Times New Roman"/>
          <w:bCs/>
          <w:sz w:val="32"/>
          <w:szCs w:val="32"/>
        </w:rPr>
      </w:pPr>
      <w:r>
        <w:rPr>
          <w:rFonts w:ascii="Times New Roman" w:hAnsi="Times New Roman" w:cs="Times New Roman"/>
          <w:bCs/>
          <w:sz w:val="32"/>
          <w:szCs w:val="32"/>
        </w:rPr>
        <w:t xml:space="preserve">第一部分 </w:t>
      </w:r>
      <w:r>
        <w:rPr>
          <w:rFonts w:hint="eastAsia" w:ascii="Times New Roman" w:hAnsi="Times New Roman" w:cs="Times New Roman"/>
          <w:bCs/>
          <w:sz w:val="32"/>
          <w:szCs w:val="32"/>
        </w:rPr>
        <w:t>怀化市殡葬事务中心</w:t>
      </w:r>
      <w:r>
        <w:rPr>
          <w:rFonts w:ascii="Times New Roman" w:hAnsi="Times New Roman" w:cs="Times New Roman"/>
          <w:bCs/>
          <w:sz w:val="32"/>
          <w:szCs w:val="32"/>
        </w:rPr>
        <w:t>部门（单位）概况</w:t>
      </w:r>
    </w:p>
    <w:p>
      <w:pPr>
        <w:pStyle w:val="16"/>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一、部门职责</w:t>
      </w:r>
    </w:p>
    <w:p>
      <w:pPr>
        <w:pStyle w:val="16"/>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二、机构设置及决算单位构成</w:t>
      </w:r>
    </w:p>
    <w:p>
      <w:pPr>
        <w:pStyle w:val="16"/>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第二部分 部门决算表</w:t>
      </w:r>
    </w:p>
    <w:p>
      <w:pPr>
        <w:pStyle w:val="16"/>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一、收入支出决算总表</w:t>
      </w:r>
    </w:p>
    <w:p>
      <w:pPr>
        <w:pStyle w:val="16"/>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二、收入决算表</w:t>
      </w:r>
    </w:p>
    <w:p>
      <w:pPr>
        <w:pStyle w:val="16"/>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三、支出决算表</w:t>
      </w:r>
    </w:p>
    <w:p>
      <w:pPr>
        <w:pStyle w:val="16"/>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四、财政拨款收入支出决算总表</w:t>
      </w:r>
    </w:p>
    <w:p>
      <w:pPr>
        <w:pStyle w:val="16"/>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五、一般公共预算财政拨款支出决算表</w:t>
      </w:r>
    </w:p>
    <w:p>
      <w:pPr>
        <w:pStyle w:val="16"/>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六、一般公共预算财政拨款基本支出决算明细表</w:t>
      </w:r>
    </w:p>
    <w:p>
      <w:pPr>
        <w:pStyle w:val="16"/>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七、政府性基金预算财政拨款收入支出决算表</w:t>
      </w:r>
    </w:p>
    <w:p>
      <w:pPr>
        <w:pStyle w:val="16"/>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八、国有资本经营预算财政拨款支出决算表</w:t>
      </w:r>
    </w:p>
    <w:p>
      <w:pPr>
        <w:pStyle w:val="16"/>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九、财政拨款“三公”经费支出决算表</w:t>
      </w:r>
    </w:p>
    <w:p>
      <w:pPr>
        <w:pStyle w:val="16"/>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第三部分 部门决算情况说明</w:t>
      </w:r>
    </w:p>
    <w:p>
      <w:pPr>
        <w:pStyle w:val="16"/>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一、收入支出决算总体情况说明</w:t>
      </w:r>
    </w:p>
    <w:p>
      <w:pPr>
        <w:spacing w:line="60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二、收入决算情况说明</w:t>
      </w:r>
    </w:p>
    <w:p>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三、支出决算情况说明</w:t>
      </w:r>
    </w:p>
    <w:p>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四、财政拨款收入支出决算总体情况说明</w:t>
      </w:r>
    </w:p>
    <w:p>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五、一般公共预算财政拨款支出决算情况说明</w:t>
      </w:r>
    </w:p>
    <w:p>
      <w:pPr>
        <w:autoSpaceDE w:val="0"/>
        <w:autoSpaceDN w:val="0"/>
        <w:adjustRightInd w:val="0"/>
        <w:spacing w:line="600" w:lineRule="exact"/>
        <w:jc w:val="left"/>
        <w:rPr>
          <w:rFonts w:ascii="Times New Roman" w:hAnsi="Times New Roman" w:eastAsia="仿宋_GB2312" w:cs="Times New Roman"/>
          <w:color w:val="000000"/>
          <w:kern w:val="0"/>
          <w:sz w:val="32"/>
          <w:szCs w:val="32"/>
        </w:rPr>
        <w:sectPr>
          <w:footerReference r:id="rId4" w:type="default"/>
          <w:pgSz w:w="11906" w:h="16838"/>
          <w:pgMar w:top="1417" w:right="1588" w:bottom="1417" w:left="1588" w:header="851" w:footer="992" w:gutter="0"/>
          <w:pgNumType w:start="1"/>
          <w:cols w:space="425" w:num="1"/>
          <w:docGrid w:type="lines" w:linePitch="312" w:charSpace="0"/>
        </w:sectPr>
      </w:pPr>
    </w:p>
    <w:p>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六、一般公共预算财政拨款基本支出决算情况说明</w:t>
      </w:r>
    </w:p>
    <w:p>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七、财政拨款“三公”经费支出决算情况说明</w:t>
      </w:r>
    </w:p>
    <w:p>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八、政府性基金预算收入支出决算情况</w:t>
      </w:r>
    </w:p>
    <w:p>
      <w:pPr>
        <w:autoSpaceDE w:val="0"/>
        <w:autoSpaceDN w:val="0"/>
        <w:adjustRightInd w:val="0"/>
        <w:spacing w:line="600" w:lineRule="exact"/>
        <w:jc w:val="left"/>
        <w:rPr>
          <w:rFonts w:hint="eastAsia" w:ascii="Times New Roman" w:hAnsi="Times New Roman" w:eastAsia="仿宋_GB2312" w:cs="Times New Roman"/>
          <w:color w:val="000000"/>
          <w:kern w:val="0"/>
          <w:sz w:val="32"/>
          <w:szCs w:val="32"/>
          <w:lang w:eastAsia="zh-CN"/>
        </w:rPr>
      </w:pPr>
      <w:r>
        <w:rPr>
          <w:rFonts w:ascii="Times New Roman" w:hAnsi="Times New Roman" w:eastAsia="仿宋_GB2312" w:cs="Times New Roman"/>
          <w:color w:val="000000"/>
          <w:kern w:val="0"/>
          <w:sz w:val="32"/>
          <w:szCs w:val="32"/>
        </w:rPr>
        <w:t>九、</w:t>
      </w:r>
      <w:r>
        <w:rPr>
          <w:rFonts w:hint="eastAsia" w:ascii="Times New Roman" w:hAnsi="Times New Roman" w:eastAsia="仿宋_GB2312" w:cs="Times New Roman"/>
          <w:color w:val="000000"/>
          <w:kern w:val="0"/>
          <w:sz w:val="32"/>
          <w:szCs w:val="32"/>
          <w:lang w:eastAsia="zh-CN"/>
        </w:rPr>
        <w:t>国有资本经营预算收入支出决算情况</w:t>
      </w:r>
    </w:p>
    <w:p>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十、关于机关运行经费支出说明</w:t>
      </w:r>
    </w:p>
    <w:p>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十一、一般性支出情况说明</w:t>
      </w:r>
    </w:p>
    <w:p>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sz w:val="32"/>
          <w:szCs w:val="32"/>
        </w:rPr>
        <w:t>十二、</w:t>
      </w:r>
      <w:r>
        <w:rPr>
          <w:rFonts w:ascii="Times New Roman" w:hAnsi="Times New Roman" w:eastAsia="仿宋_GB2312" w:cs="Times New Roman"/>
          <w:color w:val="000000"/>
          <w:kern w:val="0"/>
          <w:sz w:val="32"/>
          <w:szCs w:val="32"/>
        </w:rPr>
        <w:t>关于政府采购支出说明</w:t>
      </w:r>
    </w:p>
    <w:p>
      <w:pPr>
        <w:pStyle w:val="16"/>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十三、关于国有资产占用情况说明</w:t>
      </w:r>
    </w:p>
    <w:p>
      <w:pPr>
        <w:pStyle w:val="16"/>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十</w:t>
      </w:r>
      <w:r>
        <w:rPr>
          <w:rFonts w:hint="eastAsia" w:ascii="Times New Roman" w:hAnsi="Times New Roman" w:eastAsia="仿宋_GB2312" w:cs="Times New Roman"/>
          <w:sz w:val="32"/>
          <w:szCs w:val="32"/>
          <w:lang w:eastAsia="zh-CN"/>
        </w:rPr>
        <w:t>四</w:t>
      </w:r>
      <w:r>
        <w:rPr>
          <w:rFonts w:ascii="Times New Roman" w:hAnsi="Times New Roman" w:eastAsia="仿宋_GB2312" w:cs="Times New Roman"/>
          <w:sz w:val="32"/>
          <w:szCs w:val="32"/>
        </w:rPr>
        <w:t>、关于2024年度预算绩效管理情况的说明</w:t>
      </w:r>
    </w:p>
    <w:p>
      <w:pPr>
        <w:pStyle w:val="16"/>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第四部分 名词解释</w:t>
      </w:r>
    </w:p>
    <w:p>
      <w:pPr>
        <w:pStyle w:val="16"/>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第五部分 附件</w:t>
      </w:r>
    </w:p>
    <w:p>
      <w:pPr>
        <w:pStyle w:val="16"/>
        <w:spacing w:line="600" w:lineRule="exact"/>
        <w:rPr>
          <w:rFonts w:ascii="Times New Roman" w:hAnsi="Times New Roman" w:cs="Times New Roman"/>
          <w:bCs/>
          <w:sz w:val="28"/>
          <w:szCs w:val="28"/>
        </w:rPr>
      </w:pPr>
    </w:p>
    <w:p>
      <w:pPr>
        <w:jc w:val="center"/>
        <w:rPr>
          <w:rFonts w:ascii="Times New Roman" w:hAnsi="Times New Roman" w:cs="Times New Roman"/>
          <w:sz w:val="72"/>
          <w:szCs w:val="72"/>
        </w:rPr>
      </w:pPr>
    </w:p>
    <w:p>
      <w:pPr>
        <w:jc w:val="center"/>
        <w:rPr>
          <w:rFonts w:ascii="Times New Roman" w:hAnsi="Times New Roman" w:cs="Times New Roman"/>
          <w:sz w:val="72"/>
          <w:szCs w:val="72"/>
        </w:rPr>
      </w:pPr>
    </w:p>
    <w:p>
      <w:pPr>
        <w:jc w:val="center"/>
        <w:rPr>
          <w:rFonts w:ascii="Times New Roman" w:hAnsi="Times New Roman" w:cs="Times New Roman"/>
          <w:sz w:val="72"/>
          <w:szCs w:val="72"/>
        </w:rPr>
      </w:pPr>
    </w:p>
    <w:p>
      <w:pPr>
        <w:pStyle w:val="2"/>
        <w:rPr>
          <w:rFonts w:ascii="Times New Roman" w:hAnsi="Times New Roman" w:cs="Times New Roman"/>
        </w:rPr>
        <w:sectPr>
          <w:footerReference r:id="rId5" w:type="default"/>
          <w:pgSz w:w="11906" w:h="16838"/>
          <w:pgMar w:top="1417" w:right="1588" w:bottom="1417" w:left="1588" w:header="851" w:footer="992" w:gutter="0"/>
          <w:pgNumType w:start="1"/>
          <w:cols w:space="425" w:num="1"/>
          <w:docGrid w:type="lines" w:linePitch="312" w:charSpace="0"/>
        </w:sectPr>
      </w:pPr>
    </w:p>
    <w:p>
      <w:pPr>
        <w:rPr>
          <w:rFonts w:ascii="Times New Roman" w:hAnsi="Times New Roman" w:eastAsia="方正小标宋_GBK" w:cs="Times New Roman"/>
          <w:sz w:val="72"/>
          <w:szCs w:val="72"/>
        </w:rPr>
      </w:pPr>
    </w:p>
    <w:p>
      <w:pPr>
        <w:pStyle w:val="16"/>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第一部分</w:t>
      </w:r>
    </w:p>
    <w:p>
      <w:pPr>
        <w:pStyle w:val="16"/>
        <w:spacing w:line="360" w:lineRule="auto"/>
        <w:jc w:val="center"/>
        <w:rPr>
          <w:rFonts w:ascii="Times New Roman" w:hAnsi="Times New Roman" w:eastAsia="方正小标宋_GBK" w:cs="Times New Roman"/>
          <w:sz w:val="52"/>
          <w:szCs w:val="52"/>
        </w:rPr>
      </w:pPr>
      <w:r>
        <w:rPr>
          <w:rFonts w:hint="eastAsia" w:ascii="Times New Roman" w:hAnsi="Times New Roman" w:eastAsia="方正小标宋_GBK" w:cs="Times New Roman"/>
          <w:sz w:val="52"/>
          <w:szCs w:val="52"/>
        </w:rPr>
        <w:t>怀化市殡葬事务中心</w:t>
      </w:r>
      <w:r>
        <w:rPr>
          <w:rFonts w:ascii="Times New Roman" w:hAnsi="Times New Roman" w:eastAsia="方正小标宋_GBK" w:cs="Times New Roman"/>
          <w:sz w:val="52"/>
          <w:szCs w:val="52"/>
        </w:rPr>
        <w:t>部门（单位）概况</w:t>
      </w:r>
    </w:p>
    <w:p>
      <w:pPr>
        <w:pStyle w:val="3"/>
        <w:ind w:left="0" w:leftChars="0" w:firstLine="0" w:firstLineChars="0"/>
        <w:rPr>
          <w:rFonts w:ascii="Times New Roman" w:hAnsi="Times New Roman" w:cs="Times New Roman"/>
        </w:rPr>
      </w:pPr>
    </w:p>
    <w:p>
      <w:pPr>
        <w:pStyle w:val="17"/>
        <w:spacing w:line="600" w:lineRule="exact"/>
        <w:ind w:firstLine="0" w:firstLineChars="0"/>
        <w:jc w:val="left"/>
        <w:rPr>
          <w:rFonts w:ascii="Times New Roman" w:hAnsi="Times New Roman" w:eastAsia="黑体" w:cs="Times New Roman"/>
          <w:sz w:val="32"/>
          <w:szCs w:val="32"/>
        </w:rPr>
      </w:pPr>
      <w:r>
        <w:rPr>
          <w:rFonts w:hint="eastAsia" w:ascii="Times New Roman" w:hAnsi="Times New Roman" w:eastAsia="黑体" w:cs="Times New Roman"/>
          <w:sz w:val="32"/>
          <w:szCs w:val="32"/>
        </w:rPr>
        <w:t>一、</w:t>
      </w:r>
      <w:r>
        <w:rPr>
          <w:rFonts w:ascii="Times New Roman" w:hAnsi="Times New Roman" w:eastAsia="黑体" w:cs="Times New Roman"/>
          <w:sz w:val="32"/>
          <w:szCs w:val="32"/>
        </w:rPr>
        <w:t>部门职责</w:t>
      </w:r>
    </w:p>
    <w:p>
      <w:pPr>
        <w:spacing w:line="600" w:lineRule="exact"/>
        <w:ind w:firstLine="800" w:firstLineChars="250"/>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（一）</w:t>
      </w:r>
      <w:r>
        <w:rPr>
          <w:rFonts w:hint="eastAsia" w:ascii="Times New Roman" w:hAnsi="Times New Roman" w:eastAsia="仿宋_GB2312" w:cs="Times New Roman"/>
          <w:sz w:val="32"/>
          <w:szCs w:val="32"/>
        </w:rPr>
        <w:t>负责提供遗体接运、存放、整容、防腐、治丧、告别、火化等系列殡仪服务工作。</w:t>
      </w:r>
    </w:p>
    <w:p>
      <w:pPr>
        <w:spacing w:line="600" w:lineRule="exact"/>
        <w:ind w:firstLine="800" w:firstLineChars="250"/>
        <w:jc w:val="left"/>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（二）负责公墓运营维护，提供墓地安葬、骨灰寄存等服务工作。</w:t>
      </w:r>
    </w:p>
    <w:p>
      <w:pPr>
        <w:spacing w:line="600" w:lineRule="exact"/>
        <w:ind w:firstLine="800" w:firstLineChars="250"/>
        <w:jc w:val="left"/>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（三）负责承办城区无名遗体、刑事犯罪及意外事故遗体处理工作。</w:t>
      </w:r>
    </w:p>
    <w:p>
      <w:pPr>
        <w:spacing w:line="600" w:lineRule="exact"/>
        <w:ind w:firstLine="800" w:firstLineChars="250"/>
        <w:jc w:val="left"/>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（四）负责特殊人群殡葬费用减、免、补等事务性工作。</w:t>
      </w:r>
    </w:p>
    <w:p>
      <w:pPr>
        <w:spacing w:line="600" w:lineRule="exact"/>
        <w:ind w:firstLine="800" w:firstLineChars="250"/>
        <w:jc w:val="left"/>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（五）负责惠民殡葬政策的相关落实工作。</w:t>
      </w:r>
    </w:p>
    <w:p>
      <w:pPr>
        <w:spacing w:line="600" w:lineRule="exact"/>
        <w:ind w:firstLine="800" w:firstLineChars="250"/>
        <w:jc w:val="left"/>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（六）配合做好殡葬改革、移风易俗的宣传、落实等工作。</w:t>
      </w:r>
    </w:p>
    <w:p>
      <w:pPr>
        <w:spacing w:line="600" w:lineRule="exact"/>
        <w:ind w:firstLine="800" w:firstLineChars="250"/>
        <w:jc w:val="left"/>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（七）承担市民政局交办的其他工作。</w:t>
      </w:r>
    </w:p>
    <w:p>
      <w:pPr>
        <w:widowControl/>
        <w:spacing w:line="600" w:lineRule="exac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二、机构设置及决算单位构成</w:t>
      </w:r>
    </w:p>
    <w:p>
      <w:pPr>
        <w:widowControl/>
        <w:spacing w:line="600" w:lineRule="exact"/>
        <w:rPr>
          <w:rFonts w:ascii="Times New Roman" w:hAnsi="Times New Roman" w:eastAsia="仿宋_GB2312" w:cs="Times New Roman"/>
          <w:bCs/>
          <w:kern w:val="0"/>
          <w:sz w:val="32"/>
          <w:szCs w:val="32"/>
        </w:rPr>
      </w:pPr>
      <w:r>
        <w:rPr>
          <w:rFonts w:ascii="Times New Roman" w:hAnsi="Times New Roman" w:eastAsia="仿宋_GB2312" w:cs="Times New Roman"/>
          <w:bCs/>
          <w:kern w:val="0"/>
          <w:sz w:val="32"/>
          <w:szCs w:val="32"/>
        </w:rPr>
        <w:t>（一）内设机构设置。</w:t>
      </w:r>
      <w:r>
        <w:rPr>
          <w:rFonts w:hint="eastAsia" w:ascii="Times New Roman" w:hAnsi="Times New Roman" w:eastAsia="仿宋_GB2312" w:cs="Times New Roman"/>
          <w:bCs/>
          <w:kern w:val="0"/>
          <w:sz w:val="32"/>
          <w:szCs w:val="32"/>
        </w:rPr>
        <w:t>怀化市殡葬事务中心单位内设机构包括：办公室、殡仪服务部、安全保障部、财务部、公墓服务部5个副科级内设机构，本单位为二级部门预算单位。</w:t>
      </w:r>
    </w:p>
    <w:p>
      <w:pPr>
        <w:widowControl/>
        <w:spacing w:line="600" w:lineRule="exact"/>
        <w:rPr>
          <w:rFonts w:ascii="Times New Roman" w:hAnsi="Times New Roman" w:eastAsia="黑体" w:cs="Times New Roman"/>
          <w:sz w:val="28"/>
          <w:szCs w:val="28"/>
        </w:rPr>
      </w:pPr>
      <w:r>
        <w:rPr>
          <w:rFonts w:ascii="Times New Roman" w:hAnsi="Times New Roman" w:eastAsia="仿宋_GB2312" w:cs="Times New Roman"/>
          <w:bCs/>
          <w:kern w:val="0"/>
          <w:sz w:val="32"/>
          <w:szCs w:val="32"/>
        </w:rPr>
        <w:t>（二）决算单位构成。</w:t>
      </w:r>
      <w:r>
        <w:rPr>
          <w:rFonts w:hint="eastAsia" w:ascii="Times New Roman" w:hAnsi="Times New Roman" w:eastAsia="仿宋_GB2312" w:cs="Times New Roman"/>
          <w:bCs/>
          <w:kern w:val="0"/>
          <w:sz w:val="32"/>
          <w:szCs w:val="32"/>
        </w:rPr>
        <w:t>怀化市殡葬事务中心</w:t>
      </w:r>
      <w:r>
        <w:rPr>
          <w:rFonts w:ascii="Times New Roman" w:hAnsi="Times New Roman" w:eastAsia="仿宋_GB2312" w:cs="Times New Roman"/>
          <w:bCs/>
          <w:kern w:val="0"/>
          <w:sz w:val="32"/>
          <w:szCs w:val="32"/>
        </w:rPr>
        <w:t>2024年部门决算汇总公开单位构成包括：</w:t>
      </w:r>
      <w:r>
        <w:rPr>
          <w:rFonts w:hint="eastAsia" w:ascii="Times New Roman" w:hAnsi="Times New Roman" w:eastAsia="仿宋_GB2312" w:cs="Times New Roman"/>
          <w:bCs/>
          <w:kern w:val="0"/>
          <w:sz w:val="32"/>
          <w:szCs w:val="32"/>
        </w:rPr>
        <w:t>怀化市殡葬事务中心本级。</w:t>
      </w:r>
    </w:p>
    <w:p>
      <w:pPr>
        <w:rPr>
          <w:rFonts w:ascii="Times New Roman" w:hAnsi="Times New Roman" w:eastAsia="黑体" w:cs="Times New Roman"/>
          <w:sz w:val="28"/>
          <w:szCs w:val="28"/>
        </w:rPr>
      </w:pPr>
    </w:p>
    <w:p>
      <w:pPr>
        <w:pStyle w:val="2"/>
        <w:rPr>
          <w:rFonts w:ascii="Times New Roman" w:hAnsi="Times New Roman" w:cs="Times New Roman"/>
        </w:rPr>
        <w:sectPr>
          <w:footerReference r:id="rId6" w:type="default"/>
          <w:pgSz w:w="11906" w:h="16838"/>
          <w:pgMar w:top="1417" w:right="1588" w:bottom="1417" w:left="1588" w:header="851" w:footer="992" w:gutter="0"/>
          <w:pgNumType w:start="1"/>
          <w:cols w:space="425" w:num="1"/>
          <w:docGrid w:type="lines" w:linePitch="312" w:charSpace="0"/>
        </w:sectPr>
      </w:pPr>
    </w:p>
    <w:p>
      <w:pPr>
        <w:pStyle w:val="16"/>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第二部分    部门决算表</w:t>
      </w:r>
    </w:p>
    <w:p>
      <w:pPr>
        <w:widowControl/>
        <w:spacing w:afterLines="50"/>
        <w:jc w:val="center"/>
        <w:textAlignment w:val="center"/>
        <w:rPr>
          <w:rFonts w:ascii="Times New Roman" w:hAnsi="Times New Roman" w:eastAsia="黑体" w:cs="Times New Roman"/>
          <w:color w:val="000000"/>
          <w:sz w:val="36"/>
          <w:szCs w:val="36"/>
        </w:rPr>
      </w:pPr>
      <w:r>
        <w:rPr>
          <w:rFonts w:ascii="Times New Roman" w:hAnsi="Times New Roman" w:eastAsia="黑体" w:cs="Times New Roman"/>
          <w:color w:val="000000"/>
          <w:kern w:val="0"/>
          <w:sz w:val="36"/>
          <w:szCs w:val="36"/>
        </w:rPr>
        <w:t>收入支出决算总表</w:t>
      </w:r>
    </w:p>
    <w:p>
      <w:pPr>
        <w:widowControl/>
        <w:tabs>
          <w:tab w:val="left" w:pos="4442"/>
          <w:tab w:val="left" w:pos="5045"/>
          <w:tab w:val="left" w:pos="6444"/>
          <w:tab w:val="left" w:pos="11477"/>
          <w:tab w:val="left" w:pos="13102"/>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kern w:val="0"/>
          <w:sz w:val="20"/>
          <w:szCs w:val="20"/>
        </w:rPr>
        <w:t>公开01表</w:t>
      </w:r>
    </w:p>
    <w:p>
      <w:pPr>
        <w:widowControl/>
        <w:tabs>
          <w:tab w:val="left" w:pos="4442"/>
          <w:tab w:val="left" w:pos="5045"/>
          <w:tab w:val="left" w:pos="6444"/>
          <w:tab w:val="left" w:pos="11477"/>
          <w:tab w:val="left" w:pos="13102"/>
        </w:tabs>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部门：</w:t>
      </w:r>
      <w:r>
        <w:rPr>
          <w:rFonts w:hint="eastAsia" w:ascii="Times New Roman" w:hAnsi="Times New Roman" w:eastAsia="仿宋_GB2312" w:cs="Times New Roman"/>
          <w:color w:val="000000"/>
          <w:sz w:val="20"/>
          <w:szCs w:val="20"/>
        </w:rPr>
        <w:t>怀化市殡葬事务中心</w:t>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hint="eastAsia" w:ascii="Times New Roman" w:hAnsi="Times New Roman" w:eastAsia="仿宋_GB2312" w:cs="Times New Roman"/>
          <w:color w:val="000000"/>
          <w:sz w:val="24"/>
          <w:szCs w:val="24"/>
        </w:rPr>
        <w:t xml:space="preserve">                                           </w:t>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kern w:val="0"/>
          <w:sz w:val="20"/>
          <w:szCs w:val="20"/>
        </w:rPr>
        <w:t>单位：万元</w:t>
      </w:r>
    </w:p>
    <w:tbl>
      <w:tblPr>
        <w:tblStyle w:val="9"/>
        <w:tblW w:w="0" w:type="auto"/>
        <w:jc w:val="center"/>
        <w:tblLayout w:type="fixed"/>
        <w:tblCellMar>
          <w:top w:w="0" w:type="dxa"/>
          <w:left w:w="108" w:type="dxa"/>
          <w:bottom w:w="0" w:type="dxa"/>
          <w:right w:w="108" w:type="dxa"/>
        </w:tblCellMar>
      </w:tblPr>
      <w:tblGrid>
        <w:gridCol w:w="5762"/>
        <w:gridCol w:w="850"/>
        <w:gridCol w:w="1291"/>
        <w:gridCol w:w="4851"/>
        <w:gridCol w:w="850"/>
        <w:gridCol w:w="1292"/>
      </w:tblGrid>
      <w:tr>
        <w:tblPrEx>
          <w:tblCellMar>
            <w:top w:w="0" w:type="dxa"/>
            <w:left w:w="108" w:type="dxa"/>
            <w:bottom w:w="0" w:type="dxa"/>
            <w:right w:w="108" w:type="dxa"/>
          </w:tblCellMar>
        </w:tblPrEx>
        <w:trPr>
          <w:trHeight w:val="340" w:hRule="exact"/>
          <w:jc w:val="center"/>
        </w:trPr>
        <w:tc>
          <w:tcPr>
            <w:tcW w:w="7903"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收入</w:t>
            </w:r>
          </w:p>
        </w:tc>
        <w:tc>
          <w:tcPr>
            <w:tcW w:w="6993"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支出</w:t>
            </w:r>
          </w:p>
        </w:tc>
      </w:tr>
      <w:tr>
        <w:tblPrEx>
          <w:tblCellMar>
            <w:top w:w="0" w:type="dxa"/>
            <w:left w:w="108" w:type="dxa"/>
            <w:bottom w:w="0" w:type="dxa"/>
            <w:right w:w="108" w:type="dxa"/>
          </w:tblCellMar>
        </w:tblPrEx>
        <w:trPr>
          <w:trHeight w:val="253" w:hRule="exact"/>
          <w:jc w:val="center"/>
        </w:trPr>
        <w:tc>
          <w:tcPr>
            <w:tcW w:w="57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项    目</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行次</w:t>
            </w:r>
          </w:p>
        </w:tc>
        <w:tc>
          <w:tcPr>
            <w:tcW w:w="129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决算数</w:t>
            </w:r>
          </w:p>
        </w:tc>
        <w:tc>
          <w:tcPr>
            <w:tcW w:w="48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项    目</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行次</w:t>
            </w:r>
          </w:p>
        </w:tc>
        <w:tc>
          <w:tcPr>
            <w:tcW w:w="12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决算数</w:t>
            </w:r>
          </w:p>
        </w:tc>
      </w:tr>
      <w:tr>
        <w:tblPrEx>
          <w:tblCellMar>
            <w:top w:w="0" w:type="dxa"/>
            <w:left w:w="108" w:type="dxa"/>
            <w:bottom w:w="0" w:type="dxa"/>
            <w:right w:w="108" w:type="dxa"/>
          </w:tblCellMar>
        </w:tblPrEx>
        <w:trPr>
          <w:trHeight w:val="340" w:hRule="exact"/>
          <w:jc w:val="center"/>
        </w:trPr>
        <w:tc>
          <w:tcPr>
            <w:tcW w:w="57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栏    次</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ascii="Times New Roman" w:hAnsi="Times New Roman" w:eastAsia="仿宋_GB2312" w:cs="Times New Roman"/>
                <w:color w:val="000000"/>
                <w:sz w:val="24"/>
                <w:szCs w:val="24"/>
              </w:rPr>
            </w:pPr>
          </w:p>
        </w:tc>
        <w:tc>
          <w:tcPr>
            <w:tcW w:w="129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1</w:t>
            </w:r>
          </w:p>
        </w:tc>
        <w:tc>
          <w:tcPr>
            <w:tcW w:w="48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栏    次</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ascii="Times New Roman" w:hAnsi="Times New Roman" w:eastAsia="仿宋_GB2312" w:cs="Times New Roman"/>
                <w:color w:val="000000"/>
                <w:sz w:val="24"/>
                <w:szCs w:val="24"/>
              </w:rPr>
            </w:pPr>
          </w:p>
        </w:tc>
        <w:tc>
          <w:tcPr>
            <w:tcW w:w="12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2</w:t>
            </w:r>
          </w:p>
        </w:tc>
      </w:tr>
      <w:tr>
        <w:tblPrEx>
          <w:tblCellMar>
            <w:top w:w="0" w:type="dxa"/>
            <w:left w:w="108" w:type="dxa"/>
            <w:bottom w:w="0" w:type="dxa"/>
            <w:right w:w="108" w:type="dxa"/>
          </w:tblCellMar>
        </w:tblPrEx>
        <w:trPr>
          <w:trHeight w:val="340" w:hRule="exact"/>
          <w:jc w:val="center"/>
        </w:trPr>
        <w:tc>
          <w:tcPr>
            <w:tcW w:w="5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一、一般公共预算财政拨款收入</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1850.59</w:t>
            </w:r>
          </w:p>
        </w:tc>
        <w:tc>
          <w:tcPr>
            <w:tcW w:w="48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一、一般公共服务支出</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14</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372.31</w:t>
            </w:r>
          </w:p>
        </w:tc>
      </w:tr>
      <w:tr>
        <w:tblPrEx>
          <w:tblCellMar>
            <w:top w:w="0" w:type="dxa"/>
            <w:left w:w="108" w:type="dxa"/>
            <w:bottom w:w="0" w:type="dxa"/>
            <w:right w:w="108" w:type="dxa"/>
          </w:tblCellMar>
        </w:tblPrEx>
        <w:trPr>
          <w:trHeight w:val="340" w:hRule="exact"/>
          <w:jc w:val="center"/>
        </w:trPr>
        <w:tc>
          <w:tcPr>
            <w:tcW w:w="57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二、政府性基金预算财政拨款收入</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2</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ascii="Times New Roman" w:hAnsi="Times New Roman" w:eastAsia="仿宋_GB2312" w:cs="Times New Roman"/>
                <w:color w:val="000000"/>
                <w:sz w:val="22"/>
              </w:rPr>
            </w:pPr>
          </w:p>
        </w:tc>
        <w:tc>
          <w:tcPr>
            <w:tcW w:w="48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二、外交支出</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15</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ascii="Times New Roman" w:hAnsi="Times New Roman" w:eastAsia="仿宋_GB2312" w:cs="Times New Roman"/>
                <w:color w:val="000000"/>
                <w:sz w:val="22"/>
              </w:rPr>
            </w:pPr>
          </w:p>
        </w:tc>
      </w:tr>
      <w:tr>
        <w:tblPrEx>
          <w:tblCellMar>
            <w:top w:w="0" w:type="dxa"/>
            <w:left w:w="108" w:type="dxa"/>
            <w:bottom w:w="0" w:type="dxa"/>
            <w:right w:w="108" w:type="dxa"/>
          </w:tblCellMar>
        </w:tblPrEx>
        <w:trPr>
          <w:trHeight w:val="340" w:hRule="exact"/>
          <w:jc w:val="center"/>
        </w:trPr>
        <w:tc>
          <w:tcPr>
            <w:tcW w:w="5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三、国有资本经营预算财政拨款收入</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3</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ascii="Times New Roman" w:hAnsi="Times New Roman" w:eastAsia="仿宋_GB2312" w:cs="Times New Roman"/>
                <w:color w:val="000000"/>
                <w:sz w:val="22"/>
              </w:rPr>
            </w:pPr>
          </w:p>
        </w:tc>
        <w:tc>
          <w:tcPr>
            <w:tcW w:w="48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三、国防支出</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16</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ascii="Times New Roman" w:hAnsi="Times New Roman" w:eastAsia="仿宋_GB2312" w:cs="Times New Roman"/>
                <w:color w:val="000000"/>
                <w:sz w:val="22"/>
              </w:rPr>
            </w:pPr>
          </w:p>
        </w:tc>
      </w:tr>
      <w:tr>
        <w:tblPrEx>
          <w:tblCellMar>
            <w:top w:w="0" w:type="dxa"/>
            <w:left w:w="108" w:type="dxa"/>
            <w:bottom w:w="0" w:type="dxa"/>
            <w:right w:w="108" w:type="dxa"/>
          </w:tblCellMar>
        </w:tblPrEx>
        <w:trPr>
          <w:trHeight w:val="340" w:hRule="exact"/>
          <w:jc w:val="center"/>
        </w:trPr>
        <w:tc>
          <w:tcPr>
            <w:tcW w:w="57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四、上级补助收入</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4</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ascii="Times New Roman" w:hAnsi="Times New Roman" w:eastAsia="仿宋_GB2312" w:cs="Times New Roman"/>
                <w:color w:val="000000"/>
                <w:sz w:val="22"/>
              </w:rPr>
            </w:pPr>
          </w:p>
        </w:tc>
        <w:tc>
          <w:tcPr>
            <w:tcW w:w="48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四、公共安全支出</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17</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ascii="Times New Roman" w:hAnsi="Times New Roman" w:eastAsia="仿宋_GB2312" w:cs="Times New Roman"/>
                <w:color w:val="000000"/>
                <w:sz w:val="22"/>
              </w:rPr>
            </w:pPr>
          </w:p>
        </w:tc>
      </w:tr>
      <w:tr>
        <w:tblPrEx>
          <w:tblCellMar>
            <w:top w:w="0" w:type="dxa"/>
            <w:left w:w="108" w:type="dxa"/>
            <w:bottom w:w="0" w:type="dxa"/>
            <w:right w:w="108" w:type="dxa"/>
          </w:tblCellMar>
        </w:tblPrEx>
        <w:trPr>
          <w:trHeight w:val="340" w:hRule="exact"/>
          <w:jc w:val="center"/>
        </w:trPr>
        <w:tc>
          <w:tcPr>
            <w:tcW w:w="57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五、事业收入</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5</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907.91</w:t>
            </w:r>
          </w:p>
        </w:tc>
        <w:tc>
          <w:tcPr>
            <w:tcW w:w="48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五、教育支出</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18</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ascii="Times New Roman" w:hAnsi="Times New Roman" w:eastAsia="仿宋_GB2312" w:cs="Times New Roman"/>
                <w:color w:val="000000"/>
                <w:sz w:val="22"/>
              </w:rPr>
            </w:pPr>
          </w:p>
        </w:tc>
      </w:tr>
      <w:tr>
        <w:tblPrEx>
          <w:tblCellMar>
            <w:top w:w="0" w:type="dxa"/>
            <w:left w:w="108" w:type="dxa"/>
            <w:bottom w:w="0" w:type="dxa"/>
            <w:right w:w="108" w:type="dxa"/>
          </w:tblCellMar>
        </w:tblPrEx>
        <w:trPr>
          <w:trHeight w:val="340" w:hRule="exact"/>
          <w:jc w:val="center"/>
        </w:trPr>
        <w:tc>
          <w:tcPr>
            <w:tcW w:w="57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六、经营收入</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6</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ascii="Times New Roman" w:hAnsi="Times New Roman" w:eastAsia="仿宋_GB2312" w:cs="Times New Roman"/>
                <w:color w:val="000000"/>
                <w:sz w:val="22"/>
              </w:rPr>
            </w:pPr>
          </w:p>
        </w:tc>
        <w:tc>
          <w:tcPr>
            <w:tcW w:w="48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六、科学技术支出</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19</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ascii="Times New Roman" w:hAnsi="Times New Roman" w:eastAsia="仿宋_GB2312" w:cs="Times New Roman"/>
                <w:color w:val="000000"/>
                <w:sz w:val="22"/>
              </w:rPr>
            </w:pPr>
          </w:p>
        </w:tc>
      </w:tr>
      <w:tr>
        <w:tblPrEx>
          <w:tblCellMar>
            <w:top w:w="0" w:type="dxa"/>
            <w:left w:w="108" w:type="dxa"/>
            <w:bottom w:w="0" w:type="dxa"/>
            <w:right w:w="108" w:type="dxa"/>
          </w:tblCellMar>
        </w:tblPrEx>
        <w:trPr>
          <w:trHeight w:val="340" w:hRule="exact"/>
          <w:jc w:val="center"/>
        </w:trPr>
        <w:tc>
          <w:tcPr>
            <w:tcW w:w="57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七、附属单位上缴收入</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7</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ascii="Times New Roman" w:hAnsi="Times New Roman" w:eastAsia="仿宋_GB2312" w:cs="Times New Roman"/>
                <w:color w:val="000000"/>
                <w:sz w:val="22"/>
              </w:rPr>
            </w:pPr>
          </w:p>
        </w:tc>
        <w:tc>
          <w:tcPr>
            <w:tcW w:w="4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仿宋_GB2312" w:cs="Times New Roman"/>
                <w:color w:val="000000"/>
                <w:sz w:val="24"/>
                <w:szCs w:val="24"/>
              </w:rPr>
            </w:pPr>
            <w:r>
              <w:rPr>
                <w:rFonts w:hint="eastAsia" w:ascii="Times New Roman" w:hAnsi="Times New Roman" w:eastAsia="仿宋_GB2312" w:cs="Times New Roman"/>
                <w:color w:val="000000"/>
                <w:kern w:val="0"/>
                <w:sz w:val="24"/>
                <w:szCs w:val="24"/>
              </w:rPr>
              <w:t>七、文化旅游体育与传媒支出</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20</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ascii="Times New Roman" w:hAnsi="Times New Roman" w:eastAsia="仿宋_GB2312" w:cs="Times New Roman"/>
                <w:color w:val="000000"/>
                <w:sz w:val="22"/>
              </w:rPr>
            </w:pPr>
          </w:p>
        </w:tc>
      </w:tr>
      <w:tr>
        <w:tblPrEx>
          <w:tblCellMar>
            <w:top w:w="0" w:type="dxa"/>
            <w:left w:w="108" w:type="dxa"/>
            <w:bottom w:w="0" w:type="dxa"/>
            <w:right w:w="108" w:type="dxa"/>
          </w:tblCellMar>
        </w:tblPrEx>
        <w:trPr>
          <w:trHeight w:val="340" w:hRule="exact"/>
          <w:jc w:val="center"/>
        </w:trPr>
        <w:tc>
          <w:tcPr>
            <w:tcW w:w="57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八、其他收入</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8</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ind w:firstLine="440" w:firstLineChars="200"/>
              <w:jc w:val="lef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278.07</w:t>
            </w:r>
          </w:p>
        </w:tc>
        <w:tc>
          <w:tcPr>
            <w:tcW w:w="4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八、社会保障和就业支出</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21</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2383.18</w:t>
            </w:r>
          </w:p>
        </w:tc>
      </w:tr>
      <w:tr>
        <w:tblPrEx>
          <w:tblCellMar>
            <w:top w:w="0" w:type="dxa"/>
            <w:left w:w="108" w:type="dxa"/>
            <w:bottom w:w="0" w:type="dxa"/>
            <w:right w:w="108" w:type="dxa"/>
          </w:tblCellMar>
        </w:tblPrEx>
        <w:trPr>
          <w:trHeight w:val="340" w:hRule="exact"/>
          <w:jc w:val="center"/>
        </w:trPr>
        <w:tc>
          <w:tcPr>
            <w:tcW w:w="5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ascii="Times New Roman" w:hAnsi="Times New Roman" w:eastAsia="仿宋_GB2312" w:cs="Times New Roman"/>
                <w:color w:val="000000"/>
                <w:sz w:val="20"/>
                <w:szCs w:val="20"/>
              </w:rPr>
            </w:pP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9</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ascii="Times New Roman" w:hAnsi="Times New Roman" w:eastAsia="仿宋_GB2312" w:cs="Times New Roman"/>
                <w:color w:val="000000"/>
                <w:sz w:val="22"/>
              </w:rPr>
            </w:pPr>
          </w:p>
        </w:tc>
        <w:tc>
          <w:tcPr>
            <w:tcW w:w="4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Times New Roman" w:hAnsi="Times New Roman" w:eastAsia="仿宋_GB2312" w:cs="Times New Roman"/>
                <w:color w:val="000000"/>
                <w:sz w:val="20"/>
                <w:szCs w:val="20"/>
              </w:rPr>
            </w:pPr>
            <w:r>
              <w:rPr>
                <w:rFonts w:hint="eastAsia" w:ascii="Times New Roman" w:hAnsi="Times New Roman" w:eastAsia="仿宋_GB2312" w:cs="Times New Roman"/>
                <w:color w:val="000000"/>
                <w:sz w:val="22"/>
              </w:rPr>
              <w:t>九、其他支出</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22</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ascii="Times New Roman" w:hAnsi="Times New Roman" w:eastAsia="仿宋_GB2312" w:cs="Times New Roman"/>
                <w:b/>
                <w:color w:val="000000"/>
                <w:sz w:val="22"/>
              </w:rPr>
            </w:pPr>
            <w:r>
              <w:rPr>
                <w:rFonts w:hint="eastAsia" w:ascii="Times New Roman" w:hAnsi="Times New Roman" w:eastAsia="仿宋_GB2312" w:cs="Times New Roman"/>
                <w:color w:val="000000"/>
                <w:sz w:val="22"/>
              </w:rPr>
              <w:t>284.32</w:t>
            </w:r>
          </w:p>
        </w:tc>
      </w:tr>
      <w:tr>
        <w:tblPrEx>
          <w:tblCellMar>
            <w:top w:w="0" w:type="dxa"/>
            <w:left w:w="108" w:type="dxa"/>
            <w:bottom w:w="0" w:type="dxa"/>
            <w:right w:w="108" w:type="dxa"/>
          </w:tblCellMar>
        </w:tblPrEx>
        <w:trPr>
          <w:trHeight w:val="305" w:hRule="exact"/>
          <w:jc w:val="center"/>
        </w:trPr>
        <w:tc>
          <w:tcPr>
            <w:tcW w:w="5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rPr>
              <w:t>本年收入合计</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10</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3036.57</w:t>
            </w:r>
          </w:p>
        </w:tc>
        <w:tc>
          <w:tcPr>
            <w:tcW w:w="4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rPr>
              <w:t>本年支出合计</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23</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3039.80</w:t>
            </w:r>
          </w:p>
        </w:tc>
      </w:tr>
      <w:tr>
        <w:tblPrEx>
          <w:tblCellMar>
            <w:top w:w="0" w:type="dxa"/>
            <w:left w:w="108" w:type="dxa"/>
            <w:bottom w:w="0" w:type="dxa"/>
            <w:right w:w="108" w:type="dxa"/>
          </w:tblCellMar>
        </w:tblPrEx>
        <w:trPr>
          <w:trHeight w:val="340" w:hRule="exact"/>
          <w:jc w:val="center"/>
        </w:trPr>
        <w:tc>
          <w:tcPr>
            <w:tcW w:w="5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 xml:space="preserve">    使用非财政拨款结余（含专用结余）</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11</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6.24</w:t>
            </w:r>
          </w:p>
        </w:tc>
        <w:tc>
          <w:tcPr>
            <w:tcW w:w="4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 xml:space="preserve">                结余分配</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24</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3.01</w:t>
            </w:r>
          </w:p>
        </w:tc>
      </w:tr>
      <w:tr>
        <w:tblPrEx>
          <w:tblCellMar>
            <w:top w:w="0" w:type="dxa"/>
            <w:left w:w="108" w:type="dxa"/>
            <w:bottom w:w="0" w:type="dxa"/>
            <w:right w:w="108" w:type="dxa"/>
          </w:tblCellMar>
        </w:tblPrEx>
        <w:trPr>
          <w:trHeight w:val="340" w:hRule="exact"/>
          <w:jc w:val="center"/>
        </w:trPr>
        <w:tc>
          <w:tcPr>
            <w:tcW w:w="5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 xml:space="preserve">         年初结转和结余</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12</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ascii="Times New Roman" w:hAnsi="Times New Roman" w:eastAsia="仿宋_GB2312" w:cs="Times New Roman"/>
                <w:color w:val="000000"/>
                <w:sz w:val="22"/>
              </w:rPr>
            </w:pPr>
          </w:p>
        </w:tc>
        <w:tc>
          <w:tcPr>
            <w:tcW w:w="4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 xml:space="preserve">                年末结转和结余</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25</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ascii="Times New Roman" w:hAnsi="Times New Roman" w:eastAsia="仿宋_GB2312" w:cs="Times New Roman"/>
                <w:color w:val="000000"/>
                <w:sz w:val="22"/>
              </w:rPr>
            </w:pPr>
          </w:p>
        </w:tc>
      </w:tr>
      <w:tr>
        <w:tblPrEx>
          <w:tblCellMar>
            <w:top w:w="0" w:type="dxa"/>
            <w:left w:w="108" w:type="dxa"/>
            <w:bottom w:w="0" w:type="dxa"/>
            <w:right w:w="108" w:type="dxa"/>
          </w:tblCellMar>
        </w:tblPrEx>
        <w:trPr>
          <w:trHeight w:val="340" w:hRule="exact"/>
          <w:jc w:val="center"/>
        </w:trPr>
        <w:tc>
          <w:tcPr>
            <w:tcW w:w="57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rPr>
              <w:t>总计</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13</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3042.82</w:t>
            </w:r>
          </w:p>
        </w:tc>
        <w:tc>
          <w:tcPr>
            <w:tcW w:w="48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rPr>
              <w:t>总计</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26</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ascii="Times New Roman" w:hAnsi="Times New Roman" w:eastAsia="仿宋_GB2312" w:cs="Times New Roman"/>
                <w:b/>
                <w:color w:val="000000"/>
                <w:sz w:val="22"/>
              </w:rPr>
            </w:pPr>
            <w:r>
              <w:rPr>
                <w:rFonts w:hint="eastAsia" w:ascii="Times New Roman" w:hAnsi="Times New Roman" w:eastAsia="仿宋_GB2312" w:cs="Times New Roman"/>
                <w:color w:val="000000"/>
                <w:sz w:val="22"/>
              </w:rPr>
              <w:t>3042.82</w:t>
            </w:r>
          </w:p>
        </w:tc>
      </w:tr>
    </w:tbl>
    <w:p>
      <w:pPr>
        <w:widowControl/>
        <w:jc w:val="left"/>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注：1.本表反映部门本年度的总收支和年末结转结余情况。</w:t>
      </w:r>
      <w:r>
        <w:rPr>
          <w:rFonts w:ascii="Times New Roman" w:hAnsi="Times New Roman" w:eastAsia="仿宋_GB2312" w:cs="Times New Roman"/>
          <w:color w:val="000000"/>
          <w:kern w:val="0"/>
          <w:sz w:val="24"/>
          <w:szCs w:val="24"/>
        </w:rPr>
        <w:br w:type="textWrapping"/>
      </w:r>
      <w:r>
        <w:rPr>
          <w:rFonts w:ascii="Times New Roman" w:hAnsi="Times New Roman" w:eastAsia="仿宋_GB2312" w:cs="Times New Roman"/>
          <w:color w:val="000000"/>
          <w:kern w:val="0"/>
          <w:sz w:val="24"/>
          <w:szCs w:val="24"/>
        </w:rPr>
        <w:t xml:space="preserve">    2.本套报表金额单位转换时可能存在尾数误差。</w:t>
      </w:r>
      <w:r>
        <w:br w:type="page"/>
      </w:r>
    </w:p>
    <w:p>
      <w:pPr>
        <w:widowControl/>
        <w:spacing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收入决算表</w:t>
      </w:r>
    </w:p>
    <w:p>
      <w:pPr>
        <w:tabs>
          <w:tab w:val="left" w:pos="315"/>
          <w:tab w:val="left" w:pos="630"/>
          <w:tab w:val="left" w:pos="2100"/>
          <w:tab w:val="left" w:pos="3895"/>
          <w:tab w:val="left" w:pos="5690"/>
          <w:tab w:val="left" w:pos="7485"/>
          <w:tab w:val="left" w:pos="9280"/>
          <w:tab w:val="left" w:pos="11075"/>
          <w:tab w:val="left" w:pos="12870"/>
        </w:tabs>
        <w:rPr>
          <w:rFonts w:ascii="Times New Roman" w:hAnsi="Times New Roman" w:eastAsia="仿宋_GB2312" w:cs="Times New Roman"/>
          <w:color w:val="000000"/>
          <w:sz w:val="20"/>
          <w:szCs w:val="20"/>
        </w:rPr>
      </w:pP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color w:val="000000"/>
          <w:sz w:val="20"/>
          <w:szCs w:val="20"/>
        </w:rPr>
        <w:t>公开02表</w:t>
      </w:r>
      <w:r>
        <w:rPr>
          <w:rFonts w:hint="eastAsia" w:ascii="Times New Roman" w:hAnsi="Times New Roman" w:eastAsia="仿宋_GB2312" w:cs="Times New Roman"/>
          <w:color w:val="000000"/>
          <w:sz w:val="20"/>
          <w:szCs w:val="20"/>
        </w:rPr>
        <w:t xml:space="preserve"> </w:t>
      </w:r>
      <w:r>
        <w:rPr>
          <w:rFonts w:ascii="Times New Roman" w:hAnsi="Times New Roman" w:eastAsia="仿宋_GB2312" w:cs="Times New Roman"/>
          <w:color w:val="000000"/>
          <w:sz w:val="20"/>
          <w:szCs w:val="20"/>
        </w:rPr>
        <w:t>部门：</w:t>
      </w:r>
      <w:r>
        <w:rPr>
          <w:rFonts w:hint="eastAsia" w:ascii="Times New Roman" w:hAnsi="Times New Roman" w:eastAsia="仿宋_GB2312" w:cs="Times New Roman"/>
          <w:color w:val="000000"/>
          <w:sz w:val="20"/>
          <w:szCs w:val="20"/>
        </w:rPr>
        <w:t>怀化市殡葬事务中心</w:t>
      </w:r>
      <w:r>
        <w:rPr>
          <w:rFonts w:ascii="Times New Roman" w:hAnsi="Times New Roman" w:eastAsia="仿宋_GB2312" w:cs="Times New Roman"/>
          <w:color w:val="000000"/>
          <w:sz w:val="20"/>
          <w:szCs w:val="20"/>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color w:val="000000"/>
          <w:sz w:val="20"/>
          <w:szCs w:val="20"/>
        </w:rPr>
        <w:t>　</w:t>
      </w:r>
      <w:r>
        <w:rPr>
          <w:rFonts w:ascii="Times New Roman" w:hAnsi="Times New Roman" w:eastAsia="仿宋_GB2312" w:cs="Times New Roman"/>
          <w:color w:val="000000"/>
          <w:sz w:val="20"/>
          <w:szCs w:val="20"/>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sz w:val="24"/>
          <w:szCs w:val="24"/>
        </w:rPr>
        <w:tab/>
      </w:r>
      <w:r>
        <w:rPr>
          <w:rFonts w:ascii="Times New Roman" w:hAnsi="Times New Roman" w:eastAsia="仿宋_GB2312" w:cs="Times New Roman"/>
          <w:color w:val="000000"/>
          <w:sz w:val="20"/>
          <w:szCs w:val="20"/>
        </w:rPr>
        <w:t>单位：万元</w:t>
      </w:r>
    </w:p>
    <w:tbl>
      <w:tblPr>
        <w:tblStyle w:val="9"/>
        <w:tblW w:w="14666" w:type="dxa"/>
        <w:jc w:val="center"/>
        <w:tblLayout w:type="fixed"/>
        <w:tblCellMar>
          <w:top w:w="0" w:type="dxa"/>
          <w:left w:w="0" w:type="dxa"/>
          <w:bottom w:w="0" w:type="dxa"/>
          <w:right w:w="0" w:type="dxa"/>
        </w:tblCellMar>
      </w:tblPr>
      <w:tblGrid>
        <w:gridCol w:w="1886"/>
        <w:gridCol w:w="1300"/>
        <w:gridCol w:w="1640"/>
        <w:gridCol w:w="1640"/>
        <w:gridCol w:w="1640"/>
        <w:gridCol w:w="1640"/>
        <w:gridCol w:w="1640"/>
        <w:gridCol w:w="1897"/>
        <w:gridCol w:w="1383"/>
      </w:tblGrid>
      <w:tr>
        <w:tblPrEx>
          <w:tblCellMar>
            <w:top w:w="0" w:type="dxa"/>
            <w:left w:w="0" w:type="dxa"/>
            <w:bottom w:w="0" w:type="dxa"/>
            <w:right w:w="0" w:type="dxa"/>
          </w:tblCellMar>
        </w:tblPrEx>
        <w:trPr>
          <w:trHeight w:val="450" w:hRule="atLeast"/>
          <w:jc w:val="center"/>
        </w:trPr>
        <w:tc>
          <w:tcPr>
            <w:tcW w:w="3186" w:type="dxa"/>
            <w:gridSpan w:val="2"/>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Times New Roman" w:hAnsi="Times New Roman" w:eastAsia="仿宋_GB2312" w:cs="Times New Roman"/>
                <w:b/>
                <w:bCs/>
                <w:sz w:val="24"/>
                <w:szCs w:val="24"/>
              </w:rPr>
            </w:pPr>
            <w:r>
              <w:rPr>
                <w:rFonts w:ascii="Times New Roman" w:hAnsi="Times New Roman" w:eastAsia="仿宋_GB2312" w:cs="Times New Roman"/>
                <w:b/>
                <w:bCs/>
              </w:rPr>
              <w:t>项    目</w:t>
            </w:r>
          </w:p>
        </w:tc>
        <w:tc>
          <w:tcPr>
            <w:tcW w:w="164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Times New Roman" w:hAnsi="Times New Roman" w:eastAsia="仿宋_GB2312" w:cs="Times New Roman"/>
                <w:b/>
                <w:bCs/>
                <w:sz w:val="24"/>
                <w:szCs w:val="24"/>
              </w:rPr>
            </w:pPr>
            <w:r>
              <w:rPr>
                <w:rFonts w:ascii="Times New Roman" w:hAnsi="Times New Roman" w:eastAsia="仿宋_GB2312" w:cs="Times New Roman"/>
                <w:b/>
                <w:bCs/>
              </w:rPr>
              <w:t>本年收入合计</w:t>
            </w:r>
          </w:p>
        </w:tc>
        <w:tc>
          <w:tcPr>
            <w:tcW w:w="1640"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center"/>
              <w:rPr>
                <w:rFonts w:ascii="Times New Roman" w:hAnsi="Times New Roman" w:eastAsia="仿宋_GB2312" w:cs="Times New Roman"/>
                <w:b/>
                <w:bCs/>
                <w:sz w:val="24"/>
                <w:szCs w:val="24"/>
              </w:rPr>
            </w:pPr>
            <w:r>
              <w:rPr>
                <w:rFonts w:ascii="Times New Roman" w:hAnsi="Times New Roman" w:eastAsia="仿宋_GB2312" w:cs="Times New Roman"/>
                <w:b/>
                <w:bCs/>
              </w:rPr>
              <w:t>财政拨款收入</w:t>
            </w:r>
          </w:p>
        </w:tc>
        <w:tc>
          <w:tcPr>
            <w:tcW w:w="164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Times New Roman" w:hAnsi="Times New Roman" w:eastAsia="仿宋_GB2312" w:cs="Times New Roman"/>
                <w:b/>
                <w:bCs/>
                <w:sz w:val="24"/>
                <w:szCs w:val="24"/>
              </w:rPr>
            </w:pPr>
            <w:r>
              <w:rPr>
                <w:rFonts w:ascii="Times New Roman" w:hAnsi="Times New Roman" w:eastAsia="仿宋_GB2312" w:cs="Times New Roman"/>
                <w:b/>
                <w:bCs/>
              </w:rPr>
              <w:t>上级补助收入</w:t>
            </w:r>
          </w:p>
        </w:tc>
        <w:tc>
          <w:tcPr>
            <w:tcW w:w="164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Times New Roman" w:hAnsi="Times New Roman" w:eastAsia="仿宋_GB2312" w:cs="Times New Roman"/>
                <w:b/>
                <w:bCs/>
                <w:sz w:val="24"/>
                <w:szCs w:val="24"/>
              </w:rPr>
            </w:pPr>
            <w:r>
              <w:rPr>
                <w:rFonts w:ascii="Times New Roman" w:hAnsi="Times New Roman" w:eastAsia="仿宋_GB2312" w:cs="Times New Roman"/>
                <w:b/>
                <w:bCs/>
              </w:rPr>
              <w:t>事业收入</w:t>
            </w:r>
          </w:p>
        </w:tc>
        <w:tc>
          <w:tcPr>
            <w:tcW w:w="164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Times New Roman" w:hAnsi="Times New Roman" w:eastAsia="仿宋_GB2312" w:cs="Times New Roman"/>
                <w:b/>
                <w:bCs/>
                <w:sz w:val="24"/>
                <w:szCs w:val="24"/>
              </w:rPr>
            </w:pPr>
            <w:r>
              <w:rPr>
                <w:rFonts w:ascii="Times New Roman" w:hAnsi="Times New Roman" w:eastAsia="仿宋_GB2312" w:cs="Times New Roman"/>
                <w:b/>
                <w:bCs/>
              </w:rPr>
              <w:t>经营收入</w:t>
            </w:r>
          </w:p>
        </w:tc>
        <w:tc>
          <w:tcPr>
            <w:tcW w:w="1897"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Times New Roman" w:hAnsi="Times New Roman" w:eastAsia="仿宋_GB2312" w:cs="Times New Roman"/>
                <w:b/>
                <w:bCs/>
                <w:sz w:val="24"/>
                <w:szCs w:val="24"/>
              </w:rPr>
            </w:pPr>
            <w:r>
              <w:rPr>
                <w:rFonts w:ascii="Times New Roman" w:hAnsi="Times New Roman" w:eastAsia="仿宋_GB2312" w:cs="Times New Roman"/>
                <w:b/>
                <w:bCs/>
              </w:rPr>
              <w:t>附属单位上缴收入</w:t>
            </w:r>
          </w:p>
        </w:tc>
        <w:tc>
          <w:tcPr>
            <w:tcW w:w="1383"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Times New Roman" w:hAnsi="Times New Roman" w:eastAsia="仿宋_GB2312" w:cs="Times New Roman"/>
                <w:b/>
                <w:bCs/>
                <w:sz w:val="24"/>
                <w:szCs w:val="24"/>
              </w:rPr>
            </w:pPr>
            <w:r>
              <w:rPr>
                <w:rFonts w:ascii="Times New Roman" w:hAnsi="Times New Roman" w:eastAsia="仿宋_GB2312" w:cs="Times New Roman"/>
                <w:b/>
                <w:bCs/>
              </w:rPr>
              <w:t>其他收入</w:t>
            </w:r>
          </w:p>
        </w:tc>
      </w:tr>
      <w:tr>
        <w:tblPrEx>
          <w:tblCellMar>
            <w:top w:w="0" w:type="dxa"/>
            <w:left w:w="0" w:type="dxa"/>
            <w:bottom w:w="0" w:type="dxa"/>
            <w:right w:w="0" w:type="dxa"/>
          </w:tblCellMar>
        </w:tblPrEx>
        <w:trPr>
          <w:trHeight w:val="334" w:hRule="exact"/>
          <w:jc w:val="center"/>
        </w:trPr>
        <w:tc>
          <w:tcPr>
            <w:tcW w:w="1886"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Times New Roman" w:hAnsi="Times New Roman" w:eastAsia="仿宋_GB2312" w:cs="Times New Roman"/>
                <w:b/>
                <w:bCs/>
                <w:sz w:val="24"/>
                <w:szCs w:val="24"/>
              </w:rPr>
            </w:pPr>
            <w:r>
              <w:rPr>
                <w:rFonts w:ascii="Times New Roman" w:hAnsi="Times New Roman" w:eastAsia="仿宋_GB2312" w:cs="Times New Roman"/>
                <w:b/>
                <w:bCs/>
              </w:rPr>
              <w:t>功能分类科目编码</w:t>
            </w:r>
          </w:p>
        </w:tc>
        <w:tc>
          <w:tcPr>
            <w:tcW w:w="1300" w:type="dxa"/>
            <w:vMerge w:val="restart"/>
            <w:tcBorders>
              <w:top w:val="nil"/>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Times New Roman" w:hAnsi="Times New Roman" w:eastAsia="仿宋_GB2312" w:cs="Times New Roman"/>
                <w:b/>
                <w:bCs/>
                <w:sz w:val="24"/>
                <w:szCs w:val="24"/>
              </w:rPr>
            </w:pPr>
            <w:r>
              <w:rPr>
                <w:rFonts w:ascii="Times New Roman" w:hAnsi="Times New Roman" w:eastAsia="仿宋_GB2312" w:cs="Times New Roman"/>
                <w:b/>
                <w:bCs/>
              </w:rPr>
              <w:t>科目名称</w:t>
            </w:r>
          </w:p>
        </w:tc>
        <w:tc>
          <w:tcPr>
            <w:tcW w:w="1640"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s="Times New Roman"/>
                <w:sz w:val="24"/>
                <w:szCs w:val="24"/>
              </w:rPr>
            </w:pPr>
          </w:p>
        </w:tc>
        <w:tc>
          <w:tcPr>
            <w:tcW w:w="1897"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s="Times New Roman"/>
                <w:sz w:val="24"/>
                <w:szCs w:val="24"/>
              </w:rPr>
            </w:pPr>
          </w:p>
        </w:tc>
        <w:tc>
          <w:tcPr>
            <w:tcW w:w="1383"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s="Times New Roman"/>
                <w:sz w:val="24"/>
                <w:szCs w:val="24"/>
              </w:rPr>
            </w:pPr>
          </w:p>
        </w:tc>
      </w:tr>
      <w:tr>
        <w:tblPrEx>
          <w:tblCellMar>
            <w:top w:w="0" w:type="dxa"/>
            <w:left w:w="0" w:type="dxa"/>
            <w:bottom w:w="0" w:type="dxa"/>
            <w:right w:w="0" w:type="dxa"/>
          </w:tblCellMar>
        </w:tblPrEx>
        <w:trPr>
          <w:trHeight w:val="312" w:hRule="atLeast"/>
          <w:jc w:val="center"/>
        </w:trPr>
        <w:tc>
          <w:tcPr>
            <w:tcW w:w="1886"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s="Times New Roman"/>
                <w:sz w:val="24"/>
                <w:szCs w:val="24"/>
              </w:rPr>
            </w:pPr>
          </w:p>
        </w:tc>
        <w:tc>
          <w:tcPr>
            <w:tcW w:w="1300" w:type="dxa"/>
            <w:vMerge w:val="continue"/>
            <w:tcBorders>
              <w:top w:val="nil"/>
              <w:left w:val="single" w:color="auto" w:sz="4" w:space="0"/>
              <w:bottom w:val="single" w:color="auto" w:sz="4" w:space="0"/>
              <w:right w:val="single" w:color="auto" w:sz="4" w:space="0"/>
            </w:tcBorders>
            <w:vAlign w:val="center"/>
          </w:tcPr>
          <w:p>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s="Times New Roman"/>
                <w:sz w:val="24"/>
                <w:szCs w:val="24"/>
              </w:rPr>
            </w:pPr>
          </w:p>
        </w:tc>
        <w:tc>
          <w:tcPr>
            <w:tcW w:w="1897"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s="Times New Roman"/>
                <w:sz w:val="24"/>
                <w:szCs w:val="24"/>
              </w:rPr>
            </w:pPr>
          </w:p>
        </w:tc>
        <w:tc>
          <w:tcPr>
            <w:tcW w:w="1383"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s="Times New Roman"/>
                <w:sz w:val="24"/>
                <w:szCs w:val="24"/>
              </w:rPr>
            </w:pPr>
          </w:p>
        </w:tc>
      </w:tr>
      <w:tr>
        <w:tblPrEx>
          <w:tblCellMar>
            <w:top w:w="0" w:type="dxa"/>
            <w:left w:w="0" w:type="dxa"/>
            <w:bottom w:w="0" w:type="dxa"/>
            <w:right w:w="0" w:type="dxa"/>
          </w:tblCellMar>
        </w:tblPrEx>
        <w:trPr>
          <w:trHeight w:val="450" w:hRule="atLeast"/>
          <w:jc w:val="center"/>
        </w:trPr>
        <w:tc>
          <w:tcPr>
            <w:tcW w:w="318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rPr>
              <w:t>栏次</w:t>
            </w:r>
          </w:p>
        </w:tc>
        <w:tc>
          <w:tcPr>
            <w:tcW w:w="164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rPr>
              <w:t>1</w:t>
            </w:r>
          </w:p>
        </w:tc>
        <w:tc>
          <w:tcPr>
            <w:tcW w:w="164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rPr>
              <w:t>2</w:t>
            </w:r>
          </w:p>
        </w:tc>
        <w:tc>
          <w:tcPr>
            <w:tcW w:w="164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rPr>
              <w:t>3</w:t>
            </w:r>
          </w:p>
        </w:tc>
        <w:tc>
          <w:tcPr>
            <w:tcW w:w="164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rPr>
              <w:t>4</w:t>
            </w:r>
          </w:p>
        </w:tc>
        <w:tc>
          <w:tcPr>
            <w:tcW w:w="164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rPr>
              <w:t>5</w:t>
            </w:r>
          </w:p>
        </w:tc>
        <w:tc>
          <w:tcPr>
            <w:tcW w:w="189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rPr>
              <w:t>6</w:t>
            </w:r>
          </w:p>
        </w:tc>
        <w:tc>
          <w:tcPr>
            <w:tcW w:w="138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rPr>
              <w:t>7</w:t>
            </w:r>
          </w:p>
        </w:tc>
      </w:tr>
      <w:tr>
        <w:tblPrEx>
          <w:tblCellMar>
            <w:top w:w="0" w:type="dxa"/>
            <w:left w:w="0" w:type="dxa"/>
            <w:bottom w:w="0" w:type="dxa"/>
            <w:right w:w="0" w:type="dxa"/>
          </w:tblCellMar>
        </w:tblPrEx>
        <w:trPr>
          <w:trHeight w:val="450" w:hRule="atLeast"/>
          <w:jc w:val="center"/>
        </w:trPr>
        <w:tc>
          <w:tcPr>
            <w:tcW w:w="318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rPr>
              <w:t>合计</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tabs>
                <w:tab w:val="center" w:pos="805"/>
                <w:tab w:val="right" w:pos="1940"/>
              </w:tabs>
              <w:jc w:val="left"/>
              <w:rPr>
                <w:rFonts w:ascii="Times New Roman" w:hAnsi="Times New Roman" w:eastAsia="仿宋_GB2312" w:cs="Times New Roman"/>
                <w:sz w:val="24"/>
                <w:szCs w:val="24"/>
              </w:rPr>
            </w:pPr>
            <w:r>
              <w:rPr>
                <w:rFonts w:hint="eastAsia" w:ascii="Times New Roman" w:hAnsi="Times New Roman" w:eastAsia="仿宋_GB2312" w:cs="Times New Roman"/>
              </w:rPr>
              <w:tab/>
            </w:r>
            <w:r>
              <w:rPr>
                <w:rFonts w:hint="eastAsia" w:ascii="Times New Roman" w:hAnsi="Times New Roman" w:eastAsia="仿宋_GB2312" w:cs="Times New Roman"/>
              </w:rPr>
              <w:t>3036.57</w:t>
            </w:r>
            <w:r>
              <w:rPr>
                <w:rFonts w:hint="eastAsia" w:ascii="Times New Roman" w:hAnsi="Times New Roman" w:eastAsia="仿宋_GB2312" w:cs="Times New Roman"/>
              </w:rPr>
              <w:tab/>
            </w: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hint="eastAsia" w:ascii="Times New Roman" w:hAnsi="Times New Roman" w:eastAsia="仿宋_GB2312" w:cs="Times New Roman"/>
              </w:rPr>
              <w:t>1850.59</w:t>
            </w: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hint="eastAsia" w:ascii="Times New Roman" w:hAnsi="Times New Roman" w:eastAsia="仿宋_GB2312" w:cs="Times New Roman"/>
              </w:rPr>
              <w:t>907.91</w:t>
            </w: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hint="eastAsia" w:ascii="Times New Roman" w:hAnsi="Times New Roman" w:eastAsia="仿宋_GB2312" w:cs="Times New Roman"/>
              </w:rPr>
              <w:t>278.07</w:t>
            </w:r>
            <w:r>
              <w:rPr>
                <w:rFonts w:ascii="Times New Roman" w:hAnsi="Times New Roman" w:eastAsia="仿宋_GB2312" w:cs="Times New Roman"/>
              </w:rPr>
              <w:t>　</w:t>
            </w:r>
          </w:p>
        </w:tc>
      </w:tr>
      <w:tr>
        <w:tblPrEx>
          <w:tblCellMar>
            <w:top w:w="0" w:type="dxa"/>
            <w:left w:w="0" w:type="dxa"/>
            <w:bottom w:w="0" w:type="dxa"/>
            <w:right w:w="0" w:type="dxa"/>
          </w:tblCellMar>
        </w:tblPrEx>
        <w:trPr>
          <w:trHeight w:val="1004"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widowControl/>
              <w:jc w:val="left"/>
              <w:textAlignment w:val="center"/>
              <w:rPr>
                <w:rFonts w:ascii="Times New Roman" w:hAnsi="Times New Roman" w:eastAsia="仿宋_GB2312" w:cs="Times New Roman"/>
                <w:sz w:val="24"/>
                <w:szCs w:val="24"/>
              </w:rPr>
            </w:pPr>
            <w:r>
              <w:rPr>
                <w:rFonts w:hint="eastAsia" w:ascii="宋体" w:hAnsi="宋体" w:eastAsia="宋体" w:cs="宋体"/>
                <w:color w:val="000000"/>
                <w:kern w:val="0"/>
                <w:sz w:val="22"/>
              </w:rPr>
              <w:t>201</w:t>
            </w:r>
          </w:p>
        </w:tc>
        <w:tc>
          <w:tcPr>
            <w:tcW w:w="13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ascii="Times New Roman" w:hAnsi="Times New Roman" w:eastAsia="仿宋_GB2312" w:cs="Times New Roman"/>
                <w:sz w:val="24"/>
                <w:szCs w:val="24"/>
              </w:rPr>
            </w:pPr>
            <w:r>
              <w:rPr>
                <w:rFonts w:ascii="Times New Roman" w:hAnsi="Times New Roman" w:eastAsia="仿宋_GB2312" w:cs="Times New Roman"/>
              </w:rPr>
              <w:t>　</w:t>
            </w:r>
            <w:r>
              <w:rPr>
                <w:rFonts w:hint="eastAsia" w:ascii="Times New Roman" w:hAnsi="Times New Roman" w:eastAsia="仿宋_GB2312" w:cs="Times New Roman"/>
              </w:rPr>
              <w:t>一般公共服务支出</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widowControl/>
              <w:jc w:val="right"/>
              <w:textAlignment w:val="center"/>
              <w:rPr>
                <w:rFonts w:ascii="Times New Roman" w:hAnsi="Times New Roman" w:eastAsia="仿宋_GB2312" w:cs="Times New Roman"/>
                <w:sz w:val="24"/>
                <w:szCs w:val="24"/>
              </w:rPr>
            </w:pPr>
            <w:r>
              <w:rPr>
                <w:rFonts w:hint="eastAsia" w:ascii="宋体" w:hAnsi="宋体" w:eastAsia="宋体" w:cs="宋体"/>
                <w:color w:val="000000"/>
                <w:kern w:val="0"/>
                <w:sz w:val="22"/>
              </w:rPr>
              <w:t>372.31</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widowControl/>
              <w:jc w:val="right"/>
              <w:textAlignment w:val="center"/>
              <w:rPr>
                <w:rFonts w:ascii="Times New Roman" w:hAnsi="Times New Roman" w:eastAsia="仿宋_GB2312" w:cs="Times New Roman"/>
                <w:sz w:val="24"/>
                <w:szCs w:val="24"/>
              </w:rPr>
            </w:pPr>
            <w:r>
              <w:rPr>
                <w:rFonts w:hint="eastAsia" w:ascii="宋体" w:hAnsi="宋体" w:eastAsia="宋体" w:cs="宋体"/>
                <w:color w:val="000000"/>
                <w:kern w:val="0"/>
                <w:sz w:val="22"/>
              </w:rPr>
              <w:t>269.62</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widowControl/>
              <w:jc w:val="right"/>
              <w:textAlignment w:val="center"/>
              <w:rPr>
                <w:rFonts w:ascii="Times New Roman" w:hAnsi="Times New Roman" w:eastAsia="仿宋_GB2312" w:cs="Times New Roman"/>
                <w:sz w:val="24"/>
                <w:szCs w:val="24"/>
              </w:rPr>
            </w:pPr>
            <w:r>
              <w:rPr>
                <w:rFonts w:hint="eastAsia" w:ascii="宋体" w:hAnsi="宋体" w:eastAsia="宋体" w:cs="宋体"/>
                <w:color w:val="000000"/>
                <w:kern w:val="0"/>
                <w:sz w:val="22"/>
              </w:rPr>
              <w:t>102.69</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widowControl/>
              <w:jc w:val="right"/>
              <w:textAlignment w:val="center"/>
              <w:rPr>
                <w:rFonts w:ascii="Times New Roman" w:hAnsi="Times New Roman" w:eastAsia="仿宋_GB2312" w:cs="Times New Roman"/>
                <w:sz w:val="24"/>
                <w:szCs w:val="24"/>
              </w:rPr>
            </w:pPr>
            <w:r>
              <w:rPr>
                <w:rFonts w:hint="eastAsia" w:ascii="宋体" w:hAnsi="宋体" w:eastAsia="宋体" w:cs="宋体"/>
                <w:color w:val="000000"/>
                <w:kern w:val="0"/>
                <w:sz w:val="22"/>
              </w:rPr>
              <w:t>0.00</w:t>
            </w:r>
          </w:p>
        </w:tc>
      </w:tr>
      <w:tr>
        <w:tblPrEx>
          <w:tblCellMar>
            <w:top w:w="0" w:type="dxa"/>
            <w:left w:w="0" w:type="dxa"/>
            <w:bottom w:w="0" w:type="dxa"/>
            <w:right w:w="0" w:type="dxa"/>
          </w:tblCellMar>
        </w:tblPrEx>
        <w:trPr>
          <w:trHeight w:val="39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widowControl/>
              <w:jc w:val="left"/>
              <w:textAlignment w:val="center"/>
              <w:rPr>
                <w:rFonts w:ascii="Times New Roman" w:hAnsi="Times New Roman" w:eastAsia="仿宋_GB2312" w:cs="Times New Roman"/>
                <w:sz w:val="24"/>
                <w:szCs w:val="24"/>
              </w:rPr>
            </w:pPr>
            <w:r>
              <w:rPr>
                <w:rFonts w:hint="eastAsia" w:ascii="宋体" w:hAnsi="宋体" w:eastAsia="宋体" w:cs="宋体"/>
                <w:color w:val="000000"/>
                <w:kern w:val="0"/>
                <w:sz w:val="22"/>
              </w:rPr>
              <w:t>20199</w:t>
            </w:r>
          </w:p>
        </w:tc>
        <w:tc>
          <w:tcPr>
            <w:tcW w:w="13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tabs>
                <w:tab w:val="left" w:pos="450"/>
              </w:tabs>
              <w:rPr>
                <w:rFonts w:ascii="Times New Roman" w:hAnsi="Times New Roman" w:eastAsia="仿宋_GB2312" w:cs="Times New Roman"/>
                <w:sz w:val="24"/>
                <w:szCs w:val="24"/>
              </w:rPr>
            </w:pPr>
            <w:r>
              <w:rPr>
                <w:rFonts w:ascii="Times New Roman" w:hAnsi="Times New Roman" w:eastAsia="仿宋_GB2312" w:cs="Times New Roman"/>
              </w:rPr>
              <w:t>　</w:t>
            </w:r>
            <w:r>
              <w:rPr>
                <w:rFonts w:hint="eastAsia" w:ascii="Times New Roman" w:hAnsi="Times New Roman" w:eastAsia="仿宋_GB2312" w:cs="Times New Roman"/>
              </w:rPr>
              <w:tab/>
            </w:r>
            <w:r>
              <w:rPr>
                <w:rFonts w:hint="eastAsia" w:ascii="Times New Roman" w:hAnsi="Times New Roman" w:eastAsia="仿宋_GB2312" w:cs="Times New Roman"/>
              </w:rPr>
              <w:t>其他一般公共服务支出</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widowControl/>
              <w:jc w:val="right"/>
              <w:textAlignment w:val="center"/>
              <w:rPr>
                <w:rFonts w:ascii="Times New Roman" w:hAnsi="Times New Roman" w:eastAsia="仿宋_GB2312" w:cs="Times New Roman"/>
                <w:sz w:val="24"/>
                <w:szCs w:val="24"/>
              </w:rPr>
            </w:pPr>
            <w:r>
              <w:rPr>
                <w:rFonts w:hint="eastAsia" w:ascii="宋体" w:hAnsi="宋体" w:eastAsia="宋体" w:cs="宋体"/>
                <w:color w:val="000000"/>
                <w:kern w:val="0"/>
                <w:sz w:val="22"/>
              </w:rPr>
              <w:t>372.31</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widowControl/>
              <w:jc w:val="right"/>
              <w:textAlignment w:val="center"/>
              <w:rPr>
                <w:rFonts w:ascii="Times New Roman" w:hAnsi="Times New Roman" w:eastAsia="仿宋_GB2312" w:cs="Times New Roman"/>
                <w:sz w:val="24"/>
                <w:szCs w:val="24"/>
              </w:rPr>
            </w:pPr>
            <w:r>
              <w:rPr>
                <w:rFonts w:hint="eastAsia" w:ascii="宋体" w:hAnsi="宋体" w:eastAsia="宋体" w:cs="宋体"/>
                <w:color w:val="000000"/>
                <w:kern w:val="0"/>
                <w:sz w:val="22"/>
              </w:rPr>
              <w:t>269.62</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widowControl/>
              <w:jc w:val="right"/>
              <w:textAlignment w:val="center"/>
              <w:rPr>
                <w:rFonts w:ascii="Times New Roman" w:hAnsi="Times New Roman" w:eastAsia="仿宋_GB2312" w:cs="Times New Roman"/>
                <w:sz w:val="24"/>
                <w:szCs w:val="24"/>
              </w:rPr>
            </w:pPr>
            <w:r>
              <w:rPr>
                <w:rFonts w:hint="eastAsia" w:ascii="宋体" w:hAnsi="宋体" w:eastAsia="宋体" w:cs="宋体"/>
                <w:color w:val="000000"/>
                <w:kern w:val="0"/>
                <w:sz w:val="22"/>
              </w:rPr>
              <w:t>102.69</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widowControl/>
              <w:jc w:val="right"/>
              <w:textAlignment w:val="center"/>
              <w:rPr>
                <w:rFonts w:ascii="Times New Roman" w:hAnsi="Times New Roman" w:eastAsia="仿宋_GB2312" w:cs="Times New Roman"/>
                <w:sz w:val="24"/>
                <w:szCs w:val="24"/>
              </w:rPr>
            </w:pPr>
            <w:r>
              <w:rPr>
                <w:rFonts w:hint="eastAsia" w:ascii="宋体" w:hAnsi="宋体" w:eastAsia="宋体" w:cs="宋体"/>
                <w:color w:val="000000"/>
                <w:kern w:val="0"/>
                <w:sz w:val="22"/>
              </w:rPr>
              <w:t>0.00</w:t>
            </w:r>
          </w:p>
        </w:tc>
      </w:tr>
      <w:tr>
        <w:tblPrEx>
          <w:tblCellMar>
            <w:top w:w="0" w:type="dxa"/>
            <w:left w:w="0" w:type="dxa"/>
            <w:bottom w:w="0" w:type="dxa"/>
            <w:right w:w="0" w:type="dxa"/>
          </w:tblCellMar>
        </w:tblPrEx>
        <w:trPr>
          <w:trHeight w:val="963"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widowControl/>
              <w:jc w:val="left"/>
              <w:textAlignment w:val="center"/>
              <w:rPr>
                <w:rFonts w:ascii="Times New Roman" w:hAnsi="Times New Roman" w:eastAsia="仿宋_GB2312" w:cs="Times New Roman"/>
                <w:sz w:val="24"/>
                <w:szCs w:val="24"/>
              </w:rPr>
            </w:pPr>
            <w:r>
              <w:rPr>
                <w:rFonts w:hint="eastAsia" w:ascii="宋体" w:hAnsi="宋体" w:eastAsia="宋体" w:cs="宋体"/>
                <w:color w:val="000000"/>
                <w:kern w:val="0"/>
                <w:sz w:val="22"/>
              </w:rPr>
              <w:t>2019999</w:t>
            </w:r>
          </w:p>
        </w:tc>
        <w:tc>
          <w:tcPr>
            <w:tcW w:w="13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tabs>
                <w:tab w:val="left" w:pos="345"/>
              </w:tabs>
              <w:rPr>
                <w:rFonts w:ascii="Times New Roman" w:hAnsi="Times New Roman" w:eastAsia="仿宋_GB2312" w:cs="Times New Roman"/>
                <w:sz w:val="24"/>
                <w:szCs w:val="24"/>
              </w:rPr>
            </w:pPr>
            <w:r>
              <w:rPr>
                <w:rFonts w:ascii="Times New Roman" w:hAnsi="Times New Roman" w:eastAsia="仿宋_GB2312" w:cs="Times New Roman"/>
              </w:rPr>
              <w:t>　</w:t>
            </w:r>
            <w:r>
              <w:rPr>
                <w:rFonts w:hint="eastAsia" w:ascii="Times New Roman" w:hAnsi="Times New Roman" w:eastAsia="仿宋_GB2312" w:cs="Times New Roman"/>
              </w:rPr>
              <w:tab/>
            </w:r>
            <w:r>
              <w:rPr>
                <w:rFonts w:hint="eastAsia" w:ascii="Times New Roman" w:hAnsi="Times New Roman" w:eastAsia="仿宋_GB2312" w:cs="Times New Roman"/>
              </w:rPr>
              <w:t xml:space="preserve"> 其他一般公共服务支出</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widowControl/>
              <w:jc w:val="right"/>
              <w:textAlignment w:val="center"/>
              <w:rPr>
                <w:rFonts w:ascii="Times New Roman" w:hAnsi="Times New Roman" w:eastAsia="仿宋_GB2312" w:cs="Times New Roman"/>
                <w:sz w:val="24"/>
                <w:szCs w:val="24"/>
              </w:rPr>
            </w:pPr>
            <w:r>
              <w:rPr>
                <w:rFonts w:hint="eastAsia" w:ascii="宋体" w:hAnsi="宋体" w:eastAsia="宋体" w:cs="宋体"/>
                <w:color w:val="000000"/>
                <w:kern w:val="0"/>
                <w:sz w:val="22"/>
              </w:rPr>
              <w:t>372.31</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widowControl/>
              <w:jc w:val="right"/>
              <w:textAlignment w:val="center"/>
              <w:rPr>
                <w:rFonts w:ascii="Times New Roman" w:hAnsi="Times New Roman" w:eastAsia="仿宋_GB2312" w:cs="Times New Roman"/>
                <w:sz w:val="24"/>
                <w:szCs w:val="24"/>
              </w:rPr>
            </w:pPr>
            <w:r>
              <w:rPr>
                <w:rFonts w:hint="eastAsia" w:ascii="宋体" w:hAnsi="宋体" w:eastAsia="宋体" w:cs="宋体"/>
                <w:color w:val="000000"/>
                <w:kern w:val="0"/>
                <w:sz w:val="22"/>
              </w:rPr>
              <w:t>269.62</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widowControl/>
              <w:jc w:val="right"/>
              <w:textAlignment w:val="center"/>
              <w:rPr>
                <w:rFonts w:ascii="Times New Roman" w:hAnsi="Times New Roman" w:eastAsia="仿宋_GB2312" w:cs="Times New Roman"/>
                <w:sz w:val="24"/>
                <w:szCs w:val="24"/>
              </w:rPr>
            </w:pPr>
            <w:r>
              <w:rPr>
                <w:rFonts w:hint="eastAsia" w:ascii="宋体" w:hAnsi="宋体" w:eastAsia="宋体" w:cs="宋体"/>
                <w:color w:val="000000"/>
                <w:kern w:val="0"/>
                <w:sz w:val="22"/>
              </w:rPr>
              <w:t>102.69</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widowControl/>
              <w:jc w:val="right"/>
              <w:textAlignment w:val="center"/>
              <w:rPr>
                <w:rFonts w:ascii="Times New Roman" w:hAnsi="Times New Roman" w:eastAsia="仿宋_GB2312" w:cs="Times New Roman"/>
                <w:sz w:val="24"/>
                <w:szCs w:val="24"/>
              </w:rPr>
            </w:pPr>
            <w:r>
              <w:rPr>
                <w:rFonts w:hint="eastAsia" w:ascii="宋体" w:hAnsi="宋体" w:eastAsia="宋体" w:cs="宋体"/>
                <w:color w:val="000000"/>
                <w:kern w:val="0"/>
                <w:sz w:val="22"/>
              </w:rPr>
              <w:t>0.00</w:t>
            </w:r>
          </w:p>
        </w:tc>
      </w:tr>
      <w:tr>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widowControl/>
              <w:jc w:val="left"/>
              <w:textAlignment w:val="center"/>
              <w:rPr>
                <w:rFonts w:ascii="Times New Roman" w:hAnsi="Times New Roman" w:eastAsia="仿宋_GB2312" w:cs="Times New Roman"/>
                <w:sz w:val="24"/>
                <w:szCs w:val="24"/>
              </w:rPr>
            </w:pPr>
            <w:r>
              <w:rPr>
                <w:rFonts w:hint="eastAsia" w:ascii="宋体" w:hAnsi="宋体" w:eastAsia="宋体" w:cs="宋体"/>
                <w:color w:val="000000"/>
                <w:kern w:val="0"/>
                <w:sz w:val="22"/>
              </w:rPr>
              <w:t>208</w:t>
            </w:r>
          </w:p>
        </w:tc>
        <w:tc>
          <w:tcPr>
            <w:tcW w:w="13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ascii="Times New Roman" w:hAnsi="Times New Roman" w:eastAsia="仿宋_GB2312" w:cs="Times New Roman"/>
                <w:sz w:val="24"/>
                <w:szCs w:val="24"/>
              </w:rPr>
            </w:pPr>
            <w:r>
              <w:rPr>
                <w:rFonts w:ascii="Times New Roman" w:hAnsi="Times New Roman" w:eastAsia="仿宋_GB2312" w:cs="Times New Roman"/>
              </w:rPr>
              <w:t>　</w:t>
            </w:r>
            <w:r>
              <w:rPr>
                <w:rFonts w:hint="eastAsia" w:ascii="Times New Roman" w:hAnsi="Times New Roman" w:eastAsia="仿宋_GB2312" w:cs="Times New Roman"/>
              </w:rPr>
              <w:t>社会保障和就业支出</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widowControl/>
              <w:jc w:val="right"/>
              <w:textAlignment w:val="center"/>
              <w:rPr>
                <w:rFonts w:ascii="Times New Roman" w:hAnsi="Times New Roman" w:eastAsia="仿宋_GB2312" w:cs="Times New Roman"/>
                <w:sz w:val="24"/>
                <w:szCs w:val="24"/>
              </w:rPr>
            </w:pPr>
            <w:r>
              <w:rPr>
                <w:rFonts w:hint="eastAsia" w:ascii="宋体" w:hAnsi="宋体" w:eastAsia="宋体" w:cs="宋体"/>
                <w:color w:val="000000"/>
                <w:kern w:val="0"/>
                <w:sz w:val="22"/>
              </w:rPr>
              <w:t>2,386.19</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widowControl/>
              <w:jc w:val="right"/>
              <w:textAlignment w:val="center"/>
              <w:rPr>
                <w:rFonts w:ascii="Times New Roman" w:hAnsi="Times New Roman" w:eastAsia="仿宋_GB2312" w:cs="Times New Roman"/>
                <w:sz w:val="24"/>
                <w:szCs w:val="24"/>
              </w:rPr>
            </w:pPr>
            <w:r>
              <w:rPr>
                <w:rFonts w:hint="eastAsia" w:ascii="宋体" w:hAnsi="宋体" w:eastAsia="宋体" w:cs="宋体"/>
                <w:color w:val="000000"/>
                <w:kern w:val="0"/>
                <w:sz w:val="22"/>
              </w:rPr>
              <w:t>1,580.97</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widowControl/>
              <w:jc w:val="right"/>
              <w:textAlignment w:val="center"/>
              <w:rPr>
                <w:rFonts w:ascii="Times New Roman" w:hAnsi="Times New Roman" w:eastAsia="仿宋_GB2312" w:cs="Times New Roman"/>
                <w:sz w:val="24"/>
                <w:szCs w:val="24"/>
              </w:rPr>
            </w:pPr>
            <w:r>
              <w:rPr>
                <w:rFonts w:hint="eastAsia" w:ascii="宋体" w:hAnsi="宋体" w:eastAsia="宋体" w:cs="宋体"/>
                <w:color w:val="000000"/>
                <w:kern w:val="0"/>
                <w:sz w:val="22"/>
              </w:rPr>
              <w:t>805.22</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widowControl/>
              <w:jc w:val="right"/>
              <w:textAlignment w:val="center"/>
              <w:rPr>
                <w:rFonts w:ascii="Times New Roman" w:hAnsi="Times New Roman" w:eastAsia="仿宋_GB2312" w:cs="Times New Roman"/>
                <w:sz w:val="24"/>
                <w:szCs w:val="24"/>
              </w:rPr>
            </w:pPr>
            <w:r>
              <w:rPr>
                <w:rFonts w:hint="eastAsia" w:ascii="宋体" w:hAnsi="宋体" w:eastAsia="宋体" w:cs="宋体"/>
                <w:color w:val="000000"/>
                <w:kern w:val="0"/>
                <w:sz w:val="22"/>
              </w:rPr>
              <w:t>0.00</w:t>
            </w:r>
          </w:p>
        </w:tc>
      </w:tr>
      <w:tr>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widowControl/>
              <w:jc w:val="left"/>
              <w:textAlignment w:val="center"/>
              <w:rPr>
                <w:rFonts w:ascii="Times New Roman" w:hAnsi="Times New Roman" w:eastAsia="仿宋_GB2312" w:cs="Times New Roman"/>
                <w:sz w:val="24"/>
                <w:szCs w:val="24"/>
              </w:rPr>
            </w:pPr>
            <w:r>
              <w:rPr>
                <w:rFonts w:hint="eastAsia" w:ascii="宋体" w:hAnsi="宋体" w:eastAsia="宋体" w:cs="宋体"/>
                <w:color w:val="000000"/>
                <w:kern w:val="0"/>
                <w:sz w:val="22"/>
              </w:rPr>
              <w:t>20805</w:t>
            </w:r>
          </w:p>
        </w:tc>
        <w:tc>
          <w:tcPr>
            <w:tcW w:w="13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ascii="Times New Roman" w:hAnsi="Times New Roman" w:eastAsia="仿宋_GB2312" w:cs="Times New Roman"/>
                <w:sz w:val="24"/>
                <w:szCs w:val="24"/>
              </w:rPr>
            </w:pPr>
            <w:r>
              <w:rPr>
                <w:rFonts w:ascii="Times New Roman" w:hAnsi="Times New Roman" w:eastAsia="仿宋_GB2312" w:cs="Times New Roman"/>
              </w:rPr>
              <w:t>　</w:t>
            </w:r>
            <w:r>
              <w:rPr>
                <w:rFonts w:hint="eastAsia" w:ascii="Times New Roman" w:hAnsi="Times New Roman" w:eastAsia="仿宋_GB2312" w:cs="Times New Roman"/>
              </w:rPr>
              <w:t>行政事业单位养老支出</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widowControl/>
              <w:jc w:val="right"/>
              <w:textAlignment w:val="center"/>
              <w:rPr>
                <w:rFonts w:ascii="Times New Roman" w:hAnsi="Times New Roman" w:eastAsia="仿宋_GB2312" w:cs="Times New Roman"/>
                <w:sz w:val="24"/>
                <w:szCs w:val="24"/>
              </w:rPr>
            </w:pPr>
            <w:r>
              <w:rPr>
                <w:rFonts w:hint="eastAsia" w:ascii="宋体" w:hAnsi="宋体" w:eastAsia="宋体" w:cs="宋体"/>
                <w:color w:val="000000"/>
                <w:kern w:val="0"/>
                <w:sz w:val="22"/>
              </w:rPr>
              <w:t>0.01</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widowControl/>
              <w:jc w:val="right"/>
              <w:textAlignment w:val="center"/>
              <w:rPr>
                <w:rFonts w:ascii="Times New Roman" w:hAnsi="Times New Roman" w:eastAsia="仿宋_GB2312" w:cs="Times New Roman"/>
                <w:sz w:val="24"/>
                <w:szCs w:val="24"/>
              </w:rPr>
            </w:pPr>
            <w:r>
              <w:rPr>
                <w:rFonts w:hint="eastAsia" w:ascii="宋体" w:hAnsi="宋体" w:eastAsia="宋体" w:cs="宋体"/>
                <w:color w:val="000000"/>
                <w:kern w:val="0"/>
                <w:sz w:val="22"/>
              </w:rPr>
              <w:t>0.01</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widowControl/>
              <w:jc w:val="right"/>
              <w:textAlignment w:val="center"/>
              <w:rPr>
                <w:rFonts w:ascii="Times New Roman" w:hAnsi="Times New Roman" w:eastAsia="仿宋_GB2312" w:cs="Times New Roman"/>
                <w:sz w:val="24"/>
                <w:szCs w:val="24"/>
              </w:rPr>
            </w:pPr>
            <w:r>
              <w:rPr>
                <w:rFonts w:hint="eastAsia" w:ascii="宋体" w:hAnsi="宋体" w:eastAsia="宋体" w:cs="宋体"/>
                <w:color w:val="000000"/>
                <w:kern w:val="0"/>
                <w:sz w:val="22"/>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widowControl/>
              <w:jc w:val="right"/>
              <w:textAlignment w:val="center"/>
              <w:rPr>
                <w:rFonts w:ascii="Times New Roman" w:hAnsi="Times New Roman" w:eastAsia="仿宋_GB2312" w:cs="Times New Roman"/>
                <w:sz w:val="24"/>
                <w:szCs w:val="24"/>
              </w:rPr>
            </w:pPr>
            <w:r>
              <w:rPr>
                <w:rFonts w:hint="eastAsia" w:ascii="宋体" w:hAnsi="宋体" w:eastAsia="宋体" w:cs="宋体"/>
                <w:color w:val="000000"/>
                <w:kern w:val="0"/>
                <w:sz w:val="22"/>
              </w:rPr>
              <w:t>0.00</w:t>
            </w:r>
          </w:p>
        </w:tc>
      </w:tr>
      <w:tr>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widowControl/>
              <w:jc w:val="left"/>
              <w:textAlignment w:val="center"/>
              <w:rPr>
                <w:rFonts w:ascii="Times New Roman" w:hAnsi="Times New Roman" w:eastAsia="仿宋_GB2312" w:cs="Times New Roman"/>
                <w:sz w:val="24"/>
                <w:szCs w:val="24"/>
              </w:rPr>
            </w:pPr>
            <w:r>
              <w:rPr>
                <w:rFonts w:hint="eastAsia" w:ascii="宋体" w:hAnsi="宋体" w:eastAsia="宋体" w:cs="宋体"/>
                <w:color w:val="000000"/>
                <w:kern w:val="0"/>
                <w:sz w:val="22"/>
              </w:rPr>
              <w:t>2080599</w:t>
            </w:r>
          </w:p>
        </w:tc>
        <w:tc>
          <w:tcPr>
            <w:tcW w:w="1300"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ascii="Times New Roman" w:hAnsi="Times New Roman" w:eastAsia="仿宋_GB2312" w:cs="Times New Roman"/>
                <w:sz w:val="24"/>
                <w:szCs w:val="24"/>
              </w:rPr>
            </w:pPr>
            <w:r>
              <w:rPr>
                <w:rFonts w:ascii="Times New Roman" w:hAnsi="Times New Roman" w:eastAsia="仿宋_GB2312" w:cs="Times New Roman"/>
              </w:rPr>
              <w:t>　</w:t>
            </w:r>
            <w:r>
              <w:rPr>
                <w:rFonts w:hint="eastAsia" w:ascii="Times New Roman" w:hAnsi="Times New Roman" w:eastAsia="仿宋_GB2312" w:cs="Times New Roman"/>
              </w:rPr>
              <w:t>其他行政事业单位养老支出</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widowControl/>
              <w:jc w:val="right"/>
              <w:textAlignment w:val="center"/>
              <w:rPr>
                <w:rFonts w:ascii="Times New Roman" w:hAnsi="Times New Roman" w:eastAsia="仿宋_GB2312" w:cs="Times New Roman"/>
                <w:sz w:val="24"/>
                <w:szCs w:val="24"/>
              </w:rPr>
            </w:pPr>
            <w:r>
              <w:rPr>
                <w:rFonts w:hint="eastAsia" w:ascii="宋体" w:hAnsi="宋体" w:eastAsia="宋体" w:cs="宋体"/>
                <w:color w:val="000000"/>
                <w:kern w:val="0"/>
                <w:sz w:val="22"/>
              </w:rPr>
              <w:t>0.01</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widowControl/>
              <w:jc w:val="right"/>
              <w:textAlignment w:val="center"/>
              <w:rPr>
                <w:rFonts w:ascii="Times New Roman" w:hAnsi="Times New Roman" w:eastAsia="仿宋_GB2312" w:cs="Times New Roman"/>
                <w:sz w:val="24"/>
                <w:szCs w:val="24"/>
              </w:rPr>
            </w:pPr>
            <w:r>
              <w:rPr>
                <w:rFonts w:hint="eastAsia" w:ascii="宋体" w:hAnsi="宋体" w:eastAsia="宋体" w:cs="宋体"/>
                <w:color w:val="000000"/>
                <w:kern w:val="0"/>
                <w:sz w:val="22"/>
              </w:rPr>
              <w:t>0.01</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widowControl/>
              <w:jc w:val="right"/>
              <w:textAlignment w:val="center"/>
              <w:rPr>
                <w:rFonts w:ascii="Times New Roman" w:hAnsi="Times New Roman" w:eastAsia="仿宋_GB2312" w:cs="Times New Roman"/>
                <w:sz w:val="24"/>
                <w:szCs w:val="24"/>
              </w:rPr>
            </w:pPr>
            <w:r>
              <w:rPr>
                <w:rFonts w:hint="eastAsia" w:ascii="宋体" w:hAnsi="宋体" w:eastAsia="宋体" w:cs="宋体"/>
                <w:color w:val="000000"/>
                <w:kern w:val="0"/>
                <w:sz w:val="22"/>
              </w:rPr>
              <w:t>0.00</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89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widowControl/>
              <w:jc w:val="right"/>
              <w:textAlignment w:val="center"/>
              <w:rPr>
                <w:rFonts w:ascii="Times New Roman" w:hAnsi="Times New Roman" w:eastAsia="仿宋_GB2312" w:cs="Times New Roman"/>
                <w:sz w:val="24"/>
                <w:szCs w:val="24"/>
              </w:rPr>
            </w:pPr>
            <w:r>
              <w:rPr>
                <w:rFonts w:hint="eastAsia" w:ascii="宋体" w:hAnsi="宋体" w:eastAsia="宋体" w:cs="宋体"/>
                <w:color w:val="000000"/>
                <w:kern w:val="0"/>
                <w:sz w:val="22"/>
              </w:rPr>
              <w:t>0.00</w:t>
            </w:r>
          </w:p>
        </w:tc>
      </w:tr>
      <w:tr>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widowControl/>
              <w:jc w:val="left"/>
              <w:textAlignment w:val="center"/>
              <w:rPr>
                <w:rFonts w:ascii="Times New Roman" w:hAnsi="Times New Roman" w:eastAsia="仿宋_GB2312" w:cs="Times New Roman"/>
              </w:rPr>
            </w:pPr>
            <w:r>
              <w:rPr>
                <w:rFonts w:hint="eastAsia" w:ascii="宋体" w:hAnsi="宋体" w:eastAsia="宋体" w:cs="宋体"/>
                <w:color w:val="000000"/>
                <w:kern w:val="0"/>
                <w:sz w:val="22"/>
              </w:rPr>
              <w:t>20810</w:t>
            </w:r>
          </w:p>
        </w:tc>
        <w:tc>
          <w:tcPr>
            <w:tcW w:w="1300"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社会福利</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widowControl/>
              <w:jc w:val="right"/>
              <w:textAlignment w:val="center"/>
              <w:rPr>
                <w:rFonts w:ascii="Times New Roman" w:hAnsi="Times New Roman" w:eastAsia="仿宋_GB2312" w:cs="Times New Roman"/>
              </w:rPr>
            </w:pPr>
            <w:r>
              <w:rPr>
                <w:rFonts w:hint="eastAsia" w:ascii="宋体" w:hAnsi="宋体" w:eastAsia="宋体" w:cs="宋体"/>
                <w:color w:val="000000"/>
                <w:kern w:val="0"/>
                <w:sz w:val="22"/>
              </w:rPr>
              <w:t>1,260.23</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widowControl/>
              <w:jc w:val="right"/>
              <w:textAlignment w:val="center"/>
              <w:rPr>
                <w:rFonts w:ascii="Times New Roman" w:hAnsi="Times New Roman" w:eastAsia="仿宋_GB2312" w:cs="Times New Roman"/>
              </w:rPr>
            </w:pPr>
            <w:r>
              <w:rPr>
                <w:rFonts w:hint="eastAsia" w:ascii="宋体" w:hAnsi="宋体" w:eastAsia="宋体" w:cs="宋体"/>
                <w:color w:val="000000"/>
                <w:kern w:val="0"/>
                <w:sz w:val="22"/>
              </w:rPr>
              <w:t>455.00</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rPr>
            </w:pP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widowControl/>
              <w:jc w:val="right"/>
              <w:textAlignment w:val="center"/>
              <w:rPr>
                <w:rFonts w:ascii="Times New Roman" w:hAnsi="Times New Roman" w:eastAsia="仿宋_GB2312" w:cs="Times New Roman"/>
              </w:rPr>
            </w:pPr>
            <w:r>
              <w:rPr>
                <w:rFonts w:hint="eastAsia" w:ascii="宋体" w:hAnsi="宋体" w:eastAsia="宋体" w:cs="宋体"/>
                <w:color w:val="000000"/>
                <w:kern w:val="0"/>
                <w:sz w:val="22"/>
              </w:rPr>
              <w:t>805.22</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rPr>
            </w:pPr>
          </w:p>
        </w:tc>
        <w:tc>
          <w:tcPr>
            <w:tcW w:w="189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rPr>
            </w:pP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widowControl/>
              <w:jc w:val="right"/>
              <w:textAlignment w:val="center"/>
              <w:rPr>
                <w:rFonts w:ascii="Times New Roman" w:hAnsi="Times New Roman" w:eastAsia="仿宋_GB2312" w:cs="Times New Roman"/>
              </w:rPr>
            </w:pPr>
            <w:r>
              <w:rPr>
                <w:rFonts w:hint="eastAsia" w:ascii="宋体" w:hAnsi="宋体" w:eastAsia="宋体" w:cs="宋体"/>
                <w:color w:val="000000"/>
                <w:kern w:val="0"/>
                <w:sz w:val="22"/>
              </w:rPr>
              <w:t>0.00</w:t>
            </w:r>
          </w:p>
        </w:tc>
      </w:tr>
      <w:tr>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widowControl/>
              <w:jc w:val="left"/>
              <w:textAlignment w:val="center"/>
              <w:rPr>
                <w:rFonts w:ascii="Times New Roman" w:hAnsi="Times New Roman" w:eastAsia="仿宋_GB2312" w:cs="Times New Roman"/>
              </w:rPr>
            </w:pPr>
            <w:r>
              <w:rPr>
                <w:rFonts w:hint="eastAsia" w:ascii="宋体" w:hAnsi="宋体" w:eastAsia="宋体" w:cs="宋体"/>
                <w:color w:val="000000"/>
                <w:kern w:val="0"/>
                <w:sz w:val="22"/>
              </w:rPr>
              <w:t>2081004</w:t>
            </w:r>
          </w:p>
        </w:tc>
        <w:tc>
          <w:tcPr>
            <w:tcW w:w="1300"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ascii="Times New Roman" w:hAnsi="Times New Roman" w:eastAsia="仿宋_GB2312" w:cs="Times New Roman"/>
              </w:rPr>
            </w:pPr>
            <w:r>
              <w:rPr>
                <w:rFonts w:hint="eastAsia" w:ascii="Times New Roman" w:hAnsi="Times New Roman" w:eastAsia="仿宋_GB2312" w:cs="Times New Roman"/>
              </w:rPr>
              <w:t xml:space="preserve"> 殡葬</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widowControl/>
              <w:jc w:val="right"/>
              <w:textAlignment w:val="center"/>
              <w:rPr>
                <w:rFonts w:ascii="Times New Roman" w:hAnsi="Times New Roman" w:eastAsia="仿宋_GB2312" w:cs="Times New Roman"/>
              </w:rPr>
            </w:pPr>
            <w:r>
              <w:rPr>
                <w:rFonts w:hint="eastAsia" w:ascii="宋体" w:hAnsi="宋体" w:eastAsia="宋体" w:cs="宋体"/>
                <w:color w:val="000000"/>
                <w:kern w:val="0"/>
                <w:sz w:val="22"/>
              </w:rPr>
              <w:t>1,249.57</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widowControl/>
              <w:jc w:val="right"/>
              <w:textAlignment w:val="center"/>
              <w:rPr>
                <w:rFonts w:ascii="Times New Roman" w:hAnsi="Times New Roman" w:eastAsia="仿宋_GB2312" w:cs="Times New Roman"/>
              </w:rPr>
            </w:pPr>
            <w:r>
              <w:rPr>
                <w:rFonts w:hint="eastAsia" w:ascii="宋体" w:hAnsi="宋体" w:eastAsia="宋体" w:cs="宋体"/>
                <w:color w:val="000000"/>
                <w:kern w:val="0"/>
                <w:sz w:val="22"/>
              </w:rPr>
              <w:t>444.35</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rPr>
            </w:pP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widowControl/>
              <w:jc w:val="right"/>
              <w:textAlignment w:val="center"/>
              <w:rPr>
                <w:rFonts w:ascii="Times New Roman" w:hAnsi="Times New Roman" w:eastAsia="仿宋_GB2312" w:cs="Times New Roman"/>
              </w:rPr>
            </w:pPr>
            <w:r>
              <w:rPr>
                <w:rFonts w:hint="eastAsia" w:ascii="宋体" w:hAnsi="宋体" w:eastAsia="宋体" w:cs="宋体"/>
                <w:color w:val="000000"/>
                <w:kern w:val="0"/>
                <w:sz w:val="22"/>
              </w:rPr>
              <w:t>805.22</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rPr>
            </w:pPr>
          </w:p>
        </w:tc>
        <w:tc>
          <w:tcPr>
            <w:tcW w:w="189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rPr>
            </w:pP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widowControl/>
              <w:jc w:val="right"/>
              <w:textAlignment w:val="center"/>
              <w:rPr>
                <w:rFonts w:ascii="Times New Roman" w:hAnsi="Times New Roman" w:eastAsia="仿宋_GB2312" w:cs="Times New Roman"/>
              </w:rPr>
            </w:pPr>
            <w:r>
              <w:rPr>
                <w:rFonts w:hint="eastAsia" w:ascii="宋体" w:hAnsi="宋体" w:eastAsia="宋体" w:cs="宋体"/>
                <w:color w:val="000000"/>
                <w:kern w:val="0"/>
                <w:sz w:val="22"/>
              </w:rPr>
              <w:t>0.00</w:t>
            </w:r>
          </w:p>
        </w:tc>
      </w:tr>
      <w:tr>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widowControl/>
              <w:jc w:val="left"/>
              <w:textAlignment w:val="center"/>
              <w:rPr>
                <w:rFonts w:ascii="Times New Roman" w:hAnsi="Times New Roman" w:eastAsia="仿宋_GB2312" w:cs="Times New Roman"/>
              </w:rPr>
            </w:pPr>
            <w:r>
              <w:rPr>
                <w:rFonts w:hint="eastAsia" w:ascii="宋体" w:hAnsi="宋体" w:eastAsia="宋体" w:cs="宋体"/>
                <w:color w:val="000000"/>
                <w:kern w:val="0"/>
                <w:sz w:val="22"/>
              </w:rPr>
              <w:t>2081005</w:t>
            </w:r>
          </w:p>
        </w:tc>
        <w:tc>
          <w:tcPr>
            <w:tcW w:w="1300"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ascii="Times New Roman" w:hAnsi="Times New Roman" w:eastAsia="仿宋_GB2312" w:cs="Times New Roman"/>
              </w:rPr>
            </w:pPr>
            <w:r>
              <w:rPr>
                <w:rFonts w:hint="eastAsia" w:ascii="Times New Roman" w:hAnsi="Times New Roman" w:eastAsia="仿宋_GB2312" w:cs="Times New Roman"/>
              </w:rPr>
              <w:t>社会福利事业单位</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widowControl/>
              <w:jc w:val="right"/>
              <w:textAlignment w:val="center"/>
              <w:rPr>
                <w:rFonts w:ascii="Times New Roman" w:hAnsi="Times New Roman" w:eastAsia="仿宋_GB2312" w:cs="Times New Roman"/>
              </w:rPr>
            </w:pPr>
            <w:r>
              <w:rPr>
                <w:rFonts w:hint="eastAsia" w:ascii="宋体" w:hAnsi="宋体" w:eastAsia="宋体" w:cs="宋体"/>
                <w:color w:val="000000"/>
                <w:kern w:val="0"/>
                <w:sz w:val="22"/>
              </w:rPr>
              <w:t>10.66</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widowControl/>
              <w:jc w:val="right"/>
              <w:textAlignment w:val="center"/>
              <w:rPr>
                <w:rFonts w:ascii="Times New Roman" w:hAnsi="Times New Roman" w:eastAsia="仿宋_GB2312" w:cs="Times New Roman"/>
              </w:rPr>
            </w:pPr>
            <w:r>
              <w:rPr>
                <w:rFonts w:hint="eastAsia" w:ascii="宋体" w:hAnsi="宋体" w:eastAsia="宋体" w:cs="宋体"/>
                <w:color w:val="000000"/>
                <w:kern w:val="0"/>
                <w:sz w:val="22"/>
              </w:rPr>
              <w:t>10.66</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rPr>
            </w:pP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widowControl/>
              <w:jc w:val="right"/>
              <w:textAlignment w:val="center"/>
              <w:rPr>
                <w:rFonts w:ascii="Times New Roman" w:hAnsi="Times New Roman" w:eastAsia="仿宋_GB2312" w:cs="Times New Roman"/>
              </w:rPr>
            </w:pPr>
            <w:r>
              <w:rPr>
                <w:rFonts w:hint="eastAsia" w:ascii="宋体" w:hAnsi="宋体" w:eastAsia="宋体" w:cs="宋体"/>
                <w:color w:val="000000"/>
                <w:kern w:val="0"/>
                <w:sz w:val="22"/>
              </w:rPr>
              <w:t>0.00</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rPr>
            </w:pPr>
          </w:p>
        </w:tc>
        <w:tc>
          <w:tcPr>
            <w:tcW w:w="189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rPr>
            </w:pP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widowControl/>
              <w:jc w:val="right"/>
              <w:textAlignment w:val="center"/>
              <w:rPr>
                <w:rFonts w:ascii="Times New Roman" w:hAnsi="Times New Roman" w:eastAsia="仿宋_GB2312" w:cs="Times New Roman"/>
              </w:rPr>
            </w:pPr>
            <w:r>
              <w:rPr>
                <w:rFonts w:hint="eastAsia" w:ascii="宋体" w:hAnsi="宋体" w:eastAsia="宋体" w:cs="宋体"/>
                <w:color w:val="000000"/>
                <w:kern w:val="0"/>
                <w:sz w:val="22"/>
              </w:rPr>
              <w:t>0.00</w:t>
            </w:r>
          </w:p>
        </w:tc>
      </w:tr>
      <w:tr>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widowControl/>
              <w:jc w:val="left"/>
              <w:textAlignment w:val="center"/>
              <w:rPr>
                <w:rFonts w:ascii="Times New Roman" w:hAnsi="Times New Roman" w:eastAsia="仿宋_GB2312" w:cs="Times New Roman"/>
              </w:rPr>
            </w:pPr>
            <w:r>
              <w:rPr>
                <w:rFonts w:hint="eastAsia" w:ascii="宋体" w:hAnsi="宋体" w:eastAsia="宋体" w:cs="宋体"/>
                <w:color w:val="000000"/>
                <w:kern w:val="0"/>
                <w:sz w:val="22"/>
              </w:rPr>
              <w:t>20899</w:t>
            </w:r>
          </w:p>
        </w:tc>
        <w:tc>
          <w:tcPr>
            <w:tcW w:w="1300"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ascii="Times New Roman" w:hAnsi="Times New Roman" w:eastAsia="仿宋_GB2312" w:cs="Times New Roman"/>
              </w:rPr>
            </w:pPr>
            <w:r>
              <w:rPr>
                <w:rFonts w:hint="eastAsia" w:ascii="Times New Roman" w:hAnsi="Times New Roman" w:eastAsia="仿宋_GB2312" w:cs="Times New Roman"/>
              </w:rPr>
              <w:t>其他社会保障和就业支出</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widowControl/>
              <w:jc w:val="right"/>
              <w:textAlignment w:val="center"/>
              <w:rPr>
                <w:rFonts w:ascii="Times New Roman" w:hAnsi="Times New Roman" w:eastAsia="仿宋_GB2312" w:cs="Times New Roman"/>
              </w:rPr>
            </w:pPr>
            <w:r>
              <w:rPr>
                <w:rFonts w:hint="eastAsia" w:ascii="宋体" w:hAnsi="宋体" w:eastAsia="宋体" w:cs="宋体"/>
                <w:color w:val="000000"/>
                <w:kern w:val="0"/>
                <w:sz w:val="22"/>
              </w:rPr>
              <w:t>1,125.96</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widowControl/>
              <w:jc w:val="right"/>
              <w:textAlignment w:val="center"/>
              <w:rPr>
                <w:rFonts w:ascii="Times New Roman" w:hAnsi="Times New Roman" w:eastAsia="仿宋_GB2312" w:cs="Times New Roman"/>
              </w:rPr>
            </w:pPr>
            <w:r>
              <w:rPr>
                <w:rFonts w:hint="eastAsia" w:ascii="宋体" w:hAnsi="宋体" w:eastAsia="宋体" w:cs="宋体"/>
                <w:color w:val="000000"/>
                <w:kern w:val="0"/>
                <w:sz w:val="22"/>
              </w:rPr>
              <w:t>1,125.96</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rPr>
            </w:pP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widowControl/>
              <w:jc w:val="right"/>
              <w:textAlignment w:val="center"/>
              <w:rPr>
                <w:rFonts w:ascii="Times New Roman" w:hAnsi="Times New Roman" w:eastAsia="仿宋_GB2312" w:cs="Times New Roman"/>
              </w:rPr>
            </w:pPr>
            <w:r>
              <w:rPr>
                <w:rFonts w:hint="eastAsia" w:ascii="宋体" w:hAnsi="宋体" w:eastAsia="宋体" w:cs="宋体"/>
                <w:color w:val="000000"/>
                <w:kern w:val="0"/>
                <w:sz w:val="22"/>
              </w:rPr>
              <w:t>0.00</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rPr>
            </w:pPr>
          </w:p>
        </w:tc>
        <w:tc>
          <w:tcPr>
            <w:tcW w:w="189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rPr>
            </w:pP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widowControl/>
              <w:jc w:val="right"/>
              <w:textAlignment w:val="center"/>
              <w:rPr>
                <w:rFonts w:ascii="Times New Roman" w:hAnsi="Times New Roman" w:eastAsia="仿宋_GB2312" w:cs="Times New Roman"/>
              </w:rPr>
            </w:pPr>
            <w:r>
              <w:rPr>
                <w:rFonts w:hint="eastAsia" w:ascii="宋体" w:hAnsi="宋体" w:eastAsia="宋体" w:cs="宋体"/>
                <w:color w:val="000000"/>
                <w:kern w:val="0"/>
                <w:sz w:val="22"/>
              </w:rPr>
              <w:t>0.00</w:t>
            </w:r>
          </w:p>
        </w:tc>
      </w:tr>
      <w:tr>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widowControl/>
              <w:jc w:val="left"/>
              <w:textAlignment w:val="center"/>
              <w:rPr>
                <w:rFonts w:ascii="Times New Roman" w:hAnsi="Times New Roman" w:eastAsia="仿宋_GB2312" w:cs="Times New Roman"/>
              </w:rPr>
            </w:pPr>
            <w:r>
              <w:rPr>
                <w:rFonts w:hint="eastAsia" w:ascii="宋体" w:hAnsi="宋体" w:eastAsia="宋体" w:cs="宋体"/>
                <w:color w:val="000000"/>
                <w:kern w:val="0"/>
                <w:sz w:val="22"/>
              </w:rPr>
              <w:t>2089999</w:t>
            </w:r>
          </w:p>
        </w:tc>
        <w:tc>
          <w:tcPr>
            <w:tcW w:w="1300"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ascii="Times New Roman" w:hAnsi="Times New Roman" w:eastAsia="仿宋_GB2312" w:cs="Times New Roman"/>
              </w:rPr>
            </w:pPr>
            <w:r>
              <w:rPr>
                <w:rFonts w:hint="eastAsia" w:ascii="Times New Roman" w:hAnsi="Times New Roman" w:eastAsia="仿宋_GB2312" w:cs="Times New Roman"/>
              </w:rPr>
              <w:t xml:space="preserve">  其他社会保障和就业支出</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widowControl/>
              <w:jc w:val="right"/>
              <w:textAlignment w:val="center"/>
              <w:rPr>
                <w:rFonts w:ascii="Times New Roman" w:hAnsi="Times New Roman" w:eastAsia="仿宋_GB2312" w:cs="Times New Roman"/>
              </w:rPr>
            </w:pPr>
            <w:r>
              <w:rPr>
                <w:rFonts w:hint="eastAsia" w:ascii="宋体" w:hAnsi="宋体" w:eastAsia="宋体" w:cs="宋体"/>
                <w:color w:val="000000"/>
                <w:kern w:val="0"/>
                <w:sz w:val="22"/>
              </w:rPr>
              <w:t>1,125.96</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widowControl/>
              <w:jc w:val="right"/>
              <w:textAlignment w:val="center"/>
              <w:rPr>
                <w:rFonts w:ascii="Times New Roman" w:hAnsi="Times New Roman" w:eastAsia="仿宋_GB2312" w:cs="Times New Roman"/>
              </w:rPr>
            </w:pPr>
            <w:r>
              <w:rPr>
                <w:rFonts w:hint="eastAsia" w:ascii="宋体" w:hAnsi="宋体" w:eastAsia="宋体" w:cs="宋体"/>
                <w:color w:val="000000"/>
                <w:kern w:val="0"/>
                <w:sz w:val="22"/>
              </w:rPr>
              <w:t>1,125.96</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rPr>
            </w:pP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widowControl/>
              <w:jc w:val="right"/>
              <w:textAlignment w:val="center"/>
              <w:rPr>
                <w:rFonts w:ascii="Times New Roman" w:hAnsi="Times New Roman" w:eastAsia="仿宋_GB2312" w:cs="Times New Roman"/>
              </w:rPr>
            </w:pPr>
            <w:r>
              <w:rPr>
                <w:rFonts w:hint="eastAsia" w:ascii="宋体" w:hAnsi="宋体" w:eastAsia="宋体" w:cs="宋体"/>
                <w:color w:val="000000"/>
                <w:kern w:val="0"/>
                <w:sz w:val="22"/>
              </w:rPr>
              <w:t>0.00</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rPr>
            </w:pPr>
          </w:p>
        </w:tc>
        <w:tc>
          <w:tcPr>
            <w:tcW w:w="189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rPr>
            </w:pP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widowControl/>
              <w:jc w:val="right"/>
              <w:textAlignment w:val="center"/>
              <w:rPr>
                <w:rFonts w:ascii="Times New Roman" w:hAnsi="Times New Roman" w:eastAsia="仿宋_GB2312" w:cs="Times New Roman"/>
              </w:rPr>
            </w:pPr>
            <w:r>
              <w:rPr>
                <w:rFonts w:hint="eastAsia" w:ascii="宋体" w:hAnsi="宋体" w:eastAsia="宋体" w:cs="宋体"/>
                <w:color w:val="000000"/>
                <w:kern w:val="0"/>
                <w:sz w:val="22"/>
              </w:rPr>
              <w:t>0.00</w:t>
            </w:r>
          </w:p>
        </w:tc>
      </w:tr>
      <w:tr>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widowControl/>
              <w:jc w:val="left"/>
              <w:textAlignment w:val="center"/>
              <w:rPr>
                <w:rFonts w:ascii="Times New Roman" w:hAnsi="Times New Roman" w:eastAsia="仿宋_GB2312" w:cs="Times New Roman"/>
              </w:rPr>
            </w:pPr>
            <w:r>
              <w:rPr>
                <w:rFonts w:hint="eastAsia" w:ascii="宋体" w:hAnsi="宋体" w:eastAsia="宋体" w:cs="宋体"/>
                <w:color w:val="000000"/>
                <w:kern w:val="0"/>
                <w:sz w:val="22"/>
              </w:rPr>
              <w:t>229</w:t>
            </w:r>
          </w:p>
        </w:tc>
        <w:tc>
          <w:tcPr>
            <w:tcW w:w="1300"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ascii="Times New Roman" w:hAnsi="Times New Roman" w:eastAsia="仿宋_GB2312" w:cs="Times New Roman"/>
              </w:rPr>
            </w:pPr>
            <w:r>
              <w:rPr>
                <w:rFonts w:hint="eastAsia" w:ascii="Times New Roman" w:hAnsi="Times New Roman" w:eastAsia="仿宋_GB2312" w:cs="Times New Roman"/>
              </w:rPr>
              <w:t>其他支出</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widowControl/>
              <w:jc w:val="right"/>
              <w:textAlignment w:val="center"/>
              <w:rPr>
                <w:rFonts w:ascii="Times New Roman" w:hAnsi="Times New Roman" w:eastAsia="仿宋_GB2312" w:cs="Times New Roman"/>
              </w:rPr>
            </w:pPr>
            <w:r>
              <w:rPr>
                <w:rFonts w:hint="eastAsia" w:ascii="宋体" w:hAnsi="宋体" w:eastAsia="宋体" w:cs="宋体"/>
                <w:color w:val="000000"/>
                <w:kern w:val="0"/>
                <w:sz w:val="22"/>
              </w:rPr>
              <w:t>278.07</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widowControl/>
              <w:jc w:val="right"/>
              <w:textAlignment w:val="center"/>
              <w:rPr>
                <w:rFonts w:ascii="Times New Roman" w:hAnsi="Times New Roman" w:eastAsia="仿宋_GB2312" w:cs="Times New Roman"/>
              </w:rPr>
            </w:pPr>
            <w:r>
              <w:rPr>
                <w:rFonts w:hint="eastAsia" w:ascii="宋体" w:hAnsi="宋体" w:eastAsia="宋体" w:cs="宋体"/>
                <w:color w:val="000000"/>
                <w:kern w:val="0"/>
                <w:sz w:val="22"/>
              </w:rPr>
              <w:t>0.00</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rPr>
            </w:pP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widowControl/>
              <w:jc w:val="right"/>
              <w:textAlignment w:val="center"/>
              <w:rPr>
                <w:rFonts w:ascii="Times New Roman" w:hAnsi="Times New Roman" w:eastAsia="仿宋_GB2312" w:cs="Times New Roman"/>
              </w:rPr>
            </w:pPr>
            <w:r>
              <w:rPr>
                <w:rFonts w:hint="eastAsia" w:ascii="宋体" w:hAnsi="宋体" w:eastAsia="宋体" w:cs="宋体"/>
                <w:color w:val="000000"/>
                <w:kern w:val="0"/>
                <w:sz w:val="22"/>
              </w:rPr>
              <w:t>0.00</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rPr>
            </w:pPr>
          </w:p>
        </w:tc>
        <w:tc>
          <w:tcPr>
            <w:tcW w:w="189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rPr>
            </w:pP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widowControl/>
              <w:jc w:val="right"/>
              <w:textAlignment w:val="center"/>
              <w:rPr>
                <w:rFonts w:ascii="Times New Roman" w:hAnsi="Times New Roman" w:eastAsia="仿宋_GB2312" w:cs="Times New Roman"/>
              </w:rPr>
            </w:pPr>
            <w:r>
              <w:rPr>
                <w:rFonts w:hint="eastAsia" w:ascii="宋体" w:hAnsi="宋体" w:eastAsia="宋体" w:cs="宋体"/>
                <w:color w:val="000000"/>
                <w:kern w:val="0"/>
                <w:sz w:val="22"/>
              </w:rPr>
              <w:t>278.07</w:t>
            </w:r>
          </w:p>
        </w:tc>
      </w:tr>
      <w:tr>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widowControl/>
              <w:jc w:val="left"/>
              <w:textAlignment w:val="center"/>
              <w:rPr>
                <w:rFonts w:ascii="Times New Roman" w:hAnsi="Times New Roman" w:eastAsia="仿宋_GB2312" w:cs="Times New Roman"/>
              </w:rPr>
            </w:pPr>
            <w:r>
              <w:rPr>
                <w:rFonts w:hint="eastAsia" w:ascii="宋体" w:hAnsi="宋体" w:eastAsia="宋体" w:cs="宋体"/>
                <w:color w:val="000000"/>
                <w:kern w:val="0"/>
                <w:sz w:val="22"/>
              </w:rPr>
              <w:t>22999</w:t>
            </w:r>
          </w:p>
        </w:tc>
        <w:tc>
          <w:tcPr>
            <w:tcW w:w="1300"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ascii="Times New Roman" w:hAnsi="Times New Roman" w:eastAsia="仿宋_GB2312" w:cs="Times New Roman"/>
              </w:rPr>
            </w:pPr>
            <w:r>
              <w:rPr>
                <w:rFonts w:hint="eastAsia" w:ascii="Times New Roman" w:hAnsi="Times New Roman" w:eastAsia="仿宋_GB2312" w:cs="Times New Roman"/>
              </w:rPr>
              <w:t>其他支出</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widowControl/>
              <w:jc w:val="right"/>
              <w:textAlignment w:val="center"/>
              <w:rPr>
                <w:rFonts w:ascii="Times New Roman" w:hAnsi="Times New Roman" w:eastAsia="仿宋_GB2312" w:cs="Times New Roman"/>
              </w:rPr>
            </w:pPr>
            <w:r>
              <w:rPr>
                <w:rFonts w:hint="eastAsia" w:ascii="宋体" w:hAnsi="宋体" w:eastAsia="宋体" w:cs="宋体"/>
                <w:color w:val="000000"/>
                <w:kern w:val="0"/>
                <w:sz w:val="22"/>
              </w:rPr>
              <w:t>278.07</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widowControl/>
              <w:jc w:val="right"/>
              <w:textAlignment w:val="center"/>
              <w:rPr>
                <w:rFonts w:ascii="Times New Roman" w:hAnsi="Times New Roman" w:eastAsia="仿宋_GB2312" w:cs="Times New Roman"/>
              </w:rPr>
            </w:pPr>
            <w:r>
              <w:rPr>
                <w:rFonts w:hint="eastAsia" w:ascii="宋体" w:hAnsi="宋体" w:eastAsia="宋体" w:cs="宋体"/>
                <w:color w:val="000000"/>
                <w:kern w:val="0"/>
                <w:sz w:val="22"/>
              </w:rPr>
              <w:t>0.00</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rPr>
            </w:pP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widowControl/>
              <w:jc w:val="right"/>
              <w:textAlignment w:val="center"/>
              <w:rPr>
                <w:rFonts w:ascii="Times New Roman" w:hAnsi="Times New Roman" w:eastAsia="仿宋_GB2312" w:cs="Times New Roman"/>
              </w:rPr>
            </w:pPr>
            <w:r>
              <w:rPr>
                <w:rFonts w:hint="eastAsia" w:ascii="宋体" w:hAnsi="宋体" w:eastAsia="宋体" w:cs="宋体"/>
                <w:color w:val="000000"/>
                <w:kern w:val="0"/>
                <w:sz w:val="22"/>
              </w:rPr>
              <w:t>0.00</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rPr>
            </w:pPr>
          </w:p>
        </w:tc>
        <w:tc>
          <w:tcPr>
            <w:tcW w:w="189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rPr>
            </w:pP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widowControl/>
              <w:jc w:val="right"/>
              <w:textAlignment w:val="center"/>
              <w:rPr>
                <w:rFonts w:ascii="Times New Roman" w:hAnsi="Times New Roman" w:eastAsia="仿宋_GB2312" w:cs="Times New Roman"/>
              </w:rPr>
            </w:pPr>
            <w:r>
              <w:rPr>
                <w:rFonts w:hint="eastAsia" w:ascii="宋体" w:hAnsi="宋体" w:eastAsia="宋体" w:cs="宋体"/>
                <w:color w:val="000000"/>
                <w:kern w:val="0"/>
                <w:sz w:val="22"/>
              </w:rPr>
              <w:t>278.07</w:t>
            </w:r>
          </w:p>
        </w:tc>
      </w:tr>
      <w:tr>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widowControl/>
              <w:jc w:val="left"/>
              <w:textAlignment w:val="center"/>
              <w:rPr>
                <w:rFonts w:ascii="Times New Roman" w:hAnsi="Times New Roman" w:eastAsia="仿宋_GB2312" w:cs="Times New Roman"/>
              </w:rPr>
            </w:pPr>
            <w:r>
              <w:rPr>
                <w:rFonts w:hint="eastAsia" w:ascii="宋体" w:hAnsi="宋体" w:eastAsia="宋体" w:cs="宋体"/>
                <w:color w:val="000000"/>
                <w:kern w:val="0"/>
                <w:sz w:val="22"/>
              </w:rPr>
              <w:t>2299999</w:t>
            </w:r>
          </w:p>
        </w:tc>
        <w:tc>
          <w:tcPr>
            <w:tcW w:w="1300"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ascii="Times New Roman" w:hAnsi="Times New Roman" w:eastAsia="仿宋_GB2312" w:cs="Times New Roman"/>
              </w:rPr>
            </w:pPr>
            <w:r>
              <w:rPr>
                <w:rFonts w:hint="eastAsia" w:ascii="Times New Roman" w:hAnsi="Times New Roman" w:eastAsia="仿宋_GB2312" w:cs="Times New Roman"/>
              </w:rPr>
              <w:t xml:space="preserve"> 其他支出</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widowControl/>
              <w:jc w:val="right"/>
              <w:textAlignment w:val="center"/>
              <w:rPr>
                <w:rFonts w:ascii="Times New Roman" w:hAnsi="Times New Roman" w:eastAsia="仿宋_GB2312" w:cs="Times New Roman"/>
              </w:rPr>
            </w:pPr>
            <w:r>
              <w:rPr>
                <w:rFonts w:hint="eastAsia" w:ascii="宋体" w:hAnsi="宋体" w:eastAsia="宋体" w:cs="宋体"/>
                <w:color w:val="000000"/>
                <w:kern w:val="0"/>
                <w:sz w:val="22"/>
              </w:rPr>
              <w:t>278.07</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widowControl/>
              <w:jc w:val="right"/>
              <w:textAlignment w:val="center"/>
              <w:rPr>
                <w:rFonts w:ascii="Times New Roman" w:hAnsi="Times New Roman" w:eastAsia="仿宋_GB2312" w:cs="Times New Roman"/>
              </w:rPr>
            </w:pPr>
            <w:r>
              <w:rPr>
                <w:rFonts w:hint="eastAsia" w:ascii="宋体" w:hAnsi="宋体" w:eastAsia="宋体" w:cs="宋体"/>
                <w:color w:val="000000"/>
                <w:kern w:val="0"/>
                <w:sz w:val="22"/>
              </w:rPr>
              <w:t>0.00</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rPr>
            </w:pP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widowControl/>
              <w:jc w:val="right"/>
              <w:textAlignment w:val="center"/>
              <w:rPr>
                <w:rFonts w:ascii="Times New Roman" w:hAnsi="Times New Roman" w:eastAsia="仿宋_GB2312" w:cs="Times New Roman"/>
              </w:rPr>
            </w:pPr>
            <w:r>
              <w:rPr>
                <w:rFonts w:hint="eastAsia" w:ascii="宋体" w:hAnsi="宋体" w:eastAsia="宋体" w:cs="宋体"/>
                <w:color w:val="000000"/>
                <w:kern w:val="0"/>
                <w:sz w:val="22"/>
              </w:rPr>
              <w:t>0.00</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rPr>
            </w:pPr>
          </w:p>
        </w:tc>
        <w:tc>
          <w:tcPr>
            <w:tcW w:w="189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rPr>
            </w:pP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widowControl/>
              <w:jc w:val="right"/>
              <w:textAlignment w:val="center"/>
              <w:rPr>
                <w:rFonts w:ascii="Times New Roman" w:hAnsi="Times New Roman" w:eastAsia="仿宋_GB2312" w:cs="Times New Roman"/>
              </w:rPr>
            </w:pPr>
            <w:r>
              <w:rPr>
                <w:rFonts w:hint="eastAsia" w:ascii="宋体" w:hAnsi="宋体" w:eastAsia="宋体" w:cs="宋体"/>
                <w:color w:val="000000"/>
                <w:kern w:val="0"/>
                <w:sz w:val="22"/>
              </w:rPr>
              <w:t>278.07</w:t>
            </w:r>
          </w:p>
        </w:tc>
      </w:tr>
    </w:tbl>
    <w:p>
      <w:pPr>
        <w:spacing w:before="120"/>
        <w:rPr>
          <w:rFonts w:ascii="Times New Roman" w:hAnsi="Times New Roman" w:eastAsia="黑体" w:cs="Times New Roman"/>
          <w:bCs/>
          <w:kern w:val="0"/>
          <w:sz w:val="32"/>
          <w:szCs w:val="32"/>
        </w:rPr>
      </w:pPr>
      <w:r>
        <w:rPr>
          <w:rFonts w:ascii="Times New Roman" w:hAnsi="Times New Roman" w:eastAsia="仿宋_GB2312" w:cs="Times New Roman"/>
        </w:rPr>
        <w:t>注：本表反映部门本年度取得的各项收入情况。</w:t>
      </w:r>
    </w:p>
    <w:p>
      <w:pPr>
        <w:widowControl/>
        <w:jc w:val="center"/>
        <w:textAlignment w:val="center"/>
        <w:rPr>
          <w:rFonts w:ascii="Times New Roman" w:hAnsi="Times New Roman" w:eastAsia="黑体" w:cs="Times New Roman"/>
          <w:color w:val="000000"/>
          <w:kern w:val="0"/>
          <w:sz w:val="32"/>
          <w:szCs w:val="32"/>
        </w:rPr>
      </w:pPr>
    </w:p>
    <w:p>
      <w:pPr>
        <w:widowControl/>
        <w:spacing w:afterLines="50"/>
        <w:jc w:val="center"/>
        <w:textAlignment w:val="center"/>
        <w:rPr>
          <w:rFonts w:ascii="Times New Roman" w:hAnsi="Times New Roman" w:eastAsia="黑体" w:cs="Times New Roman"/>
          <w:color w:val="000000"/>
          <w:kern w:val="0"/>
          <w:sz w:val="36"/>
          <w:szCs w:val="36"/>
        </w:rPr>
      </w:pPr>
    </w:p>
    <w:p>
      <w:pPr>
        <w:widowControl/>
        <w:spacing w:afterLines="50"/>
        <w:jc w:val="center"/>
        <w:textAlignment w:val="center"/>
        <w:rPr>
          <w:rFonts w:ascii="Times New Roman" w:hAnsi="Times New Roman" w:eastAsia="黑体" w:cs="Times New Roman"/>
          <w:color w:val="000000"/>
          <w:kern w:val="0"/>
          <w:sz w:val="36"/>
          <w:szCs w:val="36"/>
        </w:rPr>
      </w:pPr>
    </w:p>
    <w:p>
      <w:pPr>
        <w:widowControl/>
        <w:spacing w:afterLines="50"/>
        <w:jc w:val="center"/>
        <w:textAlignment w:val="center"/>
        <w:rPr>
          <w:rFonts w:ascii="Times New Roman" w:hAnsi="Times New Roman" w:eastAsia="黑体" w:cs="Times New Roman"/>
          <w:color w:val="000000"/>
          <w:kern w:val="0"/>
          <w:sz w:val="36"/>
          <w:szCs w:val="36"/>
        </w:rPr>
      </w:pPr>
    </w:p>
    <w:p>
      <w:pPr>
        <w:widowControl/>
        <w:spacing w:afterLines="50"/>
        <w:jc w:val="center"/>
        <w:textAlignment w:val="center"/>
        <w:rPr>
          <w:rFonts w:ascii="Times New Roman" w:hAnsi="Times New Roman" w:eastAsia="黑体" w:cs="Times New Roman"/>
          <w:color w:val="000000"/>
          <w:kern w:val="0"/>
          <w:sz w:val="36"/>
          <w:szCs w:val="36"/>
        </w:rPr>
      </w:pPr>
    </w:p>
    <w:p>
      <w:pPr>
        <w:widowControl/>
        <w:spacing w:afterLines="50"/>
        <w:jc w:val="center"/>
        <w:textAlignment w:val="center"/>
        <w:rPr>
          <w:rFonts w:ascii="Times New Roman" w:hAnsi="Times New Roman" w:eastAsia="黑体" w:cs="Times New Roman"/>
          <w:color w:val="000000"/>
          <w:kern w:val="0"/>
          <w:sz w:val="36"/>
          <w:szCs w:val="36"/>
        </w:rPr>
      </w:pPr>
    </w:p>
    <w:p>
      <w:pPr>
        <w:widowControl/>
        <w:spacing w:afterLines="50"/>
        <w:jc w:val="center"/>
        <w:textAlignment w:val="center"/>
        <w:rPr>
          <w:rFonts w:ascii="Times New Roman" w:hAnsi="Times New Roman" w:eastAsia="黑体" w:cs="Times New Roman"/>
          <w:color w:val="000000"/>
          <w:kern w:val="0"/>
          <w:sz w:val="36"/>
          <w:szCs w:val="36"/>
        </w:rPr>
      </w:pPr>
    </w:p>
    <w:p>
      <w:pPr>
        <w:widowControl/>
        <w:spacing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支出决算表</w:t>
      </w:r>
    </w:p>
    <w:p>
      <w:pPr>
        <w:widowControl/>
        <w:tabs>
          <w:tab w:val="left" w:pos="1236"/>
          <w:tab w:val="left" w:pos="1499"/>
          <w:tab w:val="left" w:pos="2980"/>
          <w:tab w:val="left" w:pos="4932"/>
          <w:tab w:val="left" w:pos="6923"/>
          <w:tab w:val="left" w:pos="8914"/>
          <w:tab w:val="left" w:pos="10905"/>
          <w:tab w:val="left" w:pos="12896"/>
        </w:tabs>
        <w:jc w:val="right"/>
        <w:rPr>
          <w:rFonts w:ascii="Times New Roman" w:hAnsi="Times New Roman" w:eastAsia="仿宋_GB2312" w:cs="Times New Roman"/>
          <w:color w:val="000000"/>
          <w:kern w:val="0"/>
          <w:sz w:val="20"/>
          <w:szCs w:val="20"/>
        </w:rPr>
      </w:pP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color w:val="000000"/>
          <w:kern w:val="0"/>
          <w:sz w:val="20"/>
          <w:szCs w:val="20"/>
        </w:rPr>
        <w:t>公开03表</w:t>
      </w:r>
    </w:p>
    <w:p>
      <w:pPr>
        <w:widowControl/>
        <w:tabs>
          <w:tab w:val="left" w:pos="1236"/>
          <w:tab w:val="left" w:pos="1499"/>
          <w:tab w:val="left" w:pos="2980"/>
          <w:tab w:val="left" w:pos="4932"/>
          <w:tab w:val="left" w:pos="6923"/>
          <w:tab w:val="left" w:pos="8914"/>
          <w:tab w:val="left" w:pos="10905"/>
          <w:tab w:val="left" w:pos="12896"/>
        </w:tabs>
        <w:jc w:val="center"/>
        <w:rPr>
          <w:rFonts w:ascii="Times New Roman" w:hAnsi="Times New Roman" w:eastAsia="仿宋_GB2312" w:cs="Times New Roman"/>
          <w:color w:val="000000"/>
          <w:kern w:val="0"/>
          <w:sz w:val="20"/>
          <w:szCs w:val="20"/>
        </w:rPr>
      </w:pPr>
      <w:r>
        <w:rPr>
          <w:rFonts w:ascii="Times New Roman" w:hAnsi="Times New Roman" w:eastAsia="仿宋_GB2312" w:cs="Times New Roman"/>
          <w:color w:val="000000"/>
          <w:kern w:val="0"/>
          <w:sz w:val="20"/>
          <w:szCs w:val="20"/>
        </w:rPr>
        <w:t>部门：</w:t>
      </w:r>
      <w:r>
        <w:rPr>
          <w:rFonts w:hint="eastAsia" w:ascii="Times New Roman" w:hAnsi="Times New Roman" w:eastAsia="仿宋_GB2312" w:cs="Times New Roman"/>
          <w:color w:val="000000"/>
          <w:kern w:val="0"/>
          <w:sz w:val="20"/>
          <w:szCs w:val="20"/>
        </w:rPr>
        <w:t>怀化市殡葬事务中心</w:t>
      </w:r>
      <w:r>
        <w:rPr>
          <w:rFonts w:ascii="Times New Roman" w:hAnsi="Times New Roman" w:eastAsia="仿宋_GB2312" w:cs="Times New Roman"/>
          <w:color w:val="000000"/>
          <w:kern w:val="0"/>
          <w:sz w:val="20"/>
          <w:szCs w:val="20"/>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color w:val="000000"/>
          <w:kern w:val="0"/>
          <w:sz w:val="20"/>
          <w:szCs w:val="20"/>
        </w:rPr>
        <w:t>单位：万元</w:t>
      </w:r>
    </w:p>
    <w:tbl>
      <w:tblPr>
        <w:tblStyle w:val="9"/>
        <w:tblW w:w="4998" w:type="pct"/>
        <w:jc w:val="center"/>
        <w:tblLayout w:type="autofit"/>
        <w:tblCellMar>
          <w:top w:w="0" w:type="dxa"/>
          <w:left w:w="108" w:type="dxa"/>
          <w:bottom w:w="0" w:type="dxa"/>
          <w:right w:w="108" w:type="dxa"/>
        </w:tblCellMar>
      </w:tblPr>
      <w:tblGrid>
        <w:gridCol w:w="2426"/>
        <w:gridCol w:w="1337"/>
        <w:gridCol w:w="1877"/>
        <w:gridCol w:w="1334"/>
        <w:gridCol w:w="1333"/>
        <w:gridCol w:w="1876"/>
        <w:gridCol w:w="1333"/>
        <w:gridCol w:w="2698"/>
      </w:tblGrid>
      <w:tr>
        <w:tblPrEx>
          <w:tblCellMar>
            <w:top w:w="0" w:type="dxa"/>
            <w:left w:w="108" w:type="dxa"/>
            <w:bottom w:w="0" w:type="dxa"/>
            <w:right w:w="108" w:type="dxa"/>
          </w:tblCellMar>
        </w:tblPrEx>
        <w:trPr>
          <w:trHeight w:val="595" w:hRule="atLeast"/>
          <w:jc w:val="center"/>
        </w:trPr>
        <w:tc>
          <w:tcPr>
            <w:tcW w:w="1322" w:type="pct"/>
            <w:gridSpan w:val="2"/>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项    目</w:t>
            </w:r>
          </w:p>
        </w:tc>
        <w:tc>
          <w:tcPr>
            <w:tcW w:w="660"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本年支出合计</w:t>
            </w:r>
          </w:p>
        </w:tc>
        <w:tc>
          <w:tcPr>
            <w:tcW w:w="469"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基本支出</w:t>
            </w:r>
          </w:p>
        </w:tc>
        <w:tc>
          <w:tcPr>
            <w:tcW w:w="469"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项目支出</w:t>
            </w:r>
          </w:p>
        </w:tc>
        <w:tc>
          <w:tcPr>
            <w:tcW w:w="660"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上缴上级支出</w:t>
            </w:r>
          </w:p>
        </w:tc>
        <w:tc>
          <w:tcPr>
            <w:tcW w:w="469"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经营支出</w:t>
            </w:r>
          </w:p>
        </w:tc>
        <w:tc>
          <w:tcPr>
            <w:tcW w:w="948"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对附属单位补助支出</w:t>
            </w:r>
          </w:p>
        </w:tc>
      </w:tr>
      <w:tr>
        <w:tblPrEx>
          <w:tblCellMar>
            <w:top w:w="0" w:type="dxa"/>
            <w:left w:w="108" w:type="dxa"/>
            <w:bottom w:w="0" w:type="dxa"/>
            <w:right w:w="108" w:type="dxa"/>
          </w:tblCellMar>
        </w:tblPrEx>
        <w:trPr>
          <w:trHeight w:val="312" w:hRule="exact"/>
          <w:jc w:val="center"/>
        </w:trPr>
        <w:tc>
          <w:tcPr>
            <w:tcW w:w="852"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功能分类科目编码</w:t>
            </w:r>
          </w:p>
        </w:tc>
        <w:tc>
          <w:tcPr>
            <w:tcW w:w="469" w:type="pct"/>
            <w:vMerge w:val="restart"/>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科目名称</w:t>
            </w:r>
          </w:p>
        </w:tc>
        <w:tc>
          <w:tcPr>
            <w:tcW w:w="660"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b/>
                <w:bCs/>
                <w:kern w:val="0"/>
                <w:sz w:val="24"/>
                <w:szCs w:val="24"/>
              </w:rPr>
            </w:pPr>
          </w:p>
        </w:tc>
        <w:tc>
          <w:tcPr>
            <w:tcW w:w="469"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b/>
                <w:bCs/>
                <w:kern w:val="0"/>
                <w:sz w:val="24"/>
                <w:szCs w:val="24"/>
              </w:rPr>
            </w:pPr>
          </w:p>
        </w:tc>
        <w:tc>
          <w:tcPr>
            <w:tcW w:w="469"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b/>
                <w:bCs/>
                <w:kern w:val="0"/>
                <w:sz w:val="24"/>
                <w:szCs w:val="24"/>
              </w:rPr>
            </w:pPr>
          </w:p>
        </w:tc>
        <w:tc>
          <w:tcPr>
            <w:tcW w:w="660"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b/>
                <w:bCs/>
                <w:kern w:val="0"/>
                <w:sz w:val="24"/>
                <w:szCs w:val="24"/>
              </w:rPr>
            </w:pPr>
          </w:p>
        </w:tc>
        <w:tc>
          <w:tcPr>
            <w:tcW w:w="469"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b/>
                <w:bCs/>
                <w:kern w:val="0"/>
                <w:sz w:val="24"/>
                <w:szCs w:val="24"/>
              </w:rPr>
            </w:pPr>
          </w:p>
        </w:tc>
        <w:tc>
          <w:tcPr>
            <w:tcW w:w="94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b/>
                <w:bCs/>
                <w:kern w:val="0"/>
                <w:sz w:val="24"/>
                <w:szCs w:val="24"/>
              </w:rPr>
            </w:pPr>
          </w:p>
        </w:tc>
      </w:tr>
      <w:tr>
        <w:tblPrEx>
          <w:tblCellMar>
            <w:top w:w="0" w:type="dxa"/>
            <w:left w:w="108" w:type="dxa"/>
            <w:bottom w:w="0" w:type="dxa"/>
            <w:right w:w="108" w:type="dxa"/>
          </w:tblCellMar>
        </w:tblPrEx>
        <w:trPr>
          <w:trHeight w:val="595" w:hRule="atLeast"/>
          <w:jc w:val="center"/>
        </w:trPr>
        <w:tc>
          <w:tcPr>
            <w:tcW w:w="852"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 w:val="24"/>
                <w:szCs w:val="24"/>
              </w:rPr>
            </w:pPr>
          </w:p>
        </w:tc>
        <w:tc>
          <w:tcPr>
            <w:tcW w:w="469" w:type="pct"/>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 w:val="24"/>
                <w:szCs w:val="24"/>
              </w:rPr>
            </w:pPr>
          </w:p>
        </w:tc>
        <w:tc>
          <w:tcPr>
            <w:tcW w:w="660"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 w:val="24"/>
                <w:szCs w:val="24"/>
              </w:rPr>
            </w:pPr>
          </w:p>
        </w:tc>
        <w:tc>
          <w:tcPr>
            <w:tcW w:w="469"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 w:val="24"/>
                <w:szCs w:val="24"/>
              </w:rPr>
            </w:pPr>
          </w:p>
        </w:tc>
        <w:tc>
          <w:tcPr>
            <w:tcW w:w="469"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 w:val="24"/>
                <w:szCs w:val="24"/>
              </w:rPr>
            </w:pPr>
          </w:p>
        </w:tc>
        <w:tc>
          <w:tcPr>
            <w:tcW w:w="660"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 w:val="24"/>
                <w:szCs w:val="24"/>
              </w:rPr>
            </w:pPr>
          </w:p>
        </w:tc>
        <w:tc>
          <w:tcPr>
            <w:tcW w:w="469"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 w:val="24"/>
                <w:szCs w:val="24"/>
              </w:rPr>
            </w:pPr>
          </w:p>
        </w:tc>
        <w:tc>
          <w:tcPr>
            <w:tcW w:w="94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 w:val="24"/>
                <w:szCs w:val="24"/>
              </w:rPr>
            </w:pPr>
          </w:p>
        </w:tc>
      </w:tr>
      <w:tr>
        <w:tblPrEx>
          <w:tblCellMar>
            <w:top w:w="0" w:type="dxa"/>
            <w:left w:w="108" w:type="dxa"/>
            <w:bottom w:w="0" w:type="dxa"/>
            <w:right w:w="108" w:type="dxa"/>
          </w:tblCellMar>
        </w:tblPrEx>
        <w:trPr>
          <w:trHeight w:val="595" w:hRule="atLeast"/>
          <w:jc w:val="center"/>
        </w:trPr>
        <w:tc>
          <w:tcPr>
            <w:tcW w:w="1322" w:type="pct"/>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栏次</w:t>
            </w:r>
          </w:p>
        </w:tc>
        <w:tc>
          <w:tcPr>
            <w:tcW w:w="660" w:type="pct"/>
            <w:tcBorders>
              <w:top w:val="nil"/>
              <w:left w:val="nil"/>
              <w:bottom w:val="single" w:color="auto" w:sz="4" w:space="0"/>
              <w:right w:val="single" w:color="auto" w:sz="4" w:space="0"/>
            </w:tcBorders>
            <w:shd w:val="clear" w:color="000000" w:fill="FFFFFF"/>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1</w:t>
            </w:r>
          </w:p>
        </w:tc>
        <w:tc>
          <w:tcPr>
            <w:tcW w:w="469" w:type="pct"/>
            <w:tcBorders>
              <w:top w:val="nil"/>
              <w:left w:val="nil"/>
              <w:bottom w:val="single" w:color="auto" w:sz="4" w:space="0"/>
              <w:right w:val="single" w:color="auto" w:sz="4" w:space="0"/>
            </w:tcBorders>
            <w:shd w:val="clear" w:color="000000" w:fill="FFFFFF"/>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2</w:t>
            </w:r>
          </w:p>
        </w:tc>
        <w:tc>
          <w:tcPr>
            <w:tcW w:w="469" w:type="pct"/>
            <w:tcBorders>
              <w:top w:val="nil"/>
              <w:left w:val="nil"/>
              <w:bottom w:val="single" w:color="auto" w:sz="4" w:space="0"/>
              <w:right w:val="single" w:color="auto" w:sz="4" w:space="0"/>
            </w:tcBorders>
            <w:shd w:val="clear" w:color="000000" w:fill="FFFFFF"/>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3</w:t>
            </w:r>
          </w:p>
        </w:tc>
        <w:tc>
          <w:tcPr>
            <w:tcW w:w="660" w:type="pct"/>
            <w:tcBorders>
              <w:top w:val="nil"/>
              <w:left w:val="nil"/>
              <w:bottom w:val="single" w:color="auto" w:sz="4" w:space="0"/>
              <w:right w:val="single" w:color="auto" w:sz="4" w:space="0"/>
            </w:tcBorders>
            <w:shd w:val="clear" w:color="000000" w:fill="FFFFFF"/>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4</w:t>
            </w:r>
          </w:p>
        </w:tc>
        <w:tc>
          <w:tcPr>
            <w:tcW w:w="469" w:type="pct"/>
            <w:tcBorders>
              <w:top w:val="nil"/>
              <w:left w:val="nil"/>
              <w:bottom w:val="single" w:color="auto" w:sz="4" w:space="0"/>
              <w:right w:val="single" w:color="auto" w:sz="4" w:space="0"/>
            </w:tcBorders>
            <w:shd w:val="clear" w:color="000000" w:fill="FFFFFF"/>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5</w:t>
            </w:r>
          </w:p>
        </w:tc>
        <w:tc>
          <w:tcPr>
            <w:tcW w:w="948" w:type="pct"/>
            <w:tcBorders>
              <w:top w:val="nil"/>
              <w:left w:val="nil"/>
              <w:bottom w:val="single" w:color="auto" w:sz="4" w:space="0"/>
              <w:right w:val="single" w:color="auto" w:sz="4" w:space="0"/>
            </w:tcBorders>
            <w:shd w:val="clear" w:color="000000" w:fill="FFFFFF"/>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6</w:t>
            </w:r>
          </w:p>
        </w:tc>
      </w:tr>
      <w:tr>
        <w:tblPrEx>
          <w:tblCellMar>
            <w:top w:w="0" w:type="dxa"/>
            <w:left w:w="108" w:type="dxa"/>
            <w:bottom w:w="0" w:type="dxa"/>
            <w:right w:w="108" w:type="dxa"/>
          </w:tblCellMar>
        </w:tblPrEx>
        <w:trPr>
          <w:trHeight w:val="595" w:hRule="atLeast"/>
          <w:jc w:val="center"/>
        </w:trPr>
        <w:tc>
          <w:tcPr>
            <w:tcW w:w="1322" w:type="pct"/>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合计</w:t>
            </w:r>
          </w:p>
        </w:tc>
        <w:tc>
          <w:tcPr>
            <w:tcW w:w="1877" w:type="dxa"/>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Times New Roman" w:hAnsi="Times New Roman" w:eastAsia="仿宋_GB2312" w:cs="Times New Roman"/>
                <w:kern w:val="0"/>
                <w:sz w:val="24"/>
                <w:szCs w:val="24"/>
              </w:rPr>
            </w:pPr>
            <w:r>
              <w:rPr>
                <w:rFonts w:hint="eastAsia" w:ascii="宋体" w:hAnsi="宋体" w:eastAsia="宋体" w:cs="宋体"/>
                <w:b/>
                <w:bCs/>
                <w:color w:val="000000"/>
                <w:kern w:val="0"/>
                <w:sz w:val="22"/>
              </w:rPr>
              <w:t>3,039.80</w:t>
            </w:r>
          </w:p>
        </w:tc>
        <w:tc>
          <w:tcPr>
            <w:tcW w:w="1334" w:type="dxa"/>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Times New Roman" w:hAnsi="Times New Roman" w:eastAsia="仿宋_GB2312" w:cs="Times New Roman"/>
                <w:kern w:val="0"/>
                <w:sz w:val="24"/>
                <w:szCs w:val="24"/>
              </w:rPr>
            </w:pPr>
            <w:r>
              <w:rPr>
                <w:rFonts w:hint="eastAsia" w:ascii="宋体" w:hAnsi="宋体" w:eastAsia="宋体" w:cs="宋体"/>
                <w:b/>
                <w:bCs/>
                <w:color w:val="000000"/>
                <w:kern w:val="0"/>
                <w:sz w:val="22"/>
              </w:rPr>
              <w:t>846.15</w:t>
            </w:r>
          </w:p>
        </w:tc>
        <w:tc>
          <w:tcPr>
            <w:tcW w:w="1333" w:type="dxa"/>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Times New Roman" w:hAnsi="Times New Roman" w:eastAsia="仿宋_GB2312" w:cs="Times New Roman"/>
                <w:kern w:val="0"/>
                <w:sz w:val="24"/>
                <w:szCs w:val="24"/>
              </w:rPr>
            </w:pPr>
            <w:r>
              <w:rPr>
                <w:rFonts w:hint="eastAsia" w:ascii="宋体" w:hAnsi="宋体" w:eastAsia="宋体" w:cs="宋体"/>
                <w:b/>
                <w:bCs/>
                <w:color w:val="000000"/>
                <w:kern w:val="0"/>
                <w:sz w:val="22"/>
              </w:rPr>
              <w:t>2,193.66</w:t>
            </w:r>
          </w:p>
        </w:tc>
        <w:tc>
          <w:tcPr>
            <w:tcW w:w="1876" w:type="dxa"/>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Times New Roman" w:hAnsi="Times New Roman" w:eastAsia="仿宋_GB2312" w:cs="Times New Roman"/>
                <w:kern w:val="0"/>
                <w:sz w:val="24"/>
                <w:szCs w:val="24"/>
              </w:rPr>
            </w:pPr>
            <w:r>
              <w:rPr>
                <w:rFonts w:hint="eastAsia" w:ascii="宋体" w:hAnsi="宋体" w:eastAsia="宋体" w:cs="宋体"/>
                <w:b/>
                <w:bCs/>
                <w:color w:val="000000"/>
                <w:kern w:val="0"/>
                <w:sz w:val="22"/>
              </w:rPr>
              <w:t>0.00</w:t>
            </w:r>
          </w:p>
        </w:tc>
        <w:tc>
          <w:tcPr>
            <w:tcW w:w="1333" w:type="dxa"/>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Times New Roman" w:hAnsi="Times New Roman" w:eastAsia="仿宋_GB2312" w:cs="Times New Roman"/>
                <w:kern w:val="0"/>
                <w:sz w:val="24"/>
                <w:szCs w:val="24"/>
              </w:rPr>
            </w:pPr>
            <w:r>
              <w:rPr>
                <w:rFonts w:hint="eastAsia" w:ascii="宋体" w:hAnsi="宋体" w:eastAsia="宋体" w:cs="宋体"/>
                <w:b/>
                <w:bCs/>
                <w:color w:val="000000"/>
                <w:kern w:val="0"/>
                <w:sz w:val="22"/>
              </w:rPr>
              <w:t>0.00</w:t>
            </w:r>
          </w:p>
        </w:tc>
        <w:tc>
          <w:tcPr>
            <w:tcW w:w="2698" w:type="dxa"/>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Times New Roman" w:hAnsi="Times New Roman" w:eastAsia="仿宋_GB2312" w:cs="Times New Roman"/>
                <w:kern w:val="0"/>
                <w:sz w:val="24"/>
                <w:szCs w:val="24"/>
              </w:rPr>
            </w:pPr>
            <w:r>
              <w:rPr>
                <w:rFonts w:hint="eastAsia" w:ascii="宋体" w:hAnsi="宋体" w:eastAsia="宋体" w:cs="宋体"/>
                <w:b/>
                <w:bCs/>
                <w:color w:val="000000"/>
                <w:kern w:val="0"/>
                <w:sz w:val="22"/>
              </w:rPr>
              <w:t>0.00</w:t>
            </w:r>
          </w:p>
        </w:tc>
      </w:tr>
      <w:tr>
        <w:tblPrEx>
          <w:tblCellMar>
            <w:top w:w="0" w:type="dxa"/>
            <w:left w:w="108" w:type="dxa"/>
            <w:bottom w:w="0" w:type="dxa"/>
            <w:right w:w="108" w:type="dxa"/>
          </w:tblCellMar>
        </w:tblPrEx>
        <w:trPr>
          <w:trHeight w:val="90" w:hRule="atLeast"/>
          <w:jc w:val="center"/>
        </w:trPr>
        <w:tc>
          <w:tcPr>
            <w:tcW w:w="2426"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left"/>
              <w:textAlignment w:val="center"/>
              <w:rPr>
                <w:rFonts w:ascii="Times New Roman" w:hAnsi="Times New Roman" w:eastAsia="仿宋_GB2312" w:cs="Times New Roman"/>
                <w:kern w:val="0"/>
                <w:sz w:val="24"/>
                <w:szCs w:val="24"/>
              </w:rPr>
            </w:pPr>
            <w:r>
              <w:rPr>
                <w:rFonts w:hint="eastAsia" w:ascii="宋体" w:hAnsi="宋体" w:eastAsia="宋体" w:cs="宋体"/>
                <w:color w:val="000000"/>
                <w:kern w:val="0"/>
                <w:sz w:val="22"/>
              </w:rPr>
              <w:t>201</w:t>
            </w:r>
          </w:p>
        </w:tc>
        <w:tc>
          <w:tcPr>
            <w:tcW w:w="1337" w:type="dxa"/>
            <w:tcBorders>
              <w:top w:val="nil"/>
              <w:left w:val="nil"/>
              <w:bottom w:val="single" w:color="auto" w:sz="4" w:space="0"/>
              <w:right w:val="single" w:color="auto" w:sz="4" w:space="0"/>
            </w:tcBorders>
            <w:shd w:val="clear" w:color="000000" w:fill="FFFFFF"/>
            <w:noWrap/>
            <w:vAlign w:val="center"/>
          </w:tcPr>
          <w:p>
            <w:pPr>
              <w:widowControl/>
              <w:jc w:val="left"/>
              <w:textAlignment w:val="center"/>
              <w:rPr>
                <w:rFonts w:ascii="Times New Roman" w:hAnsi="Times New Roman" w:eastAsia="仿宋_GB2312" w:cs="Times New Roman"/>
                <w:kern w:val="0"/>
                <w:sz w:val="24"/>
                <w:szCs w:val="24"/>
              </w:rPr>
            </w:pPr>
            <w:r>
              <w:rPr>
                <w:rFonts w:hint="eastAsia" w:ascii="宋体" w:hAnsi="宋体" w:eastAsia="宋体" w:cs="宋体"/>
                <w:color w:val="000000"/>
                <w:kern w:val="0"/>
                <w:sz w:val="22"/>
              </w:rPr>
              <w:t>一般公共服务支出</w:t>
            </w:r>
          </w:p>
        </w:tc>
        <w:tc>
          <w:tcPr>
            <w:tcW w:w="1877" w:type="dxa"/>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Times New Roman" w:hAnsi="Times New Roman" w:eastAsia="仿宋_GB2312" w:cs="Times New Roman"/>
                <w:kern w:val="0"/>
                <w:sz w:val="24"/>
                <w:szCs w:val="24"/>
              </w:rPr>
            </w:pPr>
            <w:r>
              <w:rPr>
                <w:rFonts w:hint="eastAsia" w:ascii="宋体" w:hAnsi="宋体" w:eastAsia="宋体" w:cs="宋体"/>
                <w:color w:val="000000"/>
                <w:kern w:val="0"/>
                <w:sz w:val="22"/>
              </w:rPr>
              <w:t>372.31</w:t>
            </w:r>
          </w:p>
        </w:tc>
        <w:tc>
          <w:tcPr>
            <w:tcW w:w="1334" w:type="dxa"/>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Times New Roman" w:hAnsi="Times New Roman" w:eastAsia="仿宋_GB2312" w:cs="Times New Roman"/>
                <w:kern w:val="0"/>
                <w:sz w:val="24"/>
                <w:szCs w:val="24"/>
              </w:rPr>
            </w:pPr>
            <w:r>
              <w:rPr>
                <w:rFonts w:hint="eastAsia" w:ascii="宋体" w:hAnsi="宋体" w:eastAsia="宋体" w:cs="宋体"/>
                <w:color w:val="000000"/>
                <w:kern w:val="0"/>
                <w:sz w:val="22"/>
              </w:rPr>
              <w:t>0.00</w:t>
            </w:r>
          </w:p>
        </w:tc>
        <w:tc>
          <w:tcPr>
            <w:tcW w:w="1333" w:type="dxa"/>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Times New Roman" w:hAnsi="Times New Roman" w:eastAsia="仿宋_GB2312" w:cs="Times New Roman"/>
                <w:kern w:val="0"/>
                <w:sz w:val="24"/>
                <w:szCs w:val="24"/>
              </w:rPr>
            </w:pPr>
            <w:r>
              <w:rPr>
                <w:rFonts w:hint="eastAsia" w:ascii="宋体" w:hAnsi="宋体" w:eastAsia="宋体" w:cs="宋体"/>
                <w:color w:val="000000"/>
                <w:kern w:val="0"/>
                <w:sz w:val="22"/>
              </w:rPr>
              <w:t>372.31</w:t>
            </w:r>
          </w:p>
        </w:tc>
        <w:tc>
          <w:tcPr>
            <w:tcW w:w="1876" w:type="dxa"/>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Times New Roman" w:hAnsi="Times New Roman" w:eastAsia="仿宋_GB2312" w:cs="Times New Roman"/>
                <w:kern w:val="0"/>
                <w:sz w:val="24"/>
                <w:szCs w:val="24"/>
              </w:rPr>
            </w:pPr>
            <w:r>
              <w:rPr>
                <w:rFonts w:hint="eastAsia" w:ascii="宋体" w:hAnsi="宋体" w:eastAsia="宋体" w:cs="宋体"/>
                <w:color w:val="000000"/>
                <w:kern w:val="0"/>
                <w:sz w:val="22"/>
              </w:rPr>
              <w:t>0.00</w:t>
            </w:r>
          </w:p>
        </w:tc>
        <w:tc>
          <w:tcPr>
            <w:tcW w:w="1333" w:type="dxa"/>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Times New Roman" w:hAnsi="Times New Roman" w:eastAsia="仿宋_GB2312" w:cs="Times New Roman"/>
                <w:kern w:val="0"/>
                <w:sz w:val="24"/>
                <w:szCs w:val="24"/>
              </w:rPr>
            </w:pPr>
            <w:r>
              <w:rPr>
                <w:rFonts w:hint="eastAsia" w:ascii="宋体" w:hAnsi="宋体" w:eastAsia="宋体" w:cs="宋体"/>
                <w:color w:val="000000"/>
                <w:kern w:val="0"/>
                <w:sz w:val="22"/>
              </w:rPr>
              <w:t>0.00</w:t>
            </w:r>
          </w:p>
        </w:tc>
        <w:tc>
          <w:tcPr>
            <w:tcW w:w="2698" w:type="dxa"/>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Times New Roman" w:hAnsi="Times New Roman" w:eastAsia="仿宋_GB2312" w:cs="Times New Roman"/>
                <w:kern w:val="0"/>
                <w:sz w:val="24"/>
                <w:szCs w:val="24"/>
              </w:rPr>
            </w:pPr>
            <w:r>
              <w:rPr>
                <w:rFonts w:hint="eastAsia" w:ascii="宋体" w:hAnsi="宋体" w:eastAsia="宋体" w:cs="宋体"/>
                <w:color w:val="000000"/>
                <w:kern w:val="0"/>
                <w:sz w:val="22"/>
              </w:rPr>
              <w:t>0.00</w:t>
            </w:r>
          </w:p>
        </w:tc>
      </w:tr>
      <w:tr>
        <w:tblPrEx>
          <w:tblCellMar>
            <w:top w:w="0" w:type="dxa"/>
            <w:left w:w="108" w:type="dxa"/>
            <w:bottom w:w="0" w:type="dxa"/>
            <w:right w:w="108" w:type="dxa"/>
          </w:tblCellMar>
        </w:tblPrEx>
        <w:trPr>
          <w:trHeight w:val="595" w:hRule="atLeast"/>
          <w:jc w:val="center"/>
        </w:trPr>
        <w:tc>
          <w:tcPr>
            <w:tcW w:w="2426"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left"/>
              <w:textAlignment w:val="center"/>
              <w:rPr>
                <w:rFonts w:ascii="Times New Roman" w:hAnsi="Times New Roman" w:eastAsia="仿宋_GB2312" w:cs="Times New Roman"/>
                <w:kern w:val="0"/>
                <w:sz w:val="24"/>
                <w:szCs w:val="24"/>
              </w:rPr>
            </w:pPr>
            <w:r>
              <w:rPr>
                <w:rFonts w:hint="eastAsia" w:ascii="宋体" w:hAnsi="宋体" w:eastAsia="宋体" w:cs="宋体"/>
                <w:color w:val="000000"/>
                <w:kern w:val="0"/>
                <w:sz w:val="22"/>
              </w:rPr>
              <w:t>20199</w:t>
            </w:r>
          </w:p>
        </w:tc>
        <w:tc>
          <w:tcPr>
            <w:tcW w:w="1337" w:type="dxa"/>
            <w:tcBorders>
              <w:top w:val="nil"/>
              <w:left w:val="nil"/>
              <w:bottom w:val="single" w:color="auto" w:sz="4" w:space="0"/>
              <w:right w:val="single" w:color="auto" w:sz="4" w:space="0"/>
            </w:tcBorders>
            <w:shd w:val="clear" w:color="000000" w:fill="FFFFFF"/>
            <w:noWrap/>
            <w:vAlign w:val="center"/>
          </w:tcPr>
          <w:p>
            <w:pPr>
              <w:widowControl/>
              <w:jc w:val="left"/>
              <w:textAlignment w:val="center"/>
              <w:rPr>
                <w:rFonts w:ascii="Times New Roman" w:hAnsi="Times New Roman" w:eastAsia="仿宋_GB2312" w:cs="Times New Roman"/>
                <w:kern w:val="0"/>
                <w:sz w:val="24"/>
                <w:szCs w:val="24"/>
              </w:rPr>
            </w:pPr>
            <w:r>
              <w:rPr>
                <w:rFonts w:hint="eastAsia" w:ascii="宋体" w:hAnsi="宋体" w:eastAsia="宋体" w:cs="宋体"/>
                <w:color w:val="000000"/>
                <w:kern w:val="0"/>
                <w:sz w:val="22"/>
              </w:rPr>
              <w:t>其他一般公共服务支出</w:t>
            </w:r>
          </w:p>
        </w:tc>
        <w:tc>
          <w:tcPr>
            <w:tcW w:w="1877" w:type="dxa"/>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Times New Roman" w:hAnsi="Times New Roman" w:eastAsia="仿宋_GB2312" w:cs="Times New Roman"/>
                <w:kern w:val="0"/>
                <w:sz w:val="24"/>
                <w:szCs w:val="24"/>
              </w:rPr>
            </w:pPr>
            <w:r>
              <w:rPr>
                <w:rFonts w:hint="eastAsia" w:ascii="宋体" w:hAnsi="宋体" w:eastAsia="宋体" w:cs="宋体"/>
                <w:color w:val="000000"/>
                <w:kern w:val="0"/>
                <w:sz w:val="22"/>
              </w:rPr>
              <w:t>372.31</w:t>
            </w:r>
          </w:p>
        </w:tc>
        <w:tc>
          <w:tcPr>
            <w:tcW w:w="1334" w:type="dxa"/>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Times New Roman" w:hAnsi="Times New Roman" w:eastAsia="仿宋_GB2312" w:cs="Times New Roman"/>
                <w:kern w:val="0"/>
                <w:sz w:val="24"/>
                <w:szCs w:val="24"/>
              </w:rPr>
            </w:pPr>
            <w:r>
              <w:rPr>
                <w:rFonts w:hint="eastAsia" w:ascii="宋体" w:hAnsi="宋体" w:eastAsia="宋体" w:cs="宋体"/>
                <w:color w:val="000000"/>
                <w:kern w:val="0"/>
                <w:sz w:val="22"/>
              </w:rPr>
              <w:t>0.00</w:t>
            </w:r>
          </w:p>
        </w:tc>
        <w:tc>
          <w:tcPr>
            <w:tcW w:w="1333" w:type="dxa"/>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Times New Roman" w:hAnsi="Times New Roman" w:eastAsia="仿宋_GB2312" w:cs="Times New Roman"/>
                <w:kern w:val="0"/>
                <w:sz w:val="24"/>
                <w:szCs w:val="24"/>
              </w:rPr>
            </w:pPr>
            <w:r>
              <w:rPr>
                <w:rFonts w:hint="eastAsia" w:ascii="宋体" w:hAnsi="宋体" w:eastAsia="宋体" w:cs="宋体"/>
                <w:color w:val="000000"/>
                <w:kern w:val="0"/>
                <w:sz w:val="22"/>
              </w:rPr>
              <w:t>372.31</w:t>
            </w:r>
          </w:p>
        </w:tc>
        <w:tc>
          <w:tcPr>
            <w:tcW w:w="1876" w:type="dxa"/>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Times New Roman" w:hAnsi="Times New Roman" w:eastAsia="仿宋_GB2312" w:cs="Times New Roman"/>
                <w:kern w:val="0"/>
                <w:sz w:val="24"/>
                <w:szCs w:val="24"/>
              </w:rPr>
            </w:pPr>
            <w:r>
              <w:rPr>
                <w:rFonts w:hint="eastAsia" w:ascii="宋体" w:hAnsi="宋体" w:eastAsia="宋体" w:cs="宋体"/>
                <w:color w:val="000000"/>
                <w:kern w:val="0"/>
                <w:sz w:val="22"/>
              </w:rPr>
              <w:t>0.00</w:t>
            </w:r>
          </w:p>
        </w:tc>
        <w:tc>
          <w:tcPr>
            <w:tcW w:w="1333" w:type="dxa"/>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Times New Roman" w:hAnsi="Times New Roman" w:eastAsia="仿宋_GB2312" w:cs="Times New Roman"/>
                <w:kern w:val="0"/>
                <w:sz w:val="24"/>
                <w:szCs w:val="24"/>
              </w:rPr>
            </w:pPr>
            <w:r>
              <w:rPr>
                <w:rFonts w:hint="eastAsia" w:ascii="宋体" w:hAnsi="宋体" w:eastAsia="宋体" w:cs="宋体"/>
                <w:color w:val="000000"/>
                <w:kern w:val="0"/>
                <w:sz w:val="22"/>
              </w:rPr>
              <w:t>0.00</w:t>
            </w:r>
          </w:p>
        </w:tc>
        <w:tc>
          <w:tcPr>
            <w:tcW w:w="2698" w:type="dxa"/>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Times New Roman" w:hAnsi="Times New Roman" w:eastAsia="仿宋_GB2312" w:cs="Times New Roman"/>
                <w:kern w:val="0"/>
                <w:sz w:val="24"/>
                <w:szCs w:val="24"/>
              </w:rPr>
            </w:pPr>
            <w:r>
              <w:rPr>
                <w:rFonts w:hint="eastAsia" w:ascii="宋体" w:hAnsi="宋体" w:eastAsia="宋体" w:cs="宋体"/>
                <w:color w:val="000000"/>
                <w:kern w:val="0"/>
                <w:sz w:val="22"/>
              </w:rPr>
              <w:t>0.00</w:t>
            </w:r>
          </w:p>
        </w:tc>
      </w:tr>
      <w:tr>
        <w:tblPrEx>
          <w:tblCellMar>
            <w:top w:w="0" w:type="dxa"/>
            <w:left w:w="108" w:type="dxa"/>
            <w:bottom w:w="0" w:type="dxa"/>
            <w:right w:w="108" w:type="dxa"/>
          </w:tblCellMar>
        </w:tblPrEx>
        <w:trPr>
          <w:trHeight w:val="595" w:hRule="atLeast"/>
          <w:jc w:val="center"/>
        </w:trPr>
        <w:tc>
          <w:tcPr>
            <w:tcW w:w="2426"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left"/>
              <w:textAlignment w:val="center"/>
              <w:rPr>
                <w:rFonts w:ascii="Times New Roman" w:hAnsi="Times New Roman" w:eastAsia="仿宋_GB2312" w:cs="Times New Roman"/>
                <w:kern w:val="0"/>
                <w:sz w:val="24"/>
                <w:szCs w:val="24"/>
              </w:rPr>
            </w:pPr>
            <w:r>
              <w:rPr>
                <w:rFonts w:hint="eastAsia" w:ascii="宋体" w:hAnsi="宋体" w:eastAsia="宋体" w:cs="宋体"/>
                <w:color w:val="000000"/>
                <w:kern w:val="0"/>
                <w:sz w:val="22"/>
              </w:rPr>
              <w:t>2019999</w:t>
            </w:r>
          </w:p>
        </w:tc>
        <w:tc>
          <w:tcPr>
            <w:tcW w:w="1337" w:type="dxa"/>
            <w:tcBorders>
              <w:top w:val="nil"/>
              <w:left w:val="nil"/>
              <w:bottom w:val="single" w:color="auto" w:sz="4" w:space="0"/>
              <w:right w:val="single" w:color="auto" w:sz="4" w:space="0"/>
            </w:tcBorders>
            <w:shd w:val="clear" w:color="000000" w:fill="FFFFFF"/>
            <w:noWrap/>
            <w:vAlign w:val="center"/>
          </w:tcPr>
          <w:p>
            <w:pPr>
              <w:widowControl/>
              <w:jc w:val="left"/>
              <w:textAlignment w:val="center"/>
              <w:rPr>
                <w:rFonts w:ascii="Times New Roman" w:hAnsi="Times New Roman" w:eastAsia="仿宋_GB2312" w:cs="Times New Roman"/>
                <w:kern w:val="0"/>
                <w:sz w:val="24"/>
                <w:szCs w:val="24"/>
              </w:rPr>
            </w:pPr>
            <w:r>
              <w:rPr>
                <w:rFonts w:hint="eastAsia" w:ascii="宋体" w:hAnsi="宋体" w:eastAsia="宋体" w:cs="宋体"/>
                <w:color w:val="000000"/>
                <w:kern w:val="0"/>
                <w:sz w:val="22"/>
              </w:rPr>
              <w:t xml:space="preserve">  其他一般公共服务支出</w:t>
            </w:r>
          </w:p>
        </w:tc>
        <w:tc>
          <w:tcPr>
            <w:tcW w:w="1877" w:type="dxa"/>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Times New Roman" w:hAnsi="Times New Roman" w:eastAsia="仿宋_GB2312" w:cs="Times New Roman"/>
                <w:kern w:val="0"/>
                <w:sz w:val="24"/>
                <w:szCs w:val="24"/>
              </w:rPr>
            </w:pPr>
            <w:r>
              <w:rPr>
                <w:rFonts w:hint="eastAsia" w:ascii="宋体" w:hAnsi="宋体" w:eastAsia="宋体" w:cs="宋体"/>
                <w:color w:val="000000"/>
                <w:kern w:val="0"/>
                <w:sz w:val="22"/>
              </w:rPr>
              <w:t>372.31</w:t>
            </w:r>
          </w:p>
        </w:tc>
        <w:tc>
          <w:tcPr>
            <w:tcW w:w="1334" w:type="dxa"/>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Times New Roman" w:hAnsi="Times New Roman" w:eastAsia="仿宋_GB2312" w:cs="Times New Roman"/>
                <w:kern w:val="0"/>
                <w:sz w:val="24"/>
                <w:szCs w:val="24"/>
              </w:rPr>
            </w:pPr>
            <w:r>
              <w:rPr>
                <w:rFonts w:hint="eastAsia" w:ascii="宋体" w:hAnsi="宋体" w:eastAsia="宋体" w:cs="宋体"/>
                <w:color w:val="000000"/>
                <w:kern w:val="0"/>
                <w:sz w:val="22"/>
              </w:rPr>
              <w:t>0.00</w:t>
            </w:r>
          </w:p>
        </w:tc>
        <w:tc>
          <w:tcPr>
            <w:tcW w:w="1333" w:type="dxa"/>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Times New Roman" w:hAnsi="Times New Roman" w:eastAsia="仿宋_GB2312" w:cs="Times New Roman"/>
                <w:kern w:val="0"/>
                <w:sz w:val="24"/>
                <w:szCs w:val="24"/>
              </w:rPr>
            </w:pPr>
            <w:r>
              <w:rPr>
                <w:rFonts w:hint="eastAsia" w:ascii="宋体" w:hAnsi="宋体" w:eastAsia="宋体" w:cs="宋体"/>
                <w:color w:val="000000"/>
                <w:kern w:val="0"/>
                <w:sz w:val="22"/>
              </w:rPr>
              <w:t>372.31</w:t>
            </w:r>
          </w:p>
        </w:tc>
        <w:tc>
          <w:tcPr>
            <w:tcW w:w="1876" w:type="dxa"/>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Times New Roman" w:hAnsi="Times New Roman" w:eastAsia="仿宋_GB2312" w:cs="Times New Roman"/>
                <w:kern w:val="0"/>
                <w:sz w:val="24"/>
                <w:szCs w:val="24"/>
              </w:rPr>
            </w:pPr>
            <w:r>
              <w:rPr>
                <w:rFonts w:hint="eastAsia" w:ascii="宋体" w:hAnsi="宋体" w:eastAsia="宋体" w:cs="宋体"/>
                <w:color w:val="000000"/>
                <w:kern w:val="0"/>
                <w:sz w:val="22"/>
              </w:rPr>
              <w:t>0.00</w:t>
            </w:r>
          </w:p>
        </w:tc>
        <w:tc>
          <w:tcPr>
            <w:tcW w:w="1333" w:type="dxa"/>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Times New Roman" w:hAnsi="Times New Roman" w:eastAsia="仿宋_GB2312" w:cs="Times New Roman"/>
                <w:kern w:val="0"/>
                <w:sz w:val="24"/>
                <w:szCs w:val="24"/>
              </w:rPr>
            </w:pPr>
            <w:r>
              <w:rPr>
                <w:rFonts w:hint="eastAsia" w:ascii="宋体" w:hAnsi="宋体" w:eastAsia="宋体" w:cs="宋体"/>
                <w:color w:val="000000"/>
                <w:kern w:val="0"/>
                <w:sz w:val="22"/>
              </w:rPr>
              <w:t>0.00</w:t>
            </w:r>
          </w:p>
        </w:tc>
        <w:tc>
          <w:tcPr>
            <w:tcW w:w="2698" w:type="dxa"/>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Times New Roman" w:hAnsi="Times New Roman" w:eastAsia="仿宋_GB2312" w:cs="Times New Roman"/>
                <w:kern w:val="0"/>
                <w:sz w:val="24"/>
                <w:szCs w:val="24"/>
              </w:rPr>
            </w:pPr>
            <w:r>
              <w:rPr>
                <w:rFonts w:hint="eastAsia" w:ascii="宋体" w:hAnsi="宋体" w:eastAsia="宋体" w:cs="宋体"/>
                <w:color w:val="000000"/>
                <w:kern w:val="0"/>
                <w:sz w:val="22"/>
              </w:rPr>
              <w:t>0.00</w:t>
            </w:r>
          </w:p>
        </w:tc>
      </w:tr>
      <w:tr>
        <w:tblPrEx>
          <w:tblCellMar>
            <w:top w:w="0" w:type="dxa"/>
            <w:left w:w="108" w:type="dxa"/>
            <w:bottom w:w="0" w:type="dxa"/>
            <w:right w:w="108" w:type="dxa"/>
          </w:tblCellMar>
        </w:tblPrEx>
        <w:trPr>
          <w:trHeight w:val="595" w:hRule="atLeast"/>
          <w:jc w:val="center"/>
        </w:trPr>
        <w:tc>
          <w:tcPr>
            <w:tcW w:w="2426"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left"/>
              <w:textAlignment w:val="center"/>
              <w:rPr>
                <w:rFonts w:ascii="Times New Roman" w:hAnsi="Times New Roman" w:eastAsia="仿宋_GB2312" w:cs="Times New Roman"/>
                <w:kern w:val="0"/>
                <w:sz w:val="24"/>
                <w:szCs w:val="24"/>
              </w:rPr>
            </w:pPr>
            <w:r>
              <w:rPr>
                <w:rFonts w:hint="eastAsia" w:ascii="宋体" w:hAnsi="宋体" w:eastAsia="宋体" w:cs="宋体"/>
                <w:color w:val="000000"/>
                <w:kern w:val="0"/>
                <w:sz w:val="22"/>
              </w:rPr>
              <w:t>208</w:t>
            </w:r>
          </w:p>
        </w:tc>
        <w:tc>
          <w:tcPr>
            <w:tcW w:w="1337" w:type="dxa"/>
            <w:tcBorders>
              <w:top w:val="nil"/>
              <w:left w:val="nil"/>
              <w:bottom w:val="single" w:color="auto" w:sz="4" w:space="0"/>
              <w:right w:val="single" w:color="auto" w:sz="4" w:space="0"/>
            </w:tcBorders>
            <w:shd w:val="clear" w:color="000000" w:fill="FFFFFF"/>
            <w:noWrap/>
            <w:vAlign w:val="center"/>
          </w:tcPr>
          <w:p>
            <w:pPr>
              <w:widowControl/>
              <w:jc w:val="left"/>
              <w:textAlignment w:val="center"/>
              <w:rPr>
                <w:rFonts w:ascii="Times New Roman" w:hAnsi="Times New Roman" w:eastAsia="仿宋_GB2312" w:cs="Times New Roman"/>
                <w:kern w:val="0"/>
                <w:sz w:val="24"/>
                <w:szCs w:val="24"/>
              </w:rPr>
            </w:pPr>
            <w:r>
              <w:rPr>
                <w:rFonts w:hint="eastAsia" w:ascii="宋体" w:hAnsi="宋体" w:eastAsia="宋体" w:cs="宋体"/>
                <w:color w:val="000000"/>
                <w:kern w:val="0"/>
                <w:sz w:val="22"/>
              </w:rPr>
              <w:t>社会保障和就业支出</w:t>
            </w:r>
          </w:p>
        </w:tc>
        <w:tc>
          <w:tcPr>
            <w:tcW w:w="1877" w:type="dxa"/>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Times New Roman" w:hAnsi="Times New Roman" w:eastAsia="仿宋_GB2312" w:cs="Times New Roman"/>
                <w:kern w:val="0"/>
                <w:sz w:val="24"/>
                <w:szCs w:val="24"/>
              </w:rPr>
            </w:pPr>
            <w:r>
              <w:rPr>
                <w:rFonts w:hint="eastAsia" w:ascii="宋体" w:hAnsi="宋体" w:eastAsia="宋体" w:cs="宋体"/>
                <w:color w:val="000000"/>
                <w:kern w:val="0"/>
                <w:sz w:val="22"/>
              </w:rPr>
              <w:t>2,383.18</w:t>
            </w:r>
          </w:p>
        </w:tc>
        <w:tc>
          <w:tcPr>
            <w:tcW w:w="1334" w:type="dxa"/>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Times New Roman" w:hAnsi="Times New Roman" w:eastAsia="仿宋_GB2312" w:cs="Times New Roman"/>
                <w:kern w:val="0"/>
                <w:sz w:val="24"/>
                <w:szCs w:val="24"/>
              </w:rPr>
            </w:pPr>
            <w:r>
              <w:rPr>
                <w:rFonts w:hint="eastAsia" w:ascii="宋体" w:hAnsi="宋体" w:eastAsia="宋体" w:cs="宋体"/>
                <w:color w:val="000000"/>
                <w:kern w:val="0"/>
                <w:sz w:val="22"/>
              </w:rPr>
              <w:t>761.83</w:t>
            </w:r>
          </w:p>
        </w:tc>
        <w:tc>
          <w:tcPr>
            <w:tcW w:w="1333" w:type="dxa"/>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Times New Roman" w:hAnsi="Times New Roman" w:eastAsia="仿宋_GB2312" w:cs="Times New Roman"/>
                <w:kern w:val="0"/>
                <w:sz w:val="24"/>
                <w:szCs w:val="24"/>
              </w:rPr>
            </w:pPr>
            <w:r>
              <w:rPr>
                <w:rFonts w:hint="eastAsia" w:ascii="宋体" w:hAnsi="宋体" w:eastAsia="宋体" w:cs="宋体"/>
                <w:color w:val="000000"/>
                <w:kern w:val="0"/>
                <w:sz w:val="22"/>
              </w:rPr>
              <w:t>1,621.35</w:t>
            </w:r>
          </w:p>
        </w:tc>
        <w:tc>
          <w:tcPr>
            <w:tcW w:w="1876" w:type="dxa"/>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Times New Roman" w:hAnsi="Times New Roman" w:eastAsia="仿宋_GB2312" w:cs="Times New Roman"/>
                <w:kern w:val="0"/>
                <w:sz w:val="24"/>
                <w:szCs w:val="24"/>
              </w:rPr>
            </w:pPr>
            <w:r>
              <w:rPr>
                <w:rFonts w:hint="eastAsia" w:ascii="宋体" w:hAnsi="宋体" w:eastAsia="宋体" w:cs="宋体"/>
                <w:color w:val="000000"/>
                <w:kern w:val="0"/>
                <w:sz w:val="22"/>
              </w:rPr>
              <w:t>0.00</w:t>
            </w:r>
          </w:p>
        </w:tc>
        <w:tc>
          <w:tcPr>
            <w:tcW w:w="1333" w:type="dxa"/>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Times New Roman" w:hAnsi="Times New Roman" w:eastAsia="仿宋_GB2312" w:cs="Times New Roman"/>
                <w:kern w:val="0"/>
                <w:sz w:val="24"/>
                <w:szCs w:val="24"/>
              </w:rPr>
            </w:pPr>
            <w:r>
              <w:rPr>
                <w:rFonts w:hint="eastAsia" w:ascii="宋体" w:hAnsi="宋体" w:eastAsia="宋体" w:cs="宋体"/>
                <w:color w:val="000000"/>
                <w:kern w:val="0"/>
                <w:sz w:val="22"/>
              </w:rPr>
              <w:t>0.00</w:t>
            </w:r>
          </w:p>
        </w:tc>
        <w:tc>
          <w:tcPr>
            <w:tcW w:w="2698" w:type="dxa"/>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Times New Roman" w:hAnsi="Times New Roman" w:eastAsia="仿宋_GB2312" w:cs="Times New Roman"/>
                <w:kern w:val="0"/>
                <w:sz w:val="24"/>
                <w:szCs w:val="24"/>
              </w:rPr>
            </w:pPr>
            <w:r>
              <w:rPr>
                <w:rFonts w:hint="eastAsia" w:ascii="宋体" w:hAnsi="宋体" w:eastAsia="宋体" w:cs="宋体"/>
                <w:color w:val="000000"/>
                <w:kern w:val="0"/>
                <w:sz w:val="22"/>
              </w:rPr>
              <w:t>0.00</w:t>
            </w:r>
          </w:p>
        </w:tc>
      </w:tr>
      <w:tr>
        <w:tblPrEx>
          <w:tblCellMar>
            <w:top w:w="0" w:type="dxa"/>
            <w:left w:w="108" w:type="dxa"/>
            <w:bottom w:w="0" w:type="dxa"/>
            <w:right w:w="108" w:type="dxa"/>
          </w:tblCellMar>
        </w:tblPrEx>
        <w:trPr>
          <w:trHeight w:val="595" w:hRule="atLeast"/>
          <w:jc w:val="center"/>
        </w:trPr>
        <w:tc>
          <w:tcPr>
            <w:tcW w:w="2426"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left"/>
              <w:textAlignment w:val="center"/>
              <w:rPr>
                <w:rFonts w:ascii="Times New Roman" w:hAnsi="Times New Roman" w:eastAsia="仿宋_GB2312" w:cs="Times New Roman"/>
                <w:kern w:val="0"/>
                <w:sz w:val="24"/>
                <w:szCs w:val="24"/>
              </w:rPr>
            </w:pPr>
            <w:r>
              <w:rPr>
                <w:rFonts w:hint="eastAsia" w:ascii="宋体" w:hAnsi="宋体" w:eastAsia="宋体" w:cs="宋体"/>
                <w:color w:val="000000"/>
                <w:kern w:val="0"/>
                <w:sz w:val="22"/>
              </w:rPr>
              <w:t>20805</w:t>
            </w:r>
          </w:p>
        </w:tc>
        <w:tc>
          <w:tcPr>
            <w:tcW w:w="1337" w:type="dxa"/>
            <w:tcBorders>
              <w:top w:val="nil"/>
              <w:left w:val="nil"/>
              <w:bottom w:val="single" w:color="auto" w:sz="4" w:space="0"/>
              <w:right w:val="single" w:color="auto" w:sz="4" w:space="0"/>
            </w:tcBorders>
            <w:shd w:val="clear" w:color="000000" w:fill="FFFFFF"/>
            <w:noWrap/>
            <w:vAlign w:val="center"/>
          </w:tcPr>
          <w:p>
            <w:pPr>
              <w:widowControl/>
              <w:jc w:val="left"/>
              <w:textAlignment w:val="center"/>
              <w:rPr>
                <w:rFonts w:ascii="Times New Roman" w:hAnsi="Times New Roman" w:eastAsia="仿宋_GB2312" w:cs="Times New Roman"/>
                <w:kern w:val="0"/>
                <w:sz w:val="24"/>
                <w:szCs w:val="24"/>
              </w:rPr>
            </w:pPr>
            <w:r>
              <w:rPr>
                <w:rFonts w:hint="eastAsia" w:ascii="宋体" w:hAnsi="宋体" w:eastAsia="宋体" w:cs="宋体"/>
                <w:color w:val="000000"/>
                <w:kern w:val="0"/>
                <w:sz w:val="22"/>
              </w:rPr>
              <w:t>行政事业单位养老支出</w:t>
            </w:r>
          </w:p>
        </w:tc>
        <w:tc>
          <w:tcPr>
            <w:tcW w:w="1877" w:type="dxa"/>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Times New Roman" w:hAnsi="Times New Roman" w:eastAsia="仿宋_GB2312" w:cs="Times New Roman"/>
                <w:kern w:val="0"/>
                <w:sz w:val="24"/>
                <w:szCs w:val="24"/>
              </w:rPr>
            </w:pPr>
            <w:r>
              <w:rPr>
                <w:rFonts w:hint="eastAsia" w:ascii="宋体" w:hAnsi="宋体" w:eastAsia="宋体" w:cs="宋体"/>
                <w:color w:val="000000"/>
                <w:kern w:val="0"/>
                <w:sz w:val="22"/>
              </w:rPr>
              <w:t>0.01</w:t>
            </w:r>
          </w:p>
        </w:tc>
        <w:tc>
          <w:tcPr>
            <w:tcW w:w="1334" w:type="dxa"/>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Times New Roman" w:hAnsi="Times New Roman" w:eastAsia="仿宋_GB2312" w:cs="Times New Roman"/>
                <w:kern w:val="0"/>
                <w:sz w:val="24"/>
                <w:szCs w:val="24"/>
              </w:rPr>
            </w:pPr>
            <w:r>
              <w:rPr>
                <w:rFonts w:hint="eastAsia" w:ascii="宋体" w:hAnsi="宋体" w:eastAsia="宋体" w:cs="宋体"/>
                <w:color w:val="000000"/>
                <w:kern w:val="0"/>
                <w:sz w:val="22"/>
              </w:rPr>
              <w:t>0.01</w:t>
            </w:r>
          </w:p>
        </w:tc>
        <w:tc>
          <w:tcPr>
            <w:tcW w:w="1333" w:type="dxa"/>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Times New Roman" w:hAnsi="Times New Roman" w:eastAsia="仿宋_GB2312" w:cs="Times New Roman"/>
                <w:kern w:val="0"/>
                <w:sz w:val="24"/>
                <w:szCs w:val="24"/>
              </w:rPr>
            </w:pPr>
            <w:r>
              <w:rPr>
                <w:rFonts w:hint="eastAsia" w:ascii="宋体" w:hAnsi="宋体" w:eastAsia="宋体" w:cs="宋体"/>
                <w:color w:val="000000"/>
                <w:kern w:val="0"/>
                <w:sz w:val="22"/>
              </w:rPr>
              <w:t>0.00</w:t>
            </w:r>
          </w:p>
        </w:tc>
        <w:tc>
          <w:tcPr>
            <w:tcW w:w="1876" w:type="dxa"/>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Times New Roman" w:hAnsi="Times New Roman" w:eastAsia="仿宋_GB2312" w:cs="Times New Roman"/>
                <w:kern w:val="0"/>
                <w:sz w:val="24"/>
                <w:szCs w:val="24"/>
              </w:rPr>
            </w:pPr>
            <w:r>
              <w:rPr>
                <w:rFonts w:hint="eastAsia" w:ascii="宋体" w:hAnsi="宋体" w:eastAsia="宋体" w:cs="宋体"/>
                <w:color w:val="000000"/>
                <w:kern w:val="0"/>
                <w:sz w:val="22"/>
              </w:rPr>
              <w:t>0.00</w:t>
            </w:r>
          </w:p>
        </w:tc>
        <w:tc>
          <w:tcPr>
            <w:tcW w:w="1333" w:type="dxa"/>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Times New Roman" w:hAnsi="Times New Roman" w:eastAsia="仿宋_GB2312" w:cs="Times New Roman"/>
                <w:kern w:val="0"/>
                <w:sz w:val="24"/>
                <w:szCs w:val="24"/>
              </w:rPr>
            </w:pPr>
            <w:r>
              <w:rPr>
                <w:rFonts w:hint="eastAsia" w:ascii="宋体" w:hAnsi="宋体" w:eastAsia="宋体" w:cs="宋体"/>
                <w:color w:val="000000"/>
                <w:kern w:val="0"/>
                <w:sz w:val="22"/>
              </w:rPr>
              <w:t>0.00</w:t>
            </w:r>
          </w:p>
        </w:tc>
        <w:tc>
          <w:tcPr>
            <w:tcW w:w="2698" w:type="dxa"/>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Times New Roman" w:hAnsi="Times New Roman" w:eastAsia="仿宋_GB2312" w:cs="Times New Roman"/>
                <w:kern w:val="0"/>
                <w:sz w:val="24"/>
                <w:szCs w:val="24"/>
              </w:rPr>
            </w:pPr>
            <w:r>
              <w:rPr>
                <w:rFonts w:hint="eastAsia" w:ascii="宋体" w:hAnsi="宋体" w:eastAsia="宋体" w:cs="宋体"/>
                <w:color w:val="000000"/>
                <w:kern w:val="0"/>
                <w:sz w:val="22"/>
              </w:rPr>
              <w:t>0.00</w:t>
            </w:r>
          </w:p>
        </w:tc>
      </w:tr>
      <w:tr>
        <w:tblPrEx>
          <w:tblCellMar>
            <w:top w:w="0" w:type="dxa"/>
            <w:left w:w="108" w:type="dxa"/>
            <w:bottom w:w="0" w:type="dxa"/>
            <w:right w:w="108" w:type="dxa"/>
          </w:tblCellMar>
        </w:tblPrEx>
        <w:trPr>
          <w:trHeight w:val="595" w:hRule="atLeast"/>
          <w:jc w:val="center"/>
        </w:trPr>
        <w:tc>
          <w:tcPr>
            <w:tcW w:w="2426"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left"/>
              <w:textAlignment w:val="center"/>
              <w:rPr>
                <w:rFonts w:ascii="Times New Roman" w:hAnsi="Times New Roman" w:eastAsia="仿宋_GB2312" w:cs="Times New Roman"/>
                <w:kern w:val="0"/>
                <w:sz w:val="24"/>
                <w:szCs w:val="24"/>
              </w:rPr>
            </w:pPr>
            <w:r>
              <w:rPr>
                <w:rFonts w:hint="eastAsia" w:ascii="宋体" w:hAnsi="宋体" w:eastAsia="宋体" w:cs="宋体"/>
                <w:color w:val="000000"/>
                <w:kern w:val="0"/>
                <w:sz w:val="22"/>
              </w:rPr>
              <w:t>2080599</w:t>
            </w:r>
          </w:p>
        </w:tc>
        <w:tc>
          <w:tcPr>
            <w:tcW w:w="1337"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left"/>
              <w:textAlignment w:val="center"/>
              <w:rPr>
                <w:rFonts w:ascii="Times New Roman" w:hAnsi="Times New Roman" w:eastAsia="仿宋_GB2312" w:cs="Times New Roman"/>
                <w:kern w:val="0"/>
                <w:sz w:val="24"/>
                <w:szCs w:val="24"/>
              </w:rPr>
            </w:pPr>
            <w:r>
              <w:rPr>
                <w:rFonts w:hint="eastAsia" w:ascii="宋体" w:hAnsi="宋体" w:eastAsia="宋体" w:cs="宋体"/>
                <w:color w:val="000000"/>
                <w:kern w:val="0"/>
                <w:sz w:val="22"/>
              </w:rPr>
              <w:t xml:space="preserve">  其他行政事业单位养老支出</w:t>
            </w:r>
          </w:p>
        </w:tc>
        <w:tc>
          <w:tcPr>
            <w:tcW w:w="1877"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Times New Roman" w:hAnsi="Times New Roman" w:eastAsia="仿宋_GB2312" w:cs="Times New Roman"/>
                <w:kern w:val="0"/>
                <w:sz w:val="24"/>
                <w:szCs w:val="24"/>
              </w:rPr>
            </w:pPr>
            <w:r>
              <w:rPr>
                <w:rFonts w:hint="eastAsia" w:ascii="宋体" w:hAnsi="宋体" w:eastAsia="宋体" w:cs="宋体"/>
                <w:color w:val="000000"/>
                <w:kern w:val="0"/>
                <w:sz w:val="22"/>
              </w:rPr>
              <w:t>0.01</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Times New Roman" w:hAnsi="Times New Roman" w:eastAsia="仿宋_GB2312" w:cs="Times New Roman"/>
                <w:kern w:val="0"/>
                <w:sz w:val="24"/>
                <w:szCs w:val="24"/>
              </w:rPr>
            </w:pPr>
            <w:r>
              <w:rPr>
                <w:rFonts w:hint="eastAsia" w:ascii="宋体" w:hAnsi="宋体" w:eastAsia="宋体" w:cs="宋体"/>
                <w:color w:val="000000"/>
                <w:kern w:val="0"/>
                <w:sz w:val="22"/>
              </w:rPr>
              <w:t>0.01</w:t>
            </w:r>
          </w:p>
        </w:tc>
        <w:tc>
          <w:tcPr>
            <w:tcW w:w="133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Times New Roman" w:hAnsi="Times New Roman" w:eastAsia="仿宋_GB2312" w:cs="Times New Roman"/>
                <w:kern w:val="0"/>
                <w:sz w:val="24"/>
                <w:szCs w:val="24"/>
              </w:rPr>
            </w:pPr>
            <w:r>
              <w:rPr>
                <w:rFonts w:hint="eastAsia" w:ascii="宋体" w:hAnsi="宋体" w:eastAsia="宋体" w:cs="宋体"/>
                <w:color w:val="000000"/>
                <w:kern w:val="0"/>
                <w:sz w:val="22"/>
              </w:rPr>
              <w:t>0.00</w:t>
            </w:r>
          </w:p>
        </w:tc>
        <w:tc>
          <w:tcPr>
            <w:tcW w:w="187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Times New Roman" w:hAnsi="Times New Roman" w:eastAsia="仿宋_GB2312" w:cs="Times New Roman"/>
                <w:kern w:val="0"/>
                <w:sz w:val="24"/>
                <w:szCs w:val="24"/>
              </w:rPr>
            </w:pPr>
            <w:r>
              <w:rPr>
                <w:rFonts w:hint="eastAsia" w:ascii="宋体" w:hAnsi="宋体" w:eastAsia="宋体" w:cs="宋体"/>
                <w:color w:val="000000"/>
                <w:kern w:val="0"/>
                <w:sz w:val="22"/>
              </w:rPr>
              <w:t>0.00</w:t>
            </w:r>
          </w:p>
        </w:tc>
        <w:tc>
          <w:tcPr>
            <w:tcW w:w="133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Times New Roman" w:hAnsi="Times New Roman" w:eastAsia="仿宋_GB2312" w:cs="Times New Roman"/>
                <w:kern w:val="0"/>
                <w:sz w:val="24"/>
                <w:szCs w:val="24"/>
              </w:rPr>
            </w:pPr>
            <w:r>
              <w:rPr>
                <w:rFonts w:hint="eastAsia" w:ascii="宋体" w:hAnsi="宋体" w:eastAsia="宋体" w:cs="宋体"/>
                <w:color w:val="000000"/>
                <w:kern w:val="0"/>
                <w:sz w:val="22"/>
              </w:rPr>
              <w:t>0.00</w:t>
            </w:r>
          </w:p>
        </w:tc>
        <w:tc>
          <w:tcPr>
            <w:tcW w:w="269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Times New Roman" w:hAnsi="Times New Roman" w:eastAsia="仿宋_GB2312" w:cs="Times New Roman"/>
                <w:kern w:val="0"/>
                <w:sz w:val="24"/>
                <w:szCs w:val="24"/>
              </w:rPr>
            </w:pPr>
            <w:r>
              <w:rPr>
                <w:rFonts w:hint="eastAsia" w:ascii="宋体" w:hAnsi="宋体" w:eastAsia="宋体" w:cs="宋体"/>
                <w:color w:val="000000"/>
                <w:kern w:val="0"/>
                <w:sz w:val="22"/>
              </w:rPr>
              <w:t>0.00</w:t>
            </w:r>
          </w:p>
        </w:tc>
      </w:tr>
      <w:tr>
        <w:tblPrEx>
          <w:tblCellMar>
            <w:top w:w="0" w:type="dxa"/>
            <w:left w:w="108" w:type="dxa"/>
            <w:bottom w:w="0" w:type="dxa"/>
            <w:right w:w="108" w:type="dxa"/>
          </w:tblCellMar>
        </w:tblPrEx>
        <w:trPr>
          <w:trHeight w:val="595" w:hRule="atLeast"/>
          <w:jc w:val="center"/>
        </w:trPr>
        <w:tc>
          <w:tcPr>
            <w:tcW w:w="2426"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left"/>
              <w:textAlignment w:val="center"/>
              <w:rPr>
                <w:rFonts w:ascii="Times New Roman" w:hAnsi="Times New Roman" w:eastAsia="仿宋_GB2312" w:cs="Times New Roman"/>
                <w:kern w:val="0"/>
                <w:sz w:val="24"/>
                <w:szCs w:val="24"/>
              </w:rPr>
            </w:pPr>
            <w:r>
              <w:rPr>
                <w:rFonts w:hint="eastAsia" w:ascii="宋体" w:hAnsi="宋体" w:eastAsia="宋体" w:cs="宋体"/>
                <w:color w:val="000000"/>
                <w:kern w:val="0"/>
                <w:sz w:val="22"/>
              </w:rPr>
              <w:t>20810</w:t>
            </w:r>
          </w:p>
        </w:tc>
        <w:tc>
          <w:tcPr>
            <w:tcW w:w="1337"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left"/>
              <w:textAlignment w:val="center"/>
              <w:rPr>
                <w:rFonts w:ascii="Times New Roman" w:hAnsi="Times New Roman" w:eastAsia="仿宋_GB2312" w:cs="Times New Roman"/>
                <w:kern w:val="0"/>
                <w:sz w:val="24"/>
                <w:szCs w:val="24"/>
              </w:rPr>
            </w:pPr>
            <w:r>
              <w:rPr>
                <w:rFonts w:hint="eastAsia" w:ascii="宋体" w:hAnsi="宋体" w:eastAsia="宋体" w:cs="宋体"/>
                <w:color w:val="000000"/>
                <w:kern w:val="0"/>
                <w:sz w:val="22"/>
              </w:rPr>
              <w:t>社会福利</w:t>
            </w:r>
          </w:p>
        </w:tc>
        <w:tc>
          <w:tcPr>
            <w:tcW w:w="1877"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Times New Roman" w:hAnsi="Times New Roman" w:eastAsia="仿宋_GB2312" w:cs="Times New Roman"/>
                <w:kern w:val="0"/>
                <w:sz w:val="24"/>
                <w:szCs w:val="24"/>
              </w:rPr>
            </w:pPr>
            <w:r>
              <w:rPr>
                <w:rFonts w:hint="eastAsia" w:ascii="宋体" w:hAnsi="宋体" w:eastAsia="宋体" w:cs="宋体"/>
                <w:color w:val="000000"/>
                <w:kern w:val="0"/>
                <w:sz w:val="22"/>
              </w:rPr>
              <w:t>1,257.21</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Times New Roman" w:hAnsi="Times New Roman" w:eastAsia="仿宋_GB2312" w:cs="Times New Roman"/>
                <w:kern w:val="0"/>
                <w:sz w:val="24"/>
                <w:szCs w:val="24"/>
              </w:rPr>
            </w:pPr>
            <w:r>
              <w:rPr>
                <w:rFonts w:hint="eastAsia" w:ascii="宋体" w:hAnsi="宋体" w:eastAsia="宋体" w:cs="宋体"/>
                <w:color w:val="000000"/>
                <w:kern w:val="0"/>
                <w:sz w:val="22"/>
              </w:rPr>
              <w:t>761.82</w:t>
            </w:r>
          </w:p>
        </w:tc>
        <w:tc>
          <w:tcPr>
            <w:tcW w:w="133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Times New Roman" w:hAnsi="Times New Roman" w:eastAsia="仿宋_GB2312" w:cs="Times New Roman"/>
                <w:kern w:val="0"/>
                <w:sz w:val="24"/>
                <w:szCs w:val="24"/>
              </w:rPr>
            </w:pPr>
            <w:r>
              <w:rPr>
                <w:rFonts w:hint="eastAsia" w:ascii="宋体" w:hAnsi="宋体" w:eastAsia="宋体" w:cs="宋体"/>
                <w:color w:val="000000"/>
                <w:kern w:val="0"/>
                <w:sz w:val="22"/>
              </w:rPr>
              <w:t>495.39</w:t>
            </w:r>
          </w:p>
        </w:tc>
        <w:tc>
          <w:tcPr>
            <w:tcW w:w="187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Times New Roman" w:hAnsi="Times New Roman" w:eastAsia="仿宋_GB2312" w:cs="Times New Roman"/>
                <w:kern w:val="0"/>
                <w:sz w:val="24"/>
                <w:szCs w:val="24"/>
              </w:rPr>
            </w:pPr>
            <w:r>
              <w:rPr>
                <w:rFonts w:hint="eastAsia" w:ascii="宋体" w:hAnsi="宋体" w:eastAsia="宋体" w:cs="宋体"/>
                <w:color w:val="000000"/>
                <w:kern w:val="0"/>
                <w:sz w:val="22"/>
              </w:rPr>
              <w:t>0.00</w:t>
            </w:r>
          </w:p>
        </w:tc>
        <w:tc>
          <w:tcPr>
            <w:tcW w:w="133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Times New Roman" w:hAnsi="Times New Roman" w:eastAsia="仿宋_GB2312" w:cs="Times New Roman"/>
                <w:kern w:val="0"/>
                <w:sz w:val="24"/>
                <w:szCs w:val="24"/>
              </w:rPr>
            </w:pPr>
            <w:r>
              <w:rPr>
                <w:rFonts w:hint="eastAsia" w:ascii="宋体" w:hAnsi="宋体" w:eastAsia="宋体" w:cs="宋体"/>
                <w:color w:val="000000"/>
                <w:kern w:val="0"/>
                <w:sz w:val="22"/>
              </w:rPr>
              <w:t>0.00</w:t>
            </w:r>
          </w:p>
        </w:tc>
        <w:tc>
          <w:tcPr>
            <w:tcW w:w="269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Times New Roman" w:hAnsi="Times New Roman" w:eastAsia="仿宋_GB2312" w:cs="Times New Roman"/>
                <w:kern w:val="0"/>
                <w:sz w:val="24"/>
                <w:szCs w:val="24"/>
              </w:rPr>
            </w:pPr>
            <w:r>
              <w:rPr>
                <w:rFonts w:hint="eastAsia" w:ascii="宋体" w:hAnsi="宋体" w:eastAsia="宋体" w:cs="宋体"/>
                <w:color w:val="000000"/>
                <w:kern w:val="0"/>
                <w:sz w:val="22"/>
              </w:rPr>
              <w:t>0.00</w:t>
            </w:r>
          </w:p>
        </w:tc>
      </w:tr>
      <w:tr>
        <w:tblPrEx>
          <w:tblCellMar>
            <w:top w:w="0" w:type="dxa"/>
            <w:left w:w="108" w:type="dxa"/>
            <w:bottom w:w="0" w:type="dxa"/>
            <w:right w:w="108" w:type="dxa"/>
          </w:tblCellMar>
        </w:tblPrEx>
        <w:trPr>
          <w:trHeight w:val="595" w:hRule="atLeast"/>
          <w:jc w:val="center"/>
        </w:trPr>
        <w:tc>
          <w:tcPr>
            <w:tcW w:w="2426"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left"/>
              <w:textAlignment w:val="center"/>
              <w:rPr>
                <w:rFonts w:ascii="Times New Roman" w:hAnsi="Times New Roman" w:eastAsia="仿宋_GB2312" w:cs="Times New Roman"/>
                <w:kern w:val="0"/>
                <w:sz w:val="24"/>
                <w:szCs w:val="24"/>
              </w:rPr>
            </w:pPr>
            <w:r>
              <w:rPr>
                <w:rFonts w:hint="eastAsia" w:ascii="宋体" w:hAnsi="宋体" w:eastAsia="宋体" w:cs="宋体"/>
                <w:color w:val="000000"/>
                <w:kern w:val="0"/>
                <w:sz w:val="22"/>
              </w:rPr>
              <w:t>2081004</w:t>
            </w:r>
          </w:p>
        </w:tc>
        <w:tc>
          <w:tcPr>
            <w:tcW w:w="1337"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left"/>
              <w:textAlignment w:val="center"/>
              <w:rPr>
                <w:rFonts w:ascii="Times New Roman" w:hAnsi="Times New Roman" w:eastAsia="仿宋_GB2312" w:cs="Times New Roman"/>
                <w:kern w:val="0"/>
                <w:sz w:val="24"/>
                <w:szCs w:val="24"/>
              </w:rPr>
            </w:pPr>
            <w:r>
              <w:rPr>
                <w:rFonts w:hint="eastAsia" w:ascii="宋体" w:hAnsi="宋体" w:eastAsia="宋体" w:cs="宋体"/>
                <w:color w:val="000000"/>
                <w:kern w:val="0"/>
                <w:sz w:val="22"/>
              </w:rPr>
              <w:t xml:space="preserve">  殡葬</w:t>
            </w:r>
          </w:p>
        </w:tc>
        <w:tc>
          <w:tcPr>
            <w:tcW w:w="1877"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Times New Roman" w:hAnsi="Times New Roman" w:eastAsia="仿宋_GB2312" w:cs="Times New Roman"/>
                <w:kern w:val="0"/>
                <w:sz w:val="24"/>
                <w:szCs w:val="24"/>
              </w:rPr>
            </w:pPr>
            <w:r>
              <w:rPr>
                <w:rFonts w:hint="eastAsia" w:ascii="宋体" w:hAnsi="宋体" w:eastAsia="宋体" w:cs="宋体"/>
                <w:color w:val="000000"/>
                <w:kern w:val="0"/>
                <w:sz w:val="22"/>
              </w:rPr>
              <w:t>1,246.56</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Times New Roman" w:hAnsi="Times New Roman" w:eastAsia="仿宋_GB2312" w:cs="Times New Roman"/>
                <w:kern w:val="0"/>
                <w:sz w:val="24"/>
                <w:szCs w:val="24"/>
              </w:rPr>
            </w:pPr>
            <w:r>
              <w:rPr>
                <w:rFonts w:hint="eastAsia" w:ascii="宋体" w:hAnsi="宋体" w:eastAsia="宋体" w:cs="宋体"/>
                <w:color w:val="000000"/>
                <w:kern w:val="0"/>
                <w:sz w:val="22"/>
              </w:rPr>
              <w:t>751.16</w:t>
            </w:r>
          </w:p>
        </w:tc>
        <w:tc>
          <w:tcPr>
            <w:tcW w:w="133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Times New Roman" w:hAnsi="Times New Roman" w:eastAsia="仿宋_GB2312" w:cs="Times New Roman"/>
                <w:kern w:val="0"/>
                <w:sz w:val="24"/>
                <w:szCs w:val="24"/>
              </w:rPr>
            </w:pPr>
            <w:r>
              <w:rPr>
                <w:rFonts w:hint="eastAsia" w:ascii="宋体" w:hAnsi="宋体" w:eastAsia="宋体" w:cs="宋体"/>
                <w:color w:val="000000"/>
                <w:kern w:val="0"/>
                <w:sz w:val="22"/>
              </w:rPr>
              <w:t>495.39</w:t>
            </w:r>
          </w:p>
        </w:tc>
        <w:tc>
          <w:tcPr>
            <w:tcW w:w="187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Times New Roman" w:hAnsi="Times New Roman" w:eastAsia="仿宋_GB2312" w:cs="Times New Roman"/>
                <w:kern w:val="0"/>
                <w:sz w:val="24"/>
                <w:szCs w:val="24"/>
              </w:rPr>
            </w:pPr>
            <w:r>
              <w:rPr>
                <w:rFonts w:hint="eastAsia" w:ascii="宋体" w:hAnsi="宋体" w:eastAsia="宋体" w:cs="宋体"/>
                <w:color w:val="000000"/>
                <w:kern w:val="0"/>
                <w:sz w:val="22"/>
              </w:rPr>
              <w:t>0.00</w:t>
            </w:r>
          </w:p>
        </w:tc>
        <w:tc>
          <w:tcPr>
            <w:tcW w:w="133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Times New Roman" w:hAnsi="Times New Roman" w:eastAsia="仿宋_GB2312" w:cs="Times New Roman"/>
                <w:kern w:val="0"/>
                <w:sz w:val="24"/>
                <w:szCs w:val="24"/>
              </w:rPr>
            </w:pPr>
            <w:r>
              <w:rPr>
                <w:rFonts w:hint="eastAsia" w:ascii="宋体" w:hAnsi="宋体" w:eastAsia="宋体" w:cs="宋体"/>
                <w:color w:val="000000"/>
                <w:kern w:val="0"/>
                <w:sz w:val="22"/>
              </w:rPr>
              <w:t>0.00</w:t>
            </w:r>
          </w:p>
        </w:tc>
        <w:tc>
          <w:tcPr>
            <w:tcW w:w="269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Times New Roman" w:hAnsi="Times New Roman" w:eastAsia="仿宋_GB2312" w:cs="Times New Roman"/>
                <w:kern w:val="0"/>
                <w:sz w:val="24"/>
                <w:szCs w:val="24"/>
              </w:rPr>
            </w:pPr>
            <w:r>
              <w:rPr>
                <w:rFonts w:hint="eastAsia" w:ascii="宋体" w:hAnsi="宋体" w:eastAsia="宋体" w:cs="宋体"/>
                <w:color w:val="000000"/>
                <w:kern w:val="0"/>
                <w:sz w:val="22"/>
              </w:rPr>
              <w:t>0.00</w:t>
            </w:r>
          </w:p>
        </w:tc>
      </w:tr>
      <w:tr>
        <w:tblPrEx>
          <w:tblCellMar>
            <w:top w:w="0" w:type="dxa"/>
            <w:left w:w="108" w:type="dxa"/>
            <w:bottom w:w="0" w:type="dxa"/>
            <w:right w:w="108" w:type="dxa"/>
          </w:tblCellMar>
        </w:tblPrEx>
        <w:trPr>
          <w:trHeight w:val="595" w:hRule="atLeast"/>
          <w:jc w:val="center"/>
        </w:trPr>
        <w:tc>
          <w:tcPr>
            <w:tcW w:w="2426"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left"/>
              <w:textAlignment w:val="center"/>
              <w:rPr>
                <w:rFonts w:ascii="Times New Roman" w:hAnsi="Times New Roman" w:eastAsia="仿宋_GB2312" w:cs="Times New Roman"/>
                <w:kern w:val="0"/>
                <w:sz w:val="24"/>
                <w:szCs w:val="24"/>
              </w:rPr>
            </w:pPr>
            <w:r>
              <w:rPr>
                <w:rFonts w:hint="eastAsia" w:ascii="宋体" w:hAnsi="宋体" w:eastAsia="宋体" w:cs="宋体"/>
                <w:color w:val="000000"/>
                <w:kern w:val="0"/>
                <w:sz w:val="22"/>
              </w:rPr>
              <w:t>2081005</w:t>
            </w:r>
          </w:p>
        </w:tc>
        <w:tc>
          <w:tcPr>
            <w:tcW w:w="1337"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left"/>
              <w:textAlignment w:val="center"/>
              <w:rPr>
                <w:rFonts w:ascii="Times New Roman" w:hAnsi="Times New Roman" w:eastAsia="仿宋_GB2312" w:cs="Times New Roman"/>
                <w:kern w:val="0"/>
                <w:sz w:val="24"/>
                <w:szCs w:val="24"/>
              </w:rPr>
            </w:pPr>
            <w:r>
              <w:rPr>
                <w:rFonts w:hint="eastAsia" w:ascii="宋体" w:hAnsi="宋体" w:eastAsia="宋体" w:cs="宋体"/>
                <w:color w:val="000000"/>
                <w:kern w:val="0"/>
                <w:sz w:val="22"/>
              </w:rPr>
              <w:t xml:space="preserve">  社会福利事业单位</w:t>
            </w:r>
          </w:p>
        </w:tc>
        <w:tc>
          <w:tcPr>
            <w:tcW w:w="1877"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Times New Roman" w:hAnsi="Times New Roman" w:eastAsia="仿宋_GB2312" w:cs="Times New Roman"/>
                <w:kern w:val="0"/>
                <w:sz w:val="24"/>
                <w:szCs w:val="24"/>
              </w:rPr>
            </w:pPr>
            <w:r>
              <w:rPr>
                <w:rFonts w:hint="eastAsia" w:ascii="宋体" w:hAnsi="宋体" w:eastAsia="宋体" w:cs="宋体"/>
                <w:color w:val="000000"/>
                <w:kern w:val="0"/>
                <w:sz w:val="22"/>
              </w:rPr>
              <w:t>10.66</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Times New Roman" w:hAnsi="Times New Roman" w:eastAsia="仿宋_GB2312" w:cs="Times New Roman"/>
                <w:kern w:val="0"/>
                <w:sz w:val="24"/>
                <w:szCs w:val="24"/>
              </w:rPr>
            </w:pPr>
            <w:r>
              <w:rPr>
                <w:rFonts w:hint="eastAsia" w:ascii="宋体" w:hAnsi="宋体" w:eastAsia="宋体" w:cs="宋体"/>
                <w:color w:val="000000"/>
                <w:kern w:val="0"/>
                <w:sz w:val="22"/>
              </w:rPr>
              <w:t>10.66</w:t>
            </w:r>
          </w:p>
        </w:tc>
        <w:tc>
          <w:tcPr>
            <w:tcW w:w="133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Times New Roman" w:hAnsi="Times New Roman" w:eastAsia="仿宋_GB2312" w:cs="Times New Roman"/>
                <w:kern w:val="0"/>
                <w:sz w:val="24"/>
                <w:szCs w:val="24"/>
              </w:rPr>
            </w:pPr>
            <w:r>
              <w:rPr>
                <w:rFonts w:hint="eastAsia" w:ascii="宋体" w:hAnsi="宋体" w:eastAsia="宋体" w:cs="宋体"/>
                <w:color w:val="000000"/>
                <w:kern w:val="0"/>
                <w:sz w:val="22"/>
              </w:rPr>
              <w:t>0.00</w:t>
            </w:r>
          </w:p>
        </w:tc>
        <w:tc>
          <w:tcPr>
            <w:tcW w:w="187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Times New Roman" w:hAnsi="Times New Roman" w:eastAsia="仿宋_GB2312" w:cs="Times New Roman"/>
                <w:kern w:val="0"/>
                <w:sz w:val="24"/>
                <w:szCs w:val="24"/>
              </w:rPr>
            </w:pPr>
            <w:r>
              <w:rPr>
                <w:rFonts w:hint="eastAsia" w:ascii="宋体" w:hAnsi="宋体" w:eastAsia="宋体" w:cs="宋体"/>
                <w:color w:val="000000"/>
                <w:kern w:val="0"/>
                <w:sz w:val="22"/>
              </w:rPr>
              <w:t>0.00</w:t>
            </w:r>
          </w:p>
        </w:tc>
        <w:tc>
          <w:tcPr>
            <w:tcW w:w="133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Times New Roman" w:hAnsi="Times New Roman" w:eastAsia="仿宋_GB2312" w:cs="Times New Roman"/>
                <w:kern w:val="0"/>
                <w:sz w:val="24"/>
                <w:szCs w:val="24"/>
              </w:rPr>
            </w:pPr>
            <w:r>
              <w:rPr>
                <w:rFonts w:hint="eastAsia" w:ascii="宋体" w:hAnsi="宋体" w:eastAsia="宋体" w:cs="宋体"/>
                <w:color w:val="000000"/>
                <w:kern w:val="0"/>
                <w:sz w:val="22"/>
              </w:rPr>
              <w:t>0.00</w:t>
            </w:r>
          </w:p>
        </w:tc>
        <w:tc>
          <w:tcPr>
            <w:tcW w:w="269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Times New Roman" w:hAnsi="Times New Roman" w:eastAsia="仿宋_GB2312" w:cs="Times New Roman"/>
                <w:kern w:val="0"/>
                <w:sz w:val="24"/>
                <w:szCs w:val="24"/>
              </w:rPr>
            </w:pPr>
            <w:r>
              <w:rPr>
                <w:rFonts w:hint="eastAsia" w:ascii="宋体" w:hAnsi="宋体" w:eastAsia="宋体" w:cs="宋体"/>
                <w:color w:val="000000"/>
                <w:kern w:val="0"/>
                <w:sz w:val="22"/>
              </w:rPr>
              <w:t>0.00</w:t>
            </w:r>
          </w:p>
        </w:tc>
      </w:tr>
      <w:tr>
        <w:tblPrEx>
          <w:tblCellMar>
            <w:top w:w="0" w:type="dxa"/>
            <w:left w:w="108" w:type="dxa"/>
            <w:bottom w:w="0" w:type="dxa"/>
            <w:right w:w="108" w:type="dxa"/>
          </w:tblCellMar>
        </w:tblPrEx>
        <w:trPr>
          <w:trHeight w:val="595" w:hRule="atLeast"/>
          <w:jc w:val="center"/>
        </w:trPr>
        <w:tc>
          <w:tcPr>
            <w:tcW w:w="2426"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left"/>
              <w:textAlignment w:val="center"/>
              <w:rPr>
                <w:rFonts w:ascii="Times New Roman" w:hAnsi="Times New Roman" w:eastAsia="仿宋_GB2312" w:cs="Times New Roman"/>
                <w:kern w:val="0"/>
                <w:sz w:val="24"/>
                <w:szCs w:val="24"/>
              </w:rPr>
            </w:pPr>
            <w:r>
              <w:rPr>
                <w:rFonts w:hint="eastAsia" w:ascii="宋体" w:hAnsi="宋体" w:eastAsia="宋体" w:cs="宋体"/>
                <w:color w:val="000000"/>
                <w:kern w:val="0"/>
                <w:sz w:val="22"/>
              </w:rPr>
              <w:t>20899</w:t>
            </w:r>
          </w:p>
        </w:tc>
        <w:tc>
          <w:tcPr>
            <w:tcW w:w="1337"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left"/>
              <w:textAlignment w:val="center"/>
              <w:rPr>
                <w:rFonts w:ascii="Times New Roman" w:hAnsi="Times New Roman" w:eastAsia="仿宋_GB2312" w:cs="Times New Roman"/>
                <w:kern w:val="0"/>
                <w:sz w:val="24"/>
                <w:szCs w:val="24"/>
              </w:rPr>
            </w:pPr>
            <w:r>
              <w:rPr>
                <w:rFonts w:hint="eastAsia" w:ascii="宋体" w:hAnsi="宋体" w:eastAsia="宋体" w:cs="宋体"/>
                <w:color w:val="000000"/>
                <w:kern w:val="0"/>
                <w:sz w:val="22"/>
              </w:rPr>
              <w:t>其他社会保障和就业支出</w:t>
            </w:r>
          </w:p>
        </w:tc>
        <w:tc>
          <w:tcPr>
            <w:tcW w:w="1877"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Times New Roman" w:hAnsi="Times New Roman" w:eastAsia="仿宋_GB2312" w:cs="Times New Roman"/>
                <w:kern w:val="0"/>
                <w:sz w:val="24"/>
                <w:szCs w:val="24"/>
              </w:rPr>
            </w:pPr>
            <w:r>
              <w:rPr>
                <w:rFonts w:hint="eastAsia" w:ascii="宋体" w:hAnsi="宋体" w:eastAsia="宋体" w:cs="宋体"/>
                <w:color w:val="000000"/>
                <w:kern w:val="0"/>
                <w:sz w:val="22"/>
              </w:rPr>
              <w:t>1,125.96</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Times New Roman" w:hAnsi="Times New Roman" w:eastAsia="仿宋_GB2312" w:cs="Times New Roman"/>
                <w:kern w:val="0"/>
                <w:sz w:val="24"/>
                <w:szCs w:val="24"/>
              </w:rPr>
            </w:pPr>
            <w:r>
              <w:rPr>
                <w:rFonts w:hint="eastAsia" w:ascii="宋体" w:hAnsi="宋体" w:eastAsia="宋体" w:cs="宋体"/>
                <w:color w:val="000000"/>
                <w:kern w:val="0"/>
                <w:sz w:val="22"/>
              </w:rPr>
              <w:t>0.00</w:t>
            </w:r>
          </w:p>
        </w:tc>
        <w:tc>
          <w:tcPr>
            <w:tcW w:w="133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Times New Roman" w:hAnsi="Times New Roman" w:eastAsia="仿宋_GB2312" w:cs="Times New Roman"/>
                <w:kern w:val="0"/>
                <w:sz w:val="24"/>
                <w:szCs w:val="24"/>
              </w:rPr>
            </w:pPr>
            <w:r>
              <w:rPr>
                <w:rFonts w:hint="eastAsia" w:ascii="宋体" w:hAnsi="宋体" w:eastAsia="宋体" w:cs="宋体"/>
                <w:color w:val="000000"/>
                <w:kern w:val="0"/>
                <w:sz w:val="22"/>
              </w:rPr>
              <w:t>1,125.96</w:t>
            </w:r>
          </w:p>
        </w:tc>
        <w:tc>
          <w:tcPr>
            <w:tcW w:w="187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Times New Roman" w:hAnsi="Times New Roman" w:eastAsia="仿宋_GB2312" w:cs="Times New Roman"/>
                <w:kern w:val="0"/>
                <w:sz w:val="24"/>
                <w:szCs w:val="24"/>
              </w:rPr>
            </w:pPr>
            <w:r>
              <w:rPr>
                <w:rFonts w:hint="eastAsia" w:ascii="宋体" w:hAnsi="宋体" w:eastAsia="宋体" w:cs="宋体"/>
                <w:color w:val="000000"/>
                <w:kern w:val="0"/>
                <w:sz w:val="22"/>
              </w:rPr>
              <w:t>0.00</w:t>
            </w:r>
          </w:p>
        </w:tc>
        <w:tc>
          <w:tcPr>
            <w:tcW w:w="133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Times New Roman" w:hAnsi="Times New Roman" w:eastAsia="仿宋_GB2312" w:cs="Times New Roman"/>
                <w:kern w:val="0"/>
                <w:sz w:val="24"/>
                <w:szCs w:val="24"/>
              </w:rPr>
            </w:pPr>
            <w:r>
              <w:rPr>
                <w:rFonts w:hint="eastAsia" w:ascii="宋体" w:hAnsi="宋体" w:eastAsia="宋体" w:cs="宋体"/>
                <w:color w:val="000000"/>
                <w:kern w:val="0"/>
                <w:sz w:val="22"/>
              </w:rPr>
              <w:t>0.00</w:t>
            </w:r>
          </w:p>
        </w:tc>
        <w:tc>
          <w:tcPr>
            <w:tcW w:w="269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Times New Roman" w:hAnsi="Times New Roman" w:eastAsia="仿宋_GB2312" w:cs="Times New Roman"/>
                <w:kern w:val="0"/>
                <w:sz w:val="24"/>
                <w:szCs w:val="24"/>
              </w:rPr>
            </w:pPr>
            <w:r>
              <w:rPr>
                <w:rFonts w:hint="eastAsia" w:ascii="宋体" w:hAnsi="宋体" w:eastAsia="宋体" w:cs="宋体"/>
                <w:color w:val="000000"/>
                <w:kern w:val="0"/>
                <w:sz w:val="22"/>
              </w:rPr>
              <w:t>0.00</w:t>
            </w:r>
          </w:p>
        </w:tc>
      </w:tr>
      <w:tr>
        <w:tblPrEx>
          <w:tblCellMar>
            <w:top w:w="0" w:type="dxa"/>
            <w:left w:w="108" w:type="dxa"/>
            <w:bottom w:w="0" w:type="dxa"/>
            <w:right w:w="108" w:type="dxa"/>
          </w:tblCellMar>
        </w:tblPrEx>
        <w:trPr>
          <w:trHeight w:val="595" w:hRule="atLeast"/>
          <w:jc w:val="center"/>
        </w:trPr>
        <w:tc>
          <w:tcPr>
            <w:tcW w:w="2426"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left"/>
              <w:textAlignment w:val="center"/>
              <w:rPr>
                <w:rFonts w:ascii="Times New Roman" w:hAnsi="Times New Roman" w:eastAsia="仿宋_GB2312" w:cs="Times New Roman"/>
                <w:kern w:val="0"/>
                <w:sz w:val="24"/>
                <w:szCs w:val="24"/>
              </w:rPr>
            </w:pPr>
            <w:r>
              <w:rPr>
                <w:rFonts w:hint="eastAsia" w:ascii="宋体" w:hAnsi="宋体" w:eastAsia="宋体" w:cs="宋体"/>
                <w:color w:val="000000"/>
                <w:kern w:val="0"/>
                <w:sz w:val="22"/>
              </w:rPr>
              <w:t>2089999</w:t>
            </w:r>
          </w:p>
        </w:tc>
        <w:tc>
          <w:tcPr>
            <w:tcW w:w="1337"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left"/>
              <w:textAlignment w:val="center"/>
              <w:rPr>
                <w:rFonts w:ascii="Times New Roman" w:hAnsi="Times New Roman" w:eastAsia="仿宋_GB2312" w:cs="Times New Roman"/>
                <w:kern w:val="0"/>
                <w:sz w:val="24"/>
                <w:szCs w:val="24"/>
              </w:rPr>
            </w:pPr>
            <w:r>
              <w:rPr>
                <w:rFonts w:hint="eastAsia" w:ascii="宋体" w:hAnsi="宋体" w:eastAsia="宋体" w:cs="宋体"/>
                <w:color w:val="000000"/>
                <w:kern w:val="0"/>
                <w:sz w:val="22"/>
              </w:rPr>
              <w:t xml:space="preserve">  其他社会保障和就业支出</w:t>
            </w:r>
          </w:p>
        </w:tc>
        <w:tc>
          <w:tcPr>
            <w:tcW w:w="1877"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Times New Roman" w:hAnsi="Times New Roman" w:eastAsia="仿宋_GB2312" w:cs="Times New Roman"/>
                <w:kern w:val="0"/>
                <w:sz w:val="24"/>
                <w:szCs w:val="24"/>
              </w:rPr>
            </w:pPr>
            <w:r>
              <w:rPr>
                <w:rFonts w:hint="eastAsia" w:ascii="宋体" w:hAnsi="宋体" w:eastAsia="宋体" w:cs="宋体"/>
                <w:color w:val="000000"/>
                <w:kern w:val="0"/>
                <w:sz w:val="22"/>
              </w:rPr>
              <w:t>1,125.96</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Times New Roman" w:hAnsi="Times New Roman" w:eastAsia="仿宋_GB2312" w:cs="Times New Roman"/>
                <w:kern w:val="0"/>
                <w:sz w:val="24"/>
                <w:szCs w:val="24"/>
              </w:rPr>
            </w:pPr>
            <w:r>
              <w:rPr>
                <w:rFonts w:hint="eastAsia" w:ascii="宋体" w:hAnsi="宋体" w:eastAsia="宋体" w:cs="宋体"/>
                <w:color w:val="000000"/>
                <w:kern w:val="0"/>
                <w:sz w:val="22"/>
              </w:rPr>
              <w:t>0.00</w:t>
            </w:r>
          </w:p>
        </w:tc>
        <w:tc>
          <w:tcPr>
            <w:tcW w:w="133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Times New Roman" w:hAnsi="Times New Roman" w:eastAsia="仿宋_GB2312" w:cs="Times New Roman"/>
                <w:kern w:val="0"/>
                <w:sz w:val="24"/>
                <w:szCs w:val="24"/>
              </w:rPr>
            </w:pPr>
            <w:r>
              <w:rPr>
                <w:rFonts w:hint="eastAsia" w:ascii="宋体" w:hAnsi="宋体" w:eastAsia="宋体" w:cs="宋体"/>
                <w:color w:val="000000"/>
                <w:kern w:val="0"/>
                <w:sz w:val="22"/>
              </w:rPr>
              <w:t>1,125.96</w:t>
            </w:r>
          </w:p>
        </w:tc>
        <w:tc>
          <w:tcPr>
            <w:tcW w:w="187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Times New Roman" w:hAnsi="Times New Roman" w:eastAsia="仿宋_GB2312" w:cs="Times New Roman"/>
                <w:kern w:val="0"/>
                <w:sz w:val="24"/>
                <w:szCs w:val="24"/>
              </w:rPr>
            </w:pPr>
            <w:r>
              <w:rPr>
                <w:rFonts w:hint="eastAsia" w:ascii="宋体" w:hAnsi="宋体" w:eastAsia="宋体" w:cs="宋体"/>
                <w:color w:val="000000"/>
                <w:kern w:val="0"/>
                <w:sz w:val="22"/>
              </w:rPr>
              <w:t>0.00</w:t>
            </w:r>
          </w:p>
        </w:tc>
        <w:tc>
          <w:tcPr>
            <w:tcW w:w="133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Times New Roman" w:hAnsi="Times New Roman" w:eastAsia="仿宋_GB2312" w:cs="Times New Roman"/>
                <w:kern w:val="0"/>
                <w:sz w:val="24"/>
                <w:szCs w:val="24"/>
              </w:rPr>
            </w:pPr>
            <w:r>
              <w:rPr>
                <w:rFonts w:hint="eastAsia" w:ascii="宋体" w:hAnsi="宋体" w:eastAsia="宋体" w:cs="宋体"/>
                <w:color w:val="000000"/>
                <w:kern w:val="0"/>
                <w:sz w:val="22"/>
              </w:rPr>
              <w:t>0.00</w:t>
            </w:r>
          </w:p>
        </w:tc>
        <w:tc>
          <w:tcPr>
            <w:tcW w:w="269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Times New Roman" w:hAnsi="Times New Roman" w:eastAsia="仿宋_GB2312" w:cs="Times New Roman"/>
                <w:kern w:val="0"/>
                <w:sz w:val="24"/>
                <w:szCs w:val="24"/>
              </w:rPr>
            </w:pPr>
            <w:r>
              <w:rPr>
                <w:rFonts w:hint="eastAsia" w:ascii="宋体" w:hAnsi="宋体" w:eastAsia="宋体" w:cs="宋体"/>
                <w:color w:val="000000"/>
                <w:kern w:val="0"/>
                <w:sz w:val="22"/>
              </w:rPr>
              <w:t>0.00</w:t>
            </w:r>
          </w:p>
        </w:tc>
      </w:tr>
      <w:tr>
        <w:tblPrEx>
          <w:tblCellMar>
            <w:top w:w="0" w:type="dxa"/>
            <w:left w:w="108" w:type="dxa"/>
            <w:bottom w:w="0" w:type="dxa"/>
            <w:right w:w="108" w:type="dxa"/>
          </w:tblCellMar>
        </w:tblPrEx>
        <w:trPr>
          <w:trHeight w:val="595" w:hRule="atLeast"/>
          <w:jc w:val="center"/>
        </w:trPr>
        <w:tc>
          <w:tcPr>
            <w:tcW w:w="2426"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left"/>
              <w:textAlignment w:val="center"/>
              <w:rPr>
                <w:rFonts w:ascii="Times New Roman" w:hAnsi="Times New Roman" w:eastAsia="仿宋_GB2312" w:cs="Times New Roman"/>
                <w:kern w:val="0"/>
                <w:sz w:val="24"/>
                <w:szCs w:val="24"/>
              </w:rPr>
            </w:pPr>
            <w:r>
              <w:rPr>
                <w:rFonts w:hint="eastAsia" w:ascii="宋体" w:hAnsi="宋体" w:eastAsia="宋体" w:cs="宋体"/>
                <w:color w:val="000000"/>
                <w:kern w:val="0"/>
                <w:sz w:val="22"/>
              </w:rPr>
              <w:t>229</w:t>
            </w:r>
          </w:p>
        </w:tc>
        <w:tc>
          <w:tcPr>
            <w:tcW w:w="1337"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left"/>
              <w:textAlignment w:val="center"/>
              <w:rPr>
                <w:rFonts w:ascii="Times New Roman" w:hAnsi="Times New Roman" w:eastAsia="仿宋_GB2312" w:cs="Times New Roman"/>
                <w:kern w:val="0"/>
                <w:sz w:val="24"/>
                <w:szCs w:val="24"/>
              </w:rPr>
            </w:pPr>
            <w:r>
              <w:rPr>
                <w:rFonts w:hint="eastAsia" w:ascii="宋体" w:hAnsi="宋体" w:eastAsia="宋体" w:cs="宋体"/>
                <w:color w:val="000000"/>
                <w:kern w:val="0"/>
                <w:sz w:val="22"/>
              </w:rPr>
              <w:t>其他支出</w:t>
            </w:r>
          </w:p>
        </w:tc>
        <w:tc>
          <w:tcPr>
            <w:tcW w:w="1877"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Times New Roman" w:hAnsi="Times New Roman" w:eastAsia="仿宋_GB2312" w:cs="Times New Roman"/>
                <w:kern w:val="0"/>
                <w:sz w:val="24"/>
                <w:szCs w:val="24"/>
              </w:rPr>
            </w:pPr>
            <w:r>
              <w:rPr>
                <w:rFonts w:hint="eastAsia" w:ascii="宋体" w:hAnsi="宋体" w:eastAsia="宋体" w:cs="宋体"/>
                <w:color w:val="000000"/>
                <w:kern w:val="0"/>
                <w:sz w:val="22"/>
              </w:rPr>
              <w:t>284.32</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Times New Roman" w:hAnsi="Times New Roman" w:eastAsia="仿宋_GB2312" w:cs="Times New Roman"/>
                <w:kern w:val="0"/>
                <w:sz w:val="24"/>
                <w:szCs w:val="24"/>
              </w:rPr>
            </w:pPr>
            <w:r>
              <w:rPr>
                <w:rFonts w:hint="eastAsia" w:ascii="宋体" w:hAnsi="宋体" w:eastAsia="宋体" w:cs="宋体"/>
                <w:color w:val="000000"/>
                <w:kern w:val="0"/>
                <w:sz w:val="22"/>
              </w:rPr>
              <w:t>84.32</w:t>
            </w:r>
          </w:p>
        </w:tc>
        <w:tc>
          <w:tcPr>
            <w:tcW w:w="133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Times New Roman" w:hAnsi="Times New Roman" w:eastAsia="仿宋_GB2312" w:cs="Times New Roman"/>
                <w:kern w:val="0"/>
                <w:sz w:val="24"/>
                <w:szCs w:val="24"/>
              </w:rPr>
            </w:pPr>
            <w:r>
              <w:rPr>
                <w:rFonts w:hint="eastAsia" w:ascii="宋体" w:hAnsi="宋体" w:eastAsia="宋体" w:cs="宋体"/>
                <w:color w:val="000000"/>
                <w:kern w:val="0"/>
                <w:sz w:val="22"/>
              </w:rPr>
              <w:t>200.00</w:t>
            </w:r>
          </w:p>
        </w:tc>
        <w:tc>
          <w:tcPr>
            <w:tcW w:w="187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Times New Roman" w:hAnsi="Times New Roman" w:eastAsia="仿宋_GB2312" w:cs="Times New Roman"/>
                <w:kern w:val="0"/>
                <w:sz w:val="24"/>
                <w:szCs w:val="24"/>
              </w:rPr>
            </w:pPr>
            <w:r>
              <w:rPr>
                <w:rFonts w:hint="eastAsia" w:ascii="宋体" w:hAnsi="宋体" w:eastAsia="宋体" w:cs="宋体"/>
                <w:color w:val="000000"/>
                <w:kern w:val="0"/>
                <w:sz w:val="22"/>
              </w:rPr>
              <w:t>0.00</w:t>
            </w:r>
          </w:p>
        </w:tc>
        <w:tc>
          <w:tcPr>
            <w:tcW w:w="133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Times New Roman" w:hAnsi="Times New Roman" w:eastAsia="仿宋_GB2312" w:cs="Times New Roman"/>
                <w:kern w:val="0"/>
                <w:sz w:val="24"/>
                <w:szCs w:val="24"/>
              </w:rPr>
            </w:pPr>
            <w:r>
              <w:rPr>
                <w:rFonts w:hint="eastAsia" w:ascii="宋体" w:hAnsi="宋体" w:eastAsia="宋体" w:cs="宋体"/>
                <w:color w:val="000000"/>
                <w:kern w:val="0"/>
                <w:sz w:val="22"/>
              </w:rPr>
              <w:t>0.00</w:t>
            </w:r>
          </w:p>
        </w:tc>
        <w:tc>
          <w:tcPr>
            <w:tcW w:w="269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Times New Roman" w:hAnsi="Times New Roman" w:eastAsia="仿宋_GB2312" w:cs="Times New Roman"/>
                <w:kern w:val="0"/>
                <w:sz w:val="24"/>
                <w:szCs w:val="24"/>
              </w:rPr>
            </w:pPr>
            <w:r>
              <w:rPr>
                <w:rFonts w:hint="eastAsia" w:ascii="宋体" w:hAnsi="宋体" w:eastAsia="宋体" w:cs="宋体"/>
                <w:color w:val="000000"/>
                <w:kern w:val="0"/>
                <w:sz w:val="22"/>
              </w:rPr>
              <w:t>0.00</w:t>
            </w:r>
          </w:p>
        </w:tc>
      </w:tr>
      <w:tr>
        <w:tblPrEx>
          <w:tblCellMar>
            <w:top w:w="0" w:type="dxa"/>
            <w:left w:w="108" w:type="dxa"/>
            <w:bottom w:w="0" w:type="dxa"/>
            <w:right w:w="108" w:type="dxa"/>
          </w:tblCellMar>
        </w:tblPrEx>
        <w:trPr>
          <w:trHeight w:val="595" w:hRule="atLeast"/>
          <w:jc w:val="center"/>
        </w:trPr>
        <w:tc>
          <w:tcPr>
            <w:tcW w:w="2426"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left"/>
              <w:textAlignment w:val="center"/>
              <w:rPr>
                <w:rFonts w:ascii="Times New Roman" w:hAnsi="Times New Roman" w:eastAsia="仿宋_GB2312" w:cs="Times New Roman"/>
                <w:kern w:val="0"/>
                <w:sz w:val="24"/>
                <w:szCs w:val="24"/>
              </w:rPr>
            </w:pPr>
            <w:r>
              <w:rPr>
                <w:rFonts w:hint="eastAsia" w:ascii="宋体" w:hAnsi="宋体" w:eastAsia="宋体" w:cs="宋体"/>
                <w:color w:val="000000"/>
                <w:kern w:val="0"/>
                <w:sz w:val="22"/>
              </w:rPr>
              <w:t>22999</w:t>
            </w:r>
          </w:p>
        </w:tc>
        <w:tc>
          <w:tcPr>
            <w:tcW w:w="1337"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left"/>
              <w:textAlignment w:val="center"/>
              <w:rPr>
                <w:rFonts w:ascii="Times New Roman" w:hAnsi="Times New Roman" w:eastAsia="仿宋_GB2312" w:cs="Times New Roman"/>
                <w:kern w:val="0"/>
                <w:sz w:val="24"/>
                <w:szCs w:val="24"/>
              </w:rPr>
            </w:pPr>
            <w:r>
              <w:rPr>
                <w:rFonts w:hint="eastAsia" w:ascii="宋体" w:hAnsi="宋体" w:eastAsia="宋体" w:cs="宋体"/>
                <w:color w:val="000000"/>
                <w:kern w:val="0"/>
                <w:sz w:val="22"/>
              </w:rPr>
              <w:t>其他支出</w:t>
            </w:r>
          </w:p>
        </w:tc>
        <w:tc>
          <w:tcPr>
            <w:tcW w:w="1877"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Times New Roman" w:hAnsi="Times New Roman" w:eastAsia="仿宋_GB2312" w:cs="Times New Roman"/>
                <w:kern w:val="0"/>
                <w:sz w:val="24"/>
                <w:szCs w:val="24"/>
              </w:rPr>
            </w:pPr>
            <w:r>
              <w:rPr>
                <w:rFonts w:hint="eastAsia" w:ascii="宋体" w:hAnsi="宋体" w:eastAsia="宋体" w:cs="宋体"/>
                <w:color w:val="000000"/>
                <w:kern w:val="0"/>
                <w:sz w:val="22"/>
              </w:rPr>
              <w:t>284.32</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Times New Roman" w:hAnsi="Times New Roman" w:eastAsia="仿宋_GB2312" w:cs="Times New Roman"/>
                <w:kern w:val="0"/>
                <w:sz w:val="24"/>
                <w:szCs w:val="24"/>
              </w:rPr>
            </w:pPr>
            <w:r>
              <w:rPr>
                <w:rFonts w:hint="eastAsia" w:ascii="宋体" w:hAnsi="宋体" w:eastAsia="宋体" w:cs="宋体"/>
                <w:color w:val="000000"/>
                <w:kern w:val="0"/>
                <w:sz w:val="22"/>
              </w:rPr>
              <w:t>84.32</w:t>
            </w:r>
          </w:p>
        </w:tc>
        <w:tc>
          <w:tcPr>
            <w:tcW w:w="133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Times New Roman" w:hAnsi="Times New Roman" w:eastAsia="仿宋_GB2312" w:cs="Times New Roman"/>
                <w:kern w:val="0"/>
                <w:sz w:val="24"/>
                <w:szCs w:val="24"/>
              </w:rPr>
            </w:pPr>
            <w:r>
              <w:rPr>
                <w:rFonts w:hint="eastAsia" w:ascii="宋体" w:hAnsi="宋体" w:eastAsia="宋体" w:cs="宋体"/>
                <w:color w:val="000000"/>
                <w:kern w:val="0"/>
                <w:sz w:val="22"/>
              </w:rPr>
              <w:t>200.00</w:t>
            </w:r>
          </w:p>
        </w:tc>
        <w:tc>
          <w:tcPr>
            <w:tcW w:w="187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Times New Roman" w:hAnsi="Times New Roman" w:eastAsia="仿宋_GB2312" w:cs="Times New Roman"/>
                <w:kern w:val="0"/>
                <w:sz w:val="24"/>
                <w:szCs w:val="24"/>
              </w:rPr>
            </w:pPr>
            <w:r>
              <w:rPr>
                <w:rFonts w:hint="eastAsia" w:ascii="宋体" w:hAnsi="宋体" w:eastAsia="宋体" w:cs="宋体"/>
                <w:color w:val="000000"/>
                <w:kern w:val="0"/>
                <w:sz w:val="22"/>
              </w:rPr>
              <w:t>0.00</w:t>
            </w:r>
          </w:p>
        </w:tc>
        <w:tc>
          <w:tcPr>
            <w:tcW w:w="133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Times New Roman" w:hAnsi="Times New Roman" w:eastAsia="仿宋_GB2312" w:cs="Times New Roman"/>
                <w:kern w:val="0"/>
                <w:sz w:val="24"/>
                <w:szCs w:val="24"/>
              </w:rPr>
            </w:pPr>
            <w:r>
              <w:rPr>
                <w:rFonts w:hint="eastAsia" w:ascii="宋体" w:hAnsi="宋体" w:eastAsia="宋体" w:cs="宋体"/>
                <w:color w:val="000000"/>
                <w:kern w:val="0"/>
                <w:sz w:val="22"/>
              </w:rPr>
              <w:t>0.00</w:t>
            </w:r>
          </w:p>
        </w:tc>
        <w:tc>
          <w:tcPr>
            <w:tcW w:w="269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Times New Roman" w:hAnsi="Times New Roman" w:eastAsia="仿宋_GB2312" w:cs="Times New Roman"/>
                <w:kern w:val="0"/>
                <w:sz w:val="24"/>
                <w:szCs w:val="24"/>
              </w:rPr>
            </w:pPr>
            <w:r>
              <w:rPr>
                <w:rFonts w:hint="eastAsia" w:ascii="宋体" w:hAnsi="宋体" w:eastAsia="宋体" w:cs="宋体"/>
                <w:color w:val="000000"/>
                <w:kern w:val="0"/>
                <w:sz w:val="22"/>
              </w:rPr>
              <w:t>0.00</w:t>
            </w:r>
          </w:p>
        </w:tc>
      </w:tr>
      <w:tr>
        <w:tblPrEx>
          <w:tblCellMar>
            <w:top w:w="0" w:type="dxa"/>
            <w:left w:w="108" w:type="dxa"/>
            <w:bottom w:w="0" w:type="dxa"/>
            <w:right w:w="108" w:type="dxa"/>
          </w:tblCellMar>
        </w:tblPrEx>
        <w:trPr>
          <w:trHeight w:val="595" w:hRule="atLeast"/>
          <w:jc w:val="center"/>
        </w:trPr>
        <w:tc>
          <w:tcPr>
            <w:tcW w:w="2426"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left"/>
              <w:textAlignment w:val="center"/>
              <w:rPr>
                <w:rFonts w:ascii="Times New Roman" w:hAnsi="Times New Roman" w:eastAsia="仿宋_GB2312" w:cs="Times New Roman"/>
                <w:kern w:val="0"/>
                <w:sz w:val="24"/>
                <w:szCs w:val="24"/>
              </w:rPr>
            </w:pPr>
            <w:r>
              <w:rPr>
                <w:rFonts w:hint="eastAsia" w:ascii="宋体" w:hAnsi="宋体" w:eastAsia="宋体" w:cs="宋体"/>
                <w:color w:val="000000"/>
                <w:kern w:val="0"/>
                <w:sz w:val="22"/>
              </w:rPr>
              <w:t>2299999</w:t>
            </w:r>
          </w:p>
        </w:tc>
        <w:tc>
          <w:tcPr>
            <w:tcW w:w="1337"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left"/>
              <w:textAlignment w:val="center"/>
              <w:rPr>
                <w:rFonts w:ascii="Times New Roman" w:hAnsi="Times New Roman" w:eastAsia="仿宋_GB2312" w:cs="Times New Roman"/>
                <w:kern w:val="0"/>
                <w:sz w:val="24"/>
                <w:szCs w:val="24"/>
              </w:rPr>
            </w:pPr>
            <w:r>
              <w:rPr>
                <w:rFonts w:hint="eastAsia" w:ascii="宋体" w:hAnsi="宋体" w:eastAsia="宋体" w:cs="宋体"/>
                <w:color w:val="000000"/>
                <w:kern w:val="0"/>
                <w:sz w:val="22"/>
              </w:rPr>
              <w:t xml:space="preserve">  其他支出</w:t>
            </w:r>
          </w:p>
        </w:tc>
        <w:tc>
          <w:tcPr>
            <w:tcW w:w="1877"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Times New Roman" w:hAnsi="Times New Roman" w:eastAsia="仿宋_GB2312" w:cs="Times New Roman"/>
                <w:kern w:val="0"/>
                <w:sz w:val="24"/>
                <w:szCs w:val="24"/>
              </w:rPr>
            </w:pPr>
            <w:r>
              <w:rPr>
                <w:rFonts w:hint="eastAsia" w:ascii="宋体" w:hAnsi="宋体" w:eastAsia="宋体" w:cs="宋体"/>
                <w:color w:val="000000"/>
                <w:kern w:val="0"/>
                <w:sz w:val="22"/>
              </w:rPr>
              <w:t>284.32</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Times New Roman" w:hAnsi="Times New Roman" w:eastAsia="仿宋_GB2312" w:cs="Times New Roman"/>
                <w:kern w:val="0"/>
                <w:sz w:val="24"/>
                <w:szCs w:val="24"/>
              </w:rPr>
            </w:pPr>
            <w:r>
              <w:rPr>
                <w:rFonts w:hint="eastAsia" w:ascii="宋体" w:hAnsi="宋体" w:eastAsia="宋体" w:cs="宋体"/>
                <w:color w:val="000000"/>
                <w:kern w:val="0"/>
                <w:sz w:val="22"/>
              </w:rPr>
              <w:t>84.32</w:t>
            </w:r>
          </w:p>
        </w:tc>
        <w:tc>
          <w:tcPr>
            <w:tcW w:w="133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Times New Roman" w:hAnsi="Times New Roman" w:eastAsia="仿宋_GB2312" w:cs="Times New Roman"/>
                <w:kern w:val="0"/>
                <w:sz w:val="24"/>
                <w:szCs w:val="24"/>
              </w:rPr>
            </w:pPr>
            <w:r>
              <w:rPr>
                <w:rFonts w:hint="eastAsia" w:ascii="宋体" w:hAnsi="宋体" w:eastAsia="宋体" w:cs="宋体"/>
                <w:color w:val="000000"/>
                <w:kern w:val="0"/>
                <w:sz w:val="22"/>
              </w:rPr>
              <w:t>200.00</w:t>
            </w:r>
          </w:p>
        </w:tc>
        <w:tc>
          <w:tcPr>
            <w:tcW w:w="187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Times New Roman" w:hAnsi="Times New Roman" w:eastAsia="仿宋_GB2312" w:cs="Times New Roman"/>
                <w:kern w:val="0"/>
                <w:sz w:val="24"/>
                <w:szCs w:val="24"/>
              </w:rPr>
            </w:pPr>
            <w:r>
              <w:rPr>
                <w:rFonts w:hint="eastAsia" w:ascii="宋体" w:hAnsi="宋体" w:eastAsia="宋体" w:cs="宋体"/>
                <w:color w:val="000000"/>
                <w:kern w:val="0"/>
                <w:sz w:val="22"/>
              </w:rPr>
              <w:t>0.00</w:t>
            </w:r>
          </w:p>
        </w:tc>
        <w:tc>
          <w:tcPr>
            <w:tcW w:w="133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Times New Roman" w:hAnsi="Times New Roman" w:eastAsia="仿宋_GB2312" w:cs="Times New Roman"/>
                <w:kern w:val="0"/>
                <w:sz w:val="24"/>
                <w:szCs w:val="24"/>
              </w:rPr>
            </w:pPr>
            <w:r>
              <w:rPr>
                <w:rFonts w:hint="eastAsia" w:ascii="宋体" w:hAnsi="宋体" w:eastAsia="宋体" w:cs="宋体"/>
                <w:color w:val="000000"/>
                <w:kern w:val="0"/>
                <w:sz w:val="22"/>
              </w:rPr>
              <w:t>0.00</w:t>
            </w:r>
          </w:p>
        </w:tc>
        <w:tc>
          <w:tcPr>
            <w:tcW w:w="269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textAlignment w:val="center"/>
              <w:rPr>
                <w:rFonts w:ascii="Times New Roman" w:hAnsi="Times New Roman" w:eastAsia="仿宋_GB2312" w:cs="Times New Roman"/>
                <w:kern w:val="0"/>
                <w:sz w:val="24"/>
                <w:szCs w:val="24"/>
              </w:rPr>
            </w:pPr>
            <w:r>
              <w:rPr>
                <w:rFonts w:hint="eastAsia" w:ascii="宋体" w:hAnsi="宋体" w:eastAsia="宋体" w:cs="宋体"/>
                <w:color w:val="000000"/>
                <w:kern w:val="0"/>
                <w:sz w:val="22"/>
              </w:rPr>
              <w:t>0.00</w:t>
            </w:r>
          </w:p>
        </w:tc>
      </w:tr>
    </w:tbl>
    <w:p>
      <w:pPr>
        <w:widowControl/>
        <w:spacing w:before="120"/>
        <w:jc w:val="left"/>
        <w:rPr>
          <w:rFonts w:ascii="Times New Roman" w:hAnsi="Times New Roman" w:eastAsia="方正小标宋_GBK" w:cs="Times New Roman"/>
          <w:color w:val="000000"/>
          <w:kern w:val="0"/>
          <w:sz w:val="36"/>
          <w:szCs w:val="21"/>
        </w:rPr>
      </w:pPr>
      <w:r>
        <w:rPr>
          <w:rFonts w:ascii="Times New Roman" w:hAnsi="Times New Roman" w:eastAsia="仿宋_GB2312" w:cs="Times New Roman"/>
          <w:kern w:val="0"/>
          <w:sz w:val="24"/>
          <w:szCs w:val="24"/>
        </w:rPr>
        <w:t>注：本表反映部门本年度各项支出情况。</w:t>
      </w:r>
    </w:p>
    <w:p>
      <w:pPr>
        <w:widowControl/>
        <w:tabs>
          <w:tab w:val="left" w:pos="3595"/>
          <w:tab w:val="left" w:pos="4031"/>
          <w:tab w:val="left" w:pos="5605"/>
          <w:tab w:val="left" w:pos="9152"/>
          <w:tab w:val="left" w:pos="9587"/>
          <w:tab w:val="left" w:pos="11160"/>
          <w:tab w:val="left" w:pos="12554"/>
          <w:tab w:val="left" w:pos="13948"/>
        </w:tabs>
        <w:jc w:val="right"/>
        <w:rPr>
          <w:rFonts w:ascii="Times New Roman" w:hAnsi="Times New Roman" w:eastAsia="宋体" w:cs="Times New Roman"/>
          <w:kern w:val="0"/>
          <w:sz w:val="24"/>
          <w:szCs w:val="24"/>
        </w:rPr>
      </w:pPr>
      <w:bookmarkStart w:id="0" w:name="RANGE!A1:I22"/>
      <w:bookmarkEnd w:id="0"/>
      <w:bookmarkStart w:id="1" w:name="RANGE!A1:F16"/>
      <w:r>
        <w:rPr>
          <w:rFonts w:ascii="Times New Roman" w:hAnsi="Times New Roman" w:eastAsia="黑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p>
    <w:p>
      <w:pPr>
        <w:widowControl/>
        <w:spacing w:line="400" w:lineRule="exact"/>
        <w:jc w:val="center"/>
        <w:textAlignment w:val="center"/>
        <w:rPr>
          <w:rFonts w:ascii="Times New Roman" w:hAnsi="Times New Roman" w:eastAsia="黑体" w:cs="Times New Roman"/>
          <w:color w:val="000000"/>
          <w:kern w:val="0"/>
          <w:sz w:val="32"/>
          <w:szCs w:val="32"/>
        </w:rPr>
      </w:pPr>
    </w:p>
    <w:p>
      <w:pPr>
        <w:widowControl/>
        <w:spacing w:afterLines="50"/>
        <w:jc w:val="center"/>
        <w:textAlignment w:val="center"/>
        <w:rPr>
          <w:rFonts w:ascii="Times New Roman" w:hAnsi="Times New Roman" w:eastAsia="黑体" w:cs="Times New Roman"/>
          <w:color w:val="000000"/>
          <w:kern w:val="0"/>
          <w:sz w:val="36"/>
          <w:szCs w:val="36"/>
        </w:rPr>
      </w:pPr>
    </w:p>
    <w:p>
      <w:pPr>
        <w:widowControl/>
        <w:spacing w:afterLines="50"/>
        <w:jc w:val="center"/>
        <w:textAlignment w:val="center"/>
        <w:rPr>
          <w:rFonts w:ascii="Times New Roman" w:hAnsi="Times New Roman" w:eastAsia="黑体" w:cs="Times New Roman"/>
          <w:color w:val="000000"/>
          <w:kern w:val="0"/>
          <w:sz w:val="36"/>
          <w:szCs w:val="36"/>
        </w:rPr>
      </w:pPr>
    </w:p>
    <w:p>
      <w:pPr>
        <w:widowControl/>
        <w:spacing w:afterLines="50"/>
        <w:textAlignment w:val="center"/>
        <w:rPr>
          <w:rFonts w:ascii="Times New Roman" w:hAnsi="Times New Roman" w:eastAsia="黑体" w:cs="Times New Roman"/>
          <w:color w:val="000000"/>
          <w:kern w:val="0"/>
          <w:sz w:val="36"/>
          <w:szCs w:val="36"/>
        </w:rPr>
      </w:pPr>
    </w:p>
    <w:p>
      <w:pPr>
        <w:widowControl/>
        <w:spacing w:afterLines="50"/>
        <w:jc w:val="center"/>
        <w:textAlignment w:val="center"/>
        <w:rPr>
          <w:rFonts w:ascii="Times New Roman" w:hAnsi="Times New Roman" w:eastAsia="黑体" w:cs="Times New Roman"/>
          <w:color w:val="000000"/>
          <w:kern w:val="0"/>
          <w:sz w:val="36"/>
          <w:szCs w:val="36"/>
        </w:rPr>
      </w:pPr>
    </w:p>
    <w:p>
      <w:pPr>
        <w:widowControl/>
        <w:spacing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财政拨款收入支出决算总表</w:t>
      </w:r>
    </w:p>
    <w:p>
      <w:pPr>
        <w:widowControl/>
        <w:tabs>
          <w:tab w:val="left" w:pos="3595"/>
          <w:tab w:val="left" w:pos="4031"/>
          <w:tab w:val="left" w:pos="5109"/>
          <w:tab w:val="left" w:pos="9152"/>
          <w:tab w:val="left" w:pos="9587"/>
          <w:tab w:val="left" w:pos="11160"/>
          <w:tab w:val="left" w:pos="12554"/>
          <w:tab w:val="left" w:pos="13948"/>
        </w:tabs>
        <w:jc w:val="center"/>
        <w:rPr>
          <w:rFonts w:ascii="Times New Roman" w:hAnsi="Times New Roman" w:eastAsia="仿宋_GB2312" w:cs="Times New Roman"/>
          <w:color w:val="000000"/>
          <w:kern w:val="0"/>
          <w:sz w:val="20"/>
          <w:szCs w:val="20"/>
        </w:rPr>
      </w:pPr>
      <w:r>
        <w:rPr>
          <w:rFonts w:ascii="Times New Roman" w:hAnsi="Times New Roman" w:eastAsia="仿宋_GB2312" w:cs="Times New Roman"/>
          <w:color w:val="000000"/>
          <w:kern w:val="0"/>
          <w:sz w:val="20"/>
          <w:szCs w:val="20"/>
        </w:rPr>
        <w:t xml:space="preserve">                                                                                                                  公开04表</w:t>
      </w:r>
    </w:p>
    <w:p>
      <w:pPr>
        <w:widowControl/>
        <w:tabs>
          <w:tab w:val="left" w:pos="3595"/>
          <w:tab w:val="left" w:pos="4031"/>
          <w:tab w:val="left" w:pos="5109"/>
          <w:tab w:val="left" w:pos="9152"/>
          <w:tab w:val="left" w:pos="9587"/>
          <w:tab w:val="left" w:pos="11160"/>
          <w:tab w:val="left" w:pos="12554"/>
          <w:tab w:val="left" w:pos="13948"/>
        </w:tabs>
        <w:rPr>
          <w:rFonts w:ascii="Times New Roman" w:hAnsi="Times New Roman" w:eastAsia="仿宋_GB2312" w:cs="Times New Roman"/>
          <w:color w:val="000000"/>
          <w:kern w:val="0"/>
          <w:sz w:val="20"/>
          <w:szCs w:val="20"/>
        </w:rPr>
      </w:pPr>
      <w:r>
        <w:rPr>
          <w:rFonts w:ascii="Times New Roman" w:hAnsi="Times New Roman" w:eastAsia="仿宋_GB2312" w:cs="Times New Roman"/>
          <w:color w:val="000000"/>
          <w:kern w:val="0"/>
          <w:sz w:val="20"/>
          <w:szCs w:val="20"/>
        </w:rPr>
        <w:t>部门：</w:t>
      </w:r>
      <w:r>
        <w:rPr>
          <w:rFonts w:hint="eastAsia" w:ascii="Times New Roman" w:hAnsi="Times New Roman" w:eastAsia="仿宋_GB2312" w:cs="Times New Roman"/>
          <w:color w:val="000000"/>
          <w:kern w:val="0"/>
          <w:sz w:val="20"/>
          <w:szCs w:val="20"/>
        </w:rPr>
        <w:t>怀化市殡葬事务中心</w:t>
      </w:r>
      <w:r>
        <w:rPr>
          <w:rFonts w:ascii="Times New Roman" w:hAnsi="Times New Roman" w:eastAsia="仿宋_GB2312" w:cs="Times New Roman"/>
          <w:color w:val="000000"/>
          <w:kern w:val="0"/>
          <w:sz w:val="20"/>
          <w:szCs w:val="20"/>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color w:val="000000"/>
          <w:kern w:val="0"/>
          <w:sz w:val="20"/>
          <w:szCs w:val="20"/>
        </w:rPr>
        <w:t>单位：万元</w:t>
      </w:r>
    </w:p>
    <w:tbl>
      <w:tblPr>
        <w:tblStyle w:val="9"/>
        <w:tblW w:w="0" w:type="auto"/>
        <w:jc w:val="center"/>
        <w:tblLayout w:type="fixed"/>
        <w:tblCellMar>
          <w:top w:w="0" w:type="dxa"/>
          <w:left w:w="108" w:type="dxa"/>
          <w:bottom w:w="0" w:type="dxa"/>
          <w:right w:w="108" w:type="dxa"/>
        </w:tblCellMar>
      </w:tblPr>
      <w:tblGrid>
        <w:gridCol w:w="3516"/>
        <w:gridCol w:w="616"/>
        <w:gridCol w:w="931"/>
        <w:gridCol w:w="2856"/>
        <w:gridCol w:w="616"/>
        <w:gridCol w:w="931"/>
        <w:gridCol w:w="1804"/>
        <w:gridCol w:w="1300"/>
        <w:gridCol w:w="1650"/>
      </w:tblGrid>
      <w:tr>
        <w:tblPrEx>
          <w:tblCellMar>
            <w:top w:w="0" w:type="dxa"/>
            <w:left w:w="108" w:type="dxa"/>
            <w:bottom w:w="0" w:type="dxa"/>
            <w:right w:w="108" w:type="dxa"/>
          </w:tblCellMar>
        </w:tblPrEx>
        <w:trPr>
          <w:trHeight w:val="402" w:hRule="atLeast"/>
          <w:jc w:val="center"/>
        </w:trPr>
        <w:tc>
          <w:tcPr>
            <w:tcW w:w="5063"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收入</w:t>
            </w:r>
          </w:p>
        </w:tc>
        <w:tc>
          <w:tcPr>
            <w:tcW w:w="9013" w:type="dxa"/>
            <w:gridSpan w:val="6"/>
            <w:tcBorders>
              <w:top w:val="single" w:color="auto" w:sz="4" w:space="0"/>
              <w:left w:val="nil"/>
              <w:bottom w:val="single" w:color="auto" w:sz="4" w:space="0"/>
              <w:right w:val="single" w:color="auto" w:sz="4" w:space="0"/>
            </w:tcBorders>
            <w:shd w:val="clear" w:color="000000" w:fill="FFFFFF"/>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支出</w:t>
            </w:r>
          </w:p>
        </w:tc>
      </w:tr>
      <w:tr>
        <w:tblPrEx>
          <w:tblCellMar>
            <w:top w:w="0" w:type="dxa"/>
            <w:left w:w="108" w:type="dxa"/>
            <w:bottom w:w="0" w:type="dxa"/>
            <w:right w:w="108" w:type="dxa"/>
          </w:tblCellMar>
        </w:tblPrEx>
        <w:trPr>
          <w:trHeight w:val="630" w:hRule="atLeast"/>
          <w:jc w:val="center"/>
        </w:trPr>
        <w:tc>
          <w:tcPr>
            <w:tcW w:w="3516"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项    目</w:t>
            </w:r>
          </w:p>
        </w:tc>
        <w:tc>
          <w:tcPr>
            <w:tcW w:w="61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行次</w:t>
            </w:r>
          </w:p>
        </w:tc>
        <w:tc>
          <w:tcPr>
            <w:tcW w:w="931"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金额</w:t>
            </w:r>
          </w:p>
        </w:tc>
        <w:tc>
          <w:tcPr>
            <w:tcW w:w="285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项    目</w:t>
            </w:r>
          </w:p>
        </w:tc>
        <w:tc>
          <w:tcPr>
            <w:tcW w:w="61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行次</w:t>
            </w:r>
          </w:p>
        </w:tc>
        <w:tc>
          <w:tcPr>
            <w:tcW w:w="931"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合计</w:t>
            </w:r>
          </w:p>
        </w:tc>
        <w:tc>
          <w:tcPr>
            <w:tcW w:w="1804"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一般公共预算财政拨款</w:t>
            </w:r>
          </w:p>
        </w:tc>
        <w:tc>
          <w:tcPr>
            <w:tcW w:w="1300"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政府性基金预算财政拨款</w:t>
            </w:r>
          </w:p>
        </w:tc>
        <w:tc>
          <w:tcPr>
            <w:tcW w:w="1650"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国有资本经营预算财政拨款</w:t>
            </w:r>
          </w:p>
        </w:tc>
      </w:tr>
      <w:tr>
        <w:tblPrEx>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栏    次</w:t>
            </w:r>
          </w:p>
        </w:tc>
        <w:tc>
          <w:tcPr>
            <w:tcW w:w="61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931"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1</w:t>
            </w:r>
          </w:p>
        </w:tc>
        <w:tc>
          <w:tcPr>
            <w:tcW w:w="285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栏    次</w:t>
            </w:r>
          </w:p>
        </w:tc>
        <w:tc>
          <w:tcPr>
            <w:tcW w:w="61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931"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2</w:t>
            </w:r>
          </w:p>
        </w:tc>
        <w:tc>
          <w:tcPr>
            <w:tcW w:w="1804"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3</w:t>
            </w:r>
          </w:p>
        </w:tc>
        <w:tc>
          <w:tcPr>
            <w:tcW w:w="1300"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4</w:t>
            </w:r>
          </w:p>
        </w:tc>
        <w:tc>
          <w:tcPr>
            <w:tcW w:w="1650"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5</w:t>
            </w:r>
          </w:p>
        </w:tc>
      </w:tr>
      <w:tr>
        <w:tblPrEx>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一、一般公共预算财政拨款</w:t>
            </w:r>
          </w:p>
        </w:tc>
        <w:tc>
          <w:tcPr>
            <w:tcW w:w="61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w:t>
            </w:r>
          </w:p>
        </w:tc>
        <w:tc>
          <w:tcPr>
            <w:tcW w:w="931"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1850.59</w:t>
            </w:r>
            <w:r>
              <w:rPr>
                <w:rFonts w:ascii="Times New Roman" w:hAnsi="Times New Roman" w:eastAsia="仿宋_GB2312" w:cs="Times New Roman"/>
                <w:kern w:val="0"/>
                <w:sz w:val="22"/>
              </w:rPr>
              <w:t>　</w:t>
            </w:r>
          </w:p>
        </w:tc>
        <w:tc>
          <w:tcPr>
            <w:tcW w:w="285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一、一般公共服务支出</w:t>
            </w:r>
          </w:p>
        </w:tc>
        <w:tc>
          <w:tcPr>
            <w:tcW w:w="61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15</w:t>
            </w:r>
          </w:p>
        </w:tc>
        <w:tc>
          <w:tcPr>
            <w:tcW w:w="931"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269.62</w:t>
            </w:r>
            <w:r>
              <w:rPr>
                <w:rFonts w:ascii="Times New Roman" w:hAnsi="Times New Roman" w:eastAsia="仿宋_GB2312" w:cs="Times New Roman"/>
                <w:kern w:val="0"/>
                <w:sz w:val="22"/>
              </w:rPr>
              <w:t>　</w:t>
            </w:r>
          </w:p>
        </w:tc>
        <w:tc>
          <w:tcPr>
            <w:tcW w:w="1804"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269.62</w:t>
            </w:r>
            <w:r>
              <w:rPr>
                <w:rFonts w:ascii="Times New Roman" w:hAnsi="Times New Roman" w:eastAsia="仿宋_GB2312" w:cs="Times New Roman"/>
                <w:kern w:val="0"/>
                <w:sz w:val="22"/>
              </w:rPr>
              <w:t>　</w:t>
            </w:r>
          </w:p>
        </w:tc>
        <w:tc>
          <w:tcPr>
            <w:tcW w:w="1300"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650"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tblPrEx>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二、政府性基金预算财政拨款</w:t>
            </w:r>
          </w:p>
        </w:tc>
        <w:tc>
          <w:tcPr>
            <w:tcW w:w="61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w:t>
            </w:r>
          </w:p>
        </w:tc>
        <w:tc>
          <w:tcPr>
            <w:tcW w:w="931"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285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二、外交支出</w:t>
            </w:r>
          </w:p>
        </w:tc>
        <w:tc>
          <w:tcPr>
            <w:tcW w:w="61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16</w:t>
            </w:r>
          </w:p>
        </w:tc>
        <w:tc>
          <w:tcPr>
            <w:tcW w:w="931"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804"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300"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650"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tblPrEx>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三、国有资本经营预算财政拨款</w:t>
            </w:r>
          </w:p>
        </w:tc>
        <w:tc>
          <w:tcPr>
            <w:tcW w:w="61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3</w:t>
            </w:r>
          </w:p>
        </w:tc>
        <w:tc>
          <w:tcPr>
            <w:tcW w:w="931"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285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三、国防支出</w:t>
            </w:r>
          </w:p>
        </w:tc>
        <w:tc>
          <w:tcPr>
            <w:tcW w:w="61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17</w:t>
            </w:r>
          </w:p>
        </w:tc>
        <w:tc>
          <w:tcPr>
            <w:tcW w:w="931"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804"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300"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650"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tblPrEx>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61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4</w:t>
            </w:r>
          </w:p>
        </w:tc>
        <w:tc>
          <w:tcPr>
            <w:tcW w:w="931"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285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四、公共安全支出</w:t>
            </w:r>
          </w:p>
        </w:tc>
        <w:tc>
          <w:tcPr>
            <w:tcW w:w="61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18</w:t>
            </w:r>
          </w:p>
        </w:tc>
        <w:tc>
          <w:tcPr>
            <w:tcW w:w="931"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804"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300"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650"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tblPrEx>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61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5</w:t>
            </w:r>
          </w:p>
        </w:tc>
        <w:tc>
          <w:tcPr>
            <w:tcW w:w="931"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285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五、教育支出</w:t>
            </w:r>
          </w:p>
        </w:tc>
        <w:tc>
          <w:tcPr>
            <w:tcW w:w="61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19</w:t>
            </w:r>
          </w:p>
        </w:tc>
        <w:tc>
          <w:tcPr>
            <w:tcW w:w="931"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804"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300"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650"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tblPrEx>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61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6</w:t>
            </w:r>
          </w:p>
        </w:tc>
        <w:tc>
          <w:tcPr>
            <w:tcW w:w="931"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285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六、科学技术支出</w:t>
            </w:r>
          </w:p>
        </w:tc>
        <w:tc>
          <w:tcPr>
            <w:tcW w:w="61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20</w:t>
            </w:r>
          </w:p>
        </w:tc>
        <w:tc>
          <w:tcPr>
            <w:tcW w:w="931"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804"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300"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650"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tblPrEx>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61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7</w:t>
            </w:r>
          </w:p>
        </w:tc>
        <w:tc>
          <w:tcPr>
            <w:tcW w:w="931"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285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七、社会保障和就业支出</w:t>
            </w:r>
          </w:p>
        </w:tc>
        <w:tc>
          <w:tcPr>
            <w:tcW w:w="61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21</w:t>
            </w:r>
          </w:p>
        </w:tc>
        <w:tc>
          <w:tcPr>
            <w:tcW w:w="931"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1580.97</w:t>
            </w:r>
            <w:r>
              <w:rPr>
                <w:rFonts w:ascii="Times New Roman" w:hAnsi="Times New Roman" w:eastAsia="仿宋_GB2312" w:cs="Times New Roman"/>
                <w:kern w:val="0"/>
                <w:sz w:val="22"/>
              </w:rPr>
              <w:t>　</w:t>
            </w:r>
          </w:p>
        </w:tc>
        <w:tc>
          <w:tcPr>
            <w:tcW w:w="1804"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1580.97</w:t>
            </w:r>
            <w:r>
              <w:rPr>
                <w:rFonts w:ascii="Times New Roman" w:hAnsi="Times New Roman" w:eastAsia="仿宋_GB2312" w:cs="Times New Roman"/>
                <w:kern w:val="0"/>
                <w:sz w:val="22"/>
              </w:rPr>
              <w:t>　</w:t>
            </w:r>
          </w:p>
        </w:tc>
        <w:tc>
          <w:tcPr>
            <w:tcW w:w="1300"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650"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tblPrEx>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61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8</w:t>
            </w:r>
          </w:p>
        </w:tc>
        <w:tc>
          <w:tcPr>
            <w:tcW w:w="931"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285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61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22</w:t>
            </w:r>
          </w:p>
        </w:tc>
        <w:tc>
          <w:tcPr>
            <w:tcW w:w="931"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804"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300"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650"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tblPrEx>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本年收入合计</w:t>
            </w:r>
          </w:p>
        </w:tc>
        <w:tc>
          <w:tcPr>
            <w:tcW w:w="61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9</w:t>
            </w:r>
          </w:p>
        </w:tc>
        <w:tc>
          <w:tcPr>
            <w:tcW w:w="931"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1850.59</w:t>
            </w:r>
            <w:r>
              <w:rPr>
                <w:rFonts w:ascii="Times New Roman" w:hAnsi="Times New Roman" w:eastAsia="仿宋_GB2312" w:cs="Times New Roman"/>
                <w:kern w:val="0"/>
                <w:sz w:val="22"/>
              </w:rPr>
              <w:t>　</w:t>
            </w:r>
          </w:p>
        </w:tc>
        <w:tc>
          <w:tcPr>
            <w:tcW w:w="285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本年支出合计</w:t>
            </w:r>
          </w:p>
        </w:tc>
        <w:tc>
          <w:tcPr>
            <w:tcW w:w="61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23</w:t>
            </w:r>
          </w:p>
        </w:tc>
        <w:tc>
          <w:tcPr>
            <w:tcW w:w="931"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1850.59</w:t>
            </w:r>
            <w:r>
              <w:rPr>
                <w:rFonts w:ascii="Times New Roman" w:hAnsi="Times New Roman" w:eastAsia="仿宋_GB2312" w:cs="Times New Roman"/>
                <w:kern w:val="0"/>
                <w:sz w:val="22"/>
              </w:rPr>
              <w:t>　</w:t>
            </w:r>
          </w:p>
        </w:tc>
        <w:tc>
          <w:tcPr>
            <w:tcW w:w="1804"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1850.59</w:t>
            </w:r>
            <w:r>
              <w:rPr>
                <w:rFonts w:ascii="Times New Roman" w:hAnsi="Times New Roman" w:eastAsia="仿宋_GB2312" w:cs="Times New Roman"/>
                <w:kern w:val="0"/>
                <w:sz w:val="22"/>
              </w:rPr>
              <w:t>　</w:t>
            </w:r>
          </w:p>
        </w:tc>
        <w:tc>
          <w:tcPr>
            <w:tcW w:w="1300"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6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　</w:t>
            </w:r>
          </w:p>
        </w:tc>
      </w:tr>
      <w:tr>
        <w:tblPrEx>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年初财政拨款结转和结余</w:t>
            </w:r>
          </w:p>
        </w:tc>
        <w:tc>
          <w:tcPr>
            <w:tcW w:w="61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10</w:t>
            </w:r>
          </w:p>
        </w:tc>
        <w:tc>
          <w:tcPr>
            <w:tcW w:w="931"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285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年末财政拨款结转和结余</w:t>
            </w:r>
          </w:p>
        </w:tc>
        <w:tc>
          <w:tcPr>
            <w:tcW w:w="61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24</w:t>
            </w:r>
          </w:p>
        </w:tc>
        <w:tc>
          <w:tcPr>
            <w:tcW w:w="931"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804"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300"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6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tblPrEx>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xml:space="preserve">   一般公共预算财政拨款</w:t>
            </w:r>
          </w:p>
        </w:tc>
        <w:tc>
          <w:tcPr>
            <w:tcW w:w="61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11</w:t>
            </w:r>
          </w:p>
        </w:tc>
        <w:tc>
          <w:tcPr>
            <w:tcW w:w="931"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285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61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25</w:t>
            </w:r>
          </w:p>
        </w:tc>
        <w:tc>
          <w:tcPr>
            <w:tcW w:w="931"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804"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300"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6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tblPrEx>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xml:space="preserve">     政府性基金预算财政拨款</w:t>
            </w:r>
          </w:p>
        </w:tc>
        <w:tc>
          <w:tcPr>
            <w:tcW w:w="61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12</w:t>
            </w:r>
          </w:p>
        </w:tc>
        <w:tc>
          <w:tcPr>
            <w:tcW w:w="931"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285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61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26</w:t>
            </w:r>
          </w:p>
        </w:tc>
        <w:tc>
          <w:tcPr>
            <w:tcW w:w="931"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804"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300"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6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tblPrEx>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xml:space="preserve">      国有资本经营预算财政拨款</w:t>
            </w:r>
          </w:p>
        </w:tc>
        <w:tc>
          <w:tcPr>
            <w:tcW w:w="61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13</w:t>
            </w:r>
          </w:p>
        </w:tc>
        <w:tc>
          <w:tcPr>
            <w:tcW w:w="931"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285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61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27</w:t>
            </w:r>
          </w:p>
        </w:tc>
        <w:tc>
          <w:tcPr>
            <w:tcW w:w="931"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804"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300"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6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tblPrEx>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000000" w:fill="FFFFFF"/>
            <w:noWrap/>
            <w:vAlign w:val="center"/>
          </w:tcPr>
          <w:p>
            <w:pPr>
              <w:widowControl/>
              <w:jc w:val="center"/>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总计</w:t>
            </w:r>
          </w:p>
        </w:tc>
        <w:tc>
          <w:tcPr>
            <w:tcW w:w="616" w:type="dxa"/>
            <w:tcBorders>
              <w:top w:val="nil"/>
              <w:left w:val="nil"/>
              <w:bottom w:val="single" w:color="auto" w:sz="4" w:space="0"/>
              <w:right w:val="single" w:color="auto" w:sz="4" w:space="0"/>
            </w:tcBorders>
            <w:shd w:val="clear" w:color="000000" w:fill="FFFFFF"/>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14</w:t>
            </w:r>
          </w:p>
        </w:tc>
        <w:tc>
          <w:tcPr>
            <w:tcW w:w="931"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2856" w:type="dxa"/>
            <w:tcBorders>
              <w:top w:val="nil"/>
              <w:left w:val="nil"/>
              <w:bottom w:val="single" w:color="auto" w:sz="4" w:space="0"/>
              <w:right w:val="single" w:color="auto" w:sz="4" w:space="0"/>
            </w:tcBorders>
            <w:shd w:val="clear" w:color="000000" w:fill="FFFFFF"/>
            <w:noWrap/>
            <w:vAlign w:val="center"/>
          </w:tcPr>
          <w:p>
            <w:pPr>
              <w:widowControl/>
              <w:jc w:val="center"/>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总计</w:t>
            </w:r>
          </w:p>
        </w:tc>
        <w:tc>
          <w:tcPr>
            <w:tcW w:w="616" w:type="dxa"/>
            <w:tcBorders>
              <w:top w:val="nil"/>
              <w:left w:val="nil"/>
              <w:bottom w:val="single" w:color="auto" w:sz="4" w:space="0"/>
              <w:right w:val="single" w:color="auto" w:sz="4" w:space="0"/>
            </w:tcBorders>
            <w:shd w:val="clear" w:color="000000" w:fill="FFFFFF"/>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28</w:t>
            </w:r>
          </w:p>
        </w:tc>
        <w:tc>
          <w:tcPr>
            <w:tcW w:w="931" w:type="dxa"/>
            <w:tcBorders>
              <w:top w:val="nil"/>
              <w:left w:val="nil"/>
              <w:bottom w:val="single" w:color="auto" w:sz="4" w:space="0"/>
              <w:right w:val="single" w:color="auto" w:sz="4" w:space="0"/>
            </w:tcBorders>
            <w:shd w:val="clear" w:color="000000" w:fill="FFFFFF"/>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804" w:type="dxa"/>
            <w:tcBorders>
              <w:top w:val="nil"/>
              <w:left w:val="nil"/>
              <w:bottom w:val="single" w:color="auto" w:sz="4" w:space="0"/>
              <w:right w:val="single" w:color="auto" w:sz="4" w:space="0"/>
            </w:tcBorders>
            <w:shd w:val="clear" w:color="000000" w:fill="FFFFFF"/>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30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　</w:t>
            </w:r>
          </w:p>
        </w:tc>
        <w:tc>
          <w:tcPr>
            <w:tcW w:w="16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　</w:t>
            </w:r>
          </w:p>
        </w:tc>
      </w:tr>
    </w:tbl>
    <w:p>
      <w:pPr>
        <w:widowControl/>
        <w:jc w:val="left"/>
        <w:rPr>
          <w:rFonts w:hint="eastAsia" w:ascii="Times New Roman" w:hAnsi="Times New Roman" w:eastAsia="黑体" w:cs="Times New Roman"/>
          <w:color w:val="000000"/>
          <w:kern w:val="0"/>
          <w:sz w:val="36"/>
          <w:szCs w:val="36"/>
        </w:rPr>
      </w:pPr>
      <w:r>
        <w:rPr>
          <w:rFonts w:ascii="Times New Roman" w:hAnsi="Times New Roman" w:eastAsia="仿宋_GB2312" w:cs="Times New Roman"/>
          <w:kern w:val="0"/>
          <w:sz w:val="24"/>
          <w:szCs w:val="24"/>
        </w:rPr>
        <w:t>注：</w:t>
      </w:r>
      <w:r>
        <w:rPr>
          <w:rFonts w:ascii="Times New Roman" w:hAnsi="Times New Roman" w:eastAsia="仿宋_GB2312" w:cs="Times New Roman"/>
          <w:spacing w:val="-6"/>
          <w:kern w:val="0"/>
          <w:sz w:val="24"/>
          <w:szCs w:val="24"/>
        </w:rPr>
        <w:t>本表反映部门本年度一般公共预算财政拨款、政府性基金预算财政拨款和国有资本经营预算财政拨款的总收支和年末结转结余情况。</w:t>
      </w:r>
    </w:p>
    <w:p>
      <w:pPr>
        <w:widowControl/>
        <w:spacing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一般公共预算财政拨款支出决算表</w:t>
      </w:r>
      <w:bookmarkEnd w:id="1"/>
    </w:p>
    <w:p>
      <w:pPr>
        <w:widowControl/>
        <w:spacing w:beforeLines="50"/>
        <w:ind w:left="11970" w:hanging="11970" w:hangingChars="5700"/>
        <w:jc w:val="lef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部门：</w:t>
      </w:r>
      <w:r>
        <w:rPr>
          <w:rFonts w:hint="eastAsia" w:ascii="Times New Roman" w:hAnsi="Times New Roman" w:eastAsia="仿宋_GB2312" w:cs="Times New Roman"/>
          <w:color w:val="000000"/>
          <w:kern w:val="0"/>
          <w:szCs w:val="21"/>
        </w:rPr>
        <w:t>怀化市殡葬事务中心</w:t>
      </w:r>
      <w:r>
        <w:rPr>
          <w:rFonts w:ascii="Times New Roman" w:hAnsi="Times New Roman" w:eastAsia="仿宋_GB2312" w:cs="Times New Roman"/>
          <w:color w:val="000000"/>
          <w:kern w:val="0"/>
          <w:szCs w:val="21"/>
        </w:rPr>
        <w:t xml:space="preserve">                                                                                            公开05表</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单位：万元</w:t>
      </w:r>
    </w:p>
    <w:tbl>
      <w:tblPr>
        <w:tblStyle w:val="9"/>
        <w:tblW w:w="14219" w:type="dxa"/>
        <w:jc w:val="center"/>
        <w:tblLayout w:type="autofit"/>
        <w:tblCellMar>
          <w:top w:w="0" w:type="dxa"/>
          <w:left w:w="108" w:type="dxa"/>
          <w:bottom w:w="0" w:type="dxa"/>
          <w:right w:w="108" w:type="dxa"/>
        </w:tblCellMar>
      </w:tblPr>
      <w:tblGrid>
        <w:gridCol w:w="1200"/>
        <w:gridCol w:w="3527"/>
        <w:gridCol w:w="3000"/>
        <w:gridCol w:w="3492"/>
        <w:gridCol w:w="3000"/>
      </w:tblGrid>
      <w:tr>
        <w:tblPrEx>
          <w:tblCellMar>
            <w:top w:w="0" w:type="dxa"/>
            <w:left w:w="108" w:type="dxa"/>
            <w:bottom w:w="0" w:type="dxa"/>
            <w:right w:w="108" w:type="dxa"/>
          </w:tblCellMar>
        </w:tblPrEx>
        <w:trPr>
          <w:trHeight w:val="545" w:hRule="atLeast"/>
          <w:jc w:val="center"/>
        </w:trPr>
        <w:tc>
          <w:tcPr>
            <w:tcW w:w="4727" w:type="dxa"/>
            <w:gridSpan w:val="2"/>
            <w:tcBorders>
              <w:top w:val="single" w:color="auto" w:sz="8" w:space="0"/>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 xml:space="preserve">项 </w:t>
            </w:r>
            <w:r>
              <w:rPr>
                <w:rFonts w:ascii="Times New Roman" w:hAnsi="Times New Roman" w:eastAsia="仿宋_GB2312" w:cs="Times New Roman"/>
                <w:b/>
                <w:color w:val="000000"/>
                <w:kern w:val="0"/>
                <w:szCs w:val="21"/>
              </w:rPr>
              <w:t xml:space="preserve">   </w:t>
            </w:r>
            <w:r>
              <w:rPr>
                <w:rFonts w:ascii="Times New Roman" w:hAnsi="Times New Roman" w:eastAsia="仿宋_GB2312" w:cs="Times New Roman"/>
                <w:b/>
                <w:kern w:val="0"/>
                <w:szCs w:val="21"/>
              </w:rPr>
              <w:t>目</w:t>
            </w:r>
          </w:p>
        </w:tc>
        <w:tc>
          <w:tcPr>
            <w:tcW w:w="9492" w:type="dxa"/>
            <w:gridSpan w:val="3"/>
            <w:tcBorders>
              <w:top w:val="single" w:color="auto" w:sz="8" w:space="0"/>
              <w:left w:val="nil"/>
              <w:bottom w:val="single" w:color="auto" w:sz="4" w:space="0"/>
              <w:right w:val="single" w:color="000000" w:sz="8"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本年支出</w:t>
            </w:r>
          </w:p>
        </w:tc>
      </w:tr>
      <w:tr>
        <w:tblPrEx>
          <w:tblCellMar>
            <w:top w:w="0" w:type="dxa"/>
            <w:left w:w="108" w:type="dxa"/>
            <w:bottom w:w="0" w:type="dxa"/>
            <w:right w:w="108" w:type="dxa"/>
          </w:tblCellMar>
        </w:tblPrEx>
        <w:trPr>
          <w:trHeight w:val="312" w:hRule="exact"/>
          <w:jc w:val="center"/>
        </w:trPr>
        <w:tc>
          <w:tcPr>
            <w:tcW w:w="1200" w:type="dxa"/>
            <w:vMerge w:val="restart"/>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功能分类科目编码</w:t>
            </w:r>
          </w:p>
        </w:tc>
        <w:tc>
          <w:tcPr>
            <w:tcW w:w="3527"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科目名称</w:t>
            </w:r>
          </w:p>
        </w:tc>
        <w:tc>
          <w:tcPr>
            <w:tcW w:w="3000"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小计</w:t>
            </w:r>
          </w:p>
        </w:tc>
        <w:tc>
          <w:tcPr>
            <w:tcW w:w="3492"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基本支出</w:t>
            </w:r>
          </w:p>
        </w:tc>
        <w:tc>
          <w:tcPr>
            <w:tcW w:w="3000" w:type="dxa"/>
            <w:vMerge w:val="restart"/>
            <w:tcBorders>
              <w:top w:val="nil"/>
              <w:left w:val="single" w:color="auto" w:sz="4" w:space="0"/>
              <w:bottom w:val="single" w:color="000000" w:sz="4" w:space="0"/>
              <w:right w:val="single" w:color="auto" w:sz="8"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项目支出</w:t>
            </w:r>
          </w:p>
        </w:tc>
      </w:tr>
      <w:tr>
        <w:tblPrEx>
          <w:tblCellMar>
            <w:top w:w="0" w:type="dxa"/>
            <w:left w:w="108" w:type="dxa"/>
            <w:bottom w:w="0" w:type="dxa"/>
            <w:right w:w="108" w:type="dxa"/>
          </w:tblCellMar>
        </w:tblPrEx>
        <w:trPr>
          <w:trHeight w:val="36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pPr>
              <w:widowControl/>
              <w:jc w:val="left"/>
              <w:rPr>
                <w:rFonts w:ascii="Times New Roman" w:hAnsi="Times New Roman" w:eastAsia="仿宋_GB2312" w:cs="Times New Roman"/>
                <w:kern w:val="0"/>
                <w:szCs w:val="21"/>
              </w:rPr>
            </w:pPr>
          </w:p>
        </w:tc>
      </w:tr>
      <w:tr>
        <w:tblPrEx>
          <w:tblCellMar>
            <w:top w:w="0" w:type="dxa"/>
            <w:left w:w="108" w:type="dxa"/>
            <w:bottom w:w="0" w:type="dxa"/>
            <w:right w:w="108" w:type="dxa"/>
          </w:tblCellMar>
        </w:tblPrEx>
        <w:trPr>
          <w:trHeight w:val="312"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pPr>
              <w:widowControl/>
              <w:jc w:val="left"/>
              <w:rPr>
                <w:rFonts w:ascii="Times New Roman" w:hAnsi="Times New Roman" w:eastAsia="仿宋_GB2312" w:cs="Times New Roman"/>
                <w:kern w:val="0"/>
                <w:szCs w:val="21"/>
              </w:rPr>
            </w:pPr>
          </w:p>
        </w:tc>
      </w:tr>
      <w:tr>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栏次</w:t>
            </w:r>
          </w:p>
        </w:tc>
        <w:tc>
          <w:tcPr>
            <w:tcW w:w="3000"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3492"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3000" w:type="dxa"/>
            <w:tcBorders>
              <w:top w:val="nil"/>
              <w:left w:val="nil"/>
              <w:bottom w:val="single" w:color="auto" w:sz="4" w:space="0"/>
              <w:right w:val="single" w:color="auto" w:sz="8"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r>
      <w:tr>
        <w:tblPrEx>
          <w:tblCellMar>
            <w:top w:w="0" w:type="dxa"/>
            <w:left w:w="108" w:type="dxa"/>
            <w:bottom w:w="0" w:type="dxa"/>
            <w:right w:w="108" w:type="dxa"/>
          </w:tblCellMar>
        </w:tblPrEx>
        <w:trPr>
          <w:trHeight w:val="38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3000" w:type="dxa"/>
            <w:tcBorders>
              <w:top w:val="nil"/>
              <w:left w:val="nil"/>
              <w:bottom w:val="single" w:color="auto" w:sz="4" w:space="0"/>
              <w:right w:val="single" w:color="auto" w:sz="4" w:space="0"/>
            </w:tcBorders>
            <w:shd w:val="clear" w:color="auto" w:fill="auto"/>
            <w:vAlign w:val="center"/>
          </w:tcPr>
          <w:p>
            <w:pPr>
              <w:widowControl/>
              <w:jc w:val="right"/>
              <w:textAlignment w:val="center"/>
              <w:rPr>
                <w:rFonts w:ascii="Times New Roman" w:hAnsi="Times New Roman" w:eastAsia="仿宋_GB2312" w:cs="Times New Roman"/>
                <w:kern w:val="0"/>
                <w:szCs w:val="21"/>
              </w:rPr>
            </w:pPr>
            <w:r>
              <w:rPr>
                <w:rFonts w:hint="eastAsia" w:ascii="宋体" w:hAnsi="宋体" w:eastAsia="宋体" w:cs="宋体"/>
                <w:b/>
                <w:bCs/>
                <w:color w:val="000000"/>
                <w:kern w:val="0"/>
                <w:sz w:val="22"/>
              </w:rPr>
              <w:t>1,850.59</w:t>
            </w:r>
          </w:p>
        </w:tc>
        <w:tc>
          <w:tcPr>
            <w:tcW w:w="3492" w:type="dxa"/>
            <w:tcBorders>
              <w:top w:val="nil"/>
              <w:left w:val="nil"/>
              <w:bottom w:val="single" w:color="auto" w:sz="4" w:space="0"/>
              <w:right w:val="single" w:color="auto" w:sz="4" w:space="0"/>
            </w:tcBorders>
            <w:shd w:val="clear" w:color="auto" w:fill="auto"/>
            <w:vAlign w:val="center"/>
          </w:tcPr>
          <w:p>
            <w:pPr>
              <w:widowControl/>
              <w:jc w:val="right"/>
              <w:textAlignment w:val="center"/>
              <w:rPr>
                <w:rFonts w:ascii="Times New Roman" w:hAnsi="Times New Roman" w:eastAsia="仿宋_GB2312" w:cs="Times New Roman"/>
                <w:kern w:val="0"/>
                <w:szCs w:val="21"/>
              </w:rPr>
            </w:pPr>
            <w:r>
              <w:rPr>
                <w:rFonts w:hint="eastAsia" w:ascii="宋体" w:hAnsi="宋体" w:eastAsia="宋体" w:cs="宋体"/>
                <w:b/>
                <w:bCs/>
                <w:color w:val="000000"/>
                <w:kern w:val="0"/>
                <w:sz w:val="22"/>
              </w:rPr>
              <w:t>370.68</w:t>
            </w:r>
          </w:p>
        </w:tc>
        <w:tc>
          <w:tcPr>
            <w:tcW w:w="3000" w:type="dxa"/>
            <w:tcBorders>
              <w:top w:val="nil"/>
              <w:left w:val="nil"/>
              <w:bottom w:val="single" w:color="auto" w:sz="4" w:space="0"/>
              <w:right w:val="single" w:color="auto" w:sz="8" w:space="0"/>
            </w:tcBorders>
            <w:shd w:val="clear" w:color="auto" w:fill="auto"/>
            <w:vAlign w:val="center"/>
          </w:tcPr>
          <w:p>
            <w:pPr>
              <w:widowControl/>
              <w:jc w:val="right"/>
              <w:textAlignment w:val="center"/>
              <w:rPr>
                <w:rFonts w:ascii="Times New Roman" w:hAnsi="Times New Roman" w:eastAsia="仿宋_GB2312" w:cs="Times New Roman"/>
                <w:kern w:val="0"/>
                <w:szCs w:val="21"/>
              </w:rPr>
            </w:pPr>
            <w:r>
              <w:rPr>
                <w:rFonts w:hint="eastAsia" w:ascii="宋体" w:hAnsi="宋体" w:eastAsia="宋体" w:cs="宋体"/>
                <w:b/>
                <w:bCs/>
                <w:color w:val="000000"/>
                <w:kern w:val="0"/>
                <w:sz w:val="22"/>
              </w:rPr>
              <w:t>1,479.91</w:t>
            </w:r>
          </w:p>
        </w:tc>
      </w:tr>
      <w:tr>
        <w:tblPrEx>
          <w:tblCellMar>
            <w:top w:w="0" w:type="dxa"/>
            <w:left w:w="108" w:type="dxa"/>
            <w:bottom w:w="0" w:type="dxa"/>
            <w:right w:w="108" w:type="dxa"/>
          </w:tblCellMar>
        </w:tblPrEx>
        <w:trPr>
          <w:trHeight w:val="375"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201</w:t>
            </w:r>
          </w:p>
        </w:tc>
        <w:tc>
          <w:tcPr>
            <w:tcW w:w="3527"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一般公共服务支出</w:t>
            </w:r>
          </w:p>
        </w:tc>
        <w:tc>
          <w:tcPr>
            <w:tcW w:w="3000" w:type="dxa"/>
            <w:tcBorders>
              <w:top w:val="nil"/>
              <w:left w:val="nil"/>
              <w:bottom w:val="single" w:color="auto" w:sz="4" w:space="0"/>
              <w:right w:val="single" w:color="auto" w:sz="4" w:space="0"/>
            </w:tcBorders>
            <w:shd w:val="clear" w:color="auto" w:fill="auto"/>
            <w:vAlign w:val="center"/>
          </w:tcPr>
          <w:p>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269.62</w:t>
            </w:r>
          </w:p>
        </w:tc>
        <w:tc>
          <w:tcPr>
            <w:tcW w:w="3492" w:type="dxa"/>
            <w:tcBorders>
              <w:top w:val="nil"/>
              <w:left w:val="nil"/>
              <w:bottom w:val="single" w:color="auto" w:sz="4" w:space="0"/>
              <w:right w:val="single" w:color="auto" w:sz="4" w:space="0"/>
            </w:tcBorders>
            <w:shd w:val="clear" w:color="auto" w:fill="auto"/>
            <w:vAlign w:val="center"/>
          </w:tcPr>
          <w:p>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0.00</w:t>
            </w:r>
          </w:p>
        </w:tc>
        <w:tc>
          <w:tcPr>
            <w:tcW w:w="3000" w:type="dxa"/>
            <w:tcBorders>
              <w:top w:val="nil"/>
              <w:left w:val="nil"/>
              <w:bottom w:val="single" w:color="auto" w:sz="4" w:space="0"/>
              <w:right w:val="single" w:color="auto" w:sz="8" w:space="0"/>
            </w:tcBorders>
            <w:shd w:val="clear" w:color="auto" w:fill="auto"/>
            <w:vAlign w:val="center"/>
          </w:tcPr>
          <w:p>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269.62</w:t>
            </w:r>
          </w:p>
        </w:tc>
      </w:tr>
      <w:tr>
        <w:tblPrEx>
          <w:tblCellMar>
            <w:top w:w="0" w:type="dxa"/>
            <w:left w:w="108" w:type="dxa"/>
            <w:bottom w:w="0" w:type="dxa"/>
            <w:right w:w="108" w:type="dxa"/>
          </w:tblCellMar>
        </w:tblPrEx>
        <w:trPr>
          <w:trHeight w:val="36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20199</w:t>
            </w:r>
          </w:p>
        </w:tc>
        <w:tc>
          <w:tcPr>
            <w:tcW w:w="3527"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其他一般公共服务支出</w:t>
            </w:r>
          </w:p>
        </w:tc>
        <w:tc>
          <w:tcPr>
            <w:tcW w:w="3000" w:type="dxa"/>
            <w:tcBorders>
              <w:top w:val="nil"/>
              <w:left w:val="nil"/>
              <w:bottom w:val="single" w:color="auto" w:sz="4" w:space="0"/>
              <w:right w:val="single" w:color="auto" w:sz="4" w:space="0"/>
            </w:tcBorders>
            <w:shd w:val="clear" w:color="auto" w:fill="auto"/>
            <w:vAlign w:val="center"/>
          </w:tcPr>
          <w:p>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269.62</w:t>
            </w:r>
          </w:p>
        </w:tc>
        <w:tc>
          <w:tcPr>
            <w:tcW w:w="3492" w:type="dxa"/>
            <w:tcBorders>
              <w:top w:val="nil"/>
              <w:left w:val="nil"/>
              <w:bottom w:val="single" w:color="auto" w:sz="4" w:space="0"/>
              <w:right w:val="single" w:color="auto" w:sz="4" w:space="0"/>
            </w:tcBorders>
            <w:shd w:val="clear" w:color="auto" w:fill="auto"/>
            <w:vAlign w:val="center"/>
          </w:tcPr>
          <w:p>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0.00</w:t>
            </w:r>
          </w:p>
        </w:tc>
        <w:tc>
          <w:tcPr>
            <w:tcW w:w="3000" w:type="dxa"/>
            <w:tcBorders>
              <w:top w:val="nil"/>
              <w:left w:val="nil"/>
              <w:bottom w:val="single" w:color="auto" w:sz="4" w:space="0"/>
              <w:right w:val="single" w:color="auto" w:sz="8" w:space="0"/>
            </w:tcBorders>
            <w:shd w:val="clear" w:color="auto" w:fill="auto"/>
            <w:vAlign w:val="center"/>
          </w:tcPr>
          <w:p>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269.62</w:t>
            </w:r>
          </w:p>
        </w:tc>
      </w:tr>
      <w:tr>
        <w:tblPrEx>
          <w:tblCellMar>
            <w:top w:w="0" w:type="dxa"/>
            <w:left w:w="108" w:type="dxa"/>
            <w:bottom w:w="0" w:type="dxa"/>
            <w:right w:w="108" w:type="dxa"/>
          </w:tblCellMar>
        </w:tblPrEx>
        <w:trPr>
          <w:trHeight w:val="36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2019999</w:t>
            </w:r>
          </w:p>
        </w:tc>
        <w:tc>
          <w:tcPr>
            <w:tcW w:w="3527"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 xml:space="preserve">  其他一般公共服务支出</w:t>
            </w:r>
          </w:p>
        </w:tc>
        <w:tc>
          <w:tcPr>
            <w:tcW w:w="3000" w:type="dxa"/>
            <w:tcBorders>
              <w:top w:val="nil"/>
              <w:left w:val="nil"/>
              <w:bottom w:val="single" w:color="auto" w:sz="4" w:space="0"/>
              <w:right w:val="single" w:color="auto" w:sz="4" w:space="0"/>
            </w:tcBorders>
            <w:shd w:val="clear" w:color="auto" w:fill="auto"/>
            <w:vAlign w:val="center"/>
          </w:tcPr>
          <w:p>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269.62</w:t>
            </w:r>
          </w:p>
        </w:tc>
        <w:tc>
          <w:tcPr>
            <w:tcW w:w="3492" w:type="dxa"/>
            <w:tcBorders>
              <w:top w:val="nil"/>
              <w:left w:val="nil"/>
              <w:bottom w:val="single" w:color="auto" w:sz="4" w:space="0"/>
              <w:right w:val="single" w:color="auto" w:sz="4" w:space="0"/>
            </w:tcBorders>
            <w:shd w:val="clear" w:color="auto" w:fill="auto"/>
            <w:vAlign w:val="center"/>
          </w:tcPr>
          <w:p>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0.00</w:t>
            </w:r>
          </w:p>
        </w:tc>
        <w:tc>
          <w:tcPr>
            <w:tcW w:w="3000" w:type="dxa"/>
            <w:tcBorders>
              <w:top w:val="nil"/>
              <w:left w:val="nil"/>
              <w:bottom w:val="single" w:color="auto" w:sz="4" w:space="0"/>
              <w:right w:val="single" w:color="auto" w:sz="8" w:space="0"/>
            </w:tcBorders>
            <w:shd w:val="clear" w:color="auto" w:fill="auto"/>
            <w:vAlign w:val="center"/>
          </w:tcPr>
          <w:p>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269.62</w:t>
            </w:r>
          </w:p>
        </w:tc>
      </w:tr>
      <w:tr>
        <w:tblPrEx>
          <w:tblCellMar>
            <w:top w:w="0" w:type="dxa"/>
            <w:left w:w="108" w:type="dxa"/>
            <w:bottom w:w="0" w:type="dxa"/>
            <w:right w:w="108" w:type="dxa"/>
          </w:tblCellMar>
        </w:tblPrEx>
        <w:trPr>
          <w:trHeight w:val="345"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208</w:t>
            </w:r>
          </w:p>
        </w:tc>
        <w:tc>
          <w:tcPr>
            <w:tcW w:w="3527"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社会保障和就业支出</w:t>
            </w:r>
          </w:p>
        </w:tc>
        <w:tc>
          <w:tcPr>
            <w:tcW w:w="3000" w:type="dxa"/>
            <w:tcBorders>
              <w:top w:val="nil"/>
              <w:left w:val="nil"/>
              <w:bottom w:val="single" w:color="auto" w:sz="4" w:space="0"/>
              <w:right w:val="single" w:color="auto" w:sz="4" w:space="0"/>
            </w:tcBorders>
            <w:shd w:val="clear" w:color="auto" w:fill="auto"/>
            <w:vAlign w:val="center"/>
          </w:tcPr>
          <w:p>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1,580.97</w:t>
            </w:r>
          </w:p>
        </w:tc>
        <w:tc>
          <w:tcPr>
            <w:tcW w:w="3492" w:type="dxa"/>
            <w:tcBorders>
              <w:top w:val="nil"/>
              <w:left w:val="nil"/>
              <w:bottom w:val="single" w:color="auto" w:sz="4" w:space="0"/>
              <w:right w:val="single" w:color="auto" w:sz="4" w:space="0"/>
            </w:tcBorders>
            <w:shd w:val="clear" w:color="auto" w:fill="auto"/>
            <w:vAlign w:val="center"/>
          </w:tcPr>
          <w:p>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370.68</w:t>
            </w:r>
          </w:p>
        </w:tc>
        <w:tc>
          <w:tcPr>
            <w:tcW w:w="3000" w:type="dxa"/>
            <w:tcBorders>
              <w:top w:val="nil"/>
              <w:left w:val="nil"/>
              <w:bottom w:val="single" w:color="auto" w:sz="4" w:space="0"/>
              <w:right w:val="single" w:color="auto" w:sz="8" w:space="0"/>
            </w:tcBorders>
            <w:shd w:val="clear" w:color="auto" w:fill="auto"/>
            <w:vAlign w:val="center"/>
          </w:tcPr>
          <w:p>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1,210.29</w:t>
            </w:r>
          </w:p>
        </w:tc>
      </w:tr>
      <w:tr>
        <w:tblPrEx>
          <w:tblCellMar>
            <w:top w:w="0" w:type="dxa"/>
            <w:left w:w="108" w:type="dxa"/>
            <w:bottom w:w="0" w:type="dxa"/>
            <w:right w:w="108" w:type="dxa"/>
          </w:tblCellMar>
        </w:tblPrEx>
        <w:trPr>
          <w:trHeight w:val="315"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20805</w:t>
            </w:r>
          </w:p>
        </w:tc>
        <w:tc>
          <w:tcPr>
            <w:tcW w:w="3527"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行政事业单位养老支出</w:t>
            </w:r>
          </w:p>
        </w:tc>
        <w:tc>
          <w:tcPr>
            <w:tcW w:w="3000" w:type="dxa"/>
            <w:tcBorders>
              <w:top w:val="nil"/>
              <w:left w:val="nil"/>
              <w:bottom w:val="single" w:color="auto" w:sz="4" w:space="0"/>
              <w:right w:val="single" w:color="auto" w:sz="4" w:space="0"/>
            </w:tcBorders>
            <w:shd w:val="clear" w:color="auto" w:fill="auto"/>
            <w:vAlign w:val="center"/>
          </w:tcPr>
          <w:p>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0.01</w:t>
            </w:r>
          </w:p>
        </w:tc>
        <w:tc>
          <w:tcPr>
            <w:tcW w:w="3492" w:type="dxa"/>
            <w:tcBorders>
              <w:top w:val="nil"/>
              <w:left w:val="nil"/>
              <w:bottom w:val="single" w:color="auto" w:sz="4" w:space="0"/>
              <w:right w:val="single" w:color="auto" w:sz="4" w:space="0"/>
            </w:tcBorders>
            <w:shd w:val="clear" w:color="auto" w:fill="auto"/>
            <w:vAlign w:val="center"/>
          </w:tcPr>
          <w:p>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0.01</w:t>
            </w:r>
          </w:p>
        </w:tc>
        <w:tc>
          <w:tcPr>
            <w:tcW w:w="3000" w:type="dxa"/>
            <w:tcBorders>
              <w:top w:val="nil"/>
              <w:left w:val="nil"/>
              <w:bottom w:val="single" w:color="auto" w:sz="4" w:space="0"/>
              <w:right w:val="single" w:color="auto" w:sz="8" w:space="0"/>
            </w:tcBorders>
            <w:shd w:val="clear" w:color="auto" w:fill="auto"/>
            <w:vAlign w:val="center"/>
          </w:tcPr>
          <w:p>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0.00</w:t>
            </w:r>
          </w:p>
        </w:tc>
      </w:tr>
      <w:tr>
        <w:tblPrEx>
          <w:tblCellMar>
            <w:top w:w="0" w:type="dxa"/>
            <w:left w:w="108" w:type="dxa"/>
            <w:bottom w:w="0" w:type="dxa"/>
            <w:right w:w="108" w:type="dxa"/>
          </w:tblCellMar>
        </w:tblPrEx>
        <w:trPr>
          <w:trHeight w:val="345"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2080599</w:t>
            </w:r>
          </w:p>
        </w:tc>
        <w:tc>
          <w:tcPr>
            <w:tcW w:w="3527"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 xml:space="preserve">  其他行政事业单位养老支出</w:t>
            </w:r>
          </w:p>
        </w:tc>
        <w:tc>
          <w:tcPr>
            <w:tcW w:w="3000" w:type="dxa"/>
            <w:tcBorders>
              <w:top w:val="nil"/>
              <w:left w:val="nil"/>
              <w:bottom w:val="single" w:color="auto" w:sz="4" w:space="0"/>
              <w:right w:val="single" w:color="auto" w:sz="4" w:space="0"/>
            </w:tcBorders>
            <w:shd w:val="clear" w:color="auto" w:fill="auto"/>
            <w:vAlign w:val="center"/>
          </w:tcPr>
          <w:p>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0.01</w:t>
            </w:r>
          </w:p>
        </w:tc>
        <w:tc>
          <w:tcPr>
            <w:tcW w:w="3492" w:type="dxa"/>
            <w:tcBorders>
              <w:top w:val="nil"/>
              <w:left w:val="nil"/>
              <w:bottom w:val="single" w:color="auto" w:sz="4" w:space="0"/>
              <w:right w:val="single" w:color="auto" w:sz="4" w:space="0"/>
            </w:tcBorders>
            <w:shd w:val="clear" w:color="auto" w:fill="auto"/>
            <w:vAlign w:val="center"/>
          </w:tcPr>
          <w:p>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0.01</w:t>
            </w:r>
          </w:p>
        </w:tc>
        <w:tc>
          <w:tcPr>
            <w:tcW w:w="3000" w:type="dxa"/>
            <w:tcBorders>
              <w:top w:val="nil"/>
              <w:left w:val="nil"/>
              <w:bottom w:val="single" w:color="auto" w:sz="4" w:space="0"/>
              <w:right w:val="single" w:color="auto" w:sz="8" w:space="0"/>
            </w:tcBorders>
            <w:shd w:val="clear" w:color="auto" w:fill="auto"/>
            <w:vAlign w:val="center"/>
          </w:tcPr>
          <w:p>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0.00</w:t>
            </w:r>
          </w:p>
        </w:tc>
      </w:tr>
      <w:tr>
        <w:tblPrEx>
          <w:tblCellMar>
            <w:top w:w="0" w:type="dxa"/>
            <w:left w:w="108" w:type="dxa"/>
            <w:bottom w:w="0" w:type="dxa"/>
            <w:right w:w="108" w:type="dxa"/>
          </w:tblCellMar>
        </w:tblPrEx>
        <w:trPr>
          <w:trHeight w:val="36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20810</w:t>
            </w:r>
          </w:p>
        </w:tc>
        <w:tc>
          <w:tcPr>
            <w:tcW w:w="3527"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社会福利</w:t>
            </w:r>
          </w:p>
        </w:tc>
        <w:tc>
          <w:tcPr>
            <w:tcW w:w="3000" w:type="dxa"/>
            <w:tcBorders>
              <w:top w:val="nil"/>
              <w:left w:val="nil"/>
              <w:bottom w:val="single" w:color="auto" w:sz="4" w:space="0"/>
              <w:right w:val="single" w:color="auto" w:sz="4" w:space="0"/>
            </w:tcBorders>
            <w:shd w:val="clear" w:color="auto" w:fill="auto"/>
            <w:vAlign w:val="center"/>
          </w:tcPr>
          <w:p>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455.00</w:t>
            </w:r>
          </w:p>
        </w:tc>
        <w:tc>
          <w:tcPr>
            <w:tcW w:w="3492" w:type="dxa"/>
            <w:tcBorders>
              <w:top w:val="nil"/>
              <w:left w:val="nil"/>
              <w:bottom w:val="single" w:color="auto" w:sz="4" w:space="0"/>
              <w:right w:val="single" w:color="auto" w:sz="4" w:space="0"/>
            </w:tcBorders>
            <w:shd w:val="clear" w:color="auto" w:fill="auto"/>
            <w:vAlign w:val="center"/>
          </w:tcPr>
          <w:p>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370.67</w:t>
            </w:r>
          </w:p>
        </w:tc>
        <w:tc>
          <w:tcPr>
            <w:tcW w:w="3000" w:type="dxa"/>
            <w:tcBorders>
              <w:top w:val="nil"/>
              <w:left w:val="nil"/>
              <w:bottom w:val="single" w:color="auto" w:sz="4" w:space="0"/>
              <w:right w:val="single" w:color="auto" w:sz="8" w:space="0"/>
            </w:tcBorders>
            <w:shd w:val="clear" w:color="auto" w:fill="auto"/>
            <w:vAlign w:val="center"/>
          </w:tcPr>
          <w:p>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84.33</w:t>
            </w:r>
          </w:p>
        </w:tc>
      </w:tr>
      <w:tr>
        <w:tblPrEx>
          <w:tblCellMar>
            <w:top w:w="0" w:type="dxa"/>
            <w:left w:w="108" w:type="dxa"/>
            <w:bottom w:w="0" w:type="dxa"/>
            <w:right w:w="108" w:type="dxa"/>
          </w:tblCellMar>
        </w:tblPrEx>
        <w:trPr>
          <w:trHeight w:val="375"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2081004</w:t>
            </w:r>
          </w:p>
        </w:tc>
        <w:tc>
          <w:tcPr>
            <w:tcW w:w="3527"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 xml:space="preserve">  殡葬</w:t>
            </w:r>
          </w:p>
        </w:tc>
        <w:tc>
          <w:tcPr>
            <w:tcW w:w="3000" w:type="dxa"/>
            <w:tcBorders>
              <w:top w:val="nil"/>
              <w:left w:val="nil"/>
              <w:bottom w:val="single" w:color="auto" w:sz="4" w:space="0"/>
              <w:right w:val="single" w:color="auto" w:sz="4" w:space="0"/>
            </w:tcBorders>
            <w:shd w:val="clear" w:color="auto" w:fill="auto"/>
            <w:vAlign w:val="center"/>
          </w:tcPr>
          <w:p>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444.35</w:t>
            </w:r>
          </w:p>
        </w:tc>
        <w:tc>
          <w:tcPr>
            <w:tcW w:w="3492" w:type="dxa"/>
            <w:tcBorders>
              <w:top w:val="nil"/>
              <w:left w:val="nil"/>
              <w:bottom w:val="single" w:color="auto" w:sz="4" w:space="0"/>
              <w:right w:val="single" w:color="auto" w:sz="4" w:space="0"/>
            </w:tcBorders>
            <w:shd w:val="clear" w:color="auto" w:fill="auto"/>
            <w:vAlign w:val="center"/>
          </w:tcPr>
          <w:p>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360.02</w:t>
            </w:r>
          </w:p>
        </w:tc>
        <w:tc>
          <w:tcPr>
            <w:tcW w:w="3000" w:type="dxa"/>
            <w:tcBorders>
              <w:top w:val="nil"/>
              <w:left w:val="nil"/>
              <w:bottom w:val="single" w:color="auto" w:sz="4" w:space="0"/>
              <w:right w:val="single" w:color="auto" w:sz="8" w:space="0"/>
            </w:tcBorders>
            <w:shd w:val="clear" w:color="auto" w:fill="auto"/>
            <w:vAlign w:val="center"/>
          </w:tcPr>
          <w:p>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84.33</w:t>
            </w:r>
          </w:p>
        </w:tc>
      </w:tr>
      <w:tr>
        <w:tblPrEx>
          <w:tblCellMar>
            <w:top w:w="0" w:type="dxa"/>
            <w:left w:w="108" w:type="dxa"/>
            <w:bottom w:w="0" w:type="dxa"/>
            <w:right w:w="108" w:type="dxa"/>
          </w:tblCellMar>
        </w:tblPrEx>
        <w:trPr>
          <w:trHeight w:val="345"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2081005</w:t>
            </w:r>
          </w:p>
        </w:tc>
        <w:tc>
          <w:tcPr>
            <w:tcW w:w="3527"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 xml:space="preserve">  社会福利事业单位</w:t>
            </w:r>
          </w:p>
        </w:tc>
        <w:tc>
          <w:tcPr>
            <w:tcW w:w="3000" w:type="dxa"/>
            <w:tcBorders>
              <w:top w:val="nil"/>
              <w:left w:val="nil"/>
              <w:bottom w:val="single" w:color="auto" w:sz="4" w:space="0"/>
              <w:right w:val="single" w:color="auto" w:sz="4" w:space="0"/>
            </w:tcBorders>
            <w:shd w:val="clear" w:color="auto" w:fill="auto"/>
            <w:vAlign w:val="center"/>
          </w:tcPr>
          <w:p>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10.66</w:t>
            </w:r>
          </w:p>
        </w:tc>
        <w:tc>
          <w:tcPr>
            <w:tcW w:w="3492" w:type="dxa"/>
            <w:tcBorders>
              <w:top w:val="nil"/>
              <w:left w:val="nil"/>
              <w:bottom w:val="single" w:color="auto" w:sz="4" w:space="0"/>
              <w:right w:val="single" w:color="auto" w:sz="4" w:space="0"/>
            </w:tcBorders>
            <w:shd w:val="clear" w:color="auto" w:fill="auto"/>
            <w:vAlign w:val="center"/>
          </w:tcPr>
          <w:p>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10.66</w:t>
            </w:r>
          </w:p>
        </w:tc>
        <w:tc>
          <w:tcPr>
            <w:tcW w:w="3000" w:type="dxa"/>
            <w:tcBorders>
              <w:top w:val="nil"/>
              <w:left w:val="nil"/>
              <w:bottom w:val="single" w:color="auto" w:sz="4" w:space="0"/>
              <w:right w:val="single" w:color="auto" w:sz="8" w:space="0"/>
            </w:tcBorders>
            <w:shd w:val="clear" w:color="auto" w:fill="auto"/>
            <w:vAlign w:val="center"/>
          </w:tcPr>
          <w:p>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0.00</w:t>
            </w:r>
          </w:p>
        </w:tc>
      </w:tr>
      <w:tr>
        <w:tblPrEx>
          <w:tblCellMar>
            <w:top w:w="0" w:type="dxa"/>
            <w:left w:w="108" w:type="dxa"/>
            <w:bottom w:w="0" w:type="dxa"/>
            <w:right w:w="108" w:type="dxa"/>
          </w:tblCellMar>
        </w:tblPrEx>
        <w:trPr>
          <w:trHeight w:val="39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20899</w:t>
            </w:r>
          </w:p>
        </w:tc>
        <w:tc>
          <w:tcPr>
            <w:tcW w:w="3527"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其他社会保障和就业支出</w:t>
            </w:r>
          </w:p>
        </w:tc>
        <w:tc>
          <w:tcPr>
            <w:tcW w:w="3000" w:type="dxa"/>
            <w:tcBorders>
              <w:top w:val="nil"/>
              <w:left w:val="nil"/>
              <w:bottom w:val="single" w:color="auto" w:sz="4" w:space="0"/>
              <w:right w:val="single" w:color="auto" w:sz="4" w:space="0"/>
            </w:tcBorders>
            <w:shd w:val="clear" w:color="auto" w:fill="auto"/>
            <w:vAlign w:val="center"/>
          </w:tcPr>
          <w:p>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1,125.96</w:t>
            </w:r>
          </w:p>
        </w:tc>
        <w:tc>
          <w:tcPr>
            <w:tcW w:w="3492" w:type="dxa"/>
            <w:tcBorders>
              <w:top w:val="nil"/>
              <w:left w:val="nil"/>
              <w:bottom w:val="single" w:color="auto" w:sz="4" w:space="0"/>
              <w:right w:val="single" w:color="auto" w:sz="4" w:space="0"/>
            </w:tcBorders>
            <w:shd w:val="clear" w:color="auto" w:fill="auto"/>
            <w:vAlign w:val="center"/>
          </w:tcPr>
          <w:p>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0.00</w:t>
            </w:r>
          </w:p>
        </w:tc>
        <w:tc>
          <w:tcPr>
            <w:tcW w:w="3000" w:type="dxa"/>
            <w:tcBorders>
              <w:top w:val="nil"/>
              <w:left w:val="nil"/>
              <w:bottom w:val="single" w:color="auto" w:sz="4" w:space="0"/>
              <w:right w:val="single" w:color="auto" w:sz="8" w:space="0"/>
            </w:tcBorders>
            <w:shd w:val="clear" w:color="auto" w:fill="auto"/>
            <w:vAlign w:val="center"/>
          </w:tcPr>
          <w:p>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1,125.96</w:t>
            </w:r>
          </w:p>
        </w:tc>
      </w:tr>
      <w:tr>
        <w:tblPrEx>
          <w:tblCellMar>
            <w:top w:w="0" w:type="dxa"/>
            <w:left w:w="108" w:type="dxa"/>
            <w:bottom w:w="0" w:type="dxa"/>
            <w:right w:w="108" w:type="dxa"/>
          </w:tblCellMar>
        </w:tblPrEx>
        <w:trPr>
          <w:trHeight w:val="34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2089999</w:t>
            </w:r>
          </w:p>
        </w:tc>
        <w:tc>
          <w:tcPr>
            <w:tcW w:w="3527" w:type="dxa"/>
            <w:tcBorders>
              <w:top w:val="nil"/>
              <w:left w:val="nil"/>
              <w:bottom w:val="single" w:color="auto" w:sz="8" w:space="0"/>
              <w:right w:val="single" w:color="auto" w:sz="4" w:space="0"/>
            </w:tcBorders>
            <w:shd w:val="clear" w:color="auto" w:fill="auto"/>
            <w:vAlign w:val="center"/>
          </w:tcPr>
          <w:p>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 xml:space="preserve">  其他社会保障和就业支出</w:t>
            </w:r>
          </w:p>
        </w:tc>
        <w:tc>
          <w:tcPr>
            <w:tcW w:w="3000" w:type="dxa"/>
            <w:tcBorders>
              <w:top w:val="nil"/>
              <w:left w:val="nil"/>
              <w:bottom w:val="single" w:color="auto" w:sz="8" w:space="0"/>
              <w:right w:val="single" w:color="auto" w:sz="4" w:space="0"/>
            </w:tcBorders>
            <w:shd w:val="clear" w:color="auto" w:fill="auto"/>
            <w:vAlign w:val="center"/>
          </w:tcPr>
          <w:p>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1,125.96</w:t>
            </w:r>
          </w:p>
        </w:tc>
        <w:tc>
          <w:tcPr>
            <w:tcW w:w="3492" w:type="dxa"/>
            <w:tcBorders>
              <w:top w:val="nil"/>
              <w:left w:val="nil"/>
              <w:bottom w:val="single" w:color="auto" w:sz="8" w:space="0"/>
              <w:right w:val="single" w:color="auto" w:sz="4" w:space="0"/>
            </w:tcBorders>
            <w:shd w:val="clear" w:color="auto" w:fill="auto"/>
            <w:vAlign w:val="center"/>
          </w:tcPr>
          <w:p>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0.00</w:t>
            </w:r>
          </w:p>
        </w:tc>
        <w:tc>
          <w:tcPr>
            <w:tcW w:w="3000" w:type="dxa"/>
            <w:tcBorders>
              <w:top w:val="nil"/>
              <w:left w:val="nil"/>
              <w:bottom w:val="single" w:color="auto" w:sz="8" w:space="0"/>
              <w:right w:val="single" w:color="auto" w:sz="8" w:space="0"/>
            </w:tcBorders>
            <w:shd w:val="clear" w:color="auto" w:fill="auto"/>
            <w:vAlign w:val="center"/>
          </w:tcPr>
          <w:p>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1,125.96</w:t>
            </w:r>
          </w:p>
        </w:tc>
      </w:tr>
    </w:tbl>
    <w:p>
      <w:pPr>
        <w:widowControl/>
        <w:spacing w:before="120"/>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注：本表反映部门本年度一般公共预算财政拨款支出情况。</w:t>
      </w:r>
    </w:p>
    <w:p>
      <w:pPr>
        <w:widowControl/>
        <w:jc w:val="left"/>
        <w:rPr>
          <w:rFonts w:ascii="Times New Roman" w:hAnsi="Times New Roman" w:eastAsia="仿宋_GB2312" w:cs="Times New Roman"/>
          <w:bCs/>
          <w:kern w:val="0"/>
          <w:szCs w:val="21"/>
        </w:rPr>
      </w:pPr>
    </w:p>
    <w:p>
      <w:pPr>
        <w:widowControl/>
        <w:jc w:val="left"/>
        <w:rPr>
          <w:rFonts w:ascii="Times New Roman" w:hAnsi="Times New Roman" w:eastAsia="仿宋_GB2312" w:cs="Times New Roman"/>
          <w:bCs/>
          <w:kern w:val="0"/>
          <w:szCs w:val="21"/>
        </w:rPr>
      </w:pPr>
      <w:r>
        <w:br w:type="page"/>
      </w:r>
    </w:p>
    <w:p>
      <w:pPr>
        <w:widowControl/>
        <w:spacing w:after="120"/>
        <w:jc w:val="center"/>
        <w:textAlignment w:val="center"/>
        <w:rPr>
          <w:rFonts w:ascii="Times New Roman" w:hAnsi="Times New Roman" w:eastAsia="黑体" w:cs="Times New Roman"/>
          <w:color w:val="000000"/>
          <w:kern w:val="0"/>
          <w:sz w:val="36"/>
          <w:szCs w:val="36"/>
        </w:rPr>
      </w:pPr>
      <w:bookmarkStart w:id="2" w:name="RANGE!A1:I34"/>
      <w:r>
        <w:rPr>
          <w:rFonts w:ascii="Times New Roman" w:hAnsi="Times New Roman" w:eastAsia="黑体" w:cs="Times New Roman"/>
          <w:color w:val="000000"/>
          <w:kern w:val="0"/>
          <w:sz w:val="36"/>
          <w:szCs w:val="36"/>
        </w:rPr>
        <w:t>一般公共预算财政拨款基本支出决算明细表</w:t>
      </w:r>
      <w:bookmarkEnd w:id="2"/>
    </w:p>
    <w:p>
      <w:pPr>
        <w:widowControl/>
        <w:wordWrap w:val="0"/>
        <w:spacing w:line="240" w:lineRule="exac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部门：</w:t>
      </w:r>
      <w:r>
        <w:rPr>
          <w:rFonts w:hint="eastAsia" w:ascii="Times New Roman" w:hAnsi="Times New Roman" w:eastAsia="仿宋_GB2312" w:cs="Times New Roman"/>
          <w:color w:val="000000"/>
          <w:kern w:val="0"/>
          <w:szCs w:val="21"/>
        </w:rPr>
        <w:t>怀化市殡葬事务中心</w:t>
      </w:r>
      <w:r>
        <w:rPr>
          <w:rFonts w:ascii="Times New Roman" w:hAnsi="Times New Roman" w:eastAsia="仿宋_GB2312" w:cs="Times New Roman"/>
          <w:color w:val="000000"/>
          <w:kern w:val="0"/>
          <w:szCs w:val="21"/>
        </w:rPr>
        <w:t xml:space="preserve">                                                                                                     公开06表</w:t>
      </w:r>
    </w:p>
    <w:p>
      <w:pPr>
        <w:widowControl/>
        <w:spacing w:line="240" w:lineRule="exact"/>
        <w:jc w:val="right"/>
        <w:rPr>
          <w:rFonts w:ascii="Times New Roman" w:hAnsi="Times New Roman" w:eastAsia="华文中宋" w:cs="Times New Roman"/>
          <w:color w:val="000000"/>
          <w:kern w:val="0"/>
          <w:szCs w:val="32"/>
        </w:rPr>
      </w:pPr>
      <w:r>
        <w:rPr>
          <w:rFonts w:ascii="Times New Roman" w:hAnsi="Times New Roman" w:eastAsia="仿宋_GB2312" w:cs="Times New Roman"/>
          <w:color w:val="000000"/>
          <w:kern w:val="0"/>
          <w:szCs w:val="21"/>
        </w:rPr>
        <w:t>单位：万元</w:t>
      </w:r>
    </w:p>
    <w:tbl>
      <w:tblPr>
        <w:tblStyle w:val="9"/>
        <w:tblW w:w="14627" w:type="dxa"/>
        <w:jc w:val="center"/>
        <w:tblLayout w:type="fixed"/>
        <w:tblCellMar>
          <w:top w:w="0" w:type="dxa"/>
          <w:left w:w="108" w:type="dxa"/>
          <w:bottom w:w="0" w:type="dxa"/>
          <w:right w:w="108" w:type="dxa"/>
        </w:tblCellMar>
      </w:tblPr>
      <w:tblGrid>
        <w:gridCol w:w="1081"/>
        <w:gridCol w:w="2850"/>
        <w:gridCol w:w="966"/>
        <w:gridCol w:w="1116"/>
        <w:gridCol w:w="2018"/>
        <w:gridCol w:w="933"/>
        <w:gridCol w:w="1217"/>
        <w:gridCol w:w="3517"/>
        <w:gridCol w:w="929"/>
      </w:tblGrid>
      <w:tr>
        <w:tblPrEx>
          <w:tblCellMar>
            <w:top w:w="0" w:type="dxa"/>
            <w:left w:w="108" w:type="dxa"/>
            <w:bottom w:w="0" w:type="dxa"/>
            <w:right w:w="108" w:type="dxa"/>
          </w:tblCellMar>
        </w:tblPrEx>
        <w:trPr>
          <w:trHeight w:val="530" w:hRule="atLeast"/>
          <w:jc w:val="center"/>
        </w:trPr>
        <w:tc>
          <w:tcPr>
            <w:tcW w:w="108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 w:val="20"/>
                <w:szCs w:val="20"/>
              </w:rPr>
              <w:t>经济分类科目编码</w:t>
            </w:r>
          </w:p>
        </w:tc>
        <w:tc>
          <w:tcPr>
            <w:tcW w:w="2850" w:type="dxa"/>
            <w:tcBorders>
              <w:top w:val="single" w:color="auto" w:sz="4" w:space="0"/>
              <w:left w:val="nil"/>
              <w:bottom w:val="single" w:color="auto" w:sz="4" w:space="0"/>
              <w:right w:val="single" w:color="auto" w:sz="4" w:space="0"/>
            </w:tcBorders>
            <w:shd w:val="clear" w:color="auto" w:fill="auto"/>
            <w:vAlign w:val="center"/>
          </w:tcPr>
          <w:p>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科目名称</w:t>
            </w:r>
          </w:p>
        </w:tc>
        <w:tc>
          <w:tcPr>
            <w:tcW w:w="966" w:type="dxa"/>
            <w:tcBorders>
              <w:top w:val="single" w:color="auto" w:sz="4" w:space="0"/>
              <w:left w:val="nil"/>
              <w:bottom w:val="single" w:color="auto" w:sz="4" w:space="0"/>
              <w:right w:val="single" w:color="auto" w:sz="4" w:space="0"/>
            </w:tcBorders>
            <w:shd w:val="clear" w:color="auto" w:fill="auto"/>
            <w:vAlign w:val="center"/>
          </w:tcPr>
          <w:p>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决算数</w:t>
            </w:r>
          </w:p>
        </w:tc>
        <w:tc>
          <w:tcPr>
            <w:tcW w:w="1116" w:type="dxa"/>
            <w:tcBorders>
              <w:top w:val="single" w:color="auto" w:sz="4" w:space="0"/>
              <w:left w:val="nil"/>
              <w:bottom w:val="single" w:color="auto" w:sz="4" w:space="0"/>
              <w:right w:val="single" w:color="auto" w:sz="4" w:space="0"/>
            </w:tcBorders>
            <w:shd w:val="clear" w:color="auto" w:fill="auto"/>
            <w:vAlign w:val="center"/>
          </w:tcPr>
          <w:p>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经济分类科目编码</w:t>
            </w:r>
          </w:p>
        </w:tc>
        <w:tc>
          <w:tcPr>
            <w:tcW w:w="2018" w:type="dxa"/>
            <w:tcBorders>
              <w:top w:val="single" w:color="auto" w:sz="4" w:space="0"/>
              <w:left w:val="nil"/>
              <w:bottom w:val="single" w:color="auto" w:sz="4" w:space="0"/>
              <w:right w:val="single" w:color="auto" w:sz="4" w:space="0"/>
            </w:tcBorders>
            <w:shd w:val="clear" w:color="auto" w:fill="auto"/>
            <w:vAlign w:val="center"/>
          </w:tcPr>
          <w:p>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科目名称</w:t>
            </w:r>
          </w:p>
        </w:tc>
        <w:tc>
          <w:tcPr>
            <w:tcW w:w="933" w:type="dxa"/>
            <w:tcBorders>
              <w:top w:val="single" w:color="auto" w:sz="4" w:space="0"/>
              <w:left w:val="nil"/>
              <w:bottom w:val="single" w:color="auto" w:sz="4" w:space="0"/>
              <w:right w:val="single" w:color="auto" w:sz="4" w:space="0"/>
            </w:tcBorders>
            <w:shd w:val="clear" w:color="auto" w:fill="auto"/>
            <w:vAlign w:val="center"/>
          </w:tcPr>
          <w:p>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决算数</w:t>
            </w:r>
          </w:p>
        </w:tc>
        <w:tc>
          <w:tcPr>
            <w:tcW w:w="1217" w:type="dxa"/>
            <w:tcBorders>
              <w:top w:val="single" w:color="auto" w:sz="4" w:space="0"/>
              <w:left w:val="nil"/>
              <w:bottom w:val="single" w:color="auto" w:sz="4" w:space="0"/>
              <w:right w:val="single" w:color="auto" w:sz="4" w:space="0"/>
            </w:tcBorders>
            <w:shd w:val="clear" w:color="auto" w:fill="auto"/>
            <w:vAlign w:val="center"/>
          </w:tcPr>
          <w:p>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经济分类科目编码</w:t>
            </w:r>
          </w:p>
        </w:tc>
        <w:tc>
          <w:tcPr>
            <w:tcW w:w="3517" w:type="dxa"/>
            <w:tcBorders>
              <w:top w:val="single" w:color="auto" w:sz="4" w:space="0"/>
              <w:left w:val="nil"/>
              <w:bottom w:val="single" w:color="auto" w:sz="4" w:space="0"/>
              <w:right w:val="single" w:color="auto" w:sz="4" w:space="0"/>
            </w:tcBorders>
            <w:shd w:val="clear" w:color="auto" w:fill="auto"/>
            <w:vAlign w:val="center"/>
          </w:tcPr>
          <w:p>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科目名称</w:t>
            </w:r>
          </w:p>
        </w:tc>
        <w:tc>
          <w:tcPr>
            <w:tcW w:w="929" w:type="dxa"/>
            <w:tcBorders>
              <w:top w:val="single" w:color="auto" w:sz="4" w:space="0"/>
              <w:left w:val="nil"/>
              <w:bottom w:val="single" w:color="auto" w:sz="4" w:space="0"/>
              <w:right w:val="single" w:color="auto" w:sz="4" w:space="0"/>
            </w:tcBorders>
            <w:shd w:val="clear" w:color="auto" w:fill="auto"/>
            <w:vAlign w:val="center"/>
          </w:tcPr>
          <w:p>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决算数</w:t>
            </w: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工资福利支出</w:t>
            </w:r>
          </w:p>
        </w:tc>
        <w:tc>
          <w:tcPr>
            <w:tcW w:w="966" w:type="dxa"/>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Times New Roman" w:hAnsi="Times New Roman" w:eastAsia="仿宋_GB2312" w:cs="Times New Roman"/>
                <w:color w:val="000000"/>
                <w:kern w:val="0"/>
                <w:szCs w:val="20"/>
              </w:rPr>
            </w:pPr>
            <w:r>
              <w:rPr>
                <w:rFonts w:hint="eastAsia" w:ascii="宋体" w:hAnsi="宋体" w:eastAsia="宋体" w:cs="宋体"/>
                <w:color w:val="000000"/>
                <w:kern w:val="0"/>
                <w:sz w:val="22"/>
              </w:rPr>
              <w:t>346.31</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商品和服务支出</w:t>
            </w:r>
          </w:p>
        </w:tc>
        <w:tc>
          <w:tcPr>
            <w:tcW w:w="933" w:type="dxa"/>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Times New Roman" w:hAnsi="Times New Roman" w:eastAsia="仿宋_GB2312" w:cs="Times New Roman"/>
                <w:color w:val="000000"/>
                <w:kern w:val="0"/>
                <w:szCs w:val="20"/>
              </w:rPr>
            </w:pPr>
            <w:r>
              <w:rPr>
                <w:rFonts w:hint="eastAsia" w:ascii="宋体" w:hAnsi="宋体" w:eastAsia="宋体" w:cs="宋体"/>
                <w:color w:val="000000"/>
                <w:kern w:val="0"/>
                <w:sz w:val="22"/>
              </w:rPr>
              <w:t>3.77</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307</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债务利息及费用支出</w:t>
            </w:r>
          </w:p>
        </w:tc>
        <w:tc>
          <w:tcPr>
            <w:tcW w:w="929" w:type="dxa"/>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Times New Roman" w:hAnsi="Times New Roman" w:eastAsia="仿宋_GB2312" w:cs="Times New Roman"/>
                <w:color w:val="000000"/>
                <w:kern w:val="0"/>
                <w:szCs w:val="20"/>
              </w:rPr>
            </w:pPr>
            <w:r>
              <w:rPr>
                <w:rFonts w:hint="eastAsia" w:ascii="宋体" w:hAnsi="宋体" w:eastAsia="宋体" w:cs="宋体"/>
                <w:color w:val="000000"/>
                <w:kern w:val="0"/>
                <w:sz w:val="22"/>
              </w:rPr>
              <w:t>0.00</w:t>
            </w: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30101</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基本工资</w:t>
            </w:r>
          </w:p>
        </w:tc>
        <w:tc>
          <w:tcPr>
            <w:tcW w:w="966" w:type="dxa"/>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Times New Roman" w:hAnsi="Times New Roman" w:eastAsia="仿宋_GB2312" w:cs="Times New Roman"/>
                <w:color w:val="000000"/>
                <w:kern w:val="0"/>
                <w:szCs w:val="20"/>
              </w:rPr>
            </w:pPr>
            <w:r>
              <w:rPr>
                <w:rFonts w:hint="eastAsia" w:ascii="宋体" w:hAnsi="宋体" w:eastAsia="宋体" w:cs="宋体"/>
                <w:color w:val="000000"/>
                <w:kern w:val="0"/>
                <w:sz w:val="22"/>
              </w:rPr>
              <w:t>60.43</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30201</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办公费</w:t>
            </w:r>
          </w:p>
        </w:tc>
        <w:tc>
          <w:tcPr>
            <w:tcW w:w="933" w:type="dxa"/>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Times New Roman" w:hAnsi="Times New Roman" w:eastAsia="仿宋_GB2312" w:cs="Times New Roman"/>
                <w:color w:val="000000"/>
                <w:kern w:val="0"/>
                <w:szCs w:val="20"/>
              </w:rPr>
            </w:pPr>
            <w:r>
              <w:rPr>
                <w:rFonts w:hint="eastAsia" w:ascii="宋体" w:hAnsi="宋体" w:eastAsia="宋体" w:cs="宋体"/>
                <w:color w:val="000000"/>
                <w:kern w:val="0"/>
                <w:sz w:val="22"/>
              </w:rPr>
              <w:t>0.00</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30701</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国内债务付息</w:t>
            </w:r>
          </w:p>
        </w:tc>
        <w:tc>
          <w:tcPr>
            <w:tcW w:w="929" w:type="dxa"/>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Times New Roman" w:hAnsi="Times New Roman" w:eastAsia="仿宋_GB2312" w:cs="Times New Roman"/>
                <w:color w:val="000000"/>
                <w:kern w:val="0"/>
                <w:szCs w:val="20"/>
              </w:rPr>
            </w:pPr>
            <w:r>
              <w:rPr>
                <w:rFonts w:hint="eastAsia" w:ascii="宋体" w:hAnsi="宋体" w:eastAsia="宋体" w:cs="宋体"/>
                <w:color w:val="000000"/>
                <w:kern w:val="0"/>
                <w:sz w:val="22"/>
              </w:rPr>
              <w:t>0.00</w:t>
            </w: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30102</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津贴补贴</w:t>
            </w:r>
          </w:p>
        </w:tc>
        <w:tc>
          <w:tcPr>
            <w:tcW w:w="966" w:type="dxa"/>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Times New Roman" w:hAnsi="Times New Roman" w:eastAsia="仿宋_GB2312" w:cs="Times New Roman"/>
                <w:color w:val="000000"/>
                <w:kern w:val="0"/>
                <w:szCs w:val="20"/>
              </w:rPr>
            </w:pPr>
            <w:r>
              <w:rPr>
                <w:rFonts w:hint="eastAsia" w:ascii="宋体" w:hAnsi="宋体" w:eastAsia="宋体" w:cs="宋体"/>
                <w:color w:val="000000"/>
                <w:kern w:val="0"/>
                <w:sz w:val="22"/>
              </w:rPr>
              <w:t>46.00</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30202</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印刷费</w:t>
            </w:r>
          </w:p>
        </w:tc>
        <w:tc>
          <w:tcPr>
            <w:tcW w:w="933" w:type="dxa"/>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Times New Roman" w:hAnsi="Times New Roman" w:eastAsia="仿宋_GB2312" w:cs="Times New Roman"/>
                <w:color w:val="000000"/>
                <w:kern w:val="0"/>
                <w:szCs w:val="20"/>
              </w:rPr>
            </w:pPr>
            <w:r>
              <w:rPr>
                <w:rFonts w:hint="eastAsia" w:ascii="宋体" w:hAnsi="宋体" w:eastAsia="宋体" w:cs="宋体"/>
                <w:color w:val="000000"/>
                <w:kern w:val="0"/>
                <w:sz w:val="22"/>
              </w:rPr>
              <w:t>0.00</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30702</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国外债务付息</w:t>
            </w:r>
          </w:p>
        </w:tc>
        <w:tc>
          <w:tcPr>
            <w:tcW w:w="929" w:type="dxa"/>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Times New Roman" w:hAnsi="Times New Roman" w:eastAsia="仿宋_GB2312" w:cs="Times New Roman"/>
                <w:color w:val="000000"/>
                <w:kern w:val="0"/>
                <w:szCs w:val="20"/>
              </w:rPr>
            </w:pPr>
            <w:r>
              <w:rPr>
                <w:rFonts w:hint="eastAsia" w:ascii="宋体" w:hAnsi="宋体" w:eastAsia="宋体" w:cs="宋体"/>
                <w:color w:val="000000"/>
                <w:kern w:val="0"/>
                <w:sz w:val="22"/>
              </w:rPr>
              <w:t>0.00</w:t>
            </w: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30103</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奖金</w:t>
            </w:r>
          </w:p>
        </w:tc>
        <w:tc>
          <w:tcPr>
            <w:tcW w:w="966" w:type="dxa"/>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Times New Roman" w:hAnsi="Times New Roman" w:eastAsia="仿宋_GB2312" w:cs="Times New Roman"/>
                <w:color w:val="000000"/>
                <w:kern w:val="0"/>
                <w:szCs w:val="20"/>
              </w:rPr>
            </w:pPr>
            <w:r>
              <w:rPr>
                <w:rFonts w:hint="eastAsia" w:ascii="宋体" w:hAnsi="宋体" w:eastAsia="宋体" w:cs="宋体"/>
                <w:color w:val="000000"/>
                <w:kern w:val="0"/>
                <w:sz w:val="22"/>
              </w:rPr>
              <w:t>37.73</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30203</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咨询费</w:t>
            </w:r>
          </w:p>
        </w:tc>
        <w:tc>
          <w:tcPr>
            <w:tcW w:w="933" w:type="dxa"/>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Times New Roman" w:hAnsi="Times New Roman" w:eastAsia="仿宋_GB2312" w:cs="Times New Roman"/>
                <w:color w:val="000000"/>
                <w:kern w:val="0"/>
                <w:szCs w:val="20"/>
              </w:rPr>
            </w:pPr>
            <w:r>
              <w:rPr>
                <w:rFonts w:hint="eastAsia" w:ascii="宋体" w:hAnsi="宋体" w:eastAsia="宋体" w:cs="宋体"/>
                <w:color w:val="000000"/>
                <w:kern w:val="0"/>
                <w:sz w:val="22"/>
              </w:rPr>
              <w:t>0.00</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资本性支出</w:t>
            </w:r>
          </w:p>
        </w:tc>
        <w:tc>
          <w:tcPr>
            <w:tcW w:w="929" w:type="dxa"/>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Times New Roman" w:hAnsi="Times New Roman" w:eastAsia="仿宋_GB2312" w:cs="Times New Roman"/>
                <w:color w:val="000000"/>
                <w:kern w:val="0"/>
                <w:szCs w:val="20"/>
              </w:rPr>
            </w:pPr>
            <w:r>
              <w:rPr>
                <w:rFonts w:hint="eastAsia" w:ascii="宋体" w:hAnsi="宋体" w:eastAsia="宋体" w:cs="宋体"/>
                <w:color w:val="000000"/>
                <w:kern w:val="0"/>
                <w:sz w:val="22"/>
              </w:rPr>
              <w:t>0.00</w:t>
            </w: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30106</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伙食补助费</w:t>
            </w:r>
          </w:p>
        </w:tc>
        <w:tc>
          <w:tcPr>
            <w:tcW w:w="966" w:type="dxa"/>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Times New Roman" w:hAnsi="Times New Roman" w:eastAsia="仿宋_GB2312" w:cs="Times New Roman"/>
                <w:color w:val="000000"/>
                <w:kern w:val="0"/>
                <w:szCs w:val="20"/>
              </w:rPr>
            </w:pPr>
            <w:r>
              <w:rPr>
                <w:rFonts w:hint="eastAsia" w:ascii="宋体" w:hAnsi="宋体" w:eastAsia="宋体" w:cs="宋体"/>
                <w:color w:val="000000"/>
                <w:kern w:val="0"/>
                <w:sz w:val="22"/>
              </w:rPr>
              <w:t>0.00</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30204</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手续费</w:t>
            </w:r>
          </w:p>
        </w:tc>
        <w:tc>
          <w:tcPr>
            <w:tcW w:w="933" w:type="dxa"/>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Times New Roman" w:hAnsi="Times New Roman" w:eastAsia="仿宋_GB2312" w:cs="Times New Roman"/>
                <w:color w:val="000000"/>
                <w:kern w:val="0"/>
                <w:szCs w:val="20"/>
              </w:rPr>
            </w:pPr>
            <w:r>
              <w:rPr>
                <w:rFonts w:hint="eastAsia" w:ascii="宋体" w:hAnsi="宋体" w:eastAsia="宋体" w:cs="宋体"/>
                <w:color w:val="000000"/>
                <w:kern w:val="0"/>
                <w:sz w:val="22"/>
              </w:rPr>
              <w:t>0.00</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31001</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房屋建筑物购建</w:t>
            </w:r>
          </w:p>
        </w:tc>
        <w:tc>
          <w:tcPr>
            <w:tcW w:w="929" w:type="dxa"/>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Times New Roman" w:hAnsi="Times New Roman" w:eastAsia="仿宋_GB2312" w:cs="Times New Roman"/>
                <w:color w:val="000000"/>
                <w:kern w:val="0"/>
                <w:szCs w:val="20"/>
              </w:rPr>
            </w:pPr>
            <w:r>
              <w:rPr>
                <w:rFonts w:hint="eastAsia" w:ascii="宋体" w:hAnsi="宋体" w:eastAsia="宋体" w:cs="宋体"/>
                <w:color w:val="000000"/>
                <w:kern w:val="0"/>
                <w:sz w:val="22"/>
              </w:rPr>
              <w:t>0.00</w:t>
            </w: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30107</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绩效工资</w:t>
            </w:r>
          </w:p>
        </w:tc>
        <w:tc>
          <w:tcPr>
            <w:tcW w:w="966" w:type="dxa"/>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Times New Roman" w:hAnsi="Times New Roman" w:eastAsia="仿宋_GB2312" w:cs="Times New Roman"/>
                <w:color w:val="000000"/>
                <w:kern w:val="0"/>
                <w:szCs w:val="20"/>
              </w:rPr>
            </w:pPr>
            <w:r>
              <w:rPr>
                <w:rFonts w:hint="eastAsia" w:ascii="宋体" w:hAnsi="宋体" w:eastAsia="宋体" w:cs="宋体"/>
                <w:color w:val="000000"/>
                <w:kern w:val="0"/>
                <w:sz w:val="22"/>
              </w:rPr>
              <w:t>5.15</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30205</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水费</w:t>
            </w:r>
          </w:p>
        </w:tc>
        <w:tc>
          <w:tcPr>
            <w:tcW w:w="933" w:type="dxa"/>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Times New Roman" w:hAnsi="Times New Roman" w:eastAsia="仿宋_GB2312" w:cs="Times New Roman"/>
                <w:color w:val="000000"/>
                <w:kern w:val="0"/>
                <w:szCs w:val="20"/>
              </w:rPr>
            </w:pPr>
            <w:r>
              <w:rPr>
                <w:rFonts w:hint="eastAsia" w:ascii="宋体" w:hAnsi="宋体" w:eastAsia="宋体" w:cs="宋体"/>
                <w:color w:val="000000"/>
                <w:kern w:val="0"/>
                <w:sz w:val="22"/>
              </w:rPr>
              <w:t>0.00</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31002</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办公设备购置</w:t>
            </w:r>
          </w:p>
        </w:tc>
        <w:tc>
          <w:tcPr>
            <w:tcW w:w="929" w:type="dxa"/>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Times New Roman" w:hAnsi="Times New Roman" w:eastAsia="仿宋_GB2312" w:cs="Times New Roman"/>
                <w:color w:val="000000"/>
                <w:kern w:val="0"/>
                <w:szCs w:val="20"/>
              </w:rPr>
            </w:pPr>
            <w:r>
              <w:rPr>
                <w:rFonts w:hint="eastAsia" w:ascii="宋体" w:hAnsi="宋体" w:eastAsia="宋体" w:cs="宋体"/>
                <w:color w:val="000000"/>
                <w:kern w:val="0"/>
                <w:sz w:val="22"/>
              </w:rPr>
              <w:t>0.00</w:t>
            </w: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30108</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机关事业单位基本养老保险缴费</w:t>
            </w:r>
          </w:p>
        </w:tc>
        <w:tc>
          <w:tcPr>
            <w:tcW w:w="966" w:type="dxa"/>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Times New Roman" w:hAnsi="Times New Roman" w:eastAsia="仿宋_GB2312" w:cs="Times New Roman"/>
                <w:color w:val="000000"/>
                <w:kern w:val="0"/>
                <w:szCs w:val="20"/>
              </w:rPr>
            </w:pPr>
            <w:r>
              <w:rPr>
                <w:rFonts w:hint="eastAsia" w:ascii="宋体" w:hAnsi="宋体" w:eastAsia="宋体" w:cs="宋体"/>
                <w:color w:val="000000"/>
                <w:kern w:val="0"/>
                <w:sz w:val="22"/>
              </w:rPr>
              <w:t>33.31</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30206</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电费</w:t>
            </w:r>
          </w:p>
        </w:tc>
        <w:tc>
          <w:tcPr>
            <w:tcW w:w="933" w:type="dxa"/>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Times New Roman" w:hAnsi="Times New Roman" w:eastAsia="仿宋_GB2312" w:cs="Times New Roman"/>
                <w:color w:val="000000"/>
                <w:kern w:val="0"/>
                <w:szCs w:val="20"/>
              </w:rPr>
            </w:pPr>
            <w:r>
              <w:rPr>
                <w:rFonts w:hint="eastAsia" w:ascii="宋体" w:hAnsi="宋体" w:eastAsia="宋体" w:cs="宋体"/>
                <w:color w:val="000000"/>
                <w:kern w:val="0"/>
                <w:sz w:val="22"/>
              </w:rPr>
              <w:t>0.00</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31003</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专用设备购置</w:t>
            </w:r>
          </w:p>
        </w:tc>
        <w:tc>
          <w:tcPr>
            <w:tcW w:w="929" w:type="dxa"/>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Times New Roman" w:hAnsi="Times New Roman" w:eastAsia="仿宋_GB2312" w:cs="Times New Roman"/>
                <w:color w:val="000000"/>
                <w:kern w:val="0"/>
                <w:szCs w:val="20"/>
              </w:rPr>
            </w:pPr>
            <w:r>
              <w:rPr>
                <w:rFonts w:hint="eastAsia" w:ascii="宋体" w:hAnsi="宋体" w:eastAsia="宋体" w:cs="宋体"/>
                <w:color w:val="000000"/>
                <w:kern w:val="0"/>
                <w:sz w:val="22"/>
              </w:rPr>
              <w:t>0.00</w:t>
            </w: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30109</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职业年金缴费</w:t>
            </w:r>
          </w:p>
        </w:tc>
        <w:tc>
          <w:tcPr>
            <w:tcW w:w="966" w:type="dxa"/>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Times New Roman" w:hAnsi="Times New Roman" w:eastAsia="仿宋_GB2312" w:cs="Times New Roman"/>
                <w:color w:val="000000"/>
                <w:kern w:val="0"/>
                <w:szCs w:val="20"/>
              </w:rPr>
            </w:pPr>
            <w:r>
              <w:rPr>
                <w:rFonts w:hint="eastAsia" w:ascii="宋体" w:hAnsi="宋体" w:eastAsia="宋体" w:cs="宋体"/>
                <w:color w:val="000000"/>
                <w:kern w:val="0"/>
                <w:sz w:val="22"/>
              </w:rPr>
              <w:t>15.84</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30207</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邮电费</w:t>
            </w:r>
          </w:p>
        </w:tc>
        <w:tc>
          <w:tcPr>
            <w:tcW w:w="933" w:type="dxa"/>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Times New Roman" w:hAnsi="Times New Roman" w:eastAsia="仿宋_GB2312" w:cs="Times New Roman"/>
                <w:color w:val="000000"/>
                <w:kern w:val="0"/>
                <w:szCs w:val="20"/>
              </w:rPr>
            </w:pPr>
            <w:r>
              <w:rPr>
                <w:rFonts w:hint="eastAsia" w:ascii="宋体" w:hAnsi="宋体" w:eastAsia="宋体" w:cs="宋体"/>
                <w:color w:val="000000"/>
                <w:kern w:val="0"/>
                <w:sz w:val="22"/>
              </w:rPr>
              <w:t>0.00</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31005</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基础设施建设</w:t>
            </w:r>
          </w:p>
        </w:tc>
        <w:tc>
          <w:tcPr>
            <w:tcW w:w="929" w:type="dxa"/>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Times New Roman" w:hAnsi="Times New Roman" w:eastAsia="仿宋_GB2312" w:cs="Times New Roman"/>
                <w:color w:val="000000"/>
                <w:kern w:val="0"/>
                <w:szCs w:val="20"/>
              </w:rPr>
            </w:pPr>
            <w:r>
              <w:rPr>
                <w:rFonts w:hint="eastAsia" w:ascii="宋体" w:hAnsi="宋体" w:eastAsia="宋体" w:cs="宋体"/>
                <w:color w:val="000000"/>
                <w:kern w:val="0"/>
                <w:sz w:val="22"/>
              </w:rPr>
              <w:t>0.00</w:t>
            </w: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30110</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职工基本医疗保险缴费</w:t>
            </w:r>
          </w:p>
        </w:tc>
        <w:tc>
          <w:tcPr>
            <w:tcW w:w="966" w:type="dxa"/>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Times New Roman" w:hAnsi="Times New Roman" w:eastAsia="仿宋_GB2312" w:cs="Times New Roman"/>
                <w:color w:val="000000"/>
                <w:kern w:val="0"/>
                <w:szCs w:val="20"/>
              </w:rPr>
            </w:pPr>
            <w:r>
              <w:rPr>
                <w:rFonts w:hint="eastAsia" w:ascii="宋体" w:hAnsi="宋体" w:eastAsia="宋体" w:cs="宋体"/>
                <w:color w:val="000000"/>
                <w:kern w:val="0"/>
                <w:sz w:val="22"/>
              </w:rPr>
              <w:t>11.61</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30208</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取暖费</w:t>
            </w:r>
          </w:p>
        </w:tc>
        <w:tc>
          <w:tcPr>
            <w:tcW w:w="933" w:type="dxa"/>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Times New Roman" w:hAnsi="Times New Roman" w:eastAsia="仿宋_GB2312" w:cs="Times New Roman"/>
                <w:color w:val="000000"/>
                <w:kern w:val="0"/>
                <w:szCs w:val="20"/>
              </w:rPr>
            </w:pPr>
            <w:r>
              <w:rPr>
                <w:rFonts w:hint="eastAsia" w:ascii="宋体" w:hAnsi="宋体" w:eastAsia="宋体" w:cs="宋体"/>
                <w:color w:val="000000"/>
                <w:kern w:val="0"/>
                <w:sz w:val="22"/>
              </w:rPr>
              <w:t>0.00</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31006</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大型修缮</w:t>
            </w:r>
          </w:p>
        </w:tc>
        <w:tc>
          <w:tcPr>
            <w:tcW w:w="929" w:type="dxa"/>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Times New Roman" w:hAnsi="Times New Roman" w:eastAsia="仿宋_GB2312" w:cs="Times New Roman"/>
                <w:color w:val="000000"/>
                <w:kern w:val="0"/>
                <w:szCs w:val="20"/>
              </w:rPr>
            </w:pPr>
            <w:r>
              <w:rPr>
                <w:rFonts w:hint="eastAsia" w:ascii="宋体" w:hAnsi="宋体" w:eastAsia="宋体" w:cs="宋体"/>
                <w:color w:val="000000"/>
                <w:kern w:val="0"/>
                <w:sz w:val="22"/>
              </w:rPr>
              <w:t>0.00</w:t>
            </w: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30111</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公务员医疗补助缴费</w:t>
            </w:r>
          </w:p>
        </w:tc>
        <w:tc>
          <w:tcPr>
            <w:tcW w:w="966" w:type="dxa"/>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Times New Roman" w:hAnsi="Times New Roman" w:eastAsia="仿宋_GB2312" w:cs="Times New Roman"/>
                <w:color w:val="000000"/>
                <w:kern w:val="0"/>
                <w:szCs w:val="20"/>
              </w:rPr>
            </w:pPr>
            <w:r>
              <w:rPr>
                <w:rFonts w:hint="eastAsia" w:ascii="宋体" w:hAnsi="宋体" w:eastAsia="宋体" w:cs="宋体"/>
                <w:color w:val="000000"/>
                <w:kern w:val="0"/>
                <w:sz w:val="22"/>
              </w:rPr>
              <w:t>0.00</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30209</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物业管理费</w:t>
            </w:r>
          </w:p>
        </w:tc>
        <w:tc>
          <w:tcPr>
            <w:tcW w:w="933" w:type="dxa"/>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Times New Roman" w:hAnsi="Times New Roman" w:eastAsia="仿宋_GB2312" w:cs="Times New Roman"/>
                <w:color w:val="000000"/>
                <w:kern w:val="0"/>
                <w:szCs w:val="20"/>
              </w:rPr>
            </w:pPr>
            <w:r>
              <w:rPr>
                <w:rFonts w:hint="eastAsia" w:ascii="宋体" w:hAnsi="宋体" w:eastAsia="宋体" w:cs="宋体"/>
                <w:color w:val="000000"/>
                <w:kern w:val="0"/>
                <w:sz w:val="22"/>
              </w:rPr>
              <w:t>0.00</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31007</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信息网络及软件购置更新</w:t>
            </w:r>
          </w:p>
        </w:tc>
        <w:tc>
          <w:tcPr>
            <w:tcW w:w="929" w:type="dxa"/>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Times New Roman" w:hAnsi="Times New Roman" w:eastAsia="仿宋_GB2312" w:cs="Times New Roman"/>
                <w:color w:val="000000"/>
                <w:kern w:val="0"/>
                <w:szCs w:val="20"/>
              </w:rPr>
            </w:pPr>
            <w:r>
              <w:rPr>
                <w:rFonts w:hint="eastAsia" w:ascii="宋体" w:hAnsi="宋体" w:eastAsia="宋体" w:cs="宋体"/>
                <w:color w:val="000000"/>
                <w:kern w:val="0"/>
                <w:sz w:val="22"/>
              </w:rPr>
              <w:t>0.00</w:t>
            </w: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30112</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其他社会保障缴费</w:t>
            </w:r>
          </w:p>
        </w:tc>
        <w:tc>
          <w:tcPr>
            <w:tcW w:w="966" w:type="dxa"/>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Times New Roman" w:hAnsi="Times New Roman" w:eastAsia="仿宋_GB2312" w:cs="Times New Roman"/>
                <w:color w:val="000000"/>
                <w:kern w:val="0"/>
                <w:szCs w:val="20"/>
              </w:rPr>
            </w:pPr>
            <w:r>
              <w:rPr>
                <w:rFonts w:hint="eastAsia" w:ascii="宋体" w:hAnsi="宋体" w:eastAsia="宋体" w:cs="宋体"/>
                <w:color w:val="000000"/>
                <w:kern w:val="0"/>
                <w:sz w:val="22"/>
              </w:rPr>
              <w:t>6.40</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30211</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差旅费</w:t>
            </w:r>
          </w:p>
        </w:tc>
        <w:tc>
          <w:tcPr>
            <w:tcW w:w="933" w:type="dxa"/>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Times New Roman" w:hAnsi="Times New Roman" w:eastAsia="仿宋_GB2312" w:cs="Times New Roman"/>
                <w:color w:val="000000"/>
                <w:kern w:val="0"/>
                <w:szCs w:val="20"/>
              </w:rPr>
            </w:pPr>
            <w:r>
              <w:rPr>
                <w:rFonts w:hint="eastAsia" w:ascii="宋体" w:hAnsi="宋体" w:eastAsia="宋体" w:cs="宋体"/>
                <w:color w:val="000000"/>
                <w:kern w:val="0"/>
                <w:sz w:val="22"/>
              </w:rPr>
              <w:t>0.00</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31008</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物资储备</w:t>
            </w:r>
          </w:p>
        </w:tc>
        <w:tc>
          <w:tcPr>
            <w:tcW w:w="929" w:type="dxa"/>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Times New Roman" w:hAnsi="Times New Roman" w:eastAsia="仿宋_GB2312" w:cs="Times New Roman"/>
                <w:color w:val="000000"/>
                <w:kern w:val="0"/>
                <w:szCs w:val="20"/>
              </w:rPr>
            </w:pPr>
            <w:r>
              <w:rPr>
                <w:rFonts w:hint="eastAsia" w:ascii="宋体" w:hAnsi="宋体" w:eastAsia="宋体" w:cs="宋体"/>
                <w:color w:val="000000"/>
                <w:kern w:val="0"/>
                <w:sz w:val="22"/>
              </w:rPr>
              <w:t>0.00</w:t>
            </w: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30113</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住房公积金</w:t>
            </w:r>
          </w:p>
        </w:tc>
        <w:tc>
          <w:tcPr>
            <w:tcW w:w="966" w:type="dxa"/>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Times New Roman" w:hAnsi="Times New Roman" w:eastAsia="仿宋_GB2312" w:cs="Times New Roman"/>
                <w:color w:val="000000"/>
                <w:kern w:val="0"/>
                <w:szCs w:val="20"/>
              </w:rPr>
            </w:pPr>
            <w:r>
              <w:rPr>
                <w:rFonts w:hint="eastAsia" w:ascii="宋体" w:hAnsi="宋体" w:eastAsia="宋体" w:cs="宋体"/>
                <w:color w:val="000000"/>
                <w:kern w:val="0"/>
                <w:sz w:val="22"/>
              </w:rPr>
              <w:t>55.72</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30212</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因公出国（境）费用</w:t>
            </w:r>
          </w:p>
        </w:tc>
        <w:tc>
          <w:tcPr>
            <w:tcW w:w="933" w:type="dxa"/>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Times New Roman" w:hAnsi="Times New Roman" w:eastAsia="仿宋_GB2312" w:cs="Times New Roman"/>
                <w:color w:val="000000"/>
                <w:kern w:val="0"/>
                <w:szCs w:val="20"/>
              </w:rPr>
            </w:pPr>
            <w:r>
              <w:rPr>
                <w:rFonts w:hint="eastAsia" w:ascii="宋体" w:hAnsi="宋体" w:eastAsia="宋体" w:cs="宋体"/>
                <w:color w:val="000000"/>
                <w:kern w:val="0"/>
                <w:sz w:val="22"/>
              </w:rPr>
              <w:t>0.00</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31009</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土地补偿</w:t>
            </w:r>
          </w:p>
        </w:tc>
        <w:tc>
          <w:tcPr>
            <w:tcW w:w="929" w:type="dxa"/>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Times New Roman" w:hAnsi="Times New Roman" w:eastAsia="仿宋_GB2312" w:cs="Times New Roman"/>
                <w:color w:val="000000"/>
                <w:kern w:val="0"/>
                <w:szCs w:val="20"/>
              </w:rPr>
            </w:pPr>
            <w:r>
              <w:rPr>
                <w:rFonts w:hint="eastAsia" w:ascii="宋体" w:hAnsi="宋体" w:eastAsia="宋体" w:cs="宋体"/>
                <w:color w:val="000000"/>
                <w:kern w:val="0"/>
                <w:sz w:val="22"/>
              </w:rPr>
              <w:t>0.00</w:t>
            </w: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30114</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医疗费</w:t>
            </w:r>
          </w:p>
        </w:tc>
        <w:tc>
          <w:tcPr>
            <w:tcW w:w="966" w:type="dxa"/>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Times New Roman" w:hAnsi="Times New Roman" w:eastAsia="仿宋_GB2312" w:cs="Times New Roman"/>
                <w:color w:val="000000"/>
                <w:kern w:val="0"/>
                <w:szCs w:val="20"/>
              </w:rPr>
            </w:pPr>
            <w:r>
              <w:rPr>
                <w:rFonts w:hint="eastAsia" w:ascii="宋体" w:hAnsi="宋体" w:eastAsia="宋体" w:cs="宋体"/>
                <w:color w:val="000000"/>
                <w:kern w:val="0"/>
                <w:sz w:val="22"/>
              </w:rPr>
              <w:t>0.00</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30213</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维修（护）费</w:t>
            </w:r>
          </w:p>
        </w:tc>
        <w:tc>
          <w:tcPr>
            <w:tcW w:w="933" w:type="dxa"/>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Times New Roman" w:hAnsi="Times New Roman" w:eastAsia="仿宋_GB2312" w:cs="Times New Roman"/>
                <w:color w:val="000000"/>
                <w:kern w:val="0"/>
                <w:szCs w:val="20"/>
              </w:rPr>
            </w:pPr>
            <w:r>
              <w:rPr>
                <w:rFonts w:hint="eastAsia" w:ascii="宋体" w:hAnsi="宋体" w:eastAsia="宋体" w:cs="宋体"/>
                <w:color w:val="000000"/>
                <w:kern w:val="0"/>
                <w:sz w:val="22"/>
              </w:rPr>
              <w:t>0.00</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31010</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安置补助</w:t>
            </w:r>
          </w:p>
        </w:tc>
        <w:tc>
          <w:tcPr>
            <w:tcW w:w="929" w:type="dxa"/>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Times New Roman" w:hAnsi="Times New Roman" w:eastAsia="仿宋_GB2312" w:cs="Times New Roman"/>
                <w:color w:val="000000"/>
                <w:kern w:val="0"/>
                <w:szCs w:val="20"/>
              </w:rPr>
            </w:pPr>
            <w:r>
              <w:rPr>
                <w:rFonts w:hint="eastAsia" w:ascii="宋体" w:hAnsi="宋体" w:eastAsia="宋体" w:cs="宋体"/>
                <w:color w:val="000000"/>
                <w:kern w:val="0"/>
                <w:sz w:val="22"/>
              </w:rPr>
              <w:t>0.00</w:t>
            </w: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30199</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其他工资福利支出</w:t>
            </w:r>
          </w:p>
        </w:tc>
        <w:tc>
          <w:tcPr>
            <w:tcW w:w="966" w:type="dxa"/>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Times New Roman" w:hAnsi="Times New Roman" w:eastAsia="仿宋_GB2312" w:cs="Times New Roman"/>
                <w:color w:val="000000"/>
                <w:kern w:val="0"/>
                <w:szCs w:val="20"/>
              </w:rPr>
            </w:pPr>
            <w:r>
              <w:rPr>
                <w:rFonts w:hint="eastAsia" w:ascii="宋体" w:hAnsi="宋体" w:eastAsia="宋体" w:cs="宋体"/>
                <w:color w:val="000000"/>
                <w:kern w:val="0"/>
                <w:sz w:val="22"/>
              </w:rPr>
              <w:t>74.11</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30214</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租赁费</w:t>
            </w:r>
          </w:p>
        </w:tc>
        <w:tc>
          <w:tcPr>
            <w:tcW w:w="933" w:type="dxa"/>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Times New Roman" w:hAnsi="Times New Roman" w:eastAsia="仿宋_GB2312" w:cs="Times New Roman"/>
                <w:color w:val="000000"/>
                <w:kern w:val="0"/>
                <w:szCs w:val="20"/>
              </w:rPr>
            </w:pPr>
            <w:r>
              <w:rPr>
                <w:rFonts w:hint="eastAsia" w:ascii="宋体" w:hAnsi="宋体" w:eastAsia="宋体" w:cs="宋体"/>
                <w:color w:val="000000"/>
                <w:kern w:val="0"/>
                <w:sz w:val="22"/>
              </w:rPr>
              <w:t>0.00</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31011</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地上附着物和青苗补偿</w:t>
            </w:r>
          </w:p>
        </w:tc>
        <w:tc>
          <w:tcPr>
            <w:tcW w:w="929" w:type="dxa"/>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Times New Roman" w:hAnsi="Times New Roman" w:eastAsia="仿宋_GB2312" w:cs="Times New Roman"/>
                <w:color w:val="000000"/>
                <w:kern w:val="0"/>
                <w:szCs w:val="20"/>
              </w:rPr>
            </w:pPr>
            <w:r>
              <w:rPr>
                <w:rFonts w:hint="eastAsia" w:ascii="宋体" w:hAnsi="宋体" w:eastAsia="宋体" w:cs="宋体"/>
                <w:color w:val="000000"/>
                <w:kern w:val="0"/>
                <w:sz w:val="22"/>
              </w:rPr>
              <w:t>0.00</w:t>
            </w: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对个人和家庭的补助</w:t>
            </w:r>
          </w:p>
        </w:tc>
        <w:tc>
          <w:tcPr>
            <w:tcW w:w="966" w:type="dxa"/>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Times New Roman" w:hAnsi="Times New Roman" w:eastAsia="仿宋_GB2312" w:cs="Times New Roman"/>
                <w:color w:val="000000"/>
                <w:kern w:val="0"/>
                <w:szCs w:val="20"/>
              </w:rPr>
            </w:pPr>
            <w:r>
              <w:rPr>
                <w:rFonts w:hint="eastAsia" w:ascii="宋体" w:hAnsi="宋体" w:eastAsia="宋体" w:cs="宋体"/>
                <w:color w:val="000000"/>
                <w:kern w:val="0"/>
                <w:sz w:val="22"/>
              </w:rPr>
              <w:t>20.60</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30215</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会议费</w:t>
            </w:r>
          </w:p>
        </w:tc>
        <w:tc>
          <w:tcPr>
            <w:tcW w:w="933" w:type="dxa"/>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Times New Roman" w:hAnsi="Times New Roman" w:eastAsia="仿宋_GB2312" w:cs="Times New Roman"/>
                <w:color w:val="000000"/>
                <w:kern w:val="0"/>
                <w:szCs w:val="20"/>
              </w:rPr>
            </w:pPr>
            <w:r>
              <w:rPr>
                <w:rFonts w:hint="eastAsia" w:ascii="宋体" w:hAnsi="宋体" w:eastAsia="宋体" w:cs="宋体"/>
                <w:color w:val="000000"/>
                <w:kern w:val="0"/>
                <w:sz w:val="22"/>
              </w:rPr>
              <w:t>0.00</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31012</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拆迁补偿</w:t>
            </w:r>
          </w:p>
        </w:tc>
        <w:tc>
          <w:tcPr>
            <w:tcW w:w="929" w:type="dxa"/>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Times New Roman" w:hAnsi="Times New Roman" w:eastAsia="仿宋_GB2312" w:cs="Times New Roman"/>
                <w:color w:val="000000"/>
                <w:kern w:val="0"/>
                <w:szCs w:val="20"/>
              </w:rPr>
            </w:pPr>
            <w:r>
              <w:rPr>
                <w:rFonts w:hint="eastAsia" w:ascii="宋体" w:hAnsi="宋体" w:eastAsia="宋体" w:cs="宋体"/>
                <w:color w:val="000000"/>
                <w:kern w:val="0"/>
                <w:sz w:val="22"/>
              </w:rPr>
              <w:t>0.00</w:t>
            </w: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30301</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离休费</w:t>
            </w:r>
          </w:p>
        </w:tc>
        <w:tc>
          <w:tcPr>
            <w:tcW w:w="966" w:type="dxa"/>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Times New Roman" w:hAnsi="Times New Roman" w:eastAsia="仿宋_GB2312" w:cs="Times New Roman"/>
                <w:color w:val="000000"/>
                <w:kern w:val="0"/>
                <w:szCs w:val="20"/>
              </w:rPr>
            </w:pPr>
            <w:r>
              <w:rPr>
                <w:rFonts w:hint="eastAsia" w:ascii="宋体" w:hAnsi="宋体" w:eastAsia="宋体" w:cs="宋体"/>
                <w:color w:val="000000"/>
                <w:kern w:val="0"/>
                <w:sz w:val="22"/>
              </w:rPr>
              <w:t>0.00</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30216</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培训费</w:t>
            </w:r>
          </w:p>
        </w:tc>
        <w:tc>
          <w:tcPr>
            <w:tcW w:w="933" w:type="dxa"/>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Times New Roman" w:hAnsi="Times New Roman" w:eastAsia="仿宋_GB2312" w:cs="Times New Roman"/>
                <w:color w:val="000000"/>
                <w:kern w:val="0"/>
                <w:szCs w:val="20"/>
              </w:rPr>
            </w:pPr>
            <w:r>
              <w:rPr>
                <w:rFonts w:hint="eastAsia" w:ascii="宋体" w:hAnsi="宋体" w:eastAsia="宋体" w:cs="宋体"/>
                <w:color w:val="000000"/>
                <w:kern w:val="0"/>
                <w:sz w:val="22"/>
              </w:rPr>
              <w:t>0.00</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31013</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公务用车购置</w:t>
            </w:r>
          </w:p>
        </w:tc>
        <w:tc>
          <w:tcPr>
            <w:tcW w:w="929" w:type="dxa"/>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Times New Roman" w:hAnsi="Times New Roman" w:eastAsia="仿宋_GB2312" w:cs="Times New Roman"/>
                <w:color w:val="000000"/>
                <w:kern w:val="0"/>
                <w:szCs w:val="20"/>
              </w:rPr>
            </w:pPr>
            <w:r>
              <w:rPr>
                <w:rFonts w:hint="eastAsia" w:ascii="宋体" w:hAnsi="宋体" w:eastAsia="宋体" w:cs="宋体"/>
                <w:color w:val="000000"/>
                <w:kern w:val="0"/>
                <w:sz w:val="22"/>
              </w:rPr>
              <w:t>0.00</w:t>
            </w: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30302</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退休费</w:t>
            </w:r>
          </w:p>
        </w:tc>
        <w:tc>
          <w:tcPr>
            <w:tcW w:w="966" w:type="dxa"/>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Times New Roman" w:hAnsi="Times New Roman" w:eastAsia="仿宋_GB2312" w:cs="Times New Roman"/>
                <w:color w:val="000000"/>
                <w:kern w:val="0"/>
                <w:szCs w:val="20"/>
              </w:rPr>
            </w:pPr>
            <w:r>
              <w:rPr>
                <w:rFonts w:hint="eastAsia" w:ascii="宋体" w:hAnsi="宋体" w:eastAsia="宋体" w:cs="宋体"/>
                <w:color w:val="000000"/>
                <w:kern w:val="0"/>
                <w:sz w:val="22"/>
              </w:rPr>
              <w:t>0.00</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30217</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公务接待费</w:t>
            </w:r>
          </w:p>
        </w:tc>
        <w:tc>
          <w:tcPr>
            <w:tcW w:w="933" w:type="dxa"/>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Times New Roman" w:hAnsi="Times New Roman" w:eastAsia="仿宋_GB2312" w:cs="Times New Roman"/>
                <w:color w:val="000000"/>
                <w:kern w:val="0"/>
                <w:szCs w:val="20"/>
              </w:rPr>
            </w:pPr>
            <w:r>
              <w:rPr>
                <w:rFonts w:hint="eastAsia" w:ascii="宋体" w:hAnsi="宋体" w:eastAsia="宋体" w:cs="宋体"/>
                <w:color w:val="000000"/>
                <w:kern w:val="0"/>
                <w:sz w:val="22"/>
              </w:rPr>
              <w:t>0.00</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31019</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其他交通工具购置</w:t>
            </w:r>
          </w:p>
        </w:tc>
        <w:tc>
          <w:tcPr>
            <w:tcW w:w="929" w:type="dxa"/>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Times New Roman" w:hAnsi="Times New Roman" w:eastAsia="仿宋_GB2312" w:cs="Times New Roman"/>
                <w:color w:val="000000"/>
                <w:kern w:val="0"/>
                <w:szCs w:val="20"/>
              </w:rPr>
            </w:pPr>
            <w:r>
              <w:rPr>
                <w:rFonts w:hint="eastAsia" w:ascii="宋体" w:hAnsi="宋体" w:eastAsia="宋体" w:cs="宋体"/>
                <w:color w:val="000000"/>
                <w:kern w:val="0"/>
                <w:sz w:val="22"/>
              </w:rPr>
              <w:t>0.00</w:t>
            </w: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30303</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退职（役）费</w:t>
            </w:r>
          </w:p>
        </w:tc>
        <w:tc>
          <w:tcPr>
            <w:tcW w:w="966" w:type="dxa"/>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Times New Roman" w:hAnsi="Times New Roman" w:eastAsia="仿宋_GB2312" w:cs="Times New Roman"/>
                <w:color w:val="000000"/>
                <w:kern w:val="0"/>
                <w:szCs w:val="20"/>
              </w:rPr>
            </w:pPr>
            <w:r>
              <w:rPr>
                <w:rFonts w:hint="eastAsia" w:ascii="宋体" w:hAnsi="宋体" w:eastAsia="宋体" w:cs="宋体"/>
                <w:color w:val="000000"/>
                <w:kern w:val="0"/>
                <w:sz w:val="22"/>
              </w:rPr>
              <w:t>0.00</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30218</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专用材料费</w:t>
            </w:r>
          </w:p>
        </w:tc>
        <w:tc>
          <w:tcPr>
            <w:tcW w:w="933" w:type="dxa"/>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Times New Roman" w:hAnsi="Times New Roman" w:eastAsia="仿宋_GB2312" w:cs="Times New Roman"/>
                <w:color w:val="000000"/>
                <w:kern w:val="0"/>
                <w:szCs w:val="20"/>
              </w:rPr>
            </w:pPr>
            <w:r>
              <w:rPr>
                <w:rFonts w:hint="eastAsia" w:ascii="宋体" w:hAnsi="宋体" w:eastAsia="宋体" w:cs="宋体"/>
                <w:color w:val="000000"/>
                <w:kern w:val="0"/>
                <w:sz w:val="22"/>
              </w:rPr>
              <w:t>0.00</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31021</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文物和陈列品购置</w:t>
            </w:r>
          </w:p>
        </w:tc>
        <w:tc>
          <w:tcPr>
            <w:tcW w:w="929" w:type="dxa"/>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Times New Roman" w:hAnsi="Times New Roman" w:eastAsia="仿宋_GB2312" w:cs="Times New Roman"/>
                <w:color w:val="000000"/>
                <w:kern w:val="0"/>
                <w:szCs w:val="20"/>
              </w:rPr>
            </w:pPr>
            <w:r>
              <w:rPr>
                <w:rFonts w:hint="eastAsia" w:ascii="宋体" w:hAnsi="宋体" w:eastAsia="宋体" w:cs="宋体"/>
                <w:color w:val="000000"/>
                <w:kern w:val="0"/>
                <w:sz w:val="22"/>
              </w:rPr>
              <w:t>0.00</w:t>
            </w: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30304</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抚恤金</w:t>
            </w:r>
          </w:p>
        </w:tc>
        <w:tc>
          <w:tcPr>
            <w:tcW w:w="966" w:type="dxa"/>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Times New Roman" w:hAnsi="Times New Roman" w:eastAsia="仿宋_GB2312" w:cs="Times New Roman"/>
                <w:color w:val="000000"/>
                <w:kern w:val="0"/>
                <w:szCs w:val="20"/>
              </w:rPr>
            </w:pPr>
            <w:r>
              <w:rPr>
                <w:rFonts w:hint="eastAsia" w:ascii="宋体" w:hAnsi="宋体" w:eastAsia="宋体" w:cs="宋体"/>
                <w:color w:val="000000"/>
                <w:kern w:val="0"/>
                <w:sz w:val="22"/>
              </w:rPr>
              <w:t>0.00</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30224</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被装购置费</w:t>
            </w:r>
          </w:p>
        </w:tc>
        <w:tc>
          <w:tcPr>
            <w:tcW w:w="933" w:type="dxa"/>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Times New Roman" w:hAnsi="Times New Roman" w:eastAsia="仿宋_GB2312" w:cs="Times New Roman"/>
                <w:color w:val="000000"/>
                <w:kern w:val="0"/>
                <w:szCs w:val="20"/>
              </w:rPr>
            </w:pPr>
            <w:r>
              <w:rPr>
                <w:rFonts w:hint="eastAsia" w:ascii="宋体" w:hAnsi="宋体" w:eastAsia="宋体" w:cs="宋体"/>
                <w:color w:val="000000"/>
                <w:kern w:val="0"/>
                <w:sz w:val="22"/>
              </w:rPr>
              <w:t>0.00</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31022</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无形资产购置</w:t>
            </w:r>
          </w:p>
        </w:tc>
        <w:tc>
          <w:tcPr>
            <w:tcW w:w="929" w:type="dxa"/>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Times New Roman" w:hAnsi="Times New Roman" w:eastAsia="仿宋_GB2312" w:cs="Times New Roman"/>
                <w:color w:val="000000"/>
                <w:kern w:val="0"/>
                <w:szCs w:val="20"/>
              </w:rPr>
            </w:pPr>
            <w:r>
              <w:rPr>
                <w:rFonts w:hint="eastAsia" w:ascii="宋体" w:hAnsi="宋体" w:eastAsia="宋体" w:cs="宋体"/>
                <w:color w:val="000000"/>
                <w:kern w:val="0"/>
                <w:sz w:val="22"/>
              </w:rPr>
              <w:t>0.00</w:t>
            </w: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30305</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生活补助</w:t>
            </w:r>
          </w:p>
        </w:tc>
        <w:tc>
          <w:tcPr>
            <w:tcW w:w="966" w:type="dxa"/>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Times New Roman" w:hAnsi="Times New Roman" w:eastAsia="仿宋_GB2312" w:cs="Times New Roman"/>
                <w:color w:val="000000"/>
                <w:kern w:val="0"/>
                <w:szCs w:val="20"/>
              </w:rPr>
            </w:pPr>
            <w:r>
              <w:rPr>
                <w:rFonts w:hint="eastAsia" w:ascii="宋体" w:hAnsi="宋体" w:eastAsia="宋体" w:cs="宋体"/>
                <w:color w:val="000000"/>
                <w:kern w:val="0"/>
                <w:sz w:val="22"/>
              </w:rPr>
              <w:t>15.13</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30225</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专用燃料费</w:t>
            </w:r>
          </w:p>
        </w:tc>
        <w:tc>
          <w:tcPr>
            <w:tcW w:w="933" w:type="dxa"/>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Times New Roman" w:hAnsi="Times New Roman" w:eastAsia="仿宋_GB2312" w:cs="Times New Roman"/>
                <w:color w:val="000000"/>
                <w:kern w:val="0"/>
                <w:szCs w:val="20"/>
              </w:rPr>
            </w:pPr>
            <w:r>
              <w:rPr>
                <w:rFonts w:hint="eastAsia" w:ascii="宋体" w:hAnsi="宋体" w:eastAsia="宋体" w:cs="宋体"/>
                <w:color w:val="000000"/>
                <w:kern w:val="0"/>
                <w:sz w:val="22"/>
              </w:rPr>
              <w:t>0.00</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31099</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其他资本性支出</w:t>
            </w:r>
          </w:p>
        </w:tc>
        <w:tc>
          <w:tcPr>
            <w:tcW w:w="929" w:type="dxa"/>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Times New Roman" w:hAnsi="Times New Roman" w:eastAsia="仿宋_GB2312" w:cs="Times New Roman"/>
                <w:color w:val="000000"/>
                <w:kern w:val="0"/>
                <w:szCs w:val="20"/>
              </w:rPr>
            </w:pPr>
            <w:r>
              <w:rPr>
                <w:rFonts w:hint="eastAsia" w:ascii="宋体" w:hAnsi="宋体" w:eastAsia="宋体" w:cs="宋体"/>
                <w:color w:val="000000"/>
                <w:kern w:val="0"/>
                <w:sz w:val="22"/>
              </w:rPr>
              <w:t>0.00</w:t>
            </w: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30306</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救济费</w:t>
            </w:r>
          </w:p>
        </w:tc>
        <w:tc>
          <w:tcPr>
            <w:tcW w:w="966" w:type="dxa"/>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Times New Roman" w:hAnsi="Times New Roman" w:eastAsia="仿宋_GB2312" w:cs="Times New Roman"/>
                <w:color w:val="000000"/>
                <w:kern w:val="0"/>
                <w:szCs w:val="20"/>
              </w:rPr>
            </w:pPr>
            <w:r>
              <w:rPr>
                <w:rFonts w:hint="eastAsia" w:ascii="宋体" w:hAnsi="宋体" w:eastAsia="宋体" w:cs="宋体"/>
                <w:color w:val="000000"/>
                <w:kern w:val="0"/>
                <w:sz w:val="22"/>
              </w:rPr>
              <w:t>0.00</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30226</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劳务费</w:t>
            </w:r>
          </w:p>
        </w:tc>
        <w:tc>
          <w:tcPr>
            <w:tcW w:w="933" w:type="dxa"/>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Times New Roman" w:hAnsi="Times New Roman" w:eastAsia="仿宋_GB2312" w:cs="Times New Roman"/>
                <w:color w:val="000000"/>
                <w:kern w:val="0"/>
                <w:szCs w:val="20"/>
              </w:rPr>
            </w:pPr>
            <w:r>
              <w:rPr>
                <w:rFonts w:hint="eastAsia" w:ascii="宋体" w:hAnsi="宋体" w:eastAsia="宋体" w:cs="宋体"/>
                <w:color w:val="000000"/>
                <w:kern w:val="0"/>
                <w:sz w:val="22"/>
              </w:rPr>
              <w:t>0.00</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其他支出</w:t>
            </w:r>
          </w:p>
        </w:tc>
        <w:tc>
          <w:tcPr>
            <w:tcW w:w="929" w:type="dxa"/>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Times New Roman" w:hAnsi="Times New Roman" w:eastAsia="仿宋_GB2312" w:cs="Times New Roman"/>
                <w:color w:val="000000"/>
                <w:kern w:val="0"/>
                <w:szCs w:val="20"/>
              </w:rPr>
            </w:pPr>
            <w:r>
              <w:rPr>
                <w:rFonts w:hint="eastAsia" w:ascii="宋体" w:hAnsi="宋体" w:eastAsia="宋体" w:cs="宋体"/>
                <w:color w:val="000000"/>
                <w:kern w:val="0"/>
                <w:sz w:val="22"/>
              </w:rPr>
              <w:t>0.00</w:t>
            </w: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30307</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医疗费补助</w:t>
            </w:r>
          </w:p>
        </w:tc>
        <w:tc>
          <w:tcPr>
            <w:tcW w:w="966" w:type="dxa"/>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Times New Roman" w:hAnsi="Times New Roman" w:eastAsia="仿宋_GB2312" w:cs="Times New Roman"/>
                <w:color w:val="000000"/>
                <w:kern w:val="0"/>
                <w:szCs w:val="20"/>
              </w:rPr>
            </w:pPr>
            <w:r>
              <w:rPr>
                <w:rFonts w:hint="eastAsia" w:ascii="宋体" w:hAnsi="宋体" w:eastAsia="宋体" w:cs="宋体"/>
                <w:color w:val="000000"/>
                <w:kern w:val="0"/>
                <w:sz w:val="22"/>
              </w:rPr>
              <w:t>0.00</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30227</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委托业务费</w:t>
            </w:r>
          </w:p>
        </w:tc>
        <w:tc>
          <w:tcPr>
            <w:tcW w:w="933" w:type="dxa"/>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Times New Roman" w:hAnsi="Times New Roman" w:eastAsia="仿宋_GB2312" w:cs="Times New Roman"/>
                <w:color w:val="000000"/>
                <w:kern w:val="0"/>
                <w:szCs w:val="20"/>
              </w:rPr>
            </w:pPr>
            <w:r>
              <w:rPr>
                <w:rFonts w:hint="eastAsia" w:ascii="宋体" w:hAnsi="宋体" w:eastAsia="宋体" w:cs="宋体"/>
                <w:color w:val="000000"/>
                <w:kern w:val="0"/>
                <w:sz w:val="22"/>
              </w:rPr>
              <w:t>0.00</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39907</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国家赔偿费用支出</w:t>
            </w:r>
          </w:p>
        </w:tc>
        <w:tc>
          <w:tcPr>
            <w:tcW w:w="929" w:type="dxa"/>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Times New Roman" w:hAnsi="Times New Roman" w:eastAsia="仿宋_GB2312" w:cs="Times New Roman"/>
                <w:color w:val="000000"/>
                <w:kern w:val="0"/>
                <w:szCs w:val="20"/>
              </w:rPr>
            </w:pPr>
            <w:r>
              <w:rPr>
                <w:rFonts w:hint="eastAsia" w:ascii="宋体" w:hAnsi="宋体" w:eastAsia="宋体" w:cs="宋体"/>
                <w:color w:val="000000"/>
                <w:kern w:val="0"/>
                <w:sz w:val="22"/>
              </w:rPr>
              <w:t>0.00</w:t>
            </w: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30308</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助学金</w:t>
            </w:r>
          </w:p>
        </w:tc>
        <w:tc>
          <w:tcPr>
            <w:tcW w:w="966" w:type="dxa"/>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Times New Roman" w:hAnsi="Times New Roman" w:eastAsia="仿宋_GB2312" w:cs="Times New Roman"/>
                <w:color w:val="000000"/>
                <w:kern w:val="0"/>
                <w:szCs w:val="20"/>
              </w:rPr>
            </w:pPr>
            <w:r>
              <w:rPr>
                <w:rFonts w:hint="eastAsia" w:ascii="宋体" w:hAnsi="宋体" w:eastAsia="宋体" w:cs="宋体"/>
                <w:color w:val="000000"/>
                <w:kern w:val="0"/>
                <w:sz w:val="22"/>
              </w:rPr>
              <w:t>0.00</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30228</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工会经费</w:t>
            </w:r>
          </w:p>
        </w:tc>
        <w:tc>
          <w:tcPr>
            <w:tcW w:w="933" w:type="dxa"/>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Times New Roman" w:hAnsi="Times New Roman" w:eastAsia="仿宋_GB2312" w:cs="Times New Roman"/>
                <w:color w:val="000000"/>
                <w:kern w:val="0"/>
                <w:szCs w:val="20"/>
              </w:rPr>
            </w:pPr>
            <w:r>
              <w:rPr>
                <w:rFonts w:hint="eastAsia" w:ascii="宋体" w:hAnsi="宋体" w:eastAsia="宋体" w:cs="宋体"/>
                <w:color w:val="000000"/>
                <w:kern w:val="0"/>
                <w:sz w:val="22"/>
              </w:rPr>
              <w:t>3.77</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39908</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对民间非营利组织和群众性自治组织补贴</w:t>
            </w:r>
          </w:p>
        </w:tc>
        <w:tc>
          <w:tcPr>
            <w:tcW w:w="929" w:type="dxa"/>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Times New Roman" w:hAnsi="Times New Roman" w:eastAsia="仿宋_GB2312" w:cs="Times New Roman"/>
                <w:color w:val="000000"/>
                <w:kern w:val="0"/>
                <w:szCs w:val="20"/>
              </w:rPr>
            </w:pPr>
            <w:r>
              <w:rPr>
                <w:rFonts w:hint="eastAsia" w:ascii="宋体" w:hAnsi="宋体" w:eastAsia="宋体" w:cs="宋体"/>
                <w:color w:val="000000"/>
                <w:kern w:val="0"/>
                <w:sz w:val="22"/>
              </w:rPr>
              <w:t>0.00</w:t>
            </w: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30309</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奖励金</w:t>
            </w:r>
          </w:p>
        </w:tc>
        <w:tc>
          <w:tcPr>
            <w:tcW w:w="966" w:type="dxa"/>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Times New Roman" w:hAnsi="Times New Roman" w:eastAsia="仿宋_GB2312" w:cs="Times New Roman"/>
                <w:color w:val="000000"/>
                <w:kern w:val="0"/>
                <w:szCs w:val="20"/>
              </w:rPr>
            </w:pPr>
            <w:r>
              <w:rPr>
                <w:rFonts w:hint="eastAsia" w:ascii="宋体" w:hAnsi="宋体" w:eastAsia="宋体" w:cs="宋体"/>
                <w:color w:val="000000"/>
                <w:kern w:val="0"/>
                <w:sz w:val="22"/>
              </w:rPr>
              <w:t>0.00</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30229</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福利费</w:t>
            </w:r>
          </w:p>
        </w:tc>
        <w:tc>
          <w:tcPr>
            <w:tcW w:w="933" w:type="dxa"/>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Times New Roman" w:hAnsi="Times New Roman" w:eastAsia="仿宋_GB2312" w:cs="Times New Roman"/>
                <w:color w:val="000000"/>
                <w:kern w:val="0"/>
                <w:szCs w:val="20"/>
              </w:rPr>
            </w:pPr>
            <w:r>
              <w:rPr>
                <w:rFonts w:hint="eastAsia" w:ascii="宋体" w:hAnsi="宋体" w:eastAsia="宋体" w:cs="宋体"/>
                <w:color w:val="000000"/>
                <w:kern w:val="0"/>
                <w:sz w:val="22"/>
              </w:rPr>
              <w:t>0.00</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39909</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经常性赠与</w:t>
            </w:r>
          </w:p>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资本性赠与</w:t>
            </w:r>
          </w:p>
          <w:p>
            <w:pPr>
              <w:widowControl/>
              <w:jc w:val="left"/>
              <w:rPr>
                <w:rFonts w:ascii="Times New Roman" w:hAnsi="Times New Roman" w:eastAsia="仿宋_GB2312" w:cs="Times New Roman"/>
                <w:color w:val="000000"/>
                <w:kern w:val="0"/>
                <w:szCs w:val="20"/>
              </w:rPr>
            </w:pPr>
          </w:p>
          <w:tbl>
            <w:tblPr>
              <w:tblStyle w:val="9"/>
              <w:tblW w:w="3946" w:type="dxa"/>
              <w:tblInd w:w="0" w:type="dxa"/>
              <w:tblLayout w:type="fixed"/>
              <w:tblCellMar>
                <w:top w:w="0" w:type="dxa"/>
                <w:left w:w="108" w:type="dxa"/>
                <w:bottom w:w="0" w:type="dxa"/>
                <w:right w:w="108" w:type="dxa"/>
              </w:tblCellMar>
            </w:tblPr>
            <w:tblGrid>
              <w:gridCol w:w="3946"/>
            </w:tblGrid>
            <w:tr>
              <w:tblPrEx>
                <w:tblCellMar>
                  <w:top w:w="0" w:type="dxa"/>
                  <w:left w:w="108" w:type="dxa"/>
                  <w:bottom w:w="0" w:type="dxa"/>
                  <w:right w:w="108" w:type="dxa"/>
                </w:tblCellMar>
              </w:tblPrEx>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 xml:space="preserve">  经常性赠与</w:t>
                  </w:r>
                </w:p>
              </w:tc>
            </w:tr>
            <w:tr>
              <w:tblPrEx>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 xml:space="preserve">  资本性赠与</w:t>
                  </w:r>
                </w:p>
              </w:tc>
            </w:tr>
          </w:tbl>
          <w:p>
            <w:pPr>
              <w:widowControl/>
              <w:jc w:val="left"/>
              <w:rPr>
                <w:rFonts w:ascii="Times New Roman" w:hAnsi="Times New Roman" w:eastAsia="仿宋_GB2312" w:cs="Times New Roman"/>
                <w:color w:val="000000"/>
                <w:kern w:val="0"/>
                <w:szCs w:val="20"/>
              </w:rPr>
            </w:pPr>
          </w:p>
          <w:tbl>
            <w:tblPr>
              <w:tblStyle w:val="9"/>
              <w:tblW w:w="3946" w:type="dxa"/>
              <w:tblInd w:w="0" w:type="dxa"/>
              <w:tblLayout w:type="fixed"/>
              <w:tblCellMar>
                <w:top w:w="0" w:type="dxa"/>
                <w:left w:w="108" w:type="dxa"/>
                <w:bottom w:w="0" w:type="dxa"/>
                <w:right w:w="108" w:type="dxa"/>
              </w:tblCellMar>
            </w:tblPr>
            <w:tblGrid>
              <w:gridCol w:w="3946"/>
            </w:tblGrid>
            <w:tr>
              <w:tblPrEx>
                <w:tblCellMar>
                  <w:top w:w="0" w:type="dxa"/>
                  <w:left w:w="108" w:type="dxa"/>
                  <w:bottom w:w="0" w:type="dxa"/>
                  <w:right w:w="108" w:type="dxa"/>
                </w:tblCellMar>
              </w:tblPrEx>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 xml:space="preserve">  经常性赠与</w:t>
                  </w:r>
                </w:p>
              </w:tc>
            </w:tr>
            <w:tr>
              <w:tblPrEx>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 xml:space="preserve">  资本性赠与</w:t>
                  </w:r>
                </w:p>
              </w:tc>
            </w:tr>
          </w:tbl>
          <w:p>
            <w:pPr>
              <w:widowControl/>
              <w:jc w:val="left"/>
              <w:rPr>
                <w:rFonts w:ascii="Times New Roman" w:hAnsi="Times New Roman" w:eastAsia="仿宋_GB2312" w:cs="Times New Roman"/>
                <w:color w:val="000000"/>
                <w:kern w:val="0"/>
                <w:szCs w:val="20"/>
              </w:rPr>
            </w:pPr>
          </w:p>
        </w:tc>
        <w:tc>
          <w:tcPr>
            <w:tcW w:w="929" w:type="dxa"/>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Times New Roman" w:hAnsi="Times New Roman" w:eastAsia="仿宋_GB2312" w:cs="Times New Roman"/>
                <w:color w:val="000000"/>
                <w:kern w:val="0"/>
                <w:szCs w:val="20"/>
              </w:rPr>
            </w:pPr>
            <w:r>
              <w:rPr>
                <w:rFonts w:hint="eastAsia" w:ascii="宋体" w:hAnsi="宋体" w:eastAsia="宋体" w:cs="宋体"/>
                <w:color w:val="000000"/>
                <w:kern w:val="0"/>
                <w:sz w:val="22"/>
              </w:rPr>
              <w:t>0.00</w:t>
            </w: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30310</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个人农业生产补贴</w:t>
            </w:r>
          </w:p>
        </w:tc>
        <w:tc>
          <w:tcPr>
            <w:tcW w:w="966" w:type="dxa"/>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Times New Roman" w:hAnsi="Times New Roman" w:eastAsia="仿宋_GB2312" w:cs="Times New Roman"/>
                <w:color w:val="000000"/>
                <w:kern w:val="0"/>
                <w:szCs w:val="20"/>
              </w:rPr>
            </w:pPr>
            <w:r>
              <w:rPr>
                <w:rFonts w:hint="eastAsia" w:ascii="宋体" w:hAnsi="宋体" w:eastAsia="宋体" w:cs="宋体"/>
                <w:color w:val="000000"/>
                <w:kern w:val="0"/>
                <w:sz w:val="22"/>
              </w:rPr>
              <w:t>0.00</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30231</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公务用车运行维护费</w:t>
            </w:r>
          </w:p>
        </w:tc>
        <w:tc>
          <w:tcPr>
            <w:tcW w:w="933" w:type="dxa"/>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Times New Roman" w:hAnsi="Times New Roman" w:eastAsia="仿宋_GB2312" w:cs="Times New Roman"/>
                <w:color w:val="000000"/>
                <w:kern w:val="0"/>
                <w:szCs w:val="20"/>
              </w:rPr>
            </w:pPr>
            <w:r>
              <w:rPr>
                <w:rFonts w:hint="eastAsia" w:ascii="宋体" w:hAnsi="宋体" w:eastAsia="宋体" w:cs="宋体"/>
                <w:color w:val="000000"/>
                <w:kern w:val="0"/>
                <w:sz w:val="22"/>
              </w:rPr>
              <w:t>0.00</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39910</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资本性赠与</w:t>
            </w:r>
          </w:p>
        </w:tc>
        <w:tc>
          <w:tcPr>
            <w:tcW w:w="929" w:type="dxa"/>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Times New Roman" w:hAnsi="Times New Roman" w:eastAsia="仿宋_GB2312" w:cs="Times New Roman"/>
                <w:color w:val="000000"/>
                <w:kern w:val="0"/>
                <w:szCs w:val="20"/>
              </w:rPr>
            </w:pPr>
            <w:r>
              <w:rPr>
                <w:rFonts w:hint="eastAsia" w:ascii="宋体" w:hAnsi="宋体" w:eastAsia="宋体" w:cs="宋体"/>
                <w:color w:val="000000"/>
                <w:kern w:val="0"/>
                <w:sz w:val="22"/>
              </w:rPr>
              <w:t>0.00</w:t>
            </w: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30311</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代缴社会保险费</w:t>
            </w:r>
          </w:p>
        </w:tc>
        <w:tc>
          <w:tcPr>
            <w:tcW w:w="966" w:type="dxa"/>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Times New Roman" w:hAnsi="Times New Roman" w:eastAsia="仿宋_GB2312" w:cs="Times New Roman"/>
                <w:color w:val="000000"/>
                <w:kern w:val="0"/>
                <w:szCs w:val="20"/>
              </w:rPr>
            </w:pPr>
            <w:r>
              <w:rPr>
                <w:rFonts w:hint="eastAsia" w:ascii="宋体" w:hAnsi="宋体" w:eastAsia="宋体" w:cs="宋体"/>
                <w:color w:val="000000"/>
                <w:kern w:val="0"/>
                <w:sz w:val="22"/>
              </w:rPr>
              <w:t>0.00</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30239</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其他交通费用</w:t>
            </w:r>
          </w:p>
        </w:tc>
        <w:tc>
          <w:tcPr>
            <w:tcW w:w="933" w:type="dxa"/>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Times New Roman" w:hAnsi="Times New Roman" w:eastAsia="仿宋_GB2312" w:cs="Times New Roman"/>
                <w:color w:val="000000"/>
                <w:kern w:val="0"/>
                <w:szCs w:val="20"/>
              </w:rPr>
            </w:pPr>
            <w:r>
              <w:rPr>
                <w:rFonts w:hint="eastAsia" w:ascii="宋体" w:hAnsi="宋体" w:eastAsia="宋体" w:cs="宋体"/>
                <w:color w:val="000000"/>
                <w:kern w:val="0"/>
                <w:sz w:val="22"/>
              </w:rPr>
              <w:t>0.00</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39999</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其他支出</w:t>
            </w:r>
          </w:p>
        </w:tc>
        <w:tc>
          <w:tcPr>
            <w:tcW w:w="929" w:type="dxa"/>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Times New Roman" w:hAnsi="Times New Roman" w:eastAsia="仿宋_GB2312" w:cs="Times New Roman"/>
                <w:color w:val="000000"/>
                <w:kern w:val="0"/>
                <w:szCs w:val="20"/>
              </w:rPr>
            </w:pPr>
            <w:r>
              <w:rPr>
                <w:rFonts w:hint="eastAsia" w:ascii="宋体" w:hAnsi="宋体" w:eastAsia="宋体" w:cs="宋体"/>
                <w:color w:val="000000"/>
                <w:kern w:val="0"/>
                <w:sz w:val="22"/>
              </w:rPr>
              <w:t>0.00</w:t>
            </w: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30399</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其他对个人和家庭的补助</w:t>
            </w:r>
          </w:p>
        </w:tc>
        <w:tc>
          <w:tcPr>
            <w:tcW w:w="966" w:type="dxa"/>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Times New Roman" w:hAnsi="Times New Roman" w:eastAsia="仿宋_GB2312" w:cs="Times New Roman"/>
                <w:color w:val="000000"/>
                <w:kern w:val="0"/>
                <w:szCs w:val="20"/>
              </w:rPr>
            </w:pPr>
            <w:r>
              <w:rPr>
                <w:rFonts w:hint="eastAsia" w:ascii="宋体" w:hAnsi="宋体" w:eastAsia="宋体" w:cs="宋体"/>
                <w:color w:val="000000"/>
                <w:kern w:val="0"/>
                <w:sz w:val="22"/>
              </w:rPr>
              <w:t>5.47</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30240</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税金及附加费用</w:t>
            </w:r>
          </w:p>
        </w:tc>
        <w:tc>
          <w:tcPr>
            <w:tcW w:w="933" w:type="dxa"/>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Times New Roman" w:hAnsi="Times New Roman" w:eastAsia="仿宋_GB2312" w:cs="Times New Roman"/>
                <w:color w:val="000000"/>
                <w:kern w:val="0"/>
                <w:szCs w:val="20"/>
              </w:rPr>
            </w:pPr>
            <w:r>
              <w:rPr>
                <w:rFonts w:hint="eastAsia" w:ascii="宋体" w:hAnsi="宋体" w:eastAsia="宋体" w:cs="宋体"/>
                <w:color w:val="000000"/>
                <w:kern w:val="0"/>
                <w:sz w:val="22"/>
              </w:rPr>
              <w:t>0.00</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929"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96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30299</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其他商品和服务支出</w:t>
            </w:r>
          </w:p>
        </w:tc>
        <w:tc>
          <w:tcPr>
            <w:tcW w:w="933" w:type="dxa"/>
            <w:tcBorders>
              <w:top w:val="nil"/>
              <w:left w:val="nil"/>
              <w:bottom w:val="single" w:color="auto" w:sz="4" w:space="0"/>
              <w:right w:val="single" w:color="auto" w:sz="4" w:space="0"/>
            </w:tcBorders>
            <w:shd w:val="clear" w:color="auto" w:fill="auto"/>
            <w:noWrap/>
            <w:vAlign w:val="center"/>
          </w:tcPr>
          <w:p>
            <w:pPr>
              <w:widowControl/>
              <w:jc w:val="right"/>
              <w:textAlignment w:val="center"/>
              <w:rPr>
                <w:rFonts w:ascii="Times New Roman" w:hAnsi="Times New Roman" w:eastAsia="仿宋_GB2312" w:cs="Times New Roman"/>
                <w:color w:val="000000"/>
                <w:kern w:val="0"/>
                <w:szCs w:val="20"/>
              </w:rPr>
            </w:pPr>
            <w:r>
              <w:rPr>
                <w:rFonts w:hint="eastAsia" w:ascii="宋体" w:hAnsi="宋体" w:eastAsia="宋体" w:cs="宋体"/>
                <w:color w:val="000000"/>
                <w:kern w:val="0"/>
                <w:sz w:val="22"/>
              </w:rPr>
              <w:t>0.00</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929"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tblPrEx>
          <w:tblCellMar>
            <w:top w:w="0" w:type="dxa"/>
            <w:left w:w="108" w:type="dxa"/>
            <w:bottom w:w="0" w:type="dxa"/>
            <w:right w:w="108" w:type="dxa"/>
          </w:tblCellMar>
        </w:tblPrEx>
        <w:trPr>
          <w:trHeight w:val="255" w:hRule="exact"/>
          <w:jc w:val="center"/>
        </w:trPr>
        <w:tc>
          <w:tcPr>
            <w:tcW w:w="3931"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人员经费合计</w:t>
            </w:r>
          </w:p>
        </w:tc>
        <w:tc>
          <w:tcPr>
            <w:tcW w:w="96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8801" w:type="dxa"/>
            <w:gridSpan w:val="5"/>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公用经费合计</w:t>
            </w:r>
          </w:p>
        </w:tc>
        <w:tc>
          <w:tcPr>
            <w:tcW w:w="929"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r>
              <w:rPr>
                <w:rFonts w:hint="eastAsia" w:ascii="Times New Roman" w:hAnsi="Times New Roman" w:eastAsia="仿宋_GB2312" w:cs="Times New Roman"/>
                <w:color w:val="000000"/>
                <w:kern w:val="0"/>
                <w:szCs w:val="18"/>
              </w:rPr>
              <w:t>3.77</w:t>
            </w:r>
          </w:p>
        </w:tc>
      </w:tr>
    </w:tbl>
    <w:p>
      <w:pPr>
        <w:widowControl/>
        <w:jc w:val="left"/>
        <w:rPr>
          <w:rFonts w:ascii="Times New Roman" w:hAnsi="Times New Roman" w:eastAsia="仿宋_GB2312" w:cs="Times New Roman"/>
          <w:color w:val="000000"/>
          <w:kern w:val="0"/>
          <w:szCs w:val="24"/>
        </w:rPr>
      </w:pPr>
      <w:r>
        <w:rPr>
          <w:rFonts w:ascii="Times New Roman" w:hAnsi="Times New Roman" w:eastAsia="仿宋_GB2312" w:cs="Times New Roman"/>
          <w:color w:val="000000"/>
          <w:kern w:val="0"/>
          <w:szCs w:val="24"/>
        </w:rPr>
        <w:t>注：本表反映部门本年度一般公共预算财政拨款基本支出明细情况。</w:t>
      </w:r>
    </w:p>
    <w:p>
      <w:pPr>
        <w:widowControl/>
        <w:spacing w:line="400" w:lineRule="exact"/>
        <w:jc w:val="center"/>
        <w:textAlignment w:val="center"/>
        <w:rPr>
          <w:rFonts w:ascii="Times New Roman" w:hAnsi="Times New Roman" w:eastAsia="仿宋_GB2312" w:cs="Times New Roman"/>
          <w:color w:val="000000"/>
          <w:kern w:val="0"/>
          <w:sz w:val="32"/>
          <w:szCs w:val="32"/>
        </w:rPr>
      </w:pPr>
    </w:p>
    <w:p>
      <w:pPr>
        <w:widowControl/>
        <w:spacing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政府性基金预算财政拨款收入支出决算表</w:t>
      </w:r>
    </w:p>
    <w:p>
      <w:pPr>
        <w:widowControl/>
        <w:tabs>
          <w:tab w:val="left" w:pos="920"/>
          <w:tab w:val="left" w:pos="1157"/>
          <w:tab w:val="left" w:pos="2434"/>
          <w:tab w:val="left" w:pos="4352"/>
          <w:tab w:val="left" w:pos="6295"/>
          <w:tab w:val="left" w:pos="8214"/>
          <w:tab w:val="left" w:pos="10149"/>
          <w:tab w:val="left" w:pos="12067"/>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kern w:val="0"/>
          <w:sz w:val="20"/>
          <w:szCs w:val="20"/>
        </w:rPr>
        <w:t>公开07表</w:t>
      </w:r>
    </w:p>
    <w:p>
      <w:pPr>
        <w:widowControl/>
        <w:tabs>
          <w:tab w:val="left" w:pos="920"/>
          <w:tab w:val="left" w:pos="1157"/>
          <w:tab w:val="left" w:pos="2434"/>
          <w:tab w:val="left" w:pos="4352"/>
          <w:tab w:val="left" w:pos="6295"/>
          <w:tab w:val="left" w:pos="8214"/>
          <w:tab w:val="left" w:pos="10149"/>
          <w:tab w:val="left" w:pos="12067"/>
        </w:tabs>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部门：</w:t>
      </w:r>
      <w:r>
        <w:rPr>
          <w:rFonts w:hint="eastAsia" w:ascii="Times New Roman" w:hAnsi="Times New Roman" w:eastAsia="仿宋_GB2312" w:cs="Times New Roman"/>
          <w:color w:val="000000"/>
          <w:kern w:val="0"/>
          <w:sz w:val="20"/>
          <w:szCs w:val="20"/>
        </w:rPr>
        <w:t>怀化市殡葬事务中心</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kern w:val="0"/>
          <w:sz w:val="20"/>
          <w:szCs w:val="20"/>
        </w:rPr>
        <w:t>单位：万元</w:t>
      </w:r>
    </w:p>
    <w:tbl>
      <w:tblPr>
        <w:tblStyle w:val="9"/>
        <w:tblW w:w="14326" w:type="dxa"/>
        <w:jc w:val="center"/>
        <w:tblLayout w:type="fixed"/>
        <w:tblCellMar>
          <w:top w:w="0" w:type="dxa"/>
          <w:left w:w="108" w:type="dxa"/>
          <w:bottom w:w="0" w:type="dxa"/>
          <w:right w:w="108" w:type="dxa"/>
        </w:tblCellMar>
      </w:tblPr>
      <w:tblGrid>
        <w:gridCol w:w="1497"/>
        <w:gridCol w:w="1277"/>
        <w:gridCol w:w="1918"/>
        <w:gridCol w:w="1943"/>
        <w:gridCol w:w="1919"/>
        <w:gridCol w:w="1935"/>
        <w:gridCol w:w="1918"/>
        <w:gridCol w:w="1919"/>
      </w:tblGrid>
      <w:tr>
        <w:tblPrEx>
          <w:tblCellMar>
            <w:top w:w="0" w:type="dxa"/>
            <w:left w:w="108" w:type="dxa"/>
            <w:bottom w:w="0" w:type="dxa"/>
            <w:right w:w="108" w:type="dxa"/>
          </w:tblCellMar>
        </w:tblPrEx>
        <w:trPr>
          <w:trHeight w:val="459" w:hRule="atLeast"/>
          <w:jc w:val="center"/>
        </w:trPr>
        <w:tc>
          <w:tcPr>
            <w:tcW w:w="2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 xml:space="preserve">项 </w:t>
            </w:r>
            <w:r>
              <w:rPr>
                <w:rStyle w:val="19"/>
                <w:rFonts w:hint="default" w:ascii="Times New Roman" w:hAnsi="Times New Roman" w:eastAsia="仿宋_GB2312" w:cs="Times New Roman"/>
                <w:b/>
                <w:bCs/>
              </w:rPr>
              <w:t xml:space="preserve">   </w:t>
            </w:r>
            <w:r>
              <w:rPr>
                <w:rStyle w:val="20"/>
                <w:rFonts w:hint="default" w:ascii="Times New Roman" w:hAnsi="Times New Roman" w:eastAsia="仿宋_GB2312" w:cs="Times New Roman"/>
                <w:b/>
                <w:bCs/>
              </w:rPr>
              <w:t>目</w:t>
            </w:r>
          </w:p>
        </w:tc>
        <w:tc>
          <w:tcPr>
            <w:tcW w:w="19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年初结转和结余</w:t>
            </w:r>
          </w:p>
        </w:tc>
        <w:tc>
          <w:tcPr>
            <w:tcW w:w="194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本年收入</w:t>
            </w:r>
          </w:p>
        </w:tc>
        <w:tc>
          <w:tcPr>
            <w:tcW w:w="577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本年支出</w:t>
            </w:r>
          </w:p>
        </w:tc>
        <w:tc>
          <w:tcPr>
            <w:tcW w:w="19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年末结转和结余</w:t>
            </w:r>
          </w:p>
        </w:tc>
      </w:tr>
      <w:tr>
        <w:tblPrEx>
          <w:tblCellMar>
            <w:top w:w="0" w:type="dxa"/>
            <w:left w:w="108" w:type="dxa"/>
            <w:bottom w:w="0" w:type="dxa"/>
            <w:right w:w="108" w:type="dxa"/>
          </w:tblCellMar>
        </w:tblPrEx>
        <w:trPr>
          <w:trHeight w:val="312" w:hRule="exact"/>
          <w:jc w:val="center"/>
        </w:trPr>
        <w:tc>
          <w:tcPr>
            <w:tcW w:w="14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科目代码</w:t>
            </w:r>
          </w:p>
        </w:tc>
        <w:tc>
          <w:tcPr>
            <w:tcW w:w="12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科目名称</w:t>
            </w: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eastAsia="仿宋_GB2312" w:cs="Times New Roman"/>
                <w:b/>
                <w:bCs/>
                <w:color w:val="000000"/>
                <w:sz w:val="24"/>
                <w:szCs w:val="24"/>
              </w:rPr>
            </w:pPr>
          </w:p>
        </w:tc>
        <w:tc>
          <w:tcPr>
            <w:tcW w:w="1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eastAsia="仿宋_GB2312" w:cs="Times New Roman"/>
                <w:b/>
                <w:bCs/>
                <w:color w:val="000000"/>
                <w:sz w:val="24"/>
                <w:szCs w:val="24"/>
              </w:rPr>
            </w:pPr>
          </w:p>
        </w:tc>
        <w:tc>
          <w:tcPr>
            <w:tcW w:w="19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小计</w:t>
            </w:r>
          </w:p>
        </w:tc>
        <w:tc>
          <w:tcPr>
            <w:tcW w:w="19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 xml:space="preserve">基本支出  </w:t>
            </w:r>
          </w:p>
        </w:tc>
        <w:tc>
          <w:tcPr>
            <w:tcW w:w="19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项目支出</w:t>
            </w: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eastAsia="仿宋_GB2312" w:cs="Times New Roman"/>
                <w:color w:val="000000"/>
                <w:sz w:val="24"/>
                <w:szCs w:val="24"/>
              </w:rPr>
            </w:pPr>
          </w:p>
        </w:tc>
      </w:tr>
      <w:tr>
        <w:tblPrEx>
          <w:tblCellMar>
            <w:top w:w="0" w:type="dxa"/>
            <w:left w:w="108" w:type="dxa"/>
            <w:bottom w:w="0" w:type="dxa"/>
            <w:right w:w="108" w:type="dxa"/>
          </w:tblCellMar>
        </w:tblPrEx>
        <w:trPr>
          <w:trHeight w:val="409" w:hRule="atLeast"/>
          <w:jc w:val="center"/>
        </w:trPr>
        <w:tc>
          <w:tcPr>
            <w:tcW w:w="14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r>
      <w:tr>
        <w:tblPrEx>
          <w:tblCellMar>
            <w:top w:w="0" w:type="dxa"/>
            <w:left w:w="108" w:type="dxa"/>
            <w:bottom w:w="0" w:type="dxa"/>
            <w:right w:w="108" w:type="dxa"/>
          </w:tblCellMar>
        </w:tblPrEx>
        <w:trPr>
          <w:trHeight w:val="312" w:hRule="atLeast"/>
          <w:jc w:val="center"/>
        </w:trPr>
        <w:tc>
          <w:tcPr>
            <w:tcW w:w="14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r>
      <w:tr>
        <w:tblPrEx>
          <w:tblCellMar>
            <w:top w:w="0" w:type="dxa"/>
            <w:left w:w="108" w:type="dxa"/>
            <w:bottom w:w="0" w:type="dxa"/>
            <w:right w:w="108" w:type="dxa"/>
          </w:tblCellMar>
        </w:tblPrEx>
        <w:trPr>
          <w:trHeight w:val="509" w:hRule="atLeast"/>
          <w:jc w:val="center"/>
        </w:trPr>
        <w:tc>
          <w:tcPr>
            <w:tcW w:w="2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栏次</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1</w:t>
            </w: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2</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3</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4</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5</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6</w:t>
            </w:r>
          </w:p>
        </w:tc>
      </w:tr>
      <w:tr>
        <w:tblPrEx>
          <w:tblCellMar>
            <w:top w:w="0" w:type="dxa"/>
            <w:left w:w="108" w:type="dxa"/>
            <w:bottom w:w="0" w:type="dxa"/>
            <w:right w:w="108" w:type="dxa"/>
          </w:tblCellMar>
        </w:tblPrEx>
        <w:trPr>
          <w:trHeight w:val="509" w:hRule="atLeast"/>
          <w:jc w:val="center"/>
        </w:trPr>
        <w:tc>
          <w:tcPr>
            <w:tcW w:w="2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合计</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r>
      <w:tr>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r>
              <w:rPr>
                <w:rFonts w:hint="eastAsia" w:ascii="Times New Roman" w:hAnsi="Times New Roman" w:eastAsia="仿宋_GB2312" w:cs="Times New Roman"/>
                <w:color w:val="000000"/>
                <w:sz w:val="24"/>
                <w:szCs w:val="24"/>
              </w:rPr>
              <w:t>本表无数据</w:t>
            </w: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0"/>
                <w:szCs w:val="20"/>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r>
      <w:tr>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r>
      <w:tr>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0"/>
                <w:szCs w:val="20"/>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r>
    </w:tbl>
    <w:p>
      <w:pPr>
        <w:widowControl/>
        <w:spacing w:before="120"/>
        <w:jc w:val="left"/>
        <w:textAlignment w:val="center"/>
        <w:rPr>
          <w:rFonts w:ascii="Times New Roman" w:hAnsi="Times New Roman" w:eastAsia="仿宋_GB2312" w:cs="Times New Roman"/>
          <w:color w:val="000000"/>
          <w:kern w:val="0"/>
          <w:sz w:val="24"/>
          <w:szCs w:val="24"/>
        </w:rPr>
      </w:pPr>
      <w:r>
        <w:rPr>
          <w:rFonts w:ascii="Times New Roman" w:hAnsi="Times New Roman" w:eastAsia="仿宋_GB2312" w:cs="Times New Roman"/>
          <w:color w:val="000000"/>
          <w:kern w:val="0"/>
          <w:sz w:val="24"/>
          <w:szCs w:val="24"/>
        </w:rPr>
        <w:t>注：本表反映部门本年度政府性基金预算财政拨款收入、支出及结转和结余情况。</w:t>
      </w:r>
    </w:p>
    <w:p>
      <w:pPr>
        <w:widowControl/>
        <w:jc w:val="left"/>
        <w:textAlignment w:val="center"/>
        <w:rPr>
          <w:rFonts w:ascii="Times New Roman" w:hAnsi="Times New Roman" w:eastAsia="仿宋_GB2312" w:cs="Times New Roman"/>
          <w:color w:val="000000"/>
          <w:kern w:val="0"/>
          <w:sz w:val="24"/>
          <w:szCs w:val="24"/>
        </w:rPr>
      </w:pPr>
    </w:p>
    <w:p>
      <w:pPr>
        <w:widowControl/>
        <w:jc w:val="left"/>
        <w:textAlignment w:val="center"/>
        <w:rPr>
          <w:rFonts w:ascii="Times New Roman" w:hAnsi="Times New Roman" w:eastAsia="仿宋_GB2312" w:cs="Times New Roman"/>
          <w:color w:val="000000"/>
          <w:kern w:val="0"/>
          <w:sz w:val="24"/>
          <w:szCs w:val="24"/>
        </w:rPr>
      </w:pPr>
      <w:r>
        <w:rPr>
          <w:rFonts w:ascii="Times New Roman" w:hAnsi="Times New Roman" w:eastAsia="仿宋_GB2312" w:cs="Times New Roman"/>
          <w:b/>
          <w:bCs/>
          <w:kern w:val="0"/>
          <w:sz w:val="24"/>
          <w:szCs w:val="24"/>
        </w:rPr>
        <w:t>说明：我单位没有政府性基金收入，也没有使用政府性基金安排的支出，故本表无数据。（当表格数据为空时，应有此说明）</w:t>
      </w:r>
    </w:p>
    <w:p>
      <w:pPr>
        <w:widowControl/>
        <w:jc w:val="center"/>
        <w:rPr>
          <w:rFonts w:ascii="Times New Roman" w:hAnsi="Times New Roman" w:eastAsia="方正小标宋_GBK" w:cs="Times New Roman"/>
          <w:color w:val="000000"/>
          <w:kern w:val="0"/>
          <w:sz w:val="36"/>
          <w:szCs w:val="36"/>
        </w:rPr>
      </w:pPr>
    </w:p>
    <w:p>
      <w:pPr>
        <w:widowControl/>
        <w:spacing w:line="400" w:lineRule="exact"/>
        <w:textAlignment w:val="center"/>
        <w:rPr>
          <w:rFonts w:ascii="Times New Roman" w:hAnsi="Times New Roman" w:eastAsia="黑体" w:cs="Times New Roman"/>
          <w:color w:val="000000"/>
          <w:kern w:val="0"/>
          <w:sz w:val="36"/>
          <w:szCs w:val="36"/>
        </w:rPr>
      </w:pPr>
    </w:p>
    <w:p>
      <w:pPr>
        <w:widowControl/>
        <w:spacing w:afterLines="50"/>
        <w:jc w:val="center"/>
        <w:textAlignment w:val="center"/>
        <w:rPr>
          <w:rFonts w:ascii="Times New Roman" w:hAnsi="Times New Roman" w:eastAsia="黑体" w:cs="Times New Roman"/>
          <w:color w:val="000000"/>
          <w:kern w:val="0"/>
          <w:sz w:val="36"/>
          <w:szCs w:val="36"/>
        </w:rPr>
      </w:pPr>
    </w:p>
    <w:p>
      <w:pPr>
        <w:widowControl/>
        <w:spacing w:afterLines="50"/>
        <w:jc w:val="center"/>
        <w:textAlignment w:val="center"/>
        <w:rPr>
          <w:rFonts w:ascii="Times New Roman" w:hAnsi="Times New Roman" w:eastAsia="黑体" w:cs="Times New Roman"/>
          <w:color w:val="000000"/>
          <w:kern w:val="0"/>
          <w:sz w:val="36"/>
          <w:szCs w:val="36"/>
        </w:rPr>
      </w:pPr>
    </w:p>
    <w:p>
      <w:pPr>
        <w:widowControl/>
        <w:spacing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国有资本经营预算财政拨款支出决算表</w:t>
      </w:r>
    </w:p>
    <w:p>
      <w:pPr>
        <w:widowControl/>
        <w:tabs>
          <w:tab w:val="left" w:pos="1326"/>
          <w:tab w:val="left" w:pos="2027"/>
          <w:tab w:val="left" w:pos="4319"/>
          <w:tab w:val="left" w:pos="7634"/>
          <w:tab w:val="left" w:pos="10949"/>
        </w:tabs>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 xml:space="preserve">                                                                                                            公开08表</w:t>
      </w:r>
    </w:p>
    <w:p>
      <w:pPr>
        <w:widowControl/>
        <w:tabs>
          <w:tab w:val="left" w:pos="1326"/>
          <w:tab w:val="left" w:pos="2027"/>
          <w:tab w:val="left" w:pos="4319"/>
          <w:tab w:val="left" w:pos="7634"/>
          <w:tab w:val="left" w:pos="10949"/>
        </w:tabs>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部门：</w:t>
      </w:r>
      <w:r>
        <w:rPr>
          <w:rFonts w:hint="eastAsia" w:ascii="Times New Roman" w:hAnsi="Times New Roman" w:eastAsia="仿宋_GB2312" w:cs="Times New Roman"/>
          <w:color w:val="000000"/>
          <w:kern w:val="0"/>
          <w:sz w:val="20"/>
          <w:szCs w:val="20"/>
        </w:rPr>
        <w:t>怀化市殡葬事务中心</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kern w:val="0"/>
          <w:sz w:val="20"/>
          <w:szCs w:val="20"/>
        </w:rPr>
        <w:t>单位：万元</w:t>
      </w:r>
    </w:p>
    <w:tbl>
      <w:tblPr>
        <w:tblStyle w:val="9"/>
        <w:tblW w:w="4999" w:type="pct"/>
        <w:tblInd w:w="0" w:type="dxa"/>
        <w:tblLayout w:type="autofit"/>
        <w:tblCellMar>
          <w:top w:w="0" w:type="dxa"/>
          <w:left w:w="108" w:type="dxa"/>
          <w:bottom w:w="0" w:type="dxa"/>
          <w:right w:w="108" w:type="dxa"/>
        </w:tblCellMar>
      </w:tblPr>
      <w:tblGrid>
        <w:gridCol w:w="3094"/>
        <w:gridCol w:w="3099"/>
        <w:gridCol w:w="1831"/>
        <w:gridCol w:w="3096"/>
        <w:gridCol w:w="3097"/>
      </w:tblGrid>
      <w:tr>
        <w:tblPrEx>
          <w:tblCellMar>
            <w:top w:w="0" w:type="dxa"/>
            <w:left w:w="108" w:type="dxa"/>
            <w:bottom w:w="0" w:type="dxa"/>
            <w:right w:w="108" w:type="dxa"/>
          </w:tblCellMar>
        </w:tblPrEx>
        <w:trPr>
          <w:trHeight w:val="548" w:hRule="atLeast"/>
        </w:trPr>
        <w:tc>
          <w:tcPr>
            <w:tcW w:w="217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 xml:space="preserve">项 </w:t>
            </w:r>
            <w:r>
              <w:rPr>
                <w:rFonts w:ascii="Times New Roman" w:hAnsi="Times New Roman" w:eastAsia="仿宋_GB2312" w:cs="Times New Roman"/>
                <w:b/>
                <w:bCs/>
                <w:color w:val="000000"/>
                <w:kern w:val="0"/>
                <w:sz w:val="22"/>
              </w:rPr>
              <w:t xml:space="preserve">   </w:t>
            </w:r>
            <w:r>
              <w:rPr>
                <w:rStyle w:val="21"/>
                <w:rFonts w:hint="default" w:ascii="Times New Roman" w:hAnsi="Times New Roman" w:eastAsia="仿宋_GB2312" w:cs="Times New Roman"/>
                <w:b/>
                <w:bCs/>
              </w:rPr>
              <w:t>目</w:t>
            </w:r>
          </w:p>
        </w:tc>
        <w:tc>
          <w:tcPr>
            <w:tcW w:w="282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本年支出</w:t>
            </w:r>
          </w:p>
        </w:tc>
      </w:tr>
      <w:tr>
        <w:tblPrEx>
          <w:tblCellMar>
            <w:top w:w="0" w:type="dxa"/>
            <w:left w:w="108" w:type="dxa"/>
            <w:bottom w:w="0" w:type="dxa"/>
            <w:right w:w="108" w:type="dxa"/>
          </w:tblCellMar>
        </w:tblPrEx>
        <w:trPr>
          <w:trHeight w:val="312" w:hRule="exact"/>
        </w:trPr>
        <w:tc>
          <w:tcPr>
            <w:tcW w:w="108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科目代码</w:t>
            </w:r>
          </w:p>
        </w:tc>
        <w:tc>
          <w:tcPr>
            <w:tcW w:w="10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科目名称</w:t>
            </w:r>
          </w:p>
        </w:tc>
        <w:tc>
          <w:tcPr>
            <w:tcW w:w="64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合计</w:t>
            </w:r>
          </w:p>
        </w:tc>
        <w:tc>
          <w:tcPr>
            <w:tcW w:w="10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 xml:space="preserve">基本支出  </w:t>
            </w:r>
          </w:p>
        </w:tc>
        <w:tc>
          <w:tcPr>
            <w:tcW w:w="10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项目支出</w:t>
            </w:r>
          </w:p>
        </w:tc>
      </w:tr>
      <w:tr>
        <w:tblPrEx>
          <w:tblCellMar>
            <w:top w:w="0" w:type="dxa"/>
            <w:left w:w="108" w:type="dxa"/>
            <w:bottom w:w="0" w:type="dxa"/>
            <w:right w:w="108" w:type="dxa"/>
          </w:tblCellMar>
        </w:tblPrEx>
        <w:trPr>
          <w:trHeight w:val="312" w:hRule="exact"/>
        </w:trPr>
        <w:tc>
          <w:tcPr>
            <w:tcW w:w="10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6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r>
      <w:tr>
        <w:tblPrEx>
          <w:tblCellMar>
            <w:top w:w="0" w:type="dxa"/>
            <w:left w:w="108" w:type="dxa"/>
            <w:bottom w:w="0" w:type="dxa"/>
            <w:right w:w="108" w:type="dxa"/>
          </w:tblCellMar>
        </w:tblPrEx>
        <w:trPr>
          <w:trHeight w:val="312" w:hRule="atLeast"/>
        </w:trPr>
        <w:tc>
          <w:tcPr>
            <w:tcW w:w="10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6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r>
      <w:tr>
        <w:tblPrEx>
          <w:tblCellMar>
            <w:top w:w="0" w:type="dxa"/>
            <w:left w:w="108" w:type="dxa"/>
            <w:bottom w:w="0" w:type="dxa"/>
            <w:right w:w="108" w:type="dxa"/>
          </w:tblCellMar>
        </w:tblPrEx>
        <w:trPr>
          <w:trHeight w:val="548" w:hRule="atLeast"/>
        </w:trPr>
        <w:tc>
          <w:tcPr>
            <w:tcW w:w="217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栏次</w:t>
            </w: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1</w:t>
            </w: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2</w:t>
            </w: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3</w:t>
            </w:r>
          </w:p>
        </w:tc>
      </w:tr>
      <w:tr>
        <w:tblPrEx>
          <w:tblCellMar>
            <w:top w:w="0" w:type="dxa"/>
            <w:left w:w="108" w:type="dxa"/>
            <w:bottom w:w="0" w:type="dxa"/>
            <w:right w:w="108" w:type="dxa"/>
          </w:tblCellMar>
        </w:tblPrEx>
        <w:trPr>
          <w:trHeight w:val="548" w:hRule="atLeast"/>
        </w:trPr>
        <w:tc>
          <w:tcPr>
            <w:tcW w:w="217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合计</w:t>
            </w: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r>
      <w:tr>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r>
              <w:rPr>
                <w:rFonts w:hint="eastAsia" w:ascii="Times New Roman" w:hAnsi="Times New Roman" w:eastAsia="仿宋_GB2312" w:cs="Times New Roman"/>
                <w:color w:val="000000"/>
                <w:sz w:val="24"/>
                <w:szCs w:val="24"/>
              </w:rPr>
              <w:t>本表无数据</w:t>
            </w: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0"/>
                <w:szCs w:val="20"/>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r>
      <w:tr>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r>
      <w:tr>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0"/>
                <w:szCs w:val="20"/>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4"/>
                <w:szCs w:val="24"/>
              </w:rPr>
            </w:pPr>
          </w:p>
        </w:tc>
      </w:tr>
    </w:tbl>
    <w:p>
      <w:pPr>
        <w:widowControl/>
        <w:spacing w:before="120"/>
        <w:jc w:val="left"/>
        <w:textAlignment w:val="center"/>
        <w:rPr>
          <w:rFonts w:ascii="Times New Roman" w:hAnsi="Times New Roman" w:eastAsia="仿宋_GB2312" w:cs="Times New Roman"/>
          <w:color w:val="000000"/>
          <w:kern w:val="0"/>
          <w:sz w:val="24"/>
          <w:szCs w:val="24"/>
        </w:rPr>
      </w:pPr>
      <w:r>
        <w:rPr>
          <w:rFonts w:ascii="Times New Roman" w:hAnsi="Times New Roman" w:eastAsia="仿宋_GB2312" w:cs="Times New Roman"/>
          <w:color w:val="000000"/>
          <w:kern w:val="0"/>
          <w:sz w:val="24"/>
          <w:szCs w:val="24"/>
        </w:rPr>
        <w:t>注：本表反映部门本年度国有资本经营预算财政拨款支出情况。</w:t>
      </w:r>
    </w:p>
    <w:p>
      <w:pPr>
        <w:widowControl/>
        <w:jc w:val="left"/>
        <w:textAlignment w:val="center"/>
        <w:rPr>
          <w:rFonts w:ascii="Times New Roman" w:hAnsi="Times New Roman" w:eastAsia="宋体" w:cs="Times New Roman"/>
          <w:color w:val="000000"/>
          <w:kern w:val="0"/>
          <w:sz w:val="24"/>
          <w:szCs w:val="24"/>
        </w:rPr>
      </w:pPr>
    </w:p>
    <w:p>
      <w:pPr>
        <w:widowControl/>
        <w:jc w:val="left"/>
        <w:textAlignment w:val="center"/>
        <w:rPr>
          <w:rFonts w:ascii="Times New Roman" w:hAnsi="Times New Roman" w:eastAsia="楷体_GB2312" w:cs="Times New Roman"/>
          <w:color w:val="000000"/>
          <w:kern w:val="0"/>
          <w:sz w:val="24"/>
          <w:szCs w:val="24"/>
        </w:rPr>
      </w:pPr>
      <w:r>
        <w:rPr>
          <w:rFonts w:ascii="Times New Roman" w:hAnsi="Times New Roman" w:eastAsia="楷体_GB2312" w:cs="Times New Roman"/>
          <w:b/>
          <w:bCs/>
          <w:kern w:val="0"/>
          <w:sz w:val="24"/>
          <w:szCs w:val="24"/>
        </w:rPr>
        <w:t>说明：我单位没有使用国有资本经营预算安排的支出，故本表无数据。（当表格数据为空时，应有此说明）</w:t>
      </w:r>
    </w:p>
    <w:p>
      <w:pPr>
        <w:widowControl/>
        <w:jc w:val="center"/>
        <w:rPr>
          <w:rFonts w:ascii="Times New Roman" w:hAnsi="Times New Roman" w:eastAsia="方正小标宋_GBK" w:cs="Times New Roman"/>
          <w:color w:val="000000"/>
          <w:kern w:val="0"/>
          <w:sz w:val="36"/>
          <w:szCs w:val="36"/>
        </w:rPr>
      </w:pPr>
    </w:p>
    <w:p>
      <w:pPr>
        <w:pStyle w:val="2"/>
        <w:spacing w:line="400" w:lineRule="exact"/>
        <w:rPr>
          <w:rFonts w:ascii="Times New Roman" w:hAnsi="Times New Roman" w:eastAsia="华文中宋" w:cs="Times New Roman"/>
          <w:color w:val="000000"/>
          <w:kern w:val="0"/>
          <w:sz w:val="32"/>
          <w:szCs w:val="32"/>
        </w:rPr>
      </w:pPr>
    </w:p>
    <w:p>
      <w:pPr>
        <w:widowControl/>
        <w:spacing w:afterLines="50"/>
        <w:jc w:val="center"/>
        <w:textAlignment w:val="center"/>
        <w:rPr>
          <w:rFonts w:ascii="Times New Roman" w:hAnsi="Times New Roman" w:eastAsia="黑体" w:cs="Times New Roman"/>
          <w:color w:val="000000"/>
          <w:kern w:val="0"/>
          <w:sz w:val="36"/>
          <w:szCs w:val="36"/>
        </w:rPr>
      </w:pPr>
    </w:p>
    <w:p>
      <w:pPr>
        <w:widowControl/>
        <w:spacing w:afterLines="50"/>
        <w:jc w:val="center"/>
        <w:textAlignment w:val="center"/>
        <w:rPr>
          <w:rFonts w:ascii="Times New Roman" w:hAnsi="Times New Roman" w:eastAsia="黑体" w:cs="Times New Roman"/>
          <w:color w:val="000000"/>
          <w:kern w:val="0"/>
          <w:sz w:val="36"/>
          <w:szCs w:val="36"/>
        </w:rPr>
      </w:pPr>
    </w:p>
    <w:p>
      <w:pPr>
        <w:widowControl/>
        <w:spacing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财政拨款“三公”经费支出决算表</w:t>
      </w:r>
    </w:p>
    <w:p>
      <w:pPr>
        <w:widowControl/>
        <w:tabs>
          <w:tab w:val="left" w:pos="1260"/>
          <w:tab w:val="left" w:pos="2521"/>
          <w:tab w:val="left" w:pos="3782"/>
          <w:tab w:val="left" w:pos="5043"/>
          <w:tab w:val="left" w:pos="6304"/>
          <w:tab w:val="left" w:pos="7565"/>
          <w:tab w:val="left" w:pos="8826"/>
          <w:tab w:val="left" w:pos="10087"/>
          <w:tab w:val="left" w:pos="11348"/>
          <w:tab w:val="left" w:pos="12609"/>
          <w:tab w:val="left" w:pos="13870"/>
        </w:tabs>
        <w:jc w:val="right"/>
        <w:textAlignment w:val="center"/>
        <w:rPr>
          <w:rFonts w:ascii="Times New Roman" w:hAnsi="Times New Roman" w:eastAsia="楷体_GB2312" w:cs="Times New Roman"/>
          <w:color w:val="000000"/>
          <w:sz w:val="20"/>
          <w:szCs w:val="20"/>
        </w:rPr>
      </w:pP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kern w:val="0"/>
          <w:sz w:val="20"/>
          <w:szCs w:val="20"/>
        </w:rPr>
        <w:t>公开09表</w:t>
      </w:r>
    </w:p>
    <w:p>
      <w:pPr>
        <w:widowControl/>
        <w:tabs>
          <w:tab w:val="left" w:pos="1260"/>
          <w:tab w:val="left" w:pos="2521"/>
          <w:tab w:val="left" w:pos="3782"/>
          <w:tab w:val="left" w:pos="5043"/>
          <w:tab w:val="left" w:pos="6304"/>
          <w:tab w:val="left" w:pos="7565"/>
          <w:tab w:val="left" w:pos="8826"/>
          <w:tab w:val="left" w:pos="10087"/>
          <w:tab w:val="left" w:pos="11348"/>
          <w:tab w:val="left" w:pos="12609"/>
          <w:tab w:val="left" w:pos="13870"/>
        </w:tabs>
        <w:textAlignment w:val="center"/>
        <w:rPr>
          <w:rFonts w:ascii="Times New Roman" w:hAnsi="Times New Roman" w:eastAsia="楷体_GB2312" w:cs="Times New Roman"/>
          <w:color w:val="000000"/>
          <w:sz w:val="20"/>
          <w:szCs w:val="20"/>
        </w:rPr>
      </w:pPr>
      <w:r>
        <w:rPr>
          <w:rFonts w:ascii="Times New Roman" w:hAnsi="Times New Roman" w:eastAsia="楷体_GB2312" w:cs="Times New Roman"/>
          <w:color w:val="000000"/>
          <w:kern w:val="0"/>
          <w:sz w:val="20"/>
          <w:szCs w:val="20"/>
        </w:rPr>
        <w:t>部门：</w:t>
      </w:r>
      <w:r>
        <w:rPr>
          <w:rFonts w:hint="eastAsia" w:ascii="Times New Roman" w:hAnsi="Times New Roman" w:eastAsia="楷体_GB2312" w:cs="Times New Roman"/>
          <w:color w:val="000000"/>
          <w:kern w:val="0"/>
          <w:sz w:val="20"/>
          <w:szCs w:val="20"/>
        </w:rPr>
        <w:t>怀化市殡葬事务中心</w:t>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kern w:val="0"/>
          <w:sz w:val="20"/>
          <w:szCs w:val="20"/>
        </w:rPr>
        <w:t>单位：万元</w:t>
      </w:r>
    </w:p>
    <w:tbl>
      <w:tblPr>
        <w:tblStyle w:val="9"/>
        <w:tblW w:w="5114" w:type="pct"/>
        <w:jc w:val="center"/>
        <w:tblLayout w:type="autofit"/>
        <w:tblCellMar>
          <w:top w:w="0" w:type="dxa"/>
          <w:left w:w="108" w:type="dxa"/>
          <w:bottom w:w="0" w:type="dxa"/>
          <w:right w:w="108" w:type="dxa"/>
        </w:tblCellMar>
      </w:tblPr>
      <w:tblGrid>
        <w:gridCol w:w="934"/>
        <w:gridCol w:w="1228"/>
        <w:gridCol w:w="1085"/>
        <w:gridCol w:w="1187"/>
        <w:gridCol w:w="1425"/>
        <w:gridCol w:w="1379"/>
        <w:gridCol w:w="1050"/>
        <w:gridCol w:w="1166"/>
        <w:gridCol w:w="1166"/>
        <w:gridCol w:w="1166"/>
        <w:gridCol w:w="1358"/>
        <w:gridCol w:w="1400"/>
      </w:tblGrid>
      <w:tr>
        <w:tblPrEx>
          <w:tblCellMar>
            <w:top w:w="0" w:type="dxa"/>
            <w:left w:w="108" w:type="dxa"/>
            <w:bottom w:w="0" w:type="dxa"/>
            <w:right w:w="108" w:type="dxa"/>
          </w:tblCellMar>
        </w:tblPrEx>
        <w:trPr>
          <w:trHeight w:val="606" w:hRule="atLeast"/>
          <w:jc w:val="center"/>
        </w:trPr>
        <w:tc>
          <w:tcPr>
            <w:tcW w:w="2486"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预算数</w:t>
            </w:r>
          </w:p>
        </w:tc>
        <w:tc>
          <w:tcPr>
            <w:tcW w:w="2513"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决算数</w:t>
            </w:r>
          </w:p>
        </w:tc>
      </w:tr>
      <w:tr>
        <w:tblPrEx>
          <w:tblCellMar>
            <w:top w:w="0" w:type="dxa"/>
            <w:left w:w="108" w:type="dxa"/>
            <w:bottom w:w="0" w:type="dxa"/>
            <w:right w:w="108" w:type="dxa"/>
          </w:tblCellMar>
        </w:tblPrEx>
        <w:trPr>
          <w:trHeight w:val="495" w:hRule="atLeast"/>
          <w:jc w:val="center"/>
        </w:trPr>
        <w:tc>
          <w:tcPr>
            <w:tcW w:w="32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合计</w:t>
            </w:r>
          </w:p>
        </w:tc>
        <w:tc>
          <w:tcPr>
            <w:tcW w:w="42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因公出国（境）费</w:t>
            </w:r>
          </w:p>
        </w:tc>
        <w:tc>
          <w:tcPr>
            <w:tcW w:w="127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公务用车购置及运行维护费</w:t>
            </w:r>
          </w:p>
        </w:tc>
        <w:tc>
          <w:tcPr>
            <w:tcW w:w="47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公务接待费</w:t>
            </w:r>
          </w:p>
        </w:tc>
        <w:tc>
          <w:tcPr>
            <w:tcW w:w="3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合计</w:t>
            </w:r>
          </w:p>
        </w:tc>
        <w:tc>
          <w:tcPr>
            <w:tcW w:w="40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因公出国（境）费</w:t>
            </w:r>
          </w:p>
        </w:tc>
        <w:tc>
          <w:tcPr>
            <w:tcW w:w="126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公务用车购置及运行维护费</w:t>
            </w:r>
          </w:p>
        </w:tc>
        <w:tc>
          <w:tcPr>
            <w:tcW w:w="48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公务接待费</w:t>
            </w:r>
          </w:p>
        </w:tc>
      </w:tr>
      <w:tr>
        <w:tblPrEx>
          <w:tblCellMar>
            <w:top w:w="0" w:type="dxa"/>
            <w:left w:w="108" w:type="dxa"/>
            <w:bottom w:w="0" w:type="dxa"/>
            <w:right w:w="108" w:type="dxa"/>
          </w:tblCellMar>
        </w:tblPrEx>
        <w:trPr>
          <w:trHeight w:val="864" w:hRule="atLeast"/>
          <w:jc w:val="center"/>
        </w:trPr>
        <w:tc>
          <w:tcPr>
            <w:tcW w:w="32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2"/>
              </w:rPr>
            </w:pPr>
          </w:p>
        </w:tc>
        <w:tc>
          <w:tcPr>
            <w:tcW w:w="42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2"/>
              </w:rPr>
            </w:pP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小计</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公务用车</w:t>
            </w:r>
            <w:r>
              <w:rPr>
                <w:rFonts w:ascii="Times New Roman" w:hAnsi="Times New Roman" w:eastAsia="仿宋_GB2312" w:cs="Times New Roman"/>
                <w:b/>
                <w:bCs/>
                <w:color w:val="000000"/>
                <w:kern w:val="0"/>
                <w:sz w:val="22"/>
              </w:rPr>
              <w:br w:type="textWrapping"/>
            </w:r>
            <w:r>
              <w:rPr>
                <w:rFonts w:ascii="Times New Roman" w:hAnsi="Times New Roman" w:eastAsia="仿宋_GB2312" w:cs="Times New Roman"/>
                <w:b/>
                <w:bCs/>
                <w:color w:val="000000"/>
                <w:kern w:val="0"/>
                <w:sz w:val="22"/>
              </w:rPr>
              <w:t>购置费</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公务用车</w:t>
            </w:r>
            <w:r>
              <w:rPr>
                <w:rFonts w:ascii="Times New Roman" w:hAnsi="Times New Roman" w:eastAsia="仿宋_GB2312" w:cs="Times New Roman"/>
                <w:b/>
                <w:bCs/>
                <w:color w:val="000000"/>
                <w:kern w:val="0"/>
                <w:sz w:val="22"/>
              </w:rPr>
              <w:br w:type="textWrapping"/>
            </w:r>
            <w:r>
              <w:rPr>
                <w:rFonts w:ascii="Times New Roman" w:hAnsi="Times New Roman" w:eastAsia="仿宋_GB2312" w:cs="Times New Roman"/>
                <w:b/>
                <w:bCs/>
                <w:color w:val="000000"/>
                <w:kern w:val="0"/>
                <w:sz w:val="22"/>
              </w:rPr>
              <w:t>运行维护费</w:t>
            </w:r>
          </w:p>
        </w:tc>
        <w:tc>
          <w:tcPr>
            <w:tcW w:w="4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2"/>
              </w:rPr>
            </w:pPr>
          </w:p>
        </w:tc>
        <w:tc>
          <w:tcPr>
            <w:tcW w:w="3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2"/>
              </w:rPr>
            </w:pPr>
          </w:p>
        </w:tc>
        <w:tc>
          <w:tcPr>
            <w:tcW w:w="40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2"/>
              </w:rPr>
            </w:pP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小计</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公务用车</w:t>
            </w:r>
            <w:r>
              <w:rPr>
                <w:rFonts w:ascii="Times New Roman" w:hAnsi="Times New Roman" w:eastAsia="仿宋_GB2312" w:cs="Times New Roman"/>
                <w:b/>
                <w:bCs/>
                <w:color w:val="000000"/>
                <w:kern w:val="0"/>
                <w:sz w:val="22"/>
              </w:rPr>
              <w:br w:type="textWrapping"/>
            </w:r>
            <w:r>
              <w:rPr>
                <w:rFonts w:ascii="Times New Roman" w:hAnsi="Times New Roman" w:eastAsia="仿宋_GB2312" w:cs="Times New Roman"/>
                <w:b/>
                <w:bCs/>
                <w:color w:val="000000"/>
                <w:kern w:val="0"/>
                <w:sz w:val="22"/>
              </w:rPr>
              <w:t>购置费</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公务用车</w:t>
            </w:r>
            <w:r>
              <w:rPr>
                <w:rFonts w:ascii="Times New Roman" w:hAnsi="Times New Roman" w:eastAsia="仿宋_GB2312" w:cs="Times New Roman"/>
                <w:b/>
                <w:bCs/>
                <w:color w:val="000000"/>
                <w:kern w:val="0"/>
                <w:sz w:val="22"/>
              </w:rPr>
              <w:br w:type="textWrapping"/>
            </w:r>
            <w:r>
              <w:rPr>
                <w:rFonts w:ascii="Times New Roman" w:hAnsi="Times New Roman" w:eastAsia="仿宋_GB2312" w:cs="Times New Roman"/>
                <w:b/>
                <w:bCs/>
                <w:color w:val="000000"/>
                <w:kern w:val="0"/>
                <w:sz w:val="22"/>
              </w:rPr>
              <w:t>运行维护费</w:t>
            </w:r>
          </w:p>
        </w:tc>
        <w:tc>
          <w:tcPr>
            <w:tcW w:w="4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2"/>
              </w:rPr>
            </w:pPr>
          </w:p>
        </w:tc>
      </w:tr>
      <w:tr>
        <w:tblPrEx>
          <w:tblCellMar>
            <w:top w:w="0" w:type="dxa"/>
            <w:left w:w="108" w:type="dxa"/>
            <w:bottom w:w="0" w:type="dxa"/>
            <w:right w:w="108" w:type="dxa"/>
          </w:tblCellMar>
        </w:tblPrEx>
        <w:trPr>
          <w:trHeight w:val="614" w:hRule="atLeast"/>
          <w:jc w:val="center"/>
        </w:trPr>
        <w:tc>
          <w:tcPr>
            <w:tcW w:w="32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w:t>
            </w:r>
          </w:p>
        </w:tc>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2</w:t>
            </w: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3</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4</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5</w:t>
            </w: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6</w:t>
            </w:r>
          </w:p>
        </w:tc>
        <w:tc>
          <w:tcPr>
            <w:tcW w:w="36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7</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8</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9</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10</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11</w:t>
            </w:r>
          </w:p>
        </w:tc>
        <w:tc>
          <w:tcPr>
            <w:tcW w:w="48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12</w:t>
            </w:r>
          </w:p>
        </w:tc>
      </w:tr>
      <w:tr>
        <w:tblPrEx>
          <w:tblCellMar>
            <w:top w:w="0" w:type="dxa"/>
            <w:left w:w="108" w:type="dxa"/>
            <w:bottom w:w="0" w:type="dxa"/>
            <w:right w:w="108" w:type="dxa"/>
          </w:tblCellMar>
        </w:tblPrEx>
        <w:trPr>
          <w:trHeight w:val="579" w:hRule="atLeast"/>
          <w:jc w:val="center"/>
        </w:trPr>
        <w:tc>
          <w:tcPr>
            <w:tcW w:w="9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right"/>
              <w:textAlignment w:val="center"/>
              <w:rPr>
                <w:rFonts w:ascii="Times New Roman" w:hAnsi="Times New Roman" w:eastAsia="仿宋_GB2312" w:cs="Times New Roman"/>
                <w:color w:val="000000"/>
                <w:sz w:val="22"/>
              </w:rPr>
            </w:pPr>
            <w:r>
              <w:rPr>
                <w:rFonts w:hint="eastAsia" w:ascii="宋体" w:hAnsi="宋体" w:eastAsia="宋体" w:cs="宋体"/>
                <w:color w:val="000000"/>
                <w:kern w:val="0"/>
                <w:sz w:val="22"/>
              </w:rPr>
              <w:t>21.00</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right"/>
              <w:textAlignment w:val="center"/>
              <w:rPr>
                <w:rFonts w:ascii="Times New Roman" w:hAnsi="Times New Roman" w:eastAsia="仿宋_GB2312" w:cs="Times New Roman"/>
                <w:color w:val="000000"/>
                <w:sz w:val="22"/>
              </w:rPr>
            </w:pPr>
            <w:r>
              <w:rPr>
                <w:rFonts w:hint="eastAsia" w:ascii="宋体" w:hAnsi="宋体" w:eastAsia="宋体" w:cs="宋体"/>
                <w:color w:val="000000"/>
                <w:kern w:val="0"/>
                <w:sz w:val="22"/>
              </w:rPr>
              <w:t>0.00</w:t>
            </w:r>
          </w:p>
        </w:tc>
        <w:tc>
          <w:tcPr>
            <w:tcW w:w="10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right"/>
              <w:textAlignment w:val="center"/>
              <w:rPr>
                <w:rFonts w:ascii="Times New Roman" w:hAnsi="Times New Roman" w:eastAsia="仿宋_GB2312" w:cs="Times New Roman"/>
                <w:color w:val="000000"/>
                <w:sz w:val="22"/>
              </w:rPr>
            </w:pPr>
            <w:r>
              <w:rPr>
                <w:rFonts w:hint="eastAsia" w:ascii="宋体" w:hAnsi="宋体" w:eastAsia="宋体" w:cs="宋体"/>
                <w:color w:val="000000"/>
                <w:kern w:val="0"/>
                <w:sz w:val="22"/>
              </w:rPr>
              <w:t>20.00</w:t>
            </w:r>
          </w:p>
        </w:tc>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right"/>
              <w:textAlignment w:val="center"/>
              <w:rPr>
                <w:rFonts w:ascii="Times New Roman" w:hAnsi="Times New Roman" w:eastAsia="仿宋_GB2312" w:cs="Times New Roman"/>
                <w:color w:val="000000"/>
                <w:sz w:val="22"/>
              </w:rPr>
            </w:pPr>
            <w:r>
              <w:rPr>
                <w:rFonts w:hint="eastAsia" w:ascii="宋体" w:hAnsi="宋体" w:eastAsia="宋体" w:cs="宋体"/>
                <w:color w:val="000000"/>
                <w:kern w:val="0"/>
                <w:sz w:val="22"/>
              </w:rPr>
              <w:t>0.00</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right"/>
              <w:textAlignment w:val="center"/>
              <w:rPr>
                <w:rFonts w:ascii="Times New Roman" w:hAnsi="Times New Roman" w:eastAsia="仿宋_GB2312" w:cs="Times New Roman"/>
                <w:color w:val="000000"/>
                <w:sz w:val="22"/>
              </w:rPr>
            </w:pPr>
            <w:r>
              <w:rPr>
                <w:rFonts w:hint="eastAsia" w:ascii="宋体" w:hAnsi="宋体" w:eastAsia="宋体" w:cs="宋体"/>
                <w:color w:val="000000"/>
                <w:kern w:val="0"/>
                <w:sz w:val="22"/>
              </w:rPr>
              <w:t>20.00</w:t>
            </w:r>
          </w:p>
        </w:tc>
        <w:tc>
          <w:tcPr>
            <w:tcW w:w="1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right"/>
              <w:textAlignment w:val="center"/>
              <w:rPr>
                <w:rFonts w:ascii="Times New Roman" w:hAnsi="Times New Roman" w:eastAsia="仿宋_GB2312" w:cs="Times New Roman"/>
                <w:color w:val="000000"/>
                <w:sz w:val="22"/>
              </w:rPr>
            </w:pPr>
            <w:r>
              <w:rPr>
                <w:rFonts w:hint="eastAsia" w:ascii="宋体" w:hAnsi="宋体" w:eastAsia="宋体" w:cs="宋体"/>
                <w:color w:val="000000"/>
                <w:kern w:val="0"/>
                <w:sz w:val="22"/>
              </w:rPr>
              <w:t>1.00</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right"/>
              <w:textAlignment w:val="center"/>
              <w:rPr>
                <w:rFonts w:ascii="Times New Roman" w:hAnsi="Times New Roman" w:eastAsia="仿宋_GB2312" w:cs="Times New Roman"/>
                <w:color w:val="000000"/>
                <w:sz w:val="22"/>
              </w:rPr>
            </w:pPr>
            <w:r>
              <w:rPr>
                <w:rFonts w:hint="eastAsia" w:ascii="宋体" w:hAnsi="宋体" w:eastAsia="宋体" w:cs="宋体"/>
                <w:color w:val="000000"/>
                <w:kern w:val="0"/>
                <w:sz w:val="22"/>
              </w:rPr>
              <w:t>0.01</w:t>
            </w: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right"/>
              <w:textAlignment w:val="center"/>
              <w:rPr>
                <w:rFonts w:ascii="Times New Roman" w:hAnsi="Times New Roman" w:eastAsia="仿宋_GB2312" w:cs="Times New Roman"/>
                <w:color w:val="000000"/>
                <w:sz w:val="22"/>
              </w:rPr>
            </w:pPr>
            <w:r>
              <w:rPr>
                <w:rFonts w:hint="eastAsia" w:ascii="宋体" w:hAnsi="宋体" w:eastAsia="宋体" w:cs="宋体"/>
                <w:color w:val="000000"/>
                <w:kern w:val="0"/>
                <w:sz w:val="22"/>
              </w:rPr>
              <w:t>0.00</w:t>
            </w: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right"/>
              <w:textAlignment w:val="center"/>
              <w:rPr>
                <w:rFonts w:ascii="Times New Roman" w:hAnsi="Times New Roman" w:eastAsia="仿宋_GB2312" w:cs="Times New Roman"/>
                <w:color w:val="000000"/>
                <w:sz w:val="22"/>
              </w:rPr>
            </w:pPr>
            <w:r>
              <w:rPr>
                <w:rFonts w:hint="eastAsia" w:ascii="宋体" w:hAnsi="宋体" w:eastAsia="宋体" w:cs="宋体"/>
                <w:color w:val="000000"/>
                <w:kern w:val="0"/>
                <w:sz w:val="22"/>
              </w:rPr>
              <w:t>0.01</w:t>
            </w: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right"/>
              <w:textAlignment w:val="center"/>
              <w:rPr>
                <w:rFonts w:ascii="Times New Roman" w:hAnsi="Times New Roman" w:eastAsia="仿宋_GB2312" w:cs="Times New Roman"/>
                <w:color w:val="000000"/>
                <w:sz w:val="22"/>
              </w:rPr>
            </w:pPr>
            <w:r>
              <w:rPr>
                <w:rFonts w:hint="eastAsia" w:ascii="宋体" w:hAnsi="宋体" w:eastAsia="宋体" w:cs="宋体"/>
                <w:color w:val="000000"/>
                <w:kern w:val="0"/>
                <w:sz w:val="22"/>
              </w:rPr>
              <w:t>0.00</w:t>
            </w:r>
          </w:p>
        </w:tc>
        <w:tc>
          <w:tcPr>
            <w:tcW w:w="135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right"/>
              <w:textAlignment w:val="center"/>
              <w:rPr>
                <w:rFonts w:ascii="Times New Roman" w:hAnsi="Times New Roman" w:eastAsia="仿宋_GB2312" w:cs="Times New Roman"/>
                <w:color w:val="000000"/>
                <w:sz w:val="22"/>
              </w:rPr>
            </w:pPr>
            <w:r>
              <w:rPr>
                <w:rFonts w:hint="eastAsia" w:ascii="宋体" w:hAnsi="宋体" w:eastAsia="宋体" w:cs="宋体"/>
                <w:color w:val="000000"/>
                <w:kern w:val="0"/>
                <w:sz w:val="22"/>
              </w:rPr>
              <w:t>0.01</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right"/>
              <w:textAlignment w:val="center"/>
              <w:rPr>
                <w:rFonts w:ascii="Times New Roman" w:hAnsi="Times New Roman" w:eastAsia="仿宋_GB2312" w:cs="Times New Roman"/>
                <w:color w:val="000000"/>
                <w:sz w:val="22"/>
              </w:rPr>
            </w:pPr>
            <w:r>
              <w:rPr>
                <w:rFonts w:hint="eastAsia" w:ascii="宋体" w:hAnsi="宋体" w:eastAsia="宋体" w:cs="宋体"/>
                <w:color w:val="000000"/>
                <w:kern w:val="0"/>
                <w:sz w:val="22"/>
              </w:rPr>
              <w:t>0.00</w:t>
            </w:r>
          </w:p>
        </w:tc>
      </w:tr>
    </w:tbl>
    <w:p>
      <w:pPr>
        <w:widowControl/>
        <w:spacing w:before="120"/>
        <w:jc w:val="left"/>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注：本表反映部门本年度财政拨款“三公”经费支出预决算情况。其中，预算数为“三公”经费全年预算数，反映按规定程序调整后的预算数；决算数是包括当年财政拨款和以前年度结转资金安排的实际支出。</w:t>
      </w:r>
    </w:p>
    <w:p>
      <w:pPr>
        <w:autoSpaceDE w:val="0"/>
        <w:autoSpaceDN w:val="0"/>
        <w:adjustRightInd w:val="0"/>
        <w:ind w:left="315" w:leftChars="150"/>
        <w:jc w:val="left"/>
        <w:rPr>
          <w:rFonts w:ascii="Times New Roman" w:hAnsi="Times New Roman" w:eastAsia="宋体" w:cs="Times New Roman"/>
          <w:kern w:val="0"/>
          <w:sz w:val="24"/>
          <w:szCs w:val="24"/>
        </w:rPr>
      </w:pPr>
    </w:p>
    <w:p>
      <w:pPr>
        <w:autoSpaceDE w:val="0"/>
        <w:autoSpaceDN w:val="0"/>
        <w:adjustRightInd w:val="0"/>
        <w:ind w:left="315" w:leftChars="150"/>
        <w:jc w:val="left"/>
        <w:rPr>
          <w:rFonts w:ascii="Times New Roman" w:hAnsi="Times New Roman" w:eastAsia="宋体" w:cs="Times New Roman"/>
          <w:kern w:val="0"/>
          <w:sz w:val="24"/>
          <w:szCs w:val="24"/>
        </w:rPr>
      </w:pPr>
    </w:p>
    <w:p>
      <w:pPr>
        <w:autoSpaceDE w:val="0"/>
        <w:autoSpaceDN w:val="0"/>
        <w:adjustRightInd w:val="0"/>
        <w:ind w:left="315" w:leftChars="150"/>
        <w:jc w:val="left"/>
        <w:rPr>
          <w:rFonts w:ascii="Times New Roman" w:hAnsi="Times New Roman" w:eastAsia="宋体" w:cs="Times New Roman"/>
          <w:kern w:val="0"/>
          <w:sz w:val="24"/>
          <w:szCs w:val="24"/>
        </w:rPr>
      </w:pPr>
    </w:p>
    <w:p>
      <w:pPr>
        <w:autoSpaceDE w:val="0"/>
        <w:autoSpaceDN w:val="0"/>
        <w:adjustRightInd w:val="0"/>
        <w:ind w:left="315" w:leftChars="150"/>
        <w:jc w:val="left"/>
        <w:rPr>
          <w:rFonts w:ascii="Times New Roman" w:hAnsi="Times New Roman" w:eastAsia="宋体" w:cs="Times New Roman"/>
          <w:kern w:val="0"/>
          <w:sz w:val="24"/>
          <w:szCs w:val="24"/>
        </w:rPr>
      </w:pPr>
    </w:p>
    <w:p>
      <w:pPr>
        <w:autoSpaceDE w:val="0"/>
        <w:autoSpaceDN w:val="0"/>
        <w:adjustRightInd w:val="0"/>
        <w:ind w:left="315" w:leftChars="150"/>
        <w:jc w:val="left"/>
        <w:rPr>
          <w:rFonts w:ascii="Times New Roman" w:hAnsi="Times New Roman" w:eastAsia="宋体" w:cs="Times New Roman"/>
          <w:kern w:val="0"/>
          <w:sz w:val="24"/>
          <w:szCs w:val="24"/>
        </w:rPr>
      </w:pPr>
    </w:p>
    <w:p>
      <w:pPr>
        <w:widowControl/>
        <w:rPr>
          <w:rFonts w:ascii="Times New Roman" w:hAnsi="Times New Roman" w:cs="Times New Roman"/>
          <w:sz w:val="72"/>
          <w:szCs w:val="72"/>
        </w:rPr>
        <w:sectPr>
          <w:pgSz w:w="16838" w:h="11906" w:orient="landscape"/>
          <w:pgMar w:top="1134" w:right="1417" w:bottom="1134" w:left="1417" w:header="851" w:footer="992" w:gutter="0"/>
          <w:cols w:space="425" w:num="1"/>
          <w:docGrid w:type="lines" w:linePitch="312" w:charSpace="0"/>
        </w:sectPr>
      </w:pPr>
    </w:p>
    <w:p>
      <w:pPr>
        <w:pStyle w:val="16"/>
        <w:rPr>
          <w:rFonts w:ascii="Times New Roman" w:hAnsi="Times New Roman" w:cs="Times New Roman"/>
          <w:sz w:val="72"/>
          <w:szCs w:val="72"/>
        </w:rPr>
      </w:pPr>
    </w:p>
    <w:p>
      <w:pPr>
        <w:pStyle w:val="16"/>
        <w:rPr>
          <w:rFonts w:ascii="Times New Roman" w:hAnsi="Times New Roman" w:cs="Times New Roman"/>
          <w:sz w:val="72"/>
          <w:szCs w:val="72"/>
        </w:rPr>
      </w:pPr>
    </w:p>
    <w:p>
      <w:pPr>
        <w:pStyle w:val="16"/>
        <w:rPr>
          <w:rFonts w:ascii="Times New Roman" w:hAnsi="Times New Roman" w:cs="Times New Roman"/>
          <w:sz w:val="72"/>
          <w:szCs w:val="72"/>
        </w:rPr>
      </w:pPr>
    </w:p>
    <w:p>
      <w:pPr>
        <w:pStyle w:val="16"/>
        <w:jc w:val="center"/>
        <w:rPr>
          <w:rFonts w:ascii="Times New Roman" w:hAnsi="Times New Roman" w:cs="Times New Roman"/>
          <w:sz w:val="72"/>
          <w:szCs w:val="72"/>
        </w:rPr>
      </w:pPr>
    </w:p>
    <w:p>
      <w:pPr>
        <w:pStyle w:val="16"/>
        <w:jc w:val="center"/>
        <w:rPr>
          <w:rFonts w:ascii="Times New Roman" w:hAnsi="Times New Roman" w:eastAsia="方正小标宋_GBK" w:cs="Times New Roman"/>
          <w:sz w:val="72"/>
          <w:szCs w:val="72"/>
        </w:rPr>
      </w:pPr>
    </w:p>
    <w:p>
      <w:pPr>
        <w:pStyle w:val="16"/>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第三部分</w:t>
      </w:r>
    </w:p>
    <w:p>
      <w:pPr>
        <w:pStyle w:val="16"/>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2024年度部门决算情况说明</w:t>
      </w:r>
    </w:p>
    <w:p>
      <w:pPr>
        <w:widowControl/>
        <w:jc w:val="left"/>
        <w:rPr>
          <w:rFonts w:ascii="Times New Roman" w:hAnsi="Times New Roman" w:cs="Times New Roman"/>
          <w:sz w:val="32"/>
          <w:szCs w:val="32"/>
        </w:rPr>
      </w:pPr>
      <w:r>
        <w:br w:type="page"/>
      </w:r>
    </w:p>
    <w:p>
      <w:pPr>
        <w:pStyle w:val="16"/>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一、收入支出决算总体情况说明</w:t>
      </w:r>
    </w:p>
    <w:p>
      <w:pPr>
        <w:pStyle w:val="16"/>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2024年度收、支总计</w:t>
      </w:r>
      <w:r>
        <w:rPr>
          <w:rFonts w:hint="eastAsia" w:ascii="Times New Roman" w:hAnsi="Times New Roman" w:eastAsia="仿宋_GB2312" w:cs="Times New Roman"/>
          <w:sz w:val="32"/>
          <w:szCs w:val="32"/>
        </w:rPr>
        <w:t>3042.82</w:t>
      </w:r>
      <w:r>
        <w:rPr>
          <w:rFonts w:ascii="Times New Roman" w:hAnsi="Times New Roman" w:eastAsia="仿宋_GB2312" w:cs="Times New Roman"/>
          <w:sz w:val="32"/>
          <w:szCs w:val="32"/>
        </w:rPr>
        <w:t>万元。与上年相比，增加</w:t>
      </w:r>
      <w:r>
        <w:rPr>
          <w:rFonts w:hint="eastAsia" w:ascii="Times New Roman" w:hAnsi="Times New Roman" w:eastAsia="仿宋_GB2312" w:cs="Times New Roman"/>
          <w:sz w:val="32"/>
          <w:szCs w:val="32"/>
        </w:rPr>
        <w:t>378.28</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rPr>
        <w:t>14.20</w:t>
      </w:r>
      <w:r>
        <w:rPr>
          <w:rFonts w:ascii="Times New Roman" w:hAnsi="Times New Roman" w:eastAsia="仿宋_GB2312" w:cs="Times New Roman"/>
          <w:sz w:val="32"/>
          <w:szCs w:val="32"/>
        </w:rPr>
        <w:t>%，主要是因为</w:t>
      </w:r>
      <w:r>
        <w:rPr>
          <w:rFonts w:hint="eastAsia" w:ascii="Times New Roman" w:hAnsi="Times New Roman" w:eastAsia="仿宋_GB2312" w:cs="Times New Roman"/>
          <w:sz w:val="32"/>
          <w:szCs w:val="32"/>
        </w:rPr>
        <w:t>单位原址新建项目投资力度加大，工程进度加快。</w:t>
      </w:r>
    </w:p>
    <w:p>
      <w:pPr>
        <w:pStyle w:val="16"/>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二、收入决算情况说明</w:t>
      </w:r>
    </w:p>
    <w:p>
      <w:pPr>
        <w:pStyle w:val="16"/>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2024年度收入合计</w:t>
      </w:r>
      <w:r>
        <w:rPr>
          <w:rFonts w:hint="eastAsia" w:ascii="Times New Roman" w:hAnsi="Times New Roman" w:eastAsia="仿宋_GB2312" w:cs="Times New Roman"/>
          <w:sz w:val="32"/>
          <w:szCs w:val="32"/>
        </w:rPr>
        <w:t>3036.57</w:t>
      </w:r>
      <w:r>
        <w:rPr>
          <w:rFonts w:ascii="Times New Roman" w:hAnsi="Times New Roman" w:eastAsia="仿宋_GB2312" w:cs="Times New Roman"/>
          <w:sz w:val="32"/>
          <w:szCs w:val="32"/>
        </w:rPr>
        <w:t>万元，其中：财政拨款收入</w:t>
      </w:r>
      <w:r>
        <w:rPr>
          <w:rFonts w:hint="eastAsia" w:ascii="Times New Roman" w:hAnsi="Times New Roman" w:eastAsia="仿宋_GB2312" w:cs="Times New Roman"/>
          <w:sz w:val="32"/>
          <w:szCs w:val="32"/>
        </w:rPr>
        <w:t>1850.59</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rPr>
        <w:t>60.94</w:t>
      </w:r>
      <w:r>
        <w:rPr>
          <w:rFonts w:ascii="Times New Roman" w:hAnsi="Times New Roman" w:eastAsia="仿宋_GB2312" w:cs="Times New Roman"/>
          <w:sz w:val="32"/>
          <w:szCs w:val="32"/>
        </w:rPr>
        <w:t>%；上级补助收入</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%；事业收入</w:t>
      </w:r>
      <w:r>
        <w:rPr>
          <w:rFonts w:hint="eastAsia" w:ascii="Times New Roman" w:hAnsi="Times New Roman" w:eastAsia="仿宋_GB2312" w:cs="Times New Roman"/>
          <w:sz w:val="32"/>
          <w:szCs w:val="32"/>
        </w:rPr>
        <w:t>907.91</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rPr>
        <w:t>29.90</w:t>
      </w:r>
      <w:r>
        <w:rPr>
          <w:rFonts w:ascii="Times New Roman" w:hAnsi="Times New Roman" w:eastAsia="仿宋_GB2312" w:cs="Times New Roman"/>
          <w:sz w:val="32"/>
          <w:szCs w:val="32"/>
        </w:rPr>
        <w:t>%；经营收入</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%；附属单位上缴收入</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%；其他收入</w:t>
      </w:r>
      <w:r>
        <w:rPr>
          <w:rFonts w:hint="eastAsia" w:ascii="Times New Roman" w:hAnsi="Times New Roman" w:eastAsia="仿宋_GB2312" w:cs="Times New Roman"/>
          <w:sz w:val="32"/>
          <w:szCs w:val="32"/>
        </w:rPr>
        <w:t>278.07</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rPr>
        <w:t>9.16</w:t>
      </w:r>
      <w:r>
        <w:rPr>
          <w:rFonts w:ascii="Times New Roman" w:hAnsi="Times New Roman" w:eastAsia="仿宋_GB2312" w:cs="Times New Roman"/>
          <w:sz w:val="32"/>
          <w:szCs w:val="32"/>
        </w:rPr>
        <w:t>%。</w:t>
      </w:r>
    </w:p>
    <w:p>
      <w:pPr>
        <w:pStyle w:val="16"/>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三、支出决算情况说明</w:t>
      </w:r>
    </w:p>
    <w:p>
      <w:pPr>
        <w:pStyle w:val="16"/>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2024年度支出合计</w:t>
      </w:r>
      <w:r>
        <w:rPr>
          <w:rFonts w:hint="eastAsia" w:ascii="Times New Roman" w:hAnsi="Times New Roman" w:eastAsia="仿宋_GB2312" w:cs="Times New Roman"/>
          <w:sz w:val="32"/>
          <w:szCs w:val="32"/>
        </w:rPr>
        <w:t>3039.80</w:t>
      </w:r>
      <w:r>
        <w:rPr>
          <w:rFonts w:ascii="Times New Roman" w:hAnsi="Times New Roman" w:eastAsia="仿宋_GB2312" w:cs="Times New Roman"/>
          <w:sz w:val="32"/>
          <w:szCs w:val="32"/>
        </w:rPr>
        <w:t>万元，其中：基本支出</w:t>
      </w:r>
      <w:r>
        <w:rPr>
          <w:rFonts w:hint="eastAsia" w:ascii="Times New Roman" w:hAnsi="Times New Roman" w:eastAsia="仿宋_GB2312" w:cs="Times New Roman"/>
          <w:sz w:val="32"/>
          <w:szCs w:val="32"/>
        </w:rPr>
        <w:t>846.15</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rPr>
        <w:t>27.84</w:t>
      </w:r>
      <w:r>
        <w:rPr>
          <w:rFonts w:ascii="Times New Roman" w:hAnsi="Times New Roman" w:eastAsia="仿宋_GB2312" w:cs="Times New Roman"/>
          <w:sz w:val="32"/>
          <w:szCs w:val="32"/>
        </w:rPr>
        <w:t>%；项目支出</w:t>
      </w:r>
      <w:r>
        <w:rPr>
          <w:rFonts w:hint="eastAsia" w:ascii="Times New Roman" w:hAnsi="Times New Roman" w:eastAsia="仿宋_GB2312" w:cs="Times New Roman"/>
          <w:sz w:val="32"/>
          <w:szCs w:val="32"/>
        </w:rPr>
        <w:t>2193.66</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rPr>
        <w:t>72.16</w:t>
      </w:r>
      <w:r>
        <w:rPr>
          <w:rFonts w:ascii="Times New Roman" w:hAnsi="Times New Roman" w:eastAsia="仿宋_GB2312" w:cs="Times New Roman"/>
          <w:sz w:val="32"/>
          <w:szCs w:val="32"/>
        </w:rPr>
        <w:t>%；上缴上级支出</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%；经营支出</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%；对附属单位补助支出</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w:t>
      </w:r>
    </w:p>
    <w:p>
      <w:pPr>
        <w:pStyle w:val="16"/>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四、财政拨款收入支出决算总体情况说明</w:t>
      </w:r>
    </w:p>
    <w:p>
      <w:pPr>
        <w:pStyle w:val="16"/>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2024年度财政拨款收、支总计</w:t>
      </w:r>
      <w:r>
        <w:rPr>
          <w:rFonts w:hint="eastAsia" w:ascii="Times New Roman" w:hAnsi="Times New Roman" w:eastAsia="仿宋_GB2312" w:cs="Times New Roman"/>
          <w:sz w:val="32"/>
          <w:szCs w:val="32"/>
        </w:rPr>
        <w:t>1850.59</w:t>
      </w:r>
      <w:r>
        <w:rPr>
          <w:rFonts w:ascii="Times New Roman" w:hAnsi="Times New Roman" w:eastAsia="仿宋_GB2312" w:cs="Times New Roman"/>
          <w:sz w:val="32"/>
          <w:szCs w:val="32"/>
        </w:rPr>
        <w:t>万元，与上年相比，增加</w:t>
      </w:r>
      <w:r>
        <w:rPr>
          <w:rFonts w:hint="eastAsia" w:ascii="Times New Roman" w:hAnsi="Times New Roman" w:eastAsia="仿宋_GB2312" w:cs="Times New Roman"/>
          <w:sz w:val="32"/>
          <w:szCs w:val="32"/>
        </w:rPr>
        <w:t>311.39</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rPr>
        <w:t>16.83</w:t>
      </w:r>
      <w:r>
        <w:rPr>
          <w:rFonts w:ascii="Times New Roman" w:hAnsi="Times New Roman" w:eastAsia="仿宋_GB2312" w:cs="Times New Roman"/>
          <w:sz w:val="32"/>
          <w:szCs w:val="32"/>
        </w:rPr>
        <w:t>%，主要是因为</w:t>
      </w:r>
      <w:r>
        <w:rPr>
          <w:rFonts w:hint="eastAsia" w:ascii="Times New Roman" w:hAnsi="Times New Roman" w:eastAsia="仿宋_GB2312" w:cs="Times New Roman"/>
          <w:sz w:val="32"/>
          <w:szCs w:val="32"/>
        </w:rPr>
        <w:t>单位原址新建项目投资力度加大，工程进度加快。</w:t>
      </w:r>
    </w:p>
    <w:p>
      <w:pPr>
        <w:pStyle w:val="16"/>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五、一般公共预算财政拨款支出决算情况说明</w:t>
      </w:r>
    </w:p>
    <w:p>
      <w:pPr>
        <w:pStyle w:val="16"/>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（一）一般公共预算财政拨款支出决算总体情况</w:t>
      </w:r>
    </w:p>
    <w:p>
      <w:pPr>
        <w:pStyle w:val="16"/>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2024年度财政拨款支出</w:t>
      </w:r>
      <w:r>
        <w:rPr>
          <w:rFonts w:hint="eastAsia" w:ascii="Times New Roman" w:hAnsi="Times New Roman" w:eastAsia="仿宋_GB2312" w:cs="Times New Roman"/>
          <w:sz w:val="32"/>
          <w:szCs w:val="32"/>
        </w:rPr>
        <w:t>1850.59</w:t>
      </w:r>
      <w:r>
        <w:rPr>
          <w:rFonts w:ascii="Times New Roman" w:hAnsi="Times New Roman" w:eastAsia="仿宋_GB2312" w:cs="Times New Roman"/>
          <w:sz w:val="32"/>
          <w:szCs w:val="32"/>
        </w:rPr>
        <w:t>万元，占本年支出合计的</w:t>
      </w:r>
      <w:r>
        <w:rPr>
          <w:rFonts w:hint="eastAsia" w:ascii="Times New Roman" w:hAnsi="Times New Roman" w:eastAsia="仿宋_GB2312" w:cs="Times New Roman"/>
          <w:sz w:val="32"/>
          <w:szCs w:val="32"/>
        </w:rPr>
        <w:t>60.88</w:t>
      </w:r>
      <w:r>
        <w:rPr>
          <w:rFonts w:ascii="Times New Roman" w:hAnsi="Times New Roman" w:eastAsia="仿宋_GB2312" w:cs="Times New Roman"/>
          <w:sz w:val="32"/>
          <w:szCs w:val="32"/>
        </w:rPr>
        <w:t>%，与上年相比，财政拨款支出增加</w:t>
      </w:r>
      <w:r>
        <w:rPr>
          <w:rFonts w:hint="eastAsia" w:ascii="Times New Roman" w:hAnsi="Times New Roman" w:eastAsia="仿宋_GB2312" w:cs="Times New Roman"/>
          <w:sz w:val="32"/>
          <w:szCs w:val="32"/>
        </w:rPr>
        <w:t>682.01</w:t>
      </w:r>
      <w:r>
        <w:rPr>
          <w:rFonts w:ascii="Times New Roman" w:hAnsi="Times New Roman" w:eastAsia="仿宋_GB2312" w:cs="Times New Roman"/>
          <w:sz w:val="32"/>
          <w:szCs w:val="32"/>
        </w:rPr>
        <w:t>万元，增长（降低）</w:t>
      </w:r>
      <w:r>
        <w:rPr>
          <w:rFonts w:hint="eastAsia" w:ascii="Times New Roman" w:hAnsi="Times New Roman" w:eastAsia="仿宋_GB2312" w:cs="Times New Roman"/>
          <w:sz w:val="32"/>
          <w:szCs w:val="32"/>
        </w:rPr>
        <w:t>58.36</w:t>
      </w:r>
      <w:r>
        <w:rPr>
          <w:rFonts w:ascii="Times New Roman" w:hAnsi="Times New Roman" w:eastAsia="仿宋_GB2312" w:cs="Times New Roman"/>
          <w:sz w:val="32"/>
          <w:szCs w:val="32"/>
        </w:rPr>
        <w:t>%，主要是因为</w:t>
      </w:r>
      <w:r>
        <w:rPr>
          <w:rFonts w:hint="eastAsia" w:ascii="Times New Roman" w:hAnsi="Times New Roman" w:eastAsia="仿宋_GB2312" w:cs="Times New Roman"/>
          <w:sz w:val="32"/>
          <w:szCs w:val="32"/>
        </w:rPr>
        <w:t>单位原址新建项目投资力度加大，工程进度加快。</w:t>
      </w:r>
    </w:p>
    <w:p>
      <w:pPr>
        <w:pStyle w:val="16"/>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（二）一般公共预算财政拨款支出决算结构情况</w:t>
      </w:r>
    </w:p>
    <w:p>
      <w:pPr>
        <w:pStyle w:val="16"/>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2024年度财政拨款支出</w:t>
      </w:r>
      <w:r>
        <w:rPr>
          <w:rFonts w:hint="eastAsia" w:ascii="Times New Roman" w:hAnsi="Times New Roman" w:eastAsia="仿宋_GB2312" w:cs="Times New Roman"/>
          <w:sz w:val="32"/>
          <w:szCs w:val="32"/>
        </w:rPr>
        <w:t>1850.59</w:t>
      </w:r>
      <w:r>
        <w:rPr>
          <w:rFonts w:ascii="Times New Roman" w:hAnsi="Times New Roman" w:eastAsia="仿宋_GB2312" w:cs="Times New Roman"/>
          <w:sz w:val="32"/>
          <w:szCs w:val="32"/>
        </w:rPr>
        <w:t>万元，主要用于以下方面：一般公共服务（类）支出</w:t>
      </w:r>
      <w:r>
        <w:rPr>
          <w:rFonts w:hint="eastAsia" w:ascii="Times New Roman" w:hAnsi="Times New Roman" w:eastAsia="仿宋_GB2312" w:cs="Times New Roman"/>
          <w:sz w:val="32"/>
          <w:szCs w:val="32"/>
        </w:rPr>
        <w:t>269.62</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rPr>
        <w:t>14.57</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社会保障和就业支出1580.97</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rPr>
        <w:t>84.43</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w:t>
      </w:r>
    </w:p>
    <w:p>
      <w:pPr>
        <w:pStyle w:val="16"/>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（三）一般公共预算财政拨款支出决算具体情况</w:t>
      </w:r>
    </w:p>
    <w:p>
      <w:pPr>
        <w:pStyle w:val="16"/>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2024年度财政拨款支出年初预算数为</w:t>
      </w:r>
      <w:r>
        <w:rPr>
          <w:rFonts w:hint="eastAsia" w:ascii="Times New Roman" w:hAnsi="Times New Roman" w:eastAsia="仿宋_GB2312" w:cs="Times New Roman"/>
          <w:sz w:val="32"/>
          <w:szCs w:val="32"/>
        </w:rPr>
        <w:t>889.97</w:t>
      </w:r>
      <w:r>
        <w:rPr>
          <w:rFonts w:ascii="Times New Roman" w:hAnsi="Times New Roman" w:eastAsia="仿宋_GB2312" w:cs="Times New Roman"/>
          <w:sz w:val="32"/>
          <w:szCs w:val="32"/>
        </w:rPr>
        <w:t>万元，支出决算数为</w:t>
      </w:r>
      <w:r>
        <w:rPr>
          <w:rFonts w:hint="eastAsia" w:ascii="Times New Roman" w:hAnsi="Times New Roman" w:eastAsia="仿宋_GB2312" w:cs="Times New Roman"/>
          <w:sz w:val="32"/>
          <w:szCs w:val="32"/>
        </w:rPr>
        <w:t>1850.59</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rPr>
        <w:t>207.97</w:t>
      </w:r>
      <w:r>
        <w:rPr>
          <w:rFonts w:ascii="Times New Roman" w:hAnsi="Times New Roman" w:eastAsia="仿宋_GB2312" w:cs="Times New Roman"/>
          <w:sz w:val="32"/>
          <w:szCs w:val="32"/>
        </w:rPr>
        <w:t>%，其中：</w:t>
      </w:r>
    </w:p>
    <w:p>
      <w:pPr>
        <w:pStyle w:val="16"/>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1、一般公共服务（类）</w:t>
      </w:r>
      <w:r>
        <w:rPr>
          <w:rFonts w:hint="eastAsia" w:ascii="Times New Roman" w:hAnsi="Times New Roman" w:eastAsia="仿宋_GB2312" w:cs="Times New Roman"/>
          <w:sz w:val="32"/>
          <w:szCs w:val="32"/>
        </w:rPr>
        <w:t>其他一般公共服务支出</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其他一般公共服务支出</w:t>
      </w:r>
      <w:r>
        <w:rPr>
          <w:rFonts w:ascii="Times New Roman" w:hAnsi="Times New Roman" w:eastAsia="仿宋_GB2312" w:cs="Times New Roman"/>
          <w:sz w:val="32"/>
          <w:szCs w:val="32"/>
        </w:rPr>
        <w:t>（项）。</w:t>
      </w:r>
    </w:p>
    <w:p>
      <w:pPr>
        <w:pStyle w:val="16"/>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rPr>
        <w:t>703.90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rPr>
        <w:t>269.62</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rPr>
        <w:t>38.30</w:t>
      </w:r>
      <w:r>
        <w:rPr>
          <w:rFonts w:ascii="Times New Roman" w:hAnsi="Times New Roman" w:eastAsia="仿宋_GB2312" w:cs="Times New Roman"/>
          <w:sz w:val="32"/>
          <w:szCs w:val="32"/>
        </w:rPr>
        <w:t>%，决算数小于年初预算数的主要原因是：</w:t>
      </w:r>
      <w:r>
        <w:rPr>
          <w:rFonts w:hint="eastAsia" w:ascii="Times New Roman" w:hAnsi="Times New Roman" w:eastAsia="仿宋_GB2312" w:cs="Times New Roman"/>
          <w:sz w:val="32"/>
          <w:szCs w:val="32"/>
        </w:rPr>
        <w:t>单位原址新建项目建设自筹资金部分受财政困难影响，资金暂时未实现全额拨付。</w:t>
      </w:r>
    </w:p>
    <w:p>
      <w:pPr>
        <w:pStyle w:val="16"/>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w:t>
      </w:r>
      <w:r>
        <w:rPr>
          <w:rFonts w:hint="eastAsia" w:ascii="Times New Roman" w:hAnsi="Times New Roman" w:eastAsia="仿宋_GB2312" w:cs="Times New Roman"/>
          <w:sz w:val="32"/>
          <w:szCs w:val="32"/>
        </w:rPr>
        <w:t>社会保障和就业支出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rPr>
        <w:t>其他行政事业单位养老支出</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其他行政事业单位养老支出</w:t>
      </w:r>
      <w:r>
        <w:rPr>
          <w:rFonts w:ascii="Times New Roman" w:hAnsi="Times New Roman" w:eastAsia="仿宋_GB2312" w:cs="Times New Roman"/>
          <w:sz w:val="32"/>
          <w:szCs w:val="32"/>
        </w:rPr>
        <w:t>（项）。</w:t>
      </w:r>
    </w:p>
    <w:p>
      <w:pPr>
        <w:pStyle w:val="16"/>
        <w:overflowPunct w:val="0"/>
        <w:autoSpaceDE/>
        <w:autoSpaceDN/>
        <w:spacing w:line="600" w:lineRule="exact"/>
        <w:ind w:firstLine="640" w:firstLineChars="200"/>
        <w:jc w:val="both"/>
        <w:rPr>
          <w:rFonts w:ascii="Times New Roman" w:hAnsi="Times New Roman" w:eastAsia="仿宋_GB2312"/>
          <w:sz w:val="32"/>
          <w:szCs w:val="32"/>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rPr>
        <w:t>0.01</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rPr>
        <w:t>100</w:t>
      </w:r>
      <w:r>
        <w:rPr>
          <w:rFonts w:ascii="Times New Roman" w:hAnsi="Times New Roman" w:eastAsia="仿宋_GB2312" w:cs="Times New Roman"/>
          <w:sz w:val="32"/>
          <w:szCs w:val="32"/>
        </w:rPr>
        <w:t>%，决算数大于年初预算数的主要原因是：</w:t>
      </w:r>
      <w:r>
        <w:rPr>
          <w:rFonts w:hint="eastAsia" w:ascii="Times New Roman" w:hAnsi="Times New Roman" w:eastAsia="仿宋_GB2312"/>
          <w:sz w:val="32"/>
          <w:szCs w:val="32"/>
        </w:rPr>
        <w:t>年初预算安排未考虑周到，导致少报、漏报预算。</w:t>
      </w:r>
    </w:p>
    <w:p>
      <w:pPr>
        <w:pStyle w:val="16"/>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3</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社会保障和就业支出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rPr>
        <w:t>社会福利</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殡葬</w:t>
      </w:r>
      <w:r>
        <w:rPr>
          <w:rFonts w:ascii="Times New Roman" w:hAnsi="Times New Roman" w:eastAsia="仿宋_GB2312" w:cs="Times New Roman"/>
          <w:sz w:val="32"/>
          <w:szCs w:val="32"/>
        </w:rPr>
        <w:t>（项）。</w:t>
      </w:r>
    </w:p>
    <w:p>
      <w:pPr>
        <w:pStyle w:val="16"/>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rPr>
        <w:t>175.41</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rPr>
        <w:t>444.35</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rPr>
        <w:t>253.32</w:t>
      </w:r>
      <w:r>
        <w:rPr>
          <w:rFonts w:ascii="Times New Roman" w:hAnsi="Times New Roman" w:eastAsia="仿宋_GB2312" w:cs="Times New Roman"/>
          <w:sz w:val="32"/>
          <w:szCs w:val="32"/>
        </w:rPr>
        <w:t>%，决算数大于年初预算数的主要原因是：</w:t>
      </w:r>
      <w:r>
        <w:rPr>
          <w:rFonts w:hint="eastAsia" w:ascii="Times New Roman" w:hAnsi="Times New Roman" w:eastAsia="仿宋_GB2312"/>
          <w:sz w:val="32"/>
          <w:szCs w:val="32"/>
        </w:rPr>
        <w:t>年初预算安排未考虑周到，导致少报、漏报预算。</w:t>
      </w:r>
    </w:p>
    <w:p>
      <w:pPr>
        <w:pStyle w:val="16"/>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4</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社会保障和就业支出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rPr>
        <w:t>社会福利</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社会福利事业单位</w:t>
      </w:r>
      <w:r>
        <w:rPr>
          <w:rFonts w:ascii="Times New Roman" w:hAnsi="Times New Roman" w:eastAsia="仿宋_GB2312" w:cs="Times New Roman"/>
          <w:sz w:val="32"/>
          <w:szCs w:val="32"/>
        </w:rPr>
        <w:t>（项）。</w:t>
      </w:r>
    </w:p>
    <w:p>
      <w:pPr>
        <w:pStyle w:val="16"/>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rPr>
        <w:t>10.66</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rPr>
        <w:t>10.66</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rPr>
        <w:t>100</w:t>
      </w:r>
      <w:r>
        <w:rPr>
          <w:rFonts w:ascii="Times New Roman" w:hAnsi="Times New Roman" w:eastAsia="仿宋_GB2312" w:cs="Times New Roman"/>
          <w:sz w:val="32"/>
          <w:szCs w:val="32"/>
        </w:rPr>
        <w:t>%，决算数大于（小于）年初预算数的主要原因是：</w:t>
      </w:r>
      <w:r>
        <w:rPr>
          <w:rFonts w:hint="eastAsia" w:ascii="Times New Roman" w:hAnsi="Times New Roman" w:eastAsia="仿宋_GB2312" w:cs="Times New Roman"/>
          <w:sz w:val="32"/>
          <w:szCs w:val="32"/>
        </w:rPr>
        <w:t>预算范围内，无偏差。</w:t>
      </w:r>
    </w:p>
    <w:p>
      <w:pPr>
        <w:pStyle w:val="16"/>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5</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社会保障和就业支出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rPr>
        <w:t>其他社会保障和就业支出</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其他社会保障和就业支出</w:t>
      </w:r>
      <w:r>
        <w:rPr>
          <w:rFonts w:ascii="Times New Roman" w:hAnsi="Times New Roman" w:eastAsia="仿宋_GB2312" w:cs="Times New Roman"/>
          <w:sz w:val="32"/>
          <w:szCs w:val="32"/>
        </w:rPr>
        <w:t>（项）。</w:t>
      </w:r>
    </w:p>
    <w:p>
      <w:pPr>
        <w:pStyle w:val="16"/>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rPr>
        <w:t>1125.96</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rPr>
        <w:t>100</w:t>
      </w:r>
      <w:r>
        <w:rPr>
          <w:rFonts w:ascii="Times New Roman" w:hAnsi="Times New Roman" w:eastAsia="仿宋_GB2312" w:cs="Times New Roman"/>
          <w:sz w:val="32"/>
          <w:szCs w:val="32"/>
        </w:rPr>
        <w:t>%，决算数大于年初预算数的主要原因是：</w:t>
      </w:r>
      <w:r>
        <w:rPr>
          <w:rFonts w:hint="eastAsia" w:ascii="Times New Roman" w:hAnsi="Times New Roman" w:eastAsia="仿宋_GB2312"/>
          <w:sz w:val="32"/>
          <w:szCs w:val="32"/>
        </w:rPr>
        <w:t>年初预算安排未考虑周到，导致少报、漏报预算。</w:t>
      </w:r>
    </w:p>
    <w:p>
      <w:pPr>
        <w:pStyle w:val="16"/>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六、一般公共预算财政拨款基本支出决算情况说明</w:t>
      </w:r>
    </w:p>
    <w:p>
      <w:pPr>
        <w:pStyle w:val="16"/>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2024年度一般公共预算财政拨款基本支出</w:t>
      </w:r>
      <w:r>
        <w:rPr>
          <w:rFonts w:hint="eastAsia" w:ascii="Times New Roman" w:hAnsi="Times New Roman" w:eastAsia="仿宋_GB2312" w:cs="Times New Roman"/>
          <w:sz w:val="32"/>
          <w:szCs w:val="32"/>
        </w:rPr>
        <w:t>370.68</w:t>
      </w:r>
      <w:r>
        <w:rPr>
          <w:rFonts w:ascii="Times New Roman" w:hAnsi="Times New Roman" w:eastAsia="仿宋_GB2312" w:cs="Times New Roman"/>
          <w:sz w:val="32"/>
          <w:szCs w:val="32"/>
        </w:rPr>
        <w:t>万元，其中：</w:t>
      </w:r>
    </w:p>
    <w:p>
      <w:pPr>
        <w:pStyle w:val="16"/>
        <w:overflowPunct w:val="0"/>
        <w:autoSpaceDE/>
        <w:autoSpaceDN/>
        <w:spacing w:line="600" w:lineRule="exact"/>
        <w:ind w:firstLine="640" w:firstLineChars="200"/>
        <w:jc w:val="both"/>
        <w:rPr>
          <w:rFonts w:ascii="Times New Roman" w:hAnsi="Times New Roman" w:eastAsia="楷体_GB2312" w:cs="Times New Roman"/>
          <w:b/>
          <w:bCs/>
          <w:i/>
          <w:color w:val="auto"/>
          <w:sz w:val="32"/>
          <w:szCs w:val="32"/>
        </w:rPr>
      </w:pPr>
      <w:r>
        <w:rPr>
          <w:rFonts w:ascii="Times New Roman" w:hAnsi="Times New Roman" w:eastAsia="仿宋_GB2312" w:cs="Times New Roman"/>
          <w:b/>
          <w:bCs/>
          <w:sz w:val="32"/>
          <w:szCs w:val="32"/>
        </w:rPr>
        <w:t>人员经费</w:t>
      </w:r>
      <w:r>
        <w:rPr>
          <w:rFonts w:hint="eastAsia" w:ascii="Times New Roman" w:hAnsi="Times New Roman" w:eastAsia="仿宋_GB2312" w:cs="Times New Roman"/>
          <w:sz w:val="32"/>
          <w:szCs w:val="32"/>
        </w:rPr>
        <w:t>366.91</w:t>
      </w:r>
      <w:r>
        <w:rPr>
          <w:rFonts w:ascii="Times New Roman" w:hAnsi="Times New Roman" w:eastAsia="仿宋_GB2312" w:cs="Times New Roman"/>
          <w:sz w:val="32"/>
          <w:szCs w:val="32"/>
        </w:rPr>
        <w:t>万元，占基本支出的</w:t>
      </w:r>
      <w:r>
        <w:rPr>
          <w:rFonts w:hint="eastAsia" w:ascii="Times New Roman" w:hAnsi="Times New Roman" w:eastAsia="仿宋_GB2312" w:cs="Times New Roman"/>
          <w:sz w:val="32"/>
          <w:szCs w:val="32"/>
        </w:rPr>
        <w:t>98.98</w:t>
      </w:r>
      <w:r>
        <w:rPr>
          <w:rFonts w:ascii="Times New Roman" w:hAnsi="Times New Roman" w:eastAsia="仿宋_GB2312" w:cs="Times New Roman"/>
          <w:sz w:val="32"/>
          <w:szCs w:val="32"/>
        </w:rPr>
        <w:t>%,主要包括基本工资、津贴补贴、奖金、</w:t>
      </w:r>
      <w:r>
        <w:rPr>
          <w:rFonts w:hint="eastAsia" w:ascii="Times New Roman" w:hAnsi="Times New Roman" w:eastAsia="仿宋_GB2312" w:cs="Times New Roman"/>
          <w:sz w:val="32"/>
          <w:szCs w:val="32"/>
        </w:rPr>
        <w:t>绩效工资、机关事业单位基本养老保险、职业年金缴费、职业基本医疗保险缴费、其他社会保障缴费、住房公积金、其他工资福利支出</w:t>
      </w:r>
      <w:r>
        <w:rPr>
          <w:rFonts w:ascii="Times New Roman" w:hAnsi="Times New Roman" w:eastAsia="仿宋_GB2312" w:cs="Times New Roman"/>
          <w:sz w:val="32"/>
          <w:szCs w:val="32"/>
        </w:rPr>
        <w:t>。</w:t>
      </w:r>
    </w:p>
    <w:p>
      <w:pPr>
        <w:pStyle w:val="16"/>
        <w:overflowPunct w:val="0"/>
        <w:autoSpaceDE/>
        <w:autoSpaceDN/>
        <w:spacing w:line="600" w:lineRule="exact"/>
        <w:ind w:firstLine="640" w:firstLineChars="200"/>
        <w:jc w:val="both"/>
        <w:rPr>
          <w:rFonts w:ascii="Times New Roman" w:hAnsi="Times New Roman" w:eastAsia="仿宋_GB2312" w:cs="Times New Roman"/>
          <w:b/>
          <w:sz w:val="32"/>
          <w:szCs w:val="32"/>
        </w:rPr>
      </w:pPr>
      <w:r>
        <w:rPr>
          <w:rFonts w:ascii="Times New Roman" w:hAnsi="Times New Roman" w:eastAsia="仿宋_GB2312" w:cs="Times New Roman"/>
          <w:b/>
          <w:bCs/>
          <w:sz w:val="32"/>
          <w:szCs w:val="32"/>
        </w:rPr>
        <w:t>公用经费</w:t>
      </w:r>
      <w:r>
        <w:rPr>
          <w:rFonts w:hint="eastAsia" w:ascii="Times New Roman" w:hAnsi="Times New Roman" w:eastAsia="仿宋_GB2312" w:cs="Times New Roman"/>
          <w:sz w:val="32"/>
          <w:szCs w:val="32"/>
        </w:rPr>
        <w:t>3.77</w:t>
      </w:r>
      <w:r>
        <w:rPr>
          <w:rFonts w:ascii="Times New Roman" w:hAnsi="Times New Roman" w:eastAsia="仿宋_GB2312" w:cs="Times New Roman"/>
          <w:sz w:val="32"/>
          <w:szCs w:val="32"/>
        </w:rPr>
        <w:t>万元，占基本支出的</w:t>
      </w:r>
      <w:r>
        <w:rPr>
          <w:rFonts w:hint="eastAsia" w:ascii="Times New Roman" w:hAnsi="Times New Roman" w:eastAsia="仿宋_GB2312" w:cs="Times New Roman"/>
          <w:sz w:val="32"/>
          <w:szCs w:val="32"/>
        </w:rPr>
        <w:t>1.02</w:t>
      </w:r>
      <w:r>
        <w:rPr>
          <w:rFonts w:ascii="Times New Roman" w:hAnsi="Times New Roman" w:eastAsia="仿宋_GB2312" w:cs="Times New Roman"/>
          <w:sz w:val="32"/>
          <w:szCs w:val="32"/>
        </w:rPr>
        <w:t>%，主要包括</w:t>
      </w:r>
      <w:r>
        <w:rPr>
          <w:rFonts w:hint="eastAsia" w:ascii="Times New Roman" w:hAnsi="Times New Roman" w:eastAsia="仿宋_GB2312" w:cs="Times New Roman"/>
          <w:sz w:val="32"/>
          <w:szCs w:val="32"/>
        </w:rPr>
        <w:t>工会经费</w:t>
      </w:r>
      <w:r>
        <w:rPr>
          <w:rFonts w:ascii="Times New Roman" w:hAnsi="Times New Roman" w:eastAsia="仿宋_GB2312" w:cs="Times New Roman"/>
          <w:sz w:val="32"/>
          <w:szCs w:val="32"/>
        </w:rPr>
        <w:t>。</w:t>
      </w:r>
    </w:p>
    <w:p>
      <w:pPr>
        <w:pStyle w:val="16"/>
        <w:overflowPunct w:val="0"/>
        <w:autoSpaceDE/>
        <w:autoSpaceDN/>
        <w:spacing w:line="600" w:lineRule="exact"/>
        <w:ind w:firstLine="640" w:firstLineChars="200"/>
        <w:jc w:val="both"/>
        <w:rPr>
          <w:rFonts w:ascii="Times New Roman" w:hAnsi="Times New Roman" w:eastAsia="仿宋_GB2312" w:cs="Times New Roman"/>
          <w:b/>
          <w:sz w:val="32"/>
          <w:szCs w:val="32"/>
        </w:rPr>
      </w:pPr>
      <w:r>
        <w:rPr>
          <w:rFonts w:ascii="Times New Roman" w:hAnsi="Times New Roman" w:cs="Times New Roman"/>
          <w:bCs/>
          <w:sz w:val="32"/>
          <w:szCs w:val="32"/>
        </w:rPr>
        <w:t>七、财政拨款“三公”经费支出决算情况说明</w:t>
      </w:r>
      <w:r>
        <w:rPr>
          <w:rFonts w:ascii="Times New Roman" w:hAnsi="Times New Roman" w:eastAsia="楷体_GB2312" w:cs="Times New Roman"/>
          <w:b/>
          <w:bCs/>
          <w:i/>
          <w:color w:val="auto"/>
          <w:sz w:val="32"/>
          <w:szCs w:val="32"/>
        </w:rPr>
        <w:t>（注意：“三公”经费不再是一般公共预算财政拨款口径，而是财政拨款口径）</w:t>
      </w:r>
    </w:p>
    <w:p>
      <w:pPr>
        <w:pStyle w:val="16"/>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（一）“三公”经费财政拨款支出决算总体情况说明</w:t>
      </w:r>
    </w:p>
    <w:p>
      <w:pPr>
        <w:pStyle w:val="16"/>
        <w:overflowPunct w:val="0"/>
        <w:autoSpaceDE/>
        <w:autoSpaceDN/>
        <w:spacing w:line="600" w:lineRule="exact"/>
        <w:ind w:firstLine="640" w:firstLineChars="200"/>
        <w:jc w:val="both"/>
        <w:rPr>
          <w:rFonts w:ascii="Times New Roman" w:hAnsi="Times New Roman" w:eastAsia="仿宋_GB2312" w:cs="Times New Roman"/>
          <w:sz w:val="32"/>
          <w:szCs w:val="32"/>
          <w:highlight w:val="yellow"/>
        </w:rPr>
      </w:pPr>
      <w:r>
        <w:rPr>
          <w:rFonts w:ascii="Times New Roman" w:hAnsi="Times New Roman" w:eastAsia="仿宋_GB2312" w:cs="Times New Roman"/>
          <w:sz w:val="32"/>
          <w:szCs w:val="32"/>
        </w:rPr>
        <w:t>2024年度“三公”经费财政拨款支出预算为</w:t>
      </w:r>
      <w:r>
        <w:rPr>
          <w:rFonts w:hint="eastAsia" w:ascii="Times New Roman" w:hAnsi="Times New Roman" w:eastAsia="仿宋_GB2312" w:cs="Times New Roman"/>
          <w:sz w:val="32"/>
          <w:szCs w:val="32"/>
        </w:rPr>
        <w:t>21</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rPr>
        <w:t>0.01</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rPr>
        <w:t>0.05</w:t>
      </w:r>
      <w:r>
        <w:rPr>
          <w:rFonts w:ascii="Times New Roman" w:hAnsi="Times New Roman" w:eastAsia="仿宋_GB2312" w:cs="Times New Roman"/>
          <w:sz w:val="32"/>
          <w:szCs w:val="32"/>
        </w:rPr>
        <w:t>%；与上年相比增加</w:t>
      </w:r>
      <w:r>
        <w:rPr>
          <w:rFonts w:hint="eastAsia" w:ascii="Times New Roman" w:hAnsi="Times New Roman" w:eastAsia="仿宋_GB2312" w:cs="Times New Roman"/>
          <w:sz w:val="32"/>
          <w:szCs w:val="32"/>
        </w:rPr>
        <w:t>0.01</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rPr>
        <w:t>0.05</w:t>
      </w:r>
      <w:r>
        <w:rPr>
          <w:rFonts w:ascii="Times New Roman" w:hAnsi="Times New Roman" w:eastAsia="仿宋_GB2312" w:cs="Times New Roman"/>
          <w:sz w:val="32"/>
          <w:szCs w:val="32"/>
        </w:rPr>
        <w:t>%。决算数小于预算数的主要原因是</w:t>
      </w:r>
      <w:r>
        <w:rPr>
          <w:rFonts w:hint="eastAsia" w:ascii="Times New Roman" w:hAnsi="Times New Roman" w:eastAsia="仿宋_GB2312"/>
          <w:sz w:val="32"/>
          <w:szCs w:val="32"/>
        </w:rPr>
        <w:t>预算编报与实际支出存在偏差</w:t>
      </w:r>
      <w:r>
        <w:rPr>
          <w:rFonts w:ascii="Times New Roman" w:hAnsi="Times New Roman" w:eastAsia="仿宋_GB2312" w:cs="Times New Roman"/>
          <w:sz w:val="32"/>
          <w:szCs w:val="32"/>
        </w:rPr>
        <w:t>。决算数大于上年数的主要原因</w:t>
      </w:r>
      <w:r>
        <w:rPr>
          <w:rFonts w:hint="eastAsia" w:ascii="Times New Roman" w:hAnsi="Times New Roman" w:eastAsia="仿宋_GB2312" w:cs="Times New Roman"/>
          <w:sz w:val="32"/>
          <w:szCs w:val="32"/>
        </w:rPr>
        <w:t>是在合理范围内，且符合相关规定和预算管理要求</w:t>
      </w:r>
      <w:r>
        <w:rPr>
          <w:rFonts w:ascii="Times New Roman" w:hAnsi="Times New Roman" w:eastAsia="仿宋_GB2312" w:cs="Times New Roman"/>
          <w:sz w:val="32"/>
          <w:szCs w:val="32"/>
        </w:rPr>
        <w:t>。</w:t>
      </w:r>
    </w:p>
    <w:p>
      <w:pPr>
        <w:pStyle w:val="16"/>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（二）“三公”经费财政拨款支出决算具体情况说明</w:t>
      </w:r>
    </w:p>
    <w:p>
      <w:pPr>
        <w:pStyle w:val="16"/>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1.因公出国（境）费支出预算为</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%；与上年相比增加（减少）</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万元，增长（降低）</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%。决算数大于（小于）预算数的主要原因是</w:t>
      </w:r>
      <w:r>
        <w:rPr>
          <w:rFonts w:hint="eastAsia" w:ascii="Times New Roman" w:hAnsi="Times New Roman" w:eastAsia="仿宋_GB2312" w:cs="Times New Roman"/>
          <w:sz w:val="32"/>
          <w:szCs w:val="32"/>
        </w:rPr>
        <w:t>无预算无支出</w:t>
      </w:r>
      <w:r>
        <w:rPr>
          <w:rFonts w:ascii="Times New Roman" w:hAnsi="Times New Roman" w:eastAsia="仿宋_GB2312" w:cs="Times New Roman"/>
          <w:sz w:val="32"/>
          <w:szCs w:val="32"/>
        </w:rPr>
        <w:t>。决算数大于（小于）上年数的主要原因是</w:t>
      </w:r>
      <w:r>
        <w:rPr>
          <w:rFonts w:hint="eastAsia" w:ascii="Times New Roman" w:hAnsi="Times New Roman" w:eastAsia="仿宋_GB2312" w:cs="Times New Roman"/>
          <w:sz w:val="32"/>
          <w:szCs w:val="32"/>
        </w:rPr>
        <w:t>无预算无支出</w:t>
      </w:r>
      <w:r>
        <w:rPr>
          <w:rFonts w:ascii="Times New Roman" w:hAnsi="Times New Roman" w:eastAsia="仿宋_GB2312" w:cs="Times New Roman"/>
          <w:sz w:val="32"/>
          <w:szCs w:val="32"/>
        </w:rPr>
        <w:t>。2024年度安排因公出国（境）团组</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个，累计</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人次</w:t>
      </w:r>
      <w:r>
        <w:rPr>
          <w:rFonts w:ascii="Times New Roman" w:hAnsi="Times New Roman" w:eastAsia="楷体" w:cs="Times New Roman"/>
          <w:b/>
          <w:bCs/>
          <w:i/>
          <w:color w:val="auto"/>
          <w:sz w:val="32"/>
          <w:szCs w:val="32"/>
        </w:rPr>
        <w:t>,</w:t>
      </w:r>
      <w:r>
        <w:rPr>
          <w:rFonts w:ascii="Times New Roman" w:hAnsi="Times New Roman" w:eastAsia="仿宋_GB2312" w:cs="Times New Roman"/>
          <w:sz w:val="32"/>
          <w:szCs w:val="32"/>
        </w:rPr>
        <w:t>主要包括：</w:t>
      </w:r>
    </w:p>
    <w:p>
      <w:pPr>
        <w:pStyle w:val="16"/>
        <w:overflowPunct w:val="0"/>
        <w:autoSpaceDE/>
        <w:autoSpaceDN/>
        <w:spacing w:line="600" w:lineRule="exact"/>
        <w:ind w:firstLine="640" w:firstLineChars="200"/>
        <w:jc w:val="both"/>
        <w:rPr>
          <w:rFonts w:ascii="Times New Roman" w:hAnsi="Times New Roman" w:eastAsia="仿宋_GB2312" w:cs="Times New Roman"/>
          <w:sz w:val="32"/>
          <w:szCs w:val="32"/>
          <w:highlight w:val="yellow"/>
        </w:rPr>
      </w:pPr>
      <w:r>
        <w:rPr>
          <w:rFonts w:hint="eastAsia" w:ascii="Times New Roman" w:hAnsi="Times New Roman" w:eastAsia="仿宋_GB2312" w:cs="Times New Roman"/>
          <w:sz w:val="32"/>
          <w:szCs w:val="32"/>
        </w:rPr>
        <w:t>无预算无支出。</w:t>
      </w:r>
    </w:p>
    <w:p>
      <w:pPr>
        <w:pStyle w:val="16"/>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2.公务用车购置费及运行维护费支出预算为</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%；与上年相比增加（减少）</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万元，增长（降低）</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%。其中：</w:t>
      </w:r>
    </w:p>
    <w:p>
      <w:pPr>
        <w:pStyle w:val="16"/>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公务用车购置费支出预算为</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%；与上年相比增加（减少）</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万元，增长（降低）</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%。决算数大于（小于）预算数的主要原因是</w:t>
      </w:r>
      <w:r>
        <w:rPr>
          <w:rFonts w:hint="eastAsia" w:ascii="Times New Roman" w:hAnsi="Times New Roman" w:eastAsia="仿宋_GB2312" w:cs="Times New Roman"/>
          <w:sz w:val="32"/>
          <w:szCs w:val="32"/>
        </w:rPr>
        <w:t>无预算无支出</w:t>
      </w:r>
      <w:r>
        <w:rPr>
          <w:rFonts w:ascii="Times New Roman" w:hAnsi="Times New Roman" w:eastAsia="仿宋_GB2312" w:cs="Times New Roman"/>
          <w:sz w:val="32"/>
          <w:szCs w:val="32"/>
        </w:rPr>
        <w:t>，决算数大于（小于）上年数的主要原因是</w:t>
      </w:r>
      <w:r>
        <w:rPr>
          <w:rFonts w:hint="eastAsia" w:ascii="Times New Roman" w:hAnsi="Times New Roman" w:eastAsia="仿宋_GB2312" w:cs="Times New Roman"/>
          <w:sz w:val="32"/>
          <w:szCs w:val="32"/>
        </w:rPr>
        <w:t>无预算无支出</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怀化市殡葬事务中心</w:t>
      </w:r>
      <w:r>
        <w:rPr>
          <w:rFonts w:ascii="Times New Roman" w:hAnsi="Times New Roman" w:eastAsia="仿宋_GB2312" w:cs="Times New Roman"/>
          <w:sz w:val="32"/>
          <w:szCs w:val="32"/>
        </w:rPr>
        <w:t>（单位本级或某二级机构）更新公务用车</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辆</w:t>
      </w:r>
      <w:r>
        <w:rPr>
          <w:rFonts w:ascii="Times New Roman" w:hAnsi="Times New Roman" w:eastAsia="仿宋_GB2312" w:cs="Times New Roman"/>
          <w:color w:val="000000" w:themeColor="text1"/>
          <w:sz w:val="32"/>
          <w:szCs w:val="32"/>
        </w:rPr>
        <w:t>。</w:t>
      </w:r>
    </w:p>
    <w:p>
      <w:pPr>
        <w:pStyle w:val="16"/>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公务用车运行维护费支出预算为</w:t>
      </w:r>
      <w:r>
        <w:rPr>
          <w:rFonts w:hint="eastAsia" w:ascii="Times New Roman" w:hAnsi="Times New Roman" w:eastAsia="仿宋_GB2312" w:cs="Times New Roman"/>
          <w:sz w:val="32"/>
          <w:szCs w:val="32"/>
        </w:rPr>
        <w:t>20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rPr>
        <w:t>0.01</w:t>
      </w:r>
      <w:r>
        <w:rPr>
          <w:rFonts w:ascii="Times New Roman" w:hAnsi="Times New Roman" w:eastAsia="仿宋_GB2312" w:cs="Times New Roman"/>
          <w:sz w:val="32"/>
          <w:szCs w:val="32"/>
        </w:rPr>
        <w:t>万元，</w:t>
      </w:r>
    </w:p>
    <w:p>
      <w:pPr>
        <w:pStyle w:val="16"/>
        <w:overflowPunct w:val="0"/>
        <w:autoSpaceDE/>
        <w:autoSpaceDN/>
        <w:spacing w:line="600" w:lineRule="exact"/>
        <w:ind w:firstLine="640" w:firstLineChars="200"/>
        <w:jc w:val="both"/>
        <w:rPr>
          <w:rFonts w:ascii="Times New Roman" w:hAnsi="Times New Roman" w:eastAsia="楷体_GB2312" w:cs="Times New Roman"/>
          <w:b/>
          <w:bCs/>
          <w:i/>
          <w:color w:val="auto"/>
          <w:sz w:val="32"/>
          <w:szCs w:val="32"/>
        </w:rPr>
      </w:pPr>
      <w:r>
        <w:rPr>
          <w:rFonts w:ascii="Times New Roman" w:hAnsi="Times New Roman" w:eastAsia="仿宋_GB2312" w:cs="Times New Roman"/>
          <w:sz w:val="32"/>
          <w:szCs w:val="32"/>
        </w:rPr>
        <w:t>主要是</w:t>
      </w:r>
      <w:r>
        <w:rPr>
          <w:rFonts w:hint="eastAsia" w:ascii="Times New Roman" w:hAnsi="Times New Roman" w:eastAsia="仿宋_GB2312" w:cs="Times New Roman"/>
          <w:sz w:val="32"/>
          <w:szCs w:val="32"/>
        </w:rPr>
        <w:t>高速路过路费</w:t>
      </w:r>
      <w:r>
        <w:rPr>
          <w:rFonts w:ascii="Times New Roman" w:hAnsi="Times New Roman" w:eastAsia="仿宋_GB2312" w:cs="Times New Roman"/>
          <w:sz w:val="32"/>
          <w:szCs w:val="32"/>
        </w:rPr>
        <w:t>支出，完成预算的</w:t>
      </w:r>
      <w:r>
        <w:rPr>
          <w:rFonts w:hint="eastAsia" w:ascii="Times New Roman" w:hAnsi="Times New Roman" w:eastAsia="仿宋_GB2312" w:cs="Times New Roman"/>
          <w:sz w:val="32"/>
          <w:szCs w:val="32"/>
        </w:rPr>
        <w:t>0.05</w:t>
      </w:r>
      <w:r>
        <w:rPr>
          <w:rFonts w:ascii="Times New Roman" w:hAnsi="Times New Roman" w:eastAsia="仿宋_GB2312" w:cs="Times New Roman"/>
          <w:sz w:val="32"/>
          <w:szCs w:val="32"/>
        </w:rPr>
        <w:t>%；与上年相比增加</w:t>
      </w:r>
      <w:r>
        <w:rPr>
          <w:rFonts w:hint="eastAsia" w:ascii="Times New Roman" w:hAnsi="Times New Roman" w:eastAsia="仿宋_GB2312" w:cs="Times New Roman"/>
          <w:sz w:val="32"/>
          <w:szCs w:val="32"/>
        </w:rPr>
        <w:t>0.01</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rPr>
        <w:t>0.05</w:t>
      </w:r>
      <w:r>
        <w:rPr>
          <w:rFonts w:ascii="Times New Roman" w:hAnsi="Times New Roman" w:eastAsia="仿宋_GB2312" w:cs="Times New Roman"/>
          <w:sz w:val="32"/>
          <w:szCs w:val="32"/>
        </w:rPr>
        <w:t>%。决算数小于预算数的主要原因是</w:t>
      </w:r>
      <w:r>
        <w:rPr>
          <w:rFonts w:hint="eastAsia" w:ascii="Times New Roman" w:hAnsi="Times New Roman" w:eastAsia="仿宋_GB2312"/>
          <w:sz w:val="32"/>
          <w:szCs w:val="32"/>
        </w:rPr>
        <w:t>本年“三公”经费主要以事业收入列支，并受单位业务活动浮动影响</w:t>
      </w:r>
      <w:r>
        <w:rPr>
          <w:rFonts w:ascii="Times New Roman" w:hAnsi="Times New Roman" w:eastAsia="仿宋_GB2312" w:cs="Times New Roman"/>
          <w:sz w:val="32"/>
          <w:szCs w:val="32"/>
        </w:rPr>
        <w:t>。决算数大于上年数的主要原因是</w:t>
      </w:r>
      <w:r>
        <w:rPr>
          <w:rFonts w:hint="eastAsia" w:ascii="Times New Roman" w:hAnsi="Times New Roman" w:eastAsia="仿宋_GB2312"/>
          <w:sz w:val="32"/>
          <w:szCs w:val="32"/>
        </w:rPr>
        <w:t>受单位业务活动浮动影响</w:t>
      </w:r>
      <w:r>
        <w:rPr>
          <w:rFonts w:ascii="Times New Roman" w:hAnsi="Times New Roman" w:eastAsia="仿宋_GB2312" w:cs="Times New Roman"/>
          <w:sz w:val="32"/>
          <w:szCs w:val="32"/>
        </w:rPr>
        <w:t>。截止2024年12月31日，我单位开支财政拨款的公务用车保有量为</w:t>
      </w:r>
      <w:r>
        <w:rPr>
          <w:rFonts w:hint="eastAsia" w:ascii="Times New Roman" w:hAnsi="Times New Roman" w:eastAsia="仿宋_GB2312" w:cs="Times New Roman"/>
          <w:sz w:val="32"/>
          <w:szCs w:val="32"/>
        </w:rPr>
        <w:t>5</w:t>
      </w:r>
      <w:r>
        <w:rPr>
          <w:rFonts w:ascii="Times New Roman" w:hAnsi="Times New Roman" w:eastAsia="仿宋_GB2312" w:cs="Times New Roman"/>
          <w:sz w:val="32"/>
          <w:szCs w:val="32"/>
        </w:rPr>
        <w:t>辆。</w:t>
      </w:r>
    </w:p>
    <w:p>
      <w:pPr>
        <w:pStyle w:val="16"/>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3.公务接待费支出预算为</w:t>
      </w:r>
      <w:r>
        <w:rPr>
          <w:rFonts w:hint="eastAsia" w:ascii="Times New Roman" w:hAnsi="Times New Roman" w:eastAsia="仿宋_GB2312" w:cs="Times New Roman"/>
          <w:sz w:val="32"/>
          <w:szCs w:val="32"/>
        </w:rPr>
        <w:t>1</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%；与上年相比增加（减少）</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万元，增长（降低）</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%。决算数大于（小于）预算数的主要原因是</w:t>
      </w:r>
      <w:r>
        <w:rPr>
          <w:rFonts w:hint="eastAsia" w:ascii="Times New Roman" w:hAnsi="Times New Roman" w:eastAsia="仿宋_GB2312" w:cs="Times New Roman"/>
          <w:sz w:val="32"/>
          <w:szCs w:val="32"/>
        </w:rPr>
        <w:t>无支出，无偏差</w:t>
      </w:r>
      <w:r>
        <w:rPr>
          <w:rFonts w:ascii="Times New Roman" w:hAnsi="Times New Roman" w:eastAsia="仿宋_GB2312" w:cs="Times New Roman"/>
          <w:sz w:val="32"/>
          <w:szCs w:val="32"/>
        </w:rPr>
        <w:t>。决算数大于（小于）上年数的主要原因是</w:t>
      </w:r>
      <w:r>
        <w:rPr>
          <w:rFonts w:hint="eastAsia" w:ascii="Times New Roman" w:hAnsi="Times New Roman" w:eastAsia="仿宋_GB2312" w:cs="Times New Roman"/>
          <w:sz w:val="32"/>
          <w:szCs w:val="32"/>
        </w:rPr>
        <w:t>无支出，无偏差</w:t>
      </w:r>
      <w:r>
        <w:rPr>
          <w:rFonts w:ascii="Times New Roman" w:hAnsi="Times New Roman" w:eastAsia="仿宋_GB2312" w:cs="Times New Roman"/>
          <w:sz w:val="32"/>
          <w:szCs w:val="32"/>
        </w:rPr>
        <w:t>。2024年度共接待来访团组</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个、来宾</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人次，主要</w:t>
      </w:r>
      <w:r>
        <w:rPr>
          <w:rFonts w:hint="eastAsia" w:ascii="Times New Roman" w:hAnsi="Times New Roman" w:eastAsia="仿宋_GB2312" w:cs="Times New Roman"/>
          <w:sz w:val="32"/>
          <w:szCs w:val="32"/>
        </w:rPr>
        <w:t>是无</w:t>
      </w:r>
      <w:r>
        <w:rPr>
          <w:rFonts w:ascii="Times New Roman" w:hAnsi="Times New Roman" w:eastAsia="仿宋_GB2312" w:cs="Times New Roman"/>
          <w:sz w:val="32"/>
          <w:szCs w:val="32"/>
        </w:rPr>
        <w:t>发生的接待支出。</w:t>
      </w:r>
    </w:p>
    <w:p>
      <w:pPr>
        <w:pStyle w:val="16"/>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八、政府性基金预算收入支出决算情况</w:t>
      </w:r>
    </w:p>
    <w:p>
      <w:pPr>
        <w:pStyle w:val="16"/>
        <w:overflowPunct w:val="0"/>
        <w:autoSpaceDE/>
        <w:autoSpaceDN/>
        <w:spacing w:line="600" w:lineRule="exact"/>
        <w:ind w:firstLine="640" w:firstLineChars="200"/>
        <w:jc w:val="both"/>
        <w:rPr>
          <w:rFonts w:ascii="Times New Roman" w:hAnsi="Times New Roman" w:eastAsia="楷体_GB2312" w:cs="Times New Roman"/>
          <w:b/>
          <w:bCs/>
          <w:i/>
          <w:color w:val="auto"/>
          <w:sz w:val="32"/>
          <w:szCs w:val="32"/>
        </w:rPr>
      </w:pPr>
      <w:r>
        <w:rPr>
          <w:rFonts w:ascii="Times New Roman" w:hAnsi="Times New Roman" w:eastAsia="仿宋_GB2312" w:cs="Times New Roman"/>
          <w:sz w:val="32"/>
          <w:szCs w:val="32"/>
        </w:rPr>
        <w:t>2024年度政府性基金预算财政拨款收入</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万元；年初结转和结余</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万元；支出</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万元，其中基本支出</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万元，项目支出</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万元；年末结转和结余</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万元。具体情况如下：</w:t>
      </w:r>
      <w:r>
        <w:rPr>
          <w:rFonts w:hint="eastAsia" w:ascii="Times New Roman" w:hAnsi="Times New Roman" w:eastAsia="仿宋_GB2312" w:cs="Times New Roman"/>
          <w:sz w:val="32"/>
          <w:szCs w:val="32"/>
        </w:rPr>
        <w:t>无政府性基金收支</w:t>
      </w:r>
      <w:r>
        <w:rPr>
          <w:rFonts w:hint="eastAsia" w:ascii="Times New Roman" w:hAnsi="Times New Roman" w:eastAsia="楷体_GB2312" w:cs="Times New Roman"/>
          <w:b/>
          <w:bCs/>
          <w:i/>
          <w:color w:val="auto"/>
          <w:sz w:val="32"/>
          <w:szCs w:val="32"/>
        </w:rPr>
        <w:t>。</w:t>
      </w:r>
    </w:p>
    <w:p>
      <w:pPr>
        <w:pStyle w:val="16"/>
        <w:numPr>
          <w:ilvl w:val="0"/>
          <w:numId w:val="1"/>
        </w:numPr>
        <w:overflowPunct w:val="0"/>
        <w:autoSpaceDE/>
        <w:autoSpaceDN/>
        <w:spacing w:line="600" w:lineRule="exact"/>
        <w:ind w:firstLine="640" w:firstLineChars="200"/>
        <w:jc w:val="both"/>
        <w:rPr>
          <w:rFonts w:hint="eastAsia" w:ascii="Times New Roman" w:hAnsi="Times New Roman" w:cs="Times New Roman"/>
          <w:bCs/>
          <w:sz w:val="32"/>
          <w:szCs w:val="32"/>
          <w:lang w:eastAsia="zh-CN"/>
        </w:rPr>
      </w:pPr>
      <w:r>
        <w:rPr>
          <w:rFonts w:hint="eastAsia" w:ascii="Times New Roman" w:hAnsi="Times New Roman" w:cs="Times New Roman"/>
          <w:bCs/>
          <w:sz w:val="32"/>
          <w:szCs w:val="32"/>
          <w:lang w:eastAsia="zh-CN"/>
        </w:rPr>
        <w:t>国有资本经营预算收入支出决算情况</w:t>
      </w:r>
    </w:p>
    <w:p>
      <w:pPr>
        <w:pStyle w:val="16"/>
        <w:overflowPunct w:val="0"/>
        <w:autoSpaceDE/>
        <w:autoSpaceDN/>
        <w:spacing w:line="600" w:lineRule="exact"/>
        <w:ind w:firstLine="640" w:firstLineChars="200"/>
        <w:jc w:val="both"/>
        <w:rPr>
          <w:rFonts w:hint="eastAsia" w:ascii="Times New Roman" w:hAnsi="Times New Roman" w:eastAsia="仿宋_GB2312"/>
          <w:sz w:val="32"/>
          <w:szCs w:val="32"/>
        </w:rPr>
      </w:pPr>
      <w:r>
        <w:rPr>
          <w:rFonts w:hint="eastAsia" w:ascii="Times New Roman" w:hAnsi="Times New Roman" w:eastAsia="仿宋_GB2312"/>
          <w:sz w:val="32"/>
          <w:szCs w:val="32"/>
        </w:rPr>
        <w:t>本部门</w:t>
      </w:r>
      <w:r>
        <w:rPr>
          <w:rFonts w:hint="eastAsia" w:ascii="Times New Roman" w:hAnsi="Times New Roman" w:eastAsia="仿宋_GB2312"/>
          <w:sz w:val="32"/>
          <w:szCs w:val="32"/>
          <w:lang w:val="en-US" w:eastAsia="zh-CN"/>
        </w:rPr>
        <w:t>2024</w:t>
      </w:r>
      <w:r>
        <w:rPr>
          <w:rFonts w:hint="eastAsia" w:ascii="Times New Roman" w:hAnsi="Times New Roman" w:eastAsia="仿宋_GB2312"/>
          <w:sz w:val="32"/>
          <w:szCs w:val="32"/>
        </w:rPr>
        <w:t>年度国有资本经营预算收入、支出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万元，比年初预算数增加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万元，增长</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。主要原因是：无国有资本经营预算收入、支出。</w:t>
      </w:r>
    </w:p>
    <w:p>
      <w:pPr>
        <w:pStyle w:val="16"/>
        <w:overflowPunct w:val="0"/>
        <w:autoSpaceDE/>
        <w:autoSpaceDN/>
        <w:spacing w:line="600" w:lineRule="exact"/>
        <w:ind w:firstLine="640" w:firstLineChars="200"/>
        <w:jc w:val="both"/>
        <w:rPr>
          <w:rFonts w:ascii="Times New Roman" w:hAnsi="Times New Roman" w:cs="Times New Roman"/>
          <w:bCs/>
          <w:sz w:val="32"/>
          <w:szCs w:val="32"/>
        </w:rPr>
      </w:pPr>
      <w:r>
        <w:rPr>
          <w:rFonts w:hint="eastAsia" w:ascii="Times New Roman" w:hAnsi="Times New Roman" w:cs="Times New Roman"/>
          <w:bCs/>
          <w:sz w:val="32"/>
          <w:szCs w:val="32"/>
          <w:lang w:eastAsia="zh-CN"/>
        </w:rPr>
        <w:t>十</w:t>
      </w:r>
      <w:r>
        <w:rPr>
          <w:rFonts w:ascii="Times New Roman" w:hAnsi="Times New Roman" w:cs="Times New Roman"/>
          <w:bCs/>
          <w:sz w:val="32"/>
          <w:szCs w:val="32"/>
        </w:rPr>
        <w:t>、关于机关运行经费支出说明</w:t>
      </w:r>
    </w:p>
    <w:p>
      <w:pPr>
        <w:pStyle w:val="16"/>
        <w:overflowPunct w:val="0"/>
        <w:autoSpaceDE/>
        <w:autoSpaceDN/>
        <w:spacing w:line="600" w:lineRule="exact"/>
        <w:ind w:firstLine="640" w:firstLineChars="200"/>
        <w:jc w:val="both"/>
        <w:rPr>
          <w:rFonts w:ascii="Times New Roman" w:hAnsi="Times New Roman" w:eastAsia="楷体_GB2312" w:cs="Times New Roman"/>
          <w:b/>
          <w:bCs/>
          <w:i/>
          <w:color w:val="auto"/>
          <w:sz w:val="32"/>
          <w:szCs w:val="32"/>
        </w:rPr>
      </w:pPr>
      <w:r>
        <w:rPr>
          <w:rFonts w:ascii="Times New Roman" w:hAnsi="Times New Roman" w:eastAsia="仿宋_GB2312" w:cs="Times New Roman"/>
          <w:sz w:val="32"/>
          <w:szCs w:val="32"/>
        </w:rPr>
        <w:t>本部门2024年度机关运行经费支出</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万元，比年初预算数（或者上年决算数）增加（减少）</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万元，增长（降低）</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%。主要原因是：</w:t>
      </w:r>
      <w:r>
        <w:rPr>
          <w:rFonts w:hint="eastAsia" w:ascii="Times New Roman" w:hAnsi="Times New Roman" w:eastAsia="仿宋_GB2312" w:cs="Times New Roman"/>
          <w:sz w:val="32"/>
          <w:szCs w:val="32"/>
        </w:rPr>
        <w:t>无机关运行经费支出。</w:t>
      </w:r>
    </w:p>
    <w:p>
      <w:pPr>
        <w:pStyle w:val="16"/>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十</w:t>
      </w:r>
      <w:r>
        <w:rPr>
          <w:rFonts w:hint="eastAsia" w:ascii="Times New Roman" w:hAnsi="Times New Roman" w:cs="Times New Roman"/>
          <w:bCs/>
          <w:sz w:val="32"/>
          <w:szCs w:val="32"/>
          <w:lang w:eastAsia="zh-CN"/>
        </w:rPr>
        <w:t>一</w:t>
      </w:r>
      <w:r>
        <w:rPr>
          <w:rFonts w:ascii="Times New Roman" w:hAnsi="Times New Roman" w:cs="Times New Roman"/>
          <w:bCs/>
          <w:sz w:val="32"/>
          <w:szCs w:val="32"/>
        </w:rPr>
        <w:t>、一般性支出情况说明</w:t>
      </w:r>
    </w:p>
    <w:p>
      <w:pPr>
        <w:pStyle w:val="16"/>
        <w:overflowPunct w:val="0"/>
        <w:autoSpaceDE/>
        <w:autoSpaceDN/>
        <w:spacing w:line="600" w:lineRule="exact"/>
        <w:ind w:firstLine="640" w:firstLineChars="200"/>
        <w:jc w:val="both"/>
        <w:rPr>
          <w:rFonts w:ascii="Times New Roman" w:hAnsi="Times New Roman" w:eastAsia="楷体" w:cs="Times New Roman"/>
          <w:b/>
          <w:bCs/>
          <w:i/>
          <w:color w:val="auto"/>
          <w:sz w:val="32"/>
          <w:szCs w:val="32"/>
        </w:rPr>
      </w:pPr>
      <w:r>
        <w:rPr>
          <w:rFonts w:ascii="Times New Roman" w:hAnsi="Times New Roman" w:eastAsia="仿宋_GB2312" w:cs="Times New Roman"/>
          <w:sz w:val="32"/>
          <w:szCs w:val="32"/>
        </w:rPr>
        <w:t>2024年本部门开支会议费</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万元，用于召开</w:t>
      </w:r>
      <w:r>
        <w:rPr>
          <w:rFonts w:hint="eastAsia" w:ascii="Times New Roman" w:hAnsi="Times New Roman" w:eastAsia="仿宋_GB2312" w:cs="Times New Roman"/>
          <w:sz w:val="32"/>
          <w:szCs w:val="32"/>
        </w:rPr>
        <w:t>无</w:t>
      </w:r>
      <w:r>
        <w:rPr>
          <w:rFonts w:ascii="Times New Roman" w:hAnsi="Times New Roman" w:eastAsia="仿宋_GB2312" w:cs="Times New Roman"/>
          <w:sz w:val="32"/>
          <w:szCs w:val="32"/>
        </w:rPr>
        <w:t>会议，人数</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人，内容为</w:t>
      </w:r>
      <w:r>
        <w:rPr>
          <w:rFonts w:hint="eastAsia" w:ascii="Times New Roman" w:hAnsi="Times New Roman" w:eastAsia="仿宋_GB2312" w:cs="Times New Roman"/>
          <w:sz w:val="32"/>
          <w:szCs w:val="32"/>
        </w:rPr>
        <w:t>无</w:t>
      </w:r>
      <w:r>
        <w:rPr>
          <w:rFonts w:ascii="Times New Roman" w:hAnsi="Times New Roman" w:eastAsia="仿宋_GB2312" w:cs="Times New Roman"/>
          <w:sz w:val="32"/>
          <w:szCs w:val="32"/>
        </w:rPr>
        <w:t>；开支培训费</w:t>
      </w:r>
      <w:r>
        <w:rPr>
          <w:rFonts w:hint="eastAsia" w:ascii="Times New Roman" w:hAnsi="Times New Roman" w:eastAsia="仿宋_GB2312" w:cs="Times New Roman"/>
          <w:sz w:val="32"/>
          <w:szCs w:val="32"/>
        </w:rPr>
        <w:t>6.37</w:t>
      </w:r>
      <w:r>
        <w:rPr>
          <w:rFonts w:ascii="Times New Roman" w:hAnsi="Times New Roman" w:eastAsia="仿宋_GB2312" w:cs="Times New Roman"/>
          <w:sz w:val="32"/>
          <w:szCs w:val="32"/>
        </w:rPr>
        <w:t>万元，用于开展</w:t>
      </w:r>
      <w:r>
        <w:rPr>
          <w:rFonts w:hint="eastAsia" w:ascii="Times New Roman" w:hAnsi="Times New Roman" w:eastAsia="仿宋_GB2312" w:cs="Times New Roman"/>
          <w:sz w:val="32"/>
          <w:szCs w:val="32"/>
        </w:rPr>
        <w:t>单位在职工作人员</w:t>
      </w:r>
      <w:r>
        <w:rPr>
          <w:rFonts w:ascii="Times New Roman" w:hAnsi="Times New Roman" w:eastAsia="仿宋_GB2312" w:cs="Times New Roman"/>
          <w:sz w:val="32"/>
          <w:szCs w:val="32"/>
        </w:rPr>
        <w:t>培训，人数</w:t>
      </w:r>
      <w:r>
        <w:rPr>
          <w:rFonts w:hint="eastAsia" w:ascii="Times New Roman" w:hAnsi="Times New Roman" w:eastAsia="仿宋_GB2312" w:cs="Times New Roman"/>
          <w:sz w:val="32"/>
          <w:szCs w:val="32"/>
        </w:rPr>
        <w:t>47</w:t>
      </w:r>
      <w:r>
        <w:rPr>
          <w:rFonts w:ascii="Times New Roman" w:hAnsi="Times New Roman" w:eastAsia="仿宋_GB2312" w:cs="Times New Roman"/>
          <w:sz w:val="32"/>
          <w:szCs w:val="32"/>
        </w:rPr>
        <w:t>人，内容为</w:t>
      </w:r>
      <w:r>
        <w:rPr>
          <w:rFonts w:hint="eastAsia" w:ascii="Times New Roman" w:hAnsi="Times New Roman" w:eastAsia="仿宋_GB2312" w:cs="Times New Roman"/>
          <w:sz w:val="32"/>
          <w:szCs w:val="32"/>
        </w:rPr>
        <w:t>遗体火化师和公墓管理员培训及殡葬行业交流培训</w:t>
      </w:r>
      <w:r>
        <w:rPr>
          <w:rFonts w:ascii="Times New Roman" w:hAnsi="Times New Roman" w:eastAsia="仿宋_GB2312" w:cs="Times New Roman"/>
          <w:sz w:val="32"/>
          <w:szCs w:val="32"/>
        </w:rPr>
        <w:t>；举办节庆、晚会、论坛、赛事活动，开支</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万元，主要是</w:t>
      </w:r>
      <w:r>
        <w:rPr>
          <w:rFonts w:hint="eastAsia" w:ascii="Times New Roman" w:hAnsi="Times New Roman" w:eastAsia="仿宋_GB2312" w:cs="Times New Roman"/>
          <w:sz w:val="32"/>
          <w:szCs w:val="32"/>
        </w:rPr>
        <w:t>无活动</w:t>
      </w:r>
      <w:r>
        <w:rPr>
          <w:rFonts w:ascii="Times New Roman" w:hAnsi="Times New Roman" w:eastAsia="仿宋_GB2312" w:cs="Times New Roman"/>
          <w:sz w:val="32"/>
          <w:szCs w:val="32"/>
        </w:rPr>
        <w:t>。</w:t>
      </w:r>
    </w:p>
    <w:p>
      <w:pPr>
        <w:pStyle w:val="16"/>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十</w:t>
      </w:r>
      <w:r>
        <w:rPr>
          <w:rFonts w:hint="eastAsia" w:ascii="Times New Roman" w:hAnsi="Times New Roman" w:cs="Times New Roman"/>
          <w:bCs/>
          <w:sz w:val="32"/>
          <w:szCs w:val="32"/>
          <w:lang w:eastAsia="zh-CN"/>
        </w:rPr>
        <w:t>二</w:t>
      </w:r>
      <w:r>
        <w:rPr>
          <w:rFonts w:ascii="Times New Roman" w:hAnsi="Times New Roman" w:cs="Times New Roman"/>
          <w:bCs/>
          <w:sz w:val="32"/>
          <w:szCs w:val="32"/>
        </w:rPr>
        <w:t>、关于政府采购支出说明</w:t>
      </w:r>
    </w:p>
    <w:p>
      <w:pPr>
        <w:pStyle w:val="16"/>
        <w:overflowPunct w:val="0"/>
        <w:autoSpaceDE/>
        <w:autoSpaceDN/>
        <w:spacing w:line="600" w:lineRule="exact"/>
        <w:ind w:firstLine="640" w:firstLineChars="200"/>
        <w:jc w:val="both"/>
        <w:rPr>
          <w:rFonts w:ascii="Times New Roman" w:hAnsi="Times New Roman" w:eastAsia="楷体" w:cs="Times New Roman"/>
          <w:b/>
          <w:bCs/>
          <w:i/>
          <w:color w:val="auto"/>
          <w:sz w:val="32"/>
          <w:szCs w:val="32"/>
        </w:rPr>
      </w:pPr>
      <w:r>
        <w:rPr>
          <w:rFonts w:ascii="Times New Roman" w:hAnsi="Times New Roman" w:eastAsia="仿宋_GB2312" w:cs="Times New Roman"/>
          <w:sz w:val="32"/>
          <w:szCs w:val="32"/>
        </w:rPr>
        <w:t>本部门2024年度政府采购支出总额</w:t>
      </w:r>
      <w:r>
        <w:rPr>
          <w:rFonts w:hint="eastAsia" w:ascii="Times New Roman" w:hAnsi="Times New Roman" w:eastAsia="仿宋_GB2312" w:cs="Times New Roman"/>
          <w:sz w:val="32"/>
          <w:szCs w:val="32"/>
        </w:rPr>
        <w:t>327.36</w:t>
      </w:r>
      <w:r>
        <w:rPr>
          <w:rFonts w:ascii="Times New Roman" w:hAnsi="Times New Roman" w:eastAsia="仿宋_GB2312" w:cs="Times New Roman"/>
          <w:sz w:val="32"/>
          <w:szCs w:val="32"/>
        </w:rPr>
        <w:t>万元，其中：政府采购货物支出</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万元、政府采购工程支出</w:t>
      </w:r>
      <w:r>
        <w:rPr>
          <w:rFonts w:hint="eastAsia" w:ascii="Times New Roman" w:hAnsi="Times New Roman" w:eastAsia="仿宋_GB2312" w:cs="Times New Roman"/>
          <w:sz w:val="32"/>
          <w:szCs w:val="32"/>
        </w:rPr>
        <w:t>19</w:t>
      </w:r>
      <w:r>
        <w:rPr>
          <w:rFonts w:ascii="Times New Roman" w:hAnsi="Times New Roman" w:eastAsia="仿宋_GB2312" w:cs="Times New Roman"/>
          <w:sz w:val="32"/>
          <w:szCs w:val="32"/>
        </w:rPr>
        <w:t>万元、政府采购服务支出</w:t>
      </w:r>
      <w:r>
        <w:rPr>
          <w:rFonts w:hint="eastAsia" w:ascii="Times New Roman" w:hAnsi="Times New Roman" w:eastAsia="仿宋_GB2312" w:cs="Times New Roman"/>
          <w:sz w:val="32"/>
          <w:szCs w:val="32"/>
        </w:rPr>
        <w:t>308.36</w:t>
      </w:r>
      <w:r>
        <w:rPr>
          <w:rFonts w:ascii="Times New Roman" w:hAnsi="Times New Roman" w:eastAsia="仿宋_GB2312" w:cs="Times New Roman"/>
          <w:sz w:val="32"/>
          <w:szCs w:val="32"/>
        </w:rPr>
        <w:t>万元。授予中小企业合同金额</w:t>
      </w:r>
      <w:r>
        <w:rPr>
          <w:rFonts w:hint="eastAsia" w:ascii="Times New Roman" w:hAnsi="Times New Roman" w:eastAsia="仿宋_GB2312" w:cs="Times New Roman"/>
          <w:sz w:val="32"/>
          <w:szCs w:val="32"/>
        </w:rPr>
        <w:t>327.36</w:t>
      </w:r>
      <w:r>
        <w:rPr>
          <w:rFonts w:ascii="Times New Roman" w:hAnsi="Times New Roman" w:eastAsia="仿宋_GB2312" w:cs="Times New Roman"/>
          <w:sz w:val="32"/>
          <w:szCs w:val="32"/>
        </w:rPr>
        <w:t>万元，占政府采购支出总额的</w:t>
      </w:r>
      <w:r>
        <w:rPr>
          <w:rFonts w:hint="eastAsia" w:ascii="Times New Roman" w:hAnsi="Times New Roman" w:eastAsia="仿宋_GB2312" w:cs="Times New Roman"/>
          <w:sz w:val="32"/>
          <w:szCs w:val="32"/>
        </w:rPr>
        <w:t>100</w:t>
      </w:r>
      <w:r>
        <w:rPr>
          <w:rFonts w:ascii="Times New Roman" w:hAnsi="Times New Roman" w:eastAsia="仿宋_GB2312" w:cs="Times New Roman"/>
          <w:sz w:val="32"/>
          <w:szCs w:val="32"/>
        </w:rPr>
        <w:t>%，其中：授予小微企业合同金额</w:t>
      </w:r>
      <w:r>
        <w:rPr>
          <w:rFonts w:hint="eastAsia" w:ascii="Times New Roman" w:hAnsi="Times New Roman" w:eastAsia="仿宋_GB2312" w:cs="Times New Roman"/>
          <w:sz w:val="32"/>
          <w:szCs w:val="32"/>
        </w:rPr>
        <w:t>327.36</w:t>
      </w:r>
      <w:r>
        <w:rPr>
          <w:rFonts w:ascii="Times New Roman" w:hAnsi="Times New Roman" w:eastAsia="仿宋_GB2312" w:cs="Times New Roman"/>
          <w:sz w:val="32"/>
          <w:szCs w:val="32"/>
        </w:rPr>
        <w:t>万元，</w:t>
      </w:r>
      <w:r>
        <w:rPr>
          <w:rFonts w:ascii="Times New Roman" w:hAnsi="Times New Roman" w:eastAsia="仿宋_GB2312" w:cs="Times New Roman"/>
          <w:color w:val="auto"/>
          <w:sz w:val="32"/>
          <w:szCs w:val="32"/>
        </w:rPr>
        <w:t>占授予中小企业合同金额的</w:t>
      </w:r>
      <w:r>
        <w:rPr>
          <w:rFonts w:hint="eastAsia" w:ascii="Times New Roman" w:hAnsi="Times New Roman" w:eastAsia="仿宋_GB2312" w:cs="Times New Roman"/>
          <w:color w:val="auto"/>
          <w:sz w:val="32"/>
          <w:szCs w:val="32"/>
        </w:rPr>
        <w:t>100</w:t>
      </w:r>
      <w:r>
        <w:rPr>
          <w:rFonts w:ascii="Times New Roman" w:hAnsi="Times New Roman" w:eastAsia="仿宋_GB2312" w:cs="Times New Roman"/>
          <w:color w:val="auto"/>
          <w:sz w:val="32"/>
          <w:szCs w:val="32"/>
        </w:rPr>
        <w:t>%。货物采购授予中小企业合同金额占货物支出金额的</w:t>
      </w:r>
      <w:r>
        <w:rPr>
          <w:rFonts w:hint="eastAsia" w:ascii="Times New Roman" w:hAnsi="Times New Roman" w:eastAsia="仿宋_GB2312" w:cs="Times New Roman"/>
          <w:color w:val="auto"/>
          <w:sz w:val="32"/>
          <w:szCs w:val="32"/>
        </w:rPr>
        <w:t>0</w:t>
      </w:r>
      <w:r>
        <w:rPr>
          <w:rFonts w:ascii="Times New Roman" w:hAnsi="Times New Roman" w:eastAsia="仿宋_GB2312" w:cs="Times New Roman"/>
          <w:color w:val="auto"/>
          <w:sz w:val="32"/>
          <w:szCs w:val="32"/>
        </w:rPr>
        <w:t>%，工程采购授予中小企业合同金额占工程支出金额的</w:t>
      </w:r>
      <w:r>
        <w:rPr>
          <w:rFonts w:hint="eastAsia" w:ascii="Times New Roman" w:hAnsi="Times New Roman" w:eastAsia="仿宋_GB2312" w:cs="Times New Roman"/>
          <w:color w:val="auto"/>
          <w:sz w:val="32"/>
          <w:szCs w:val="32"/>
          <w:lang w:val="en-US" w:eastAsia="zh-CN"/>
        </w:rPr>
        <w:t>100</w:t>
      </w:r>
      <w:r>
        <w:rPr>
          <w:rFonts w:ascii="Times New Roman" w:hAnsi="Times New Roman" w:eastAsia="仿宋_GB2312" w:cs="Times New Roman"/>
          <w:color w:val="auto"/>
          <w:sz w:val="32"/>
          <w:szCs w:val="32"/>
        </w:rPr>
        <w:t>%，服务采购授予中小企业合同金额占服务支出金额的</w:t>
      </w:r>
      <w:r>
        <w:rPr>
          <w:rFonts w:hint="eastAsia" w:ascii="Times New Roman" w:hAnsi="Times New Roman" w:eastAsia="仿宋_GB2312" w:cs="Times New Roman"/>
          <w:color w:val="auto"/>
          <w:sz w:val="32"/>
          <w:szCs w:val="32"/>
          <w:lang w:val="en-US" w:eastAsia="zh-CN"/>
        </w:rPr>
        <w:t>100</w:t>
      </w:r>
      <w:r>
        <w:rPr>
          <w:rFonts w:ascii="Times New Roman" w:hAnsi="Times New Roman" w:eastAsia="仿宋_GB2312" w:cs="Times New Roman"/>
          <w:color w:val="auto"/>
          <w:sz w:val="32"/>
          <w:szCs w:val="32"/>
        </w:rPr>
        <w:t>%。</w:t>
      </w:r>
    </w:p>
    <w:p>
      <w:pPr>
        <w:pStyle w:val="16"/>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w:t>
      </w:r>
      <w:r>
        <w:rPr>
          <w:rFonts w:hint="eastAsia" w:ascii="Times New Roman" w:hAnsi="Times New Roman" w:cs="Times New Roman"/>
          <w:bCs/>
          <w:color w:val="auto"/>
          <w:sz w:val="32"/>
          <w:szCs w:val="32"/>
          <w:lang w:eastAsia="zh-CN"/>
        </w:rPr>
        <w:t>三</w:t>
      </w:r>
      <w:r>
        <w:rPr>
          <w:rFonts w:ascii="Times New Roman" w:hAnsi="Times New Roman" w:cs="Times New Roman"/>
          <w:bCs/>
          <w:color w:val="auto"/>
          <w:sz w:val="32"/>
          <w:szCs w:val="32"/>
        </w:rPr>
        <w:t>、关于国有资产占用情况说明</w:t>
      </w:r>
    </w:p>
    <w:p>
      <w:pPr>
        <w:pStyle w:val="16"/>
        <w:overflowPunct w:val="0"/>
        <w:autoSpaceDE/>
        <w:autoSpaceDN/>
        <w:spacing w:line="600" w:lineRule="exact"/>
        <w:ind w:firstLine="640" w:firstLineChars="200"/>
        <w:jc w:val="both"/>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截至2024年12月31日，部门（单位）共有车辆</w:t>
      </w:r>
      <w:r>
        <w:rPr>
          <w:rFonts w:hint="eastAsia" w:ascii="Times New Roman" w:hAnsi="Times New Roman" w:eastAsia="仿宋_GB2312" w:cs="Times New Roman"/>
          <w:color w:val="auto"/>
          <w:sz w:val="32"/>
          <w:szCs w:val="32"/>
        </w:rPr>
        <w:t>5</w:t>
      </w:r>
      <w:r>
        <w:rPr>
          <w:rFonts w:ascii="Times New Roman" w:hAnsi="Times New Roman" w:eastAsia="仿宋_GB2312" w:cs="Times New Roman"/>
          <w:color w:val="auto"/>
          <w:sz w:val="32"/>
          <w:szCs w:val="32"/>
        </w:rPr>
        <w:t>辆，其中，副部（省）级及以上领导用车</w:t>
      </w:r>
      <w:r>
        <w:rPr>
          <w:rFonts w:hint="eastAsia" w:ascii="Times New Roman" w:hAnsi="Times New Roman" w:eastAsia="仿宋_GB2312" w:cs="Times New Roman"/>
          <w:color w:val="auto"/>
          <w:sz w:val="32"/>
          <w:szCs w:val="32"/>
        </w:rPr>
        <w:t>0</w:t>
      </w:r>
      <w:r>
        <w:rPr>
          <w:rFonts w:ascii="Times New Roman" w:hAnsi="Times New Roman" w:eastAsia="仿宋_GB2312" w:cs="Times New Roman"/>
          <w:color w:val="auto"/>
          <w:sz w:val="32"/>
          <w:szCs w:val="32"/>
        </w:rPr>
        <w:t>辆、主要负责人用车</w:t>
      </w:r>
      <w:r>
        <w:rPr>
          <w:rFonts w:hint="eastAsia" w:ascii="Times New Roman" w:hAnsi="Times New Roman" w:eastAsia="仿宋_GB2312" w:cs="Times New Roman"/>
          <w:color w:val="auto"/>
          <w:sz w:val="32"/>
          <w:szCs w:val="32"/>
        </w:rPr>
        <w:t>1</w:t>
      </w:r>
      <w:r>
        <w:rPr>
          <w:rFonts w:ascii="Times New Roman" w:hAnsi="Times New Roman" w:eastAsia="仿宋_GB2312" w:cs="Times New Roman"/>
          <w:color w:val="auto"/>
          <w:sz w:val="32"/>
          <w:szCs w:val="32"/>
        </w:rPr>
        <w:t>辆、机要通信用车</w:t>
      </w:r>
      <w:r>
        <w:rPr>
          <w:rFonts w:hint="eastAsia" w:ascii="Times New Roman" w:hAnsi="Times New Roman" w:eastAsia="仿宋_GB2312" w:cs="Times New Roman"/>
          <w:color w:val="auto"/>
          <w:sz w:val="32"/>
          <w:szCs w:val="32"/>
        </w:rPr>
        <w:t>0</w:t>
      </w:r>
      <w:r>
        <w:rPr>
          <w:rFonts w:ascii="Times New Roman" w:hAnsi="Times New Roman" w:eastAsia="仿宋_GB2312" w:cs="Times New Roman"/>
          <w:color w:val="auto"/>
          <w:sz w:val="32"/>
          <w:szCs w:val="32"/>
        </w:rPr>
        <w:t>辆、应急保障用车</w:t>
      </w:r>
      <w:r>
        <w:rPr>
          <w:rFonts w:hint="eastAsia" w:ascii="Times New Roman" w:hAnsi="Times New Roman" w:eastAsia="仿宋_GB2312" w:cs="Times New Roman"/>
          <w:color w:val="auto"/>
          <w:sz w:val="32"/>
          <w:szCs w:val="32"/>
        </w:rPr>
        <w:t>0</w:t>
      </w:r>
      <w:r>
        <w:rPr>
          <w:rFonts w:ascii="Times New Roman" w:hAnsi="Times New Roman" w:eastAsia="仿宋_GB2312" w:cs="Times New Roman"/>
          <w:color w:val="auto"/>
          <w:sz w:val="32"/>
          <w:szCs w:val="32"/>
        </w:rPr>
        <w:t>辆、执法执勤用车</w:t>
      </w:r>
      <w:r>
        <w:rPr>
          <w:rFonts w:hint="eastAsia" w:ascii="Times New Roman" w:hAnsi="Times New Roman" w:eastAsia="仿宋_GB2312" w:cs="Times New Roman"/>
          <w:color w:val="auto"/>
          <w:sz w:val="32"/>
          <w:szCs w:val="32"/>
        </w:rPr>
        <w:t>0</w:t>
      </w:r>
      <w:r>
        <w:rPr>
          <w:rFonts w:ascii="Times New Roman" w:hAnsi="Times New Roman" w:eastAsia="仿宋_GB2312" w:cs="Times New Roman"/>
          <w:color w:val="auto"/>
          <w:sz w:val="32"/>
          <w:szCs w:val="32"/>
        </w:rPr>
        <w:t>辆、特种专业技术用车</w:t>
      </w:r>
      <w:r>
        <w:rPr>
          <w:rFonts w:hint="eastAsia" w:ascii="Times New Roman" w:hAnsi="Times New Roman" w:eastAsia="仿宋_GB2312" w:cs="Times New Roman"/>
          <w:color w:val="auto"/>
          <w:sz w:val="32"/>
          <w:szCs w:val="32"/>
        </w:rPr>
        <w:t>4</w:t>
      </w:r>
      <w:r>
        <w:rPr>
          <w:rFonts w:ascii="Times New Roman" w:hAnsi="Times New Roman" w:eastAsia="仿宋_GB2312" w:cs="Times New Roman"/>
          <w:color w:val="auto"/>
          <w:sz w:val="32"/>
          <w:szCs w:val="32"/>
        </w:rPr>
        <w:t>辆、离退休干部服务用车</w:t>
      </w:r>
      <w:r>
        <w:rPr>
          <w:rFonts w:hint="eastAsia" w:ascii="Times New Roman" w:hAnsi="Times New Roman" w:eastAsia="仿宋_GB2312" w:cs="Times New Roman"/>
          <w:color w:val="auto"/>
          <w:sz w:val="32"/>
          <w:szCs w:val="32"/>
        </w:rPr>
        <w:t>0</w:t>
      </w:r>
      <w:r>
        <w:rPr>
          <w:rFonts w:ascii="Times New Roman" w:hAnsi="Times New Roman" w:eastAsia="仿宋_GB2312" w:cs="Times New Roman"/>
          <w:color w:val="auto"/>
          <w:sz w:val="32"/>
          <w:szCs w:val="32"/>
        </w:rPr>
        <w:t>辆、其他用车</w:t>
      </w:r>
      <w:r>
        <w:rPr>
          <w:rFonts w:hint="eastAsia" w:ascii="Times New Roman" w:hAnsi="Times New Roman" w:eastAsia="仿宋_GB2312" w:cs="Times New Roman"/>
          <w:color w:val="auto"/>
          <w:sz w:val="32"/>
          <w:szCs w:val="32"/>
        </w:rPr>
        <w:t>0</w:t>
      </w:r>
      <w:r>
        <w:rPr>
          <w:rFonts w:ascii="Times New Roman" w:hAnsi="Times New Roman" w:eastAsia="仿宋_GB2312" w:cs="Times New Roman"/>
          <w:color w:val="auto"/>
          <w:sz w:val="32"/>
          <w:szCs w:val="32"/>
        </w:rPr>
        <w:t>辆，其他用车主要是</w:t>
      </w:r>
      <w:r>
        <w:rPr>
          <w:rFonts w:hint="eastAsia" w:ascii="Times New Roman" w:hAnsi="Times New Roman" w:eastAsia="仿宋_GB2312" w:cs="Times New Roman"/>
          <w:color w:val="auto"/>
          <w:sz w:val="32"/>
          <w:szCs w:val="32"/>
        </w:rPr>
        <w:t>无</w:t>
      </w:r>
      <w:r>
        <w:rPr>
          <w:rFonts w:ascii="Times New Roman" w:hAnsi="Times New Roman" w:eastAsia="仿宋_GB2312" w:cs="Times New Roman"/>
          <w:color w:val="auto"/>
          <w:sz w:val="32"/>
          <w:szCs w:val="32"/>
        </w:rPr>
        <w:t>；单位价值100万元以上设备（不含车辆）</w:t>
      </w:r>
      <w:r>
        <w:rPr>
          <w:rFonts w:hint="eastAsia" w:ascii="Times New Roman" w:hAnsi="Times New Roman" w:eastAsia="仿宋_GB2312" w:cs="Times New Roman"/>
          <w:color w:val="auto"/>
          <w:sz w:val="32"/>
          <w:szCs w:val="32"/>
        </w:rPr>
        <w:t>0</w:t>
      </w:r>
      <w:r>
        <w:rPr>
          <w:rFonts w:ascii="Times New Roman" w:hAnsi="Times New Roman" w:eastAsia="仿宋_GB2312" w:cs="Times New Roman"/>
          <w:color w:val="auto"/>
          <w:sz w:val="32"/>
          <w:szCs w:val="32"/>
        </w:rPr>
        <w:t>台（套）。</w:t>
      </w:r>
    </w:p>
    <w:p>
      <w:pPr>
        <w:pStyle w:val="16"/>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w:t>
      </w:r>
      <w:r>
        <w:rPr>
          <w:rFonts w:hint="eastAsia" w:ascii="Times New Roman" w:hAnsi="Times New Roman" w:cs="Times New Roman"/>
          <w:bCs/>
          <w:color w:val="auto"/>
          <w:sz w:val="32"/>
          <w:szCs w:val="32"/>
          <w:lang w:eastAsia="zh-CN"/>
        </w:rPr>
        <w:t>四</w:t>
      </w:r>
      <w:r>
        <w:rPr>
          <w:rFonts w:ascii="Times New Roman" w:hAnsi="Times New Roman" w:cs="Times New Roman"/>
          <w:bCs/>
          <w:color w:val="auto"/>
          <w:sz w:val="32"/>
          <w:szCs w:val="32"/>
        </w:rPr>
        <w:t>、关于</w:t>
      </w:r>
      <w:r>
        <w:rPr>
          <w:rFonts w:ascii="Times New Roman" w:hAnsi="Times New Roman" w:eastAsia="仿宋_GB2312" w:cs="Times New Roman"/>
          <w:color w:val="auto"/>
          <w:sz w:val="32"/>
          <w:szCs w:val="32"/>
        </w:rPr>
        <w:t>2024</w:t>
      </w:r>
      <w:r>
        <w:rPr>
          <w:rFonts w:ascii="Times New Roman" w:hAnsi="Times New Roman" w:cs="Times New Roman"/>
          <w:bCs/>
          <w:color w:val="auto"/>
          <w:sz w:val="32"/>
          <w:szCs w:val="32"/>
        </w:rPr>
        <w:t>年度预算绩效情况的说明</w:t>
      </w:r>
    </w:p>
    <w:p>
      <w:pPr>
        <w:overflowPunct w:val="0"/>
        <w:spacing w:line="600" w:lineRule="exact"/>
        <w:ind w:firstLine="640" w:firstLineChars="200"/>
        <w:rPr>
          <w:rFonts w:ascii="Times New Roman" w:hAnsi="Times New Roman" w:eastAsia="楷体" w:cs="Times New Roman"/>
          <w:b/>
          <w:bCs/>
          <w:sz w:val="32"/>
          <w:szCs w:val="32"/>
        </w:rPr>
      </w:pPr>
      <w:r>
        <w:rPr>
          <w:rFonts w:ascii="Times New Roman" w:hAnsi="Times New Roman" w:eastAsia="楷体_GB2312" w:cs="Times New Roman"/>
          <w:b/>
          <w:bCs/>
          <w:sz w:val="32"/>
          <w:szCs w:val="32"/>
        </w:rPr>
        <w:t>（一）绩效评价工作开展情况。</w:t>
      </w:r>
      <w:r>
        <w:rPr>
          <w:rFonts w:ascii="Times New Roman" w:hAnsi="Times New Roman" w:eastAsia="仿宋_GB2312" w:cs="Times New Roman"/>
          <w:b/>
          <w:bCs/>
          <w:kern w:val="0"/>
          <w:sz w:val="32"/>
          <w:szCs w:val="32"/>
        </w:rPr>
        <w:t>一是绩效自评开展情况。</w:t>
      </w:r>
      <w:r>
        <w:rPr>
          <w:rFonts w:ascii="Times New Roman" w:hAnsi="Times New Roman" w:eastAsia="仿宋_GB2312" w:cs="Times New Roman"/>
          <w:kern w:val="0"/>
          <w:sz w:val="32"/>
          <w:szCs w:val="32"/>
        </w:rPr>
        <w:t>组织对2024年度本部门（单位）整体支出开展绩效自评，涉及项目</w:t>
      </w:r>
      <w:r>
        <w:rPr>
          <w:rFonts w:hint="eastAsia" w:ascii="Times New Roman" w:hAnsi="Times New Roman" w:eastAsia="仿宋_GB2312" w:cs="Times New Roman"/>
          <w:kern w:val="0"/>
          <w:sz w:val="32"/>
          <w:szCs w:val="32"/>
        </w:rPr>
        <w:t>2</w:t>
      </w:r>
      <w:r>
        <w:rPr>
          <w:rFonts w:ascii="Times New Roman" w:hAnsi="Times New Roman" w:eastAsia="仿宋_GB2312" w:cs="Times New Roman"/>
          <w:kern w:val="0"/>
          <w:sz w:val="32"/>
          <w:szCs w:val="32"/>
        </w:rPr>
        <w:t>个，共涉及资金</w:t>
      </w:r>
      <w:r>
        <w:rPr>
          <w:rFonts w:hint="eastAsia" w:ascii="Times New Roman" w:hAnsi="Times New Roman" w:eastAsia="仿宋_GB2312" w:cs="Times New Roman"/>
          <w:kern w:val="0"/>
          <w:sz w:val="32"/>
          <w:szCs w:val="32"/>
        </w:rPr>
        <w:t>880.30</w:t>
      </w:r>
      <w:r>
        <w:rPr>
          <w:rFonts w:ascii="Times New Roman" w:hAnsi="Times New Roman" w:eastAsia="仿宋_GB2312" w:cs="Times New Roman"/>
          <w:kern w:val="0"/>
          <w:sz w:val="32"/>
          <w:szCs w:val="32"/>
        </w:rPr>
        <w:t>万元。其中，一般公共预算项目</w:t>
      </w:r>
      <w:r>
        <w:rPr>
          <w:rFonts w:hint="eastAsia" w:ascii="Times New Roman" w:hAnsi="Times New Roman" w:eastAsia="仿宋_GB2312" w:cs="Times New Roman"/>
          <w:kern w:val="0"/>
          <w:sz w:val="32"/>
          <w:szCs w:val="32"/>
        </w:rPr>
        <w:t>2</w:t>
      </w:r>
      <w:r>
        <w:rPr>
          <w:rFonts w:ascii="Times New Roman" w:hAnsi="Times New Roman" w:eastAsia="仿宋_GB2312" w:cs="Times New Roman"/>
          <w:kern w:val="0"/>
          <w:sz w:val="32"/>
          <w:szCs w:val="32"/>
        </w:rPr>
        <w:t>个</w:t>
      </w:r>
      <w:r>
        <w:rPr>
          <w:rFonts w:hint="eastAsia" w:ascii="Times New Roman" w:hAnsi="Times New Roman" w:eastAsia="仿宋_GB2312" w:cs="Times New Roman"/>
          <w:kern w:val="0"/>
          <w:sz w:val="32"/>
          <w:szCs w:val="32"/>
        </w:rPr>
        <w:t>625.5</w:t>
      </w:r>
      <w:r>
        <w:rPr>
          <w:rFonts w:ascii="Times New Roman" w:hAnsi="Times New Roman" w:eastAsia="仿宋_GB2312" w:cs="Times New Roman"/>
          <w:kern w:val="0"/>
          <w:sz w:val="32"/>
          <w:szCs w:val="32"/>
        </w:rPr>
        <w:t>万元，占一般公共预算支出总额的</w:t>
      </w:r>
      <w:r>
        <w:rPr>
          <w:rFonts w:hint="eastAsia" w:ascii="Times New Roman" w:hAnsi="Times New Roman" w:eastAsia="仿宋_GB2312" w:cs="Times New Roman"/>
          <w:kern w:val="0"/>
          <w:sz w:val="32"/>
          <w:szCs w:val="32"/>
        </w:rPr>
        <w:t>71.06</w:t>
      </w:r>
      <w:r>
        <w:rPr>
          <w:rFonts w:ascii="Times New Roman" w:hAnsi="Times New Roman" w:eastAsia="仿宋_GB2312" w:cs="Times New Roman"/>
          <w:kern w:val="0"/>
          <w:sz w:val="32"/>
          <w:szCs w:val="32"/>
        </w:rPr>
        <w:t>%；政府性基金预算项目</w:t>
      </w:r>
      <w:r>
        <w:rPr>
          <w:rFonts w:hint="eastAsia" w:ascii="Times New Roman" w:hAnsi="Times New Roman" w:eastAsia="仿宋_GB2312" w:cs="Times New Roman"/>
          <w:kern w:val="0"/>
          <w:sz w:val="32"/>
          <w:szCs w:val="32"/>
        </w:rPr>
        <w:t>0</w:t>
      </w:r>
      <w:r>
        <w:rPr>
          <w:rFonts w:ascii="Times New Roman" w:hAnsi="Times New Roman" w:eastAsia="仿宋_GB2312" w:cs="Times New Roman"/>
          <w:kern w:val="0"/>
          <w:sz w:val="32"/>
          <w:szCs w:val="32"/>
        </w:rPr>
        <w:t xml:space="preserve"> 个</w:t>
      </w:r>
      <w:r>
        <w:rPr>
          <w:rFonts w:hint="eastAsia" w:ascii="Times New Roman" w:hAnsi="Times New Roman" w:eastAsia="仿宋_GB2312" w:cs="Times New Roman"/>
          <w:kern w:val="0"/>
          <w:sz w:val="32"/>
          <w:szCs w:val="32"/>
        </w:rPr>
        <w:t>0</w:t>
      </w:r>
      <w:r>
        <w:rPr>
          <w:rFonts w:ascii="Times New Roman" w:hAnsi="Times New Roman" w:eastAsia="仿宋_GB2312" w:cs="Times New Roman"/>
          <w:kern w:val="0"/>
          <w:sz w:val="32"/>
          <w:szCs w:val="32"/>
        </w:rPr>
        <w:t xml:space="preserve"> 万元，占政府性基金预算支出总额的</w:t>
      </w:r>
      <w:r>
        <w:rPr>
          <w:rFonts w:hint="eastAsia" w:ascii="Times New Roman" w:hAnsi="Times New Roman" w:eastAsia="仿宋_GB2312" w:cs="Times New Roman"/>
          <w:kern w:val="0"/>
          <w:sz w:val="32"/>
          <w:szCs w:val="32"/>
        </w:rPr>
        <w:t>0</w:t>
      </w:r>
      <w:r>
        <w:rPr>
          <w:rFonts w:ascii="Times New Roman" w:hAnsi="Times New Roman" w:eastAsia="仿宋_GB2312" w:cs="Times New Roman"/>
          <w:kern w:val="0"/>
          <w:sz w:val="32"/>
          <w:szCs w:val="32"/>
        </w:rPr>
        <w:t>%；国有资本经营预算项目</w:t>
      </w:r>
      <w:r>
        <w:rPr>
          <w:rFonts w:hint="eastAsia" w:ascii="Times New Roman" w:hAnsi="Times New Roman" w:eastAsia="仿宋_GB2312" w:cs="Times New Roman"/>
          <w:kern w:val="0"/>
          <w:sz w:val="32"/>
          <w:szCs w:val="32"/>
        </w:rPr>
        <w:t>0</w:t>
      </w:r>
      <w:r>
        <w:rPr>
          <w:rFonts w:ascii="Times New Roman" w:hAnsi="Times New Roman" w:eastAsia="仿宋_GB2312" w:cs="Times New Roman"/>
          <w:kern w:val="0"/>
          <w:sz w:val="32"/>
          <w:szCs w:val="32"/>
        </w:rPr>
        <w:t>个</w:t>
      </w:r>
      <w:r>
        <w:rPr>
          <w:rFonts w:hint="eastAsia" w:ascii="Times New Roman" w:hAnsi="Times New Roman" w:eastAsia="仿宋_GB2312" w:cs="Times New Roman"/>
          <w:kern w:val="0"/>
          <w:sz w:val="32"/>
          <w:szCs w:val="32"/>
        </w:rPr>
        <w:t>0</w:t>
      </w:r>
      <w:r>
        <w:rPr>
          <w:rFonts w:ascii="Times New Roman" w:hAnsi="Times New Roman" w:eastAsia="仿宋_GB2312" w:cs="Times New Roman"/>
          <w:kern w:val="0"/>
          <w:sz w:val="32"/>
          <w:szCs w:val="32"/>
        </w:rPr>
        <w:t>万元，占国有资本经营预算支出总额的</w:t>
      </w:r>
      <w:r>
        <w:rPr>
          <w:rFonts w:hint="eastAsia" w:ascii="Times New Roman" w:hAnsi="Times New Roman" w:eastAsia="仿宋_GB2312" w:cs="Times New Roman"/>
          <w:kern w:val="0"/>
          <w:sz w:val="32"/>
          <w:szCs w:val="32"/>
        </w:rPr>
        <w:t>0</w:t>
      </w:r>
      <w:r>
        <w:rPr>
          <w:rFonts w:ascii="Times New Roman" w:hAnsi="Times New Roman" w:eastAsia="仿宋_GB2312" w:cs="Times New Roman"/>
          <w:kern w:val="0"/>
          <w:sz w:val="32"/>
          <w:szCs w:val="32"/>
        </w:rPr>
        <w:t>%；社会保险基金预算项目</w:t>
      </w:r>
      <w:r>
        <w:rPr>
          <w:rFonts w:hint="eastAsia" w:ascii="Times New Roman" w:hAnsi="Times New Roman" w:eastAsia="仿宋_GB2312" w:cs="Times New Roman"/>
          <w:kern w:val="0"/>
          <w:sz w:val="32"/>
          <w:szCs w:val="32"/>
        </w:rPr>
        <w:t>0</w:t>
      </w:r>
      <w:r>
        <w:rPr>
          <w:rFonts w:ascii="Times New Roman" w:hAnsi="Times New Roman" w:eastAsia="仿宋_GB2312" w:cs="Times New Roman"/>
          <w:kern w:val="0"/>
          <w:sz w:val="32"/>
          <w:szCs w:val="32"/>
        </w:rPr>
        <w:t>个</w:t>
      </w:r>
      <w:r>
        <w:rPr>
          <w:rFonts w:hint="eastAsia" w:ascii="Times New Roman" w:hAnsi="Times New Roman" w:eastAsia="仿宋_GB2312" w:cs="Times New Roman"/>
          <w:kern w:val="0"/>
          <w:sz w:val="32"/>
          <w:szCs w:val="32"/>
        </w:rPr>
        <w:t>0</w:t>
      </w:r>
      <w:r>
        <w:rPr>
          <w:rFonts w:ascii="Times New Roman" w:hAnsi="Times New Roman" w:eastAsia="仿宋_GB2312" w:cs="Times New Roman"/>
          <w:kern w:val="0"/>
          <w:sz w:val="32"/>
          <w:szCs w:val="32"/>
        </w:rPr>
        <w:t>万元，占社会保险基金预算支出总额的</w:t>
      </w:r>
      <w:r>
        <w:rPr>
          <w:rFonts w:hint="eastAsia" w:ascii="Times New Roman" w:hAnsi="Times New Roman" w:eastAsia="仿宋_GB2312" w:cs="Times New Roman"/>
          <w:kern w:val="0"/>
          <w:sz w:val="32"/>
          <w:szCs w:val="32"/>
        </w:rPr>
        <w:t>0</w:t>
      </w:r>
      <w:r>
        <w:rPr>
          <w:rFonts w:ascii="Times New Roman" w:hAnsi="Times New Roman" w:eastAsia="仿宋_GB2312" w:cs="Times New Roman"/>
          <w:kern w:val="0"/>
          <w:sz w:val="32"/>
          <w:szCs w:val="32"/>
        </w:rPr>
        <w:t>%。</w:t>
      </w:r>
      <w:r>
        <w:rPr>
          <w:rFonts w:ascii="Times New Roman" w:hAnsi="Times New Roman" w:eastAsia="仿宋_GB2312" w:cs="Times New Roman"/>
          <w:b/>
          <w:bCs/>
          <w:kern w:val="0"/>
          <w:sz w:val="32"/>
          <w:szCs w:val="32"/>
        </w:rPr>
        <w:t>二是部门评价开展情况（如有，一级预算部门填写）。</w:t>
      </w:r>
      <w:r>
        <w:rPr>
          <w:rFonts w:ascii="Times New Roman" w:hAnsi="Times New Roman" w:eastAsia="仿宋_GB2312" w:cs="Times New Roman"/>
          <w:kern w:val="0"/>
          <w:sz w:val="32"/>
          <w:szCs w:val="32"/>
        </w:rPr>
        <w:t>组织对所属单位2024年度“</w:t>
      </w:r>
      <w:r>
        <w:rPr>
          <w:rFonts w:hint="eastAsia" w:ascii="Times New Roman" w:hAnsi="Times New Roman" w:eastAsia="仿宋_GB2312" w:cs="Times New Roman"/>
          <w:sz w:val="32"/>
          <w:szCs w:val="32"/>
        </w:rPr>
        <w:t>单位日常运行维护费</w:t>
      </w:r>
      <w:r>
        <w:rPr>
          <w:rFonts w:ascii="Times New Roman" w:hAnsi="Times New Roman" w:eastAsia="仿宋_GB2312" w:cs="Times New Roman"/>
          <w:kern w:val="0"/>
          <w:sz w:val="32"/>
          <w:szCs w:val="32"/>
        </w:rPr>
        <w:t>”“</w:t>
      </w:r>
      <w:r>
        <w:rPr>
          <w:rFonts w:hint="eastAsia" w:ascii="Times New Roman" w:hAnsi="Times New Roman" w:eastAsia="仿宋_GB2312" w:cs="Times New Roman"/>
          <w:sz w:val="32"/>
          <w:szCs w:val="32"/>
        </w:rPr>
        <w:t>原址新建项目</w:t>
      </w:r>
      <w:r>
        <w:rPr>
          <w:rFonts w:ascii="Times New Roman" w:hAnsi="Times New Roman" w:eastAsia="仿宋_GB2312" w:cs="Times New Roman"/>
          <w:kern w:val="0"/>
          <w:sz w:val="32"/>
          <w:szCs w:val="32"/>
        </w:rPr>
        <w:t>”等</w:t>
      </w:r>
      <w:r>
        <w:rPr>
          <w:rFonts w:hint="eastAsia" w:ascii="Times New Roman" w:hAnsi="Times New Roman" w:eastAsia="仿宋_GB2312" w:cs="Times New Roman"/>
          <w:sz w:val="32"/>
          <w:szCs w:val="32"/>
        </w:rPr>
        <w:t>0</w:t>
      </w:r>
      <w:r>
        <w:rPr>
          <w:rFonts w:ascii="Times New Roman" w:hAnsi="Times New Roman" w:eastAsia="仿宋_GB2312" w:cs="Times New Roman"/>
          <w:kern w:val="0"/>
          <w:sz w:val="32"/>
          <w:szCs w:val="32"/>
        </w:rPr>
        <w:t>个项目开展了部门评价，涉及一般公共预算支出</w:t>
      </w:r>
      <w:r>
        <w:rPr>
          <w:rFonts w:hint="eastAsia" w:ascii="Times New Roman" w:hAnsi="Times New Roman" w:eastAsia="仿宋_GB2312" w:cs="Times New Roman"/>
          <w:sz w:val="32"/>
          <w:szCs w:val="32"/>
        </w:rPr>
        <w:t>0</w:t>
      </w:r>
      <w:r>
        <w:rPr>
          <w:rFonts w:ascii="Times New Roman" w:hAnsi="Times New Roman" w:eastAsia="仿宋_GB2312" w:cs="Times New Roman"/>
          <w:kern w:val="0"/>
          <w:sz w:val="32"/>
          <w:szCs w:val="32"/>
        </w:rPr>
        <w:t>万元，政府性基金预算支出</w:t>
      </w:r>
      <w:r>
        <w:rPr>
          <w:rFonts w:hint="eastAsia" w:ascii="Times New Roman" w:hAnsi="Times New Roman" w:eastAsia="仿宋_GB2312" w:cs="Times New Roman"/>
          <w:sz w:val="32"/>
          <w:szCs w:val="32"/>
        </w:rPr>
        <w:t>0</w:t>
      </w:r>
      <w:r>
        <w:rPr>
          <w:rFonts w:ascii="Times New Roman" w:hAnsi="Times New Roman" w:eastAsia="仿宋_GB2312" w:cs="Times New Roman"/>
          <w:kern w:val="0"/>
          <w:sz w:val="32"/>
          <w:szCs w:val="32"/>
        </w:rPr>
        <w:t>万元，国有资本经营预算支出</w:t>
      </w:r>
      <w:r>
        <w:rPr>
          <w:rFonts w:hint="eastAsia" w:ascii="Times New Roman" w:hAnsi="Times New Roman" w:eastAsia="仿宋_GB2312" w:cs="Times New Roman"/>
          <w:sz w:val="32"/>
          <w:szCs w:val="32"/>
        </w:rPr>
        <w:t>0</w:t>
      </w:r>
      <w:r>
        <w:rPr>
          <w:rFonts w:ascii="Times New Roman" w:hAnsi="Times New Roman" w:eastAsia="仿宋_GB2312" w:cs="Times New Roman"/>
          <w:kern w:val="0"/>
          <w:sz w:val="32"/>
          <w:szCs w:val="32"/>
        </w:rPr>
        <w:t>万元，社会保险基金预算支出</w:t>
      </w:r>
      <w:r>
        <w:rPr>
          <w:rFonts w:hint="eastAsia" w:ascii="Times New Roman" w:hAnsi="Times New Roman" w:eastAsia="仿宋_GB2312" w:cs="Times New Roman"/>
          <w:sz w:val="32"/>
          <w:szCs w:val="32"/>
        </w:rPr>
        <w:t>0</w:t>
      </w:r>
      <w:r>
        <w:rPr>
          <w:rFonts w:ascii="Times New Roman" w:hAnsi="Times New Roman" w:eastAsia="仿宋_GB2312" w:cs="Times New Roman"/>
          <w:kern w:val="0"/>
          <w:sz w:val="32"/>
          <w:szCs w:val="32"/>
        </w:rPr>
        <w:t>万元。</w:t>
      </w:r>
      <w:r>
        <w:rPr>
          <w:rFonts w:ascii="Times New Roman" w:hAnsi="Times New Roman" w:eastAsia="仿宋_GB2312" w:cs="Times New Roman"/>
          <w:b/>
          <w:bCs/>
          <w:kern w:val="0"/>
          <w:sz w:val="32"/>
          <w:szCs w:val="32"/>
        </w:rPr>
        <w:t>三是事前绩效评估开展情况（如有，一级预算部门填写）。</w:t>
      </w:r>
      <w:r>
        <w:rPr>
          <w:rFonts w:ascii="Times New Roman" w:hAnsi="Times New Roman" w:eastAsia="仿宋_GB2312" w:cs="Times New Roman"/>
          <w:kern w:val="0"/>
          <w:sz w:val="32"/>
          <w:szCs w:val="32"/>
        </w:rPr>
        <w:t>组织对2024年度</w:t>
      </w:r>
      <w:r>
        <w:rPr>
          <w:rFonts w:hint="eastAsia" w:ascii="Times New Roman" w:hAnsi="Times New Roman" w:eastAsia="仿宋_GB2312" w:cs="Times New Roman"/>
          <w:sz w:val="32"/>
          <w:szCs w:val="32"/>
        </w:rPr>
        <w:t>0</w:t>
      </w:r>
      <w:r>
        <w:rPr>
          <w:rFonts w:ascii="Times New Roman" w:hAnsi="Times New Roman" w:eastAsia="仿宋_GB2312" w:cs="Times New Roman"/>
          <w:kern w:val="0"/>
          <w:sz w:val="32"/>
          <w:szCs w:val="32"/>
        </w:rPr>
        <w:t>个新增重大政策和</w:t>
      </w:r>
      <w:r>
        <w:rPr>
          <w:rFonts w:hint="eastAsia" w:ascii="Times New Roman" w:hAnsi="Times New Roman" w:eastAsia="仿宋_GB2312" w:cs="Times New Roman"/>
          <w:kern w:val="0"/>
          <w:sz w:val="32"/>
          <w:szCs w:val="32"/>
        </w:rPr>
        <w:t>0</w:t>
      </w:r>
      <w:r>
        <w:rPr>
          <w:rFonts w:ascii="Times New Roman" w:hAnsi="Times New Roman" w:eastAsia="仿宋_GB2312" w:cs="Times New Roman"/>
          <w:kern w:val="0"/>
          <w:sz w:val="32"/>
          <w:szCs w:val="32"/>
        </w:rPr>
        <w:t>个重大项目开展事前绩效评估，共涉及资金</w:t>
      </w:r>
      <w:r>
        <w:rPr>
          <w:rFonts w:hint="eastAsia" w:ascii="Times New Roman" w:hAnsi="Times New Roman" w:eastAsia="仿宋_GB2312" w:cs="Times New Roman"/>
          <w:kern w:val="0"/>
          <w:sz w:val="32"/>
          <w:szCs w:val="32"/>
        </w:rPr>
        <w:t>0</w:t>
      </w:r>
      <w:r>
        <w:rPr>
          <w:rFonts w:ascii="Times New Roman" w:hAnsi="Times New Roman" w:eastAsia="仿宋_GB2312" w:cs="Times New Roman"/>
          <w:kern w:val="0"/>
          <w:sz w:val="32"/>
          <w:szCs w:val="32"/>
        </w:rPr>
        <w:t>万元。</w:t>
      </w:r>
    </w:p>
    <w:p>
      <w:pPr>
        <w:overflowPunct w:val="0"/>
        <w:spacing w:line="600" w:lineRule="exact"/>
        <w:ind w:firstLine="640" w:firstLineChars="200"/>
        <w:rPr>
          <w:rFonts w:ascii="Times New Roman" w:hAnsi="Times New Roman" w:eastAsia="仿宋_GB2312" w:cs="Times New Roman"/>
          <w:sz w:val="32"/>
          <w:szCs w:val="32"/>
        </w:rPr>
      </w:pPr>
      <w:r>
        <w:rPr>
          <w:rFonts w:ascii="Times New Roman" w:hAnsi="Times New Roman" w:eastAsia="楷体_GB2312" w:cs="Times New Roman"/>
          <w:b/>
          <w:bCs/>
          <w:sz w:val="32"/>
          <w:szCs w:val="32"/>
        </w:rPr>
        <w:t>（二）绩效评价结果。</w:t>
      </w:r>
      <w:r>
        <w:rPr>
          <w:rFonts w:ascii="Times New Roman" w:hAnsi="Times New Roman" w:eastAsia="仿宋_GB2312" w:cs="Times New Roman"/>
          <w:b/>
          <w:bCs/>
          <w:kern w:val="0"/>
          <w:sz w:val="32"/>
          <w:szCs w:val="32"/>
        </w:rPr>
        <w:t>一是绩效自评结果。</w:t>
      </w:r>
      <w:r>
        <w:rPr>
          <w:rFonts w:ascii="Times New Roman" w:hAnsi="Times New Roman" w:eastAsia="仿宋_GB2312" w:cs="Times New Roman"/>
          <w:kern w:val="0"/>
          <w:sz w:val="32"/>
          <w:szCs w:val="32"/>
        </w:rPr>
        <w:t>2024年度本部门（单位）整体支出</w:t>
      </w:r>
      <w:r>
        <w:rPr>
          <w:rFonts w:ascii="Times New Roman" w:hAnsi="Times New Roman" w:eastAsia="仿宋_GB2312" w:cs="Times New Roman"/>
          <w:sz w:val="32"/>
          <w:szCs w:val="32"/>
        </w:rPr>
        <w:t>全年预算数</w:t>
      </w:r>
      <w:r>
        <w:rPr>
          <w:rFonts w:hint="eastAsia" w:ascii="Times New Roman" w:hAnsi="Times New Roman" w:eastAsia="仿宋_GB2312" w:cs="Times New Roman"/>
          <w:sz w:val="32"/>
          <w:szCs w:val="32"/>
        </w:rPr>
        <w:t>5659.95</w:t>
      </w:r>
      <w:r>
        <w:rPr>
          <w:rFonts w:ascii="Times New Roman" w:hAnsi="Times New Roman" w:eastAsia="仿宋_GB2312" w:cs="Times New Roman"/>
          <w:sz w:val="32"/>
          <w:szCs w:val="32"/>
        </w:rPr>
        <w:t>万元，执行数</w:t>
      </w:r>
      <w:r>
        <w:rPr>
          <w:rFonts w:hint="eastAsia" w:ascii="Times New Roman" w:hAnsi="Times New Roman" w:eastAsia="仿宋_GB2312" w:cs="Times New Roman"/>
          <w:sz w:val="32"/>
          <w:szCs w:val="32"/>
        </w:rPr>
        <w:t>3039.81</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rPr>
        <w:t>53.71</w:t>
      </w:r>
      <w:r>
        <w:rPr>
          <w:rFonts w:ascii="Times New Roman" w:hAnsi="Times New Roman" w:eastAsia="仿宋_GB2312" w:cs="Times New Roman"/>
          <w:sz w:val="32"/>
          <w:szCs w:val="32"/>
        </w:rPr>
        <w:t>%</w:t>
      </w:r>
      <w:r>
        <w:rPr>
          <w:rFonts w:ascii="Times New Roman" w:hAnsi="Times New Roman" w:eastAsia="仿宋_GB2312" w:cs="Times New Roman"/>
          <w:kern w:val="0"/>
          <w:sz w:val="32"/>
          <w:szCs w:val="32"/>
        </w:rPr>
        <w:t>，绩效自评得分</w:t>
      </w:r>
      <w:r>
        <w:rPr>
          <w:rFonts w:hint="eastAsia" w:ascii="Times New Roman" w:hAnsi="Times New Roman" w:eastAsia="仿宋_GB2312" w:cs="Times New Roman"/>
          <w:sz w:val="32"/>
          <w:szCs w:val="32"/>
        </w:rPr>
        <w:t>82.37</w:t>
      </w:r>
      <w:r>
        <w:rPr>
          <w:rFonts w:ascii="Times New Roman" w:hAnsi="Times New Roman" w:eastAsia="仿宋_GB2312" w:cs="Times New Roman"/>
          <w:sz w:val="32"/>
          <w:szCs w:val="32"/>
        </w:rPr>
        <w:t>分</w:t>
      </w:r>
      <w:r>
        <w:rPr>
          <w:rFonts w:ascii="Times New Roman" w:hAnsi="Times New Roman" w:eastAsia="仿宋_GB2312" w:cs="Times New Roman"/>
          <w:kern w:val="0"/>
          <w:sz w:val="32"/>
          <w:szCs w:val="32"/>
        </w:rPr>
        <w:t>，评价等级为</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良好</w:t>
      </w:r>
      <w:r>
        <w:rPr>
          <w:rFonts w:ascii="Times New Roman" w:hAnsi="Times New Roman" w:eastAsia="仿宋_GB2312" w:cs="Times New Roman"/>
          <w:sz w:val="32"/>
          <w:szCs w:val="32"/>
        </w:rPr>
        <w:t>”。绩效目标完成情况：一是</w:t>
      </w:r>
      <w:r>
        <w:rPr>
          <w:rFonts w:hint="eastAsia" w:ascii="Times New Roman" w:hAnsi="Times New Roman" w:eastAsia="仿宋_GB2312" w:cs="Times New Roman"/>
          <w:sz w:val="32"/>
          <w:szCs w:val="32"/>
        </w:rPr>
        <w:t>圆满完成年度殡葬基本服务保障任务</w:t>
      </w:r>
      <w:r>
        <w:rPr>
          <w:rFonts w:ascii="Times New Roman" w:hAnsi="Times New Roman" w:eastAsia="仿宋_GB2312" w:cs="Times New Roman"/>
          <w:sz w:val="32"/>
          <w:szCs w:val="32"/>
        </w:rPr>
        <w:t>；二是</w:t>
      </w:r>
      <w:r>
        <w:rPr>
          <w:rFonts w:hint="eastAsia" w:ascii="Times New Roman" w:hAnsi="Times New Roman" w:eastAsia="仿宋_GB2312" w:cs="Times New Roman"/>
          <w:sz w:val="32"/>
          <w:szCs w:val="32"/>
        </w:rPr>
        <w:t>原址新建项目进程得到一定程度的推进</w:t>
      </w:r>
      <w:r>
        <w:rPr>
          <w:rFonts w:ascii="Times New Roman" w:hAnsi="Times New Roman" w:eastAsia="仿宋_GB2312" w:cs="Times New Roman"/>
          <w:sz w:val="32"/>
          <w:szCs w:val="32"/>
        </w:rPr>
        <w:t>。发现的主要问题及原因：一是</w:t>
      </w:r>
      <w:r>
        <w:rPr>
          <w:rFonts w:hint="eastAsia" w:ascii="Times New Roman" w:hAnsi="Times New Roman" w:eastAsia="仿宋_GB2312" w:cs="Times New Roman"/>
          <w:sz w:val="32"/>
          <w:szCs w:val="32"/>
        </w:rPr>
        <w:t>预算执行率偏低</w:t>
      </w:r>
      <w:r>
        <w:rPr>
          <w:rFonts w:ascii="Times New Roman" w:hAnsi="Times New Roman" w:eastAsia="仿宋_GB2312" w:cs="Times New Roman"/>
          <w:sz w:val="32"/>
          <w:szCs w:val="32"/>
        </w:rPr>
        <w:t>；二是</w:t>
      </w:r>
      <w:r>
        <w:rPr>
          <w:rFonts w:hint="eastAsia" w:ascii="Times New Roman" w:hAnsi="Times New Roman" w:eastAsia="仿宋_GB2312" w:cs="Times New Roman"/>
          <w:sz w:val="32"/>
          <w:szCs w:val="32"/>
        </w:rPr>
        <w:t>绩效监控力度不足</w:t>
      </w:r>
      <w:r>
        <w:rPr>
          <w:rFonts w:ascii="Times New Roman" w:hAnsi="Times New Roman" w:eastAsia="仿宋_GB2312" w:cs="Times New Roman"/>
          <w:sz w:val="32"/>
          <w:szCs w:val="32"/>
        </w:rPr>
        <w:t>。下一步改进措施：一是</w:t>
      </w:r>
      <w:r>
        <w:rPr>
          <w:rFonts w:hint="eastAsia" w:ascii="Times New Roman" w:hAnsi="Times New Roman" w:eastAsia="仿宋_GB2312" w:cs="Times New Roman"/>
          <w:sz w:val="32"/>
          <w:szCs w:val="32"/>
        </w:rPr>
        <w:t>提升预算执行效能，提前谋划项目前期工作</w:t>
      </w:r>
      <w:r>
        <w:rPr>
          <w:rFonts w:ascii="Times New Roman" w:hAnsi="Times New Roman" w:eastAsia="仿宋_GB2312" w:cs="Times New Roman"/>
          <w:sz w:val="32"/>
          <w:szCs w:val="32"/>
        </w:rPr>
        <w:t>；二是</w:t>
      </w:r>
      <w:r>
        <w:rPr>
          <w:rFonts w:hint="eastAsia" w:ascii="Times New Roman" w:hAnsi="Times New Roman" w:eastAsia="仿宋_GB2312" w:cs="Times New Roman"/>
          <w:sz w:val="32"/>
          <w:szCs w:val="32"/>
        </w:rPr>
        <w:t>强化绩效动态管理，建立绩效监控常态化机制</w:t>
      </w:r>
      <w:r>
        <w:rPr>
          <w:rFonts w:ascii="Times New Roman" w:hAnsi="Times New Roman" w:eastAsia="仿宋_GB2312" w:cs="Times New Roman"/>
          <w:sz w:val="32"/>
          <w:szCs w:val="32"/>
        </w:rPr>
        <w:t>。</w:t>
      </w:r>
      <w:r>
        <w:rPr>
          <w:rFonts w:ascii="Times New Roman" w:hAnsi="Times New Roman" w:eastAsia="仿宋_GB2312" w:cs="Times New Roman"/>
          <w:b/>
          <w:bCs/>
          <w:kern w:val="0"/>
          <w:sz w:val="32"/>
          <w:szCs w:val="32"/>
        </w:rPr>
        <w:t>二是部门评价结果（如有，一级预算部门填写）。</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项目全年预算数</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万元，执行数</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w:t>
      </w:r>
      <w:r>
        <w:rPr>
          <w:rFonts w:ascii="Times New Roman" w:hAnsi="Times New Roman" w:eastAsia="仿宋_GB2312" w:cs="Times New Roman"/>
          <w:kern w:val="0"/>
          <w:sz w:val="32"/>
          <w:szCs w:val="32"/>
        </w:rPr>
        <w:t>，</w:t>
      </w:r>
      <w:r>
        <w:rPr>
          <w:rFonts w:ascii="Times New Roman" w:hAnsi="Times New Roman" w:eastAsia="仿宋_GB2312" w:cs="Times New Roman"/>
          <w:sz w:val="32"/>
          <w:szCs w:val="32"/>
        </w:rPr>
        <w:t>部门评价得分</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分，评价等级为“</w:t>
      </w:r>
      <w:r>
        <w:rPr>
          <w:rFonts w:hint="eastAsia" w:ascii="Times New Roman" w:hAnsi="Times New Roman" w:eastAsia="仿宋_GB2312" w:cs="Times New Roman"/>
          <w:sz w:val="32"/>
          <w:szCs w:val="32"/>
        </w:rPr>
        <w:t>无</w:t>
      </w:r>
      <w:r>
        <w:rPr>
          <w:rFonts w:ascii="Times New Roman" w:hAnsi="Times New Roman" w:eastAsia="仿宋_GB2312" w:cs="Times New Roman"/>
          <w:sz w:val="32"/>
          <w:szCs w:val="32"/>
        </w:rPr>
        <w:t>”。发现的主要问题及原因：一是</w:t>
      </w:r>
      <w:r>
        <w:rPr>
          <w:rFonts w:hint="eastAsia" w:ascii="Times New Roman" w:hAnsi="Times New Roman" w:eastAsia="仿宋_GB2312" w:cs="Times New Roman"/>
          <w:sz w:val="32"/>
          <w:szCs w:val="32"/>
        </w:rPr>
        <w:t>无</w:t>
      </w:r>
      <w:r>
        <w:rPr>
          <w:rFonts w:ascii="Times New Roman" w:hAnsi="Times New Roman" w:eastAsia="仿宋_GB2312" w:cs="Times New Roman"/>
          <w:sz w:val="32"/>
          <w:szCs w:val="32"/>
        </w:rPr>
        <w:t>；二是</w:t>
      </w:r>
      <w:r>
        <w:rPr>
          <w:rFonts w:hint="eastAsia" w:ascii="Times New Roman" w:hAnsi="Times New Roman" w:eastAsia="仿宋_GB2312" w:cs="Times New Roman"/>
          <w:sz w:val="32"/>
          <w:szCs w:val="32"/>
        </w:rPr>
        <w:t>无</w:t>
      </w:r>
      <w:r>
        <w:rPr>
          <w:rFonts w:ascii="Times New Roman" w:hAnsi="Times New Roman" w:eastAsia="仿宋_GB2312" w:cs="Times New Roman"/>
          <w:sz w:val="32"/>
          <w:szCs w:val="32"/>
        </w:rPr>
        <w:t>。下一步改进措施：一是</w:t>
      </w:r>
      <w:r>
        <w:rPr>
          <w:rFonts w:hint="eastAsia" w:ascii="Times New Roman" w:hAnsi="Times New Roman" w:eastAsia="仿宋_GB2312" w:cs="Times New Roman"/>
          <w:sz w:val="32"/>
          <w:szCs w:val="32"/>
        </w:rPr>
        <w:t>无</w:t>
      </w:r>
      <w:r>
        <w:rPr>
          <w:rFonts w:ascii="Times New Roman" w:hAnsi="Times New Roman" w:eastAsia="仿宋_GB2312" w:cs="Times New Roman"/>
          <w:sz w:val="32"/>
          <w:szCs w:val="32"/>
        </w:rPr>
        <w:t>；二是</w:t>
      </w:r>
      <w:r>
        <w:rPr>
          <w:rFonts w:hint="eastAsia" w:ascii="Times New Roman" w:hAnsi="Times New Roman" w:eastAsia="仿宋_GB2312" w:cs="Times New Roman"/>
          <w:sz w:val="32"/>
          <w:szCs w:val="32"/>
        </w:rPr>
        <w:t>无</w:t>
      </w:r>
      <w:r>
        <w:rPr>
          <w:rFonts w:ascii="Times New Roman" w:hAnsi="Times New Roman" w:eastAsia="仿宋_GB2312" w:cs="Times New Roman"/>
          <w:sz w:val="32"/>
          <w:szCs w:val="32"/>
        </w:rPr>
        <w:t>。</w:t>
      </w:r>
      <w:r>
        <w:rPr>
          <w:rFonts w:ascii="Times New Roman" w:hAnsi="Times New Roman" w:eastAsia="仿宋_GB2312" w:cs="Times New Roman"/>
          <w:kern w:val="0"/>
          <w:sz w:val="32"/>
          <w:szCs w:val="32"/>
        </w:rPr>
        <w:t>（请分别对各个项目部门评价结果，发现的问题及原因，下一步工作措施等进行简要说明）。</w:t>
      </w:r>
      <w:r>
        <w:rPr>
          <w:rFonts w:ascii="Times New Roman" w:hAnsi="Times New Roman" w:eastAsia="仿宋_GB2312" w:cs="Times New Roman"/>
          <w:b/>
          <w:bCs/>
          <w:kern w:val="0"/>
          <w:sz w:val="32"/>
          <w:szCs w:val="32"/>
        </w:rPr>
        <w:t>三是事前绩效评估结果（如有，一级预算部门填写）。</w:t>
      </w:r>
      <w:r>
        <w:rPr>
          <w:rFonts w:ascii="Times New Roman" w:hAnsi="Times New Roman" w:eastAsia="仿宋_GB2312" w:cs="Times New Roman"/>
          <w:kern w:val="0"/>
          <w:sz w:val="32"/>
          <w:szCs w:val="32"/>
        </w:rPr>
        <w:t>2024年度</w:t>
      </w:r>
      <w:r>
        <w:rPr>
          <w:rFonts w:hint="eastAsia" w:ascii="Times New Roman" w:hAnsi="Times New Roman" w:eastAsia="仿宋_GB2312" w:cs="Times New Roman"/>
          <w:sz w:val="32"/>
          <w:szCs w:val="32"/>
        </w:rPr>
        <w:t>0</w:t>
      </w:r>
      <w:r>
        <w:rPr>
          <w:rFonts w:ascii="Times New Roman" w:hAnsi="Times New Roman" w:eastAsia="仿宋_GB2312" w:cs="Times New Roman"/>
          <w:kern w:val="0"/>
          <w:sz w:val="32"/>
          <w:szCs w:val="32"/>
        </w:rPr>
        <w:t>个重大项目事前绩效评估，其中，</w:t>
      </w:r>
      <w:r>
        <w:rPr>
          <w:rFonts w:hint="eastAsia" w:ascii="Times New Roman" w:hAnsi="Times New Roman" w:eastAsia="仿宋_GB2312" w:cs="Times New Roman"/>
          <w:sz w:val="32"/>
          <w:szCs w:val="32"/>
        </w:rPr>
        <w:t>0</w:t>
      </w:r>
      <w:r>
        <w:rPr>
          <w:rFonts w:ascii="Times New Roman" w:hAnsi="Times New Roman" w:eastAsia="仿宋_GB2312" w:cs="Times New Roman"/>
          <w:kern w:val="0"/>
          <w:sz w:val="32"/>
          <w:szCs w:val="32"/>
        </w:rPr>
        <w:t>个项目评估通过，涉及资金</w:t>
      </w:r>
      <w:r>
        <w:rPr>
          <w:rFonts w:hint="eastAsia" w:ascii="Times New Roman" w:hAnsi="Times New Roman" w:eastAsia="仿宋_GB2312" w:cs="Times New Roman"/>
          <w:sz w:val="32"/>
          <w:szCs w:val="32"/>
        </w:rPr>
        <w:t>0</w:t>
      </w:r>
      <w:r>
        <w:rPr>
          <w:rFonts w:ascii="Times New Roman" w:hAnsi="Times New Roman" w:eastAsia="仿宋_GB2312" w:cs="Times New Roman"/>
          <w:kern w:val="0"/>
          <w:sz w:val="32"/>
          <w:szCs w:val="32"/>
        </w:rPr>
        <w:t>万元，</w:t>
      </w:r>
      <w:r>
        <w:rPr>
          <w:rFonts w:hint="eastAsia" w:ascii="Times New Roman" w:hAnsi="Times New Roman" w:eastAsia="仿宋_GB2312" w:cs="Times New Roman"/>
          <w:sz w:val="32"/>
          <w:szCs w:val="32"/>
        </w:rPr>
        <w:t>0</w:t>
      </w:r>
      <w:r>
        <w:rPr>
          <w:rFonts w:ascii="Times New Roman" w:hAnsi="Times New Roman" w:eastAsia="仿宋_GB2312" w:cs="Times New Roman"/>
          <w:kern w:val="0"/>
          <w:sz w:val="32"/>
          <w:szCs w:val="32"/>
        </w:rPr>
        <w:t>个项目评估不通过，涉及资金</w:t>
      </w:r>
      <w:r>
        <w:rPr>
          <w:rFonts w:hint="eastAsia" w:ascii="Times New Roman" w:hAnsi="Times New Roman" w:eastAsia="仿宋_GB2312" w:cs="Times New Roman"/>
          <w:sz w:val="32"/>
          <w:szCs w:val="32"/>
        </w:rPr>
        <w:t>0</w:t>
      </w:r>
      <w:r>
        <w:rPr>
          <w:rFonts w:ascii="Times New Roman" w:hAnsi="Times New Roman" w:eastAsia="仿宋_GB2312" w:cs="Times New Roman"/>
          <w:kern w:val="0"/>
          <w:sz w:val="32"/>
          <w:szCs w:val="32"/>
        </w:rPr>
        <w:t>万元。</w:t>
      </w:r>
    </w:p>
    <w:p>
      <w:pPr>
        <w:pStyle w:val="16"/>
        <w:overflowPunct w:val="0"/>
        <w:autoSpaceDE/>
        <w:autoSpaceDN/>
        <w:spacing w:line="600" w:lineRule="exact"/>
        <w:ind w:firstLine="640" w:firstLineChars="200"/>
        <w:jc w:val="both"/>
        <w:rPr>
          <w:rFonts w:ascii="Times New Roman" w:hAnsi="Times New Roman" w:eastAsia="仿宋_GB2312" w:cs="Times New Roman"/>
          <w:color w:val="auto"/>
          <w:sz w:val="72"/>
          <w:szCs w:val="72"/>
        </w:rPr>
      </w:pPr>
      <w:r>
        <w:rPr>
          <w:rFonts w:ascii="Times New Roman" w:hAnsi="Times New Roman" w:eastAsia="楷体_GB2312" w:cs="Times New Roman"/>
          <w:b/>
          <w:bCs/>
          <w:color w:val="auto"/>
          <w:kern w:val="2"/>
          <w:sz w:val="32"/>
          <w:szCs w:val="32"/>
        </w:rPr>
        <w:t>（三）评价结果应用情况。</w:t>
      </w:r>
      <w:r>
        <w:rPr>
          <w:rFonts w:hint="eastAsia" w:ascii="Times New Roman" w:hAnsi="Times New Roman" w:eastAsia="仿宋_GB2312" w:cs="Times New Roman"/>
          <w:color w:val="auto"/>
          <w:sz w:val="32"/>
          <w:szCs w:val="32"/>
        </w:rPr>
        <w:t>核减执行滞后项目预算，重点投向核心服务和设施升级；压减非必要支出，增加民生投入，整合取消低效项目；建立全流程管控机制，明确责任时限；完善预算、项目衔接制度，将评价结果与考核挂钩。</w:t>
      </w:r>
    </w:p>
    <w:p>
      <w:pPr>
        <w:pStyle w:val="16"/>
        <w:jc w:val="center"/>
        <w:rPr>
          <w:rFonts w:ascii="Times New Roman" w:hAnsi="Times New Roman" w:cs="Times New Roman"/>
          <w:sz w:val="72"/>
          <w:szCs w:val="72"/>
        </w:rPr>
      </w:pPr>
    </w:p>
    <w:p>
      <w:pPr>
        <w:pStyle w:val="16"/>
        <w:jc w:val="center"/>
        <w:rPr>
          <w:rFonts w:ascii="Times New Roman" w:hAnsi="Times New Roman" w:cs="Times New Roman"/>
          <w:sz w:val="72"/>
          <w:szCs w:val="72"/>
        </w:rPr>
      </w:pPr>
    </w:p>
    <w:p>
      <w:pPr>
        <w:pStyle w:val="16"/>
        <w:jc w:val="center"/>
        <w:rPr>
          <w:rFonts w:ascii="Times New Roman" w:hAnsi="Times New Roman" w:cs="Times New Roman"/>
          <w:sz w:val="72"/>
          <w:szCs w:val="72"/>
        </w:rPr>
      </w:pPr>
    </w:p>
    <w:p>
      <w:pPr>
        <w:pStyle w:val="16"/>
        <w:jc w:val="center"/>
        <w:rPr>
          <w:rFonts w:ascii="Times New Roman" w:hAnsi="Times New Roman" w:cs="Times New Roman"/>
          <w:sz w:val="72"/>
          <w:szCs w:val="72"/>
        </w:rPr>
      </w:pPr>
    </w:p>
    <w:p>
      <w:pPr>
        <w:pStyle w:val="16"/>
        <w:jc w:val="center"/>
        <w:rPr>
          <w:rFonts w:ascii="Times New Roman" w:hAnsi="Times New Roman" w:cs="Times New Roman"/>
          <w:sz w:val="72"/>
          <w:szCs w:val="72"/>
        </w:rPr>
      </w:pPr>
    </w:p>
    <w:p>
      <w:pPr>
        <w:pStyle w:val="16"/>
        <w:jc w:val="center"/>
        <w:rPr>
          <w:rFonts w:ascii="Times New Roman" w:hAnsi="Times New Roman" w:cs="Times New Roman"/>
          <w:sz w:val="72"/>
          <w:szCs w:val="72"/>
        </w:rPr>
      </w:pPr>
    </w:p>
    <w:p>
      <w:pPr>
        <w:pStyle w:val="16"/>
        <w:jc w:val="center"/>
        <w:rPr>
          <w:rFonts w:ascii="Times New Roman" w:hAnsi="Times New Roman" w:cs="Times New Roman"/>
          <w:sz w:val="72"/>
          <w:szCs w:val="72"/>
        </w:rPr>
      </w:pPr>
    </w:p>
    <w:p>
      <w:pPr>
        <w:pStyle w:val="16"/>
        <w:jc w:val="center"/>
        <w:rPr>
          <w:rFonts w:ascii="Times New Roman" w:hAnsi="Times New Roman" w:cs="Times New Roman"/>
          <w:sz w:val="72"/>
          <w:szCs w:val="72"/>
        </w:rPr>
      </w:pPr>
    </w:p>
    <w:p>
      <w:pPr>
        <w:pStyle w:val="16"/>
        <w:jc w:val="center"/>
        <w:rPr>
          <w:rFonts w:ascii="Times New Roman" w:hAnsi="Times New Roman" w:cs="Times New Roman"/>
          <w:sz w:val="72"/>
          <w:szCs w:val="72"/>
        </w:rPr>
      </w:pPr>
    </w:p>
    <w:p>
      <w:pPr>
        <w:pStyle w:val="16"/>
        <w:jc w:val="center"/>
        <w:rPr>
          <w:rFonts w:ascii="Times New Roman" w:hAnsi="Times New Roman" w:cs="Times New Roman"/>
          <w:sz w:val="72"/>
          <w:szCs w:val="72"/>
        </w:rPr>
      </w:pPr>
    </w:p>
    <w:p>
      <w:pPr>
        <w:pStyle w:val="16"/>
        <w:jc w:val="both"/>
        <w:rPr>
          <w:rFonts w:ascii="Times New Roman" w:hAnsi="Times New Roman" w:cs="Times New Roman"/>
          <w:sz w:val="72"/>
          <w:szCs w:val="72"/>
        </w:rPr>
      </w:pPr>
    </w:p>
    <w:p>
      <w:pPr>
        <w:pStyle w:val="16"/>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第四部分    名词解释</w:t>
      </w:r>
    </w:p>
    <w:p>
      <w:pPr>
        <w:widowControl/>
        <w:jc w:val="left"/>
        <w:rPr>
          <w:rFonts w:ascii="Times New Roman" w:hAnsi="Times New Roman" w:cs="Times New Roman"/>
          <w:color w:val="000000"/>
          <w:kern w:val="0"/>
          <w:sz w:val="32"/>
          <w:szCs w:val="32"/>
        </w:rPr>
      </w:pPr>
    </w:p>
    <w:p>
      <w:pPr>
        <w:pStyle w:val="8"/>
        <w:shd w:val="clear" w:color="auto" w:fill="FFFFFF"/>
        <w:spacing w:before="0" w:beforeAutospacing="0" w:after="94" w:afterAutospacing="0" w:line="636" w:lineRule="atLeast"/>
        <w:ind w:firstLine="480"/>
        <w:jc w:val="both"/>
        <w:rPr>
          <w:rFonts w:ascii="微软雅黑" w:hAnsi="微软雅黑" w:eastAsia="微软雅黑"/>
          <w:color w:val="3D3D3D"/>
          <w:sz w:val="30"/>
          <w:szCs w:val="30"/>
        </w:rPr>
      </w:pPr>
      <w:r>
        <w:rPr>
          <w:rFonts w:hint="eastAsia" w:cs="黑体" w:asciiTheme="minorEastAsia" w:hAnsiTheme="minorEastAsia"/>
          <w:color w:val="000000"/>
          <w:sz w:val="32"/>
          <w:szCs w:val="32"/>
        </w:rPr>
        <w:t>一、</w:t>
      </w:r>
      <w:r>
        <w:rPr>
          <w:rFonts w:hint="eastAsia" w:ascii="微软雅黑" w:hAnsi="微软雅黑" w:eastAsia="微软雅黑"/>
          <w:color w:val="3D3D3D"/>
          <w:sz w:val="30"/>
          <w:szCs w:val="30"/>
        </w:rPr>
        <w:t>机关运行经费：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即为行政单位和参照公务员法管理事业单位一般公共预算财政拨款基本支出中的公用经费支出。</w:t>
      </w:r>
    </w:p>
    <w:p>
      <w:pPr>
        <w:ind w:firstLine="640" w:firstLineChars="200"/>
        <w:jc w:val="left"/>
        <w:rPr>
          <w:rFonts w:ascii="楷体" w:hAnsi="楷体" w:eastAsia="楷体" w:cs="楷体"/>
          <w:b/>
          <w:bCs/>
          <w:i/>
          <w:sz w:val="32"/>
          <w:szCs w:val="32"/>
        </w:rPr>
      </w:pPr>
      <w:r>
        <w:rPr>
          <w:rFonts w:hint="eastAsia" w:cs="黑体" w:asciiTheme="minorEastAsia" w:hAnsiTheme="minorEastAsia"/>
          <w:color w:val="000000"/>
          <w:sz w:val="32"/>
          <w:szCs w:val="32"/>
        </w:rPr>
        <w:t>二、</w:t>
      </w:r>
      <w:r>
        <w:rPr>
          <w:rFonts w:hint="eastAsia" w:ascii="微软雅黑" w:hAnsi="微软雅黑" w:eastAsia="微软雅黑"/>
          <w:color w:val="3D3D3D"/>
          <w:sz w:val="30"/>
          <w:szCs w:val="30"/>
        </w:rPr>
        <w:t>“三公”经费：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r>
        <w:rPr>
          <w:rFonts w:ascii="Times New Roman" w:hAnsi="Times New Roman" w:eastAsia="楷体_GB2312" w:cs="Times New Roman"/>
          <w:b/>
          <w:bCs/>
          <w:i/>
          <w:sz w:val="32"/>
          <w:szCs w:val="32"/>
        </w:rPr>
        <w:t>（名词解释应包含本部门专有名词，如省财政厅应有对“财政事务”科目的解释，可参考中央相关部门的名词解释）</w:t>
      </w:r>
    </w:p>
    <w:p>
      <w:pPr>
        <w:pStyle w:val="16"/>
        <w:jc w:val="both"/>
        <w:rPr>
          <w:rFonts w:ascii="Times New Roman" w:hAnsi="Times New Roman" w:cs="Times New Roman"/>
          <w:sz w:val="72"/>
          <w:szCs w:val="72"/>
        </w:rPr>
      </w:pPr>
    </w:p>
    <w:p>
      <w:pPr>
        <w:pStyle w:val="16"/>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第五部分   附 件</w:t>
      </w:r>
    </w:p>
    <w:p>
      <w:pPr>
        <w:rPr>
          <w:rFonts w:ascii="Times New Roman" w:hAnsi="Times New Roman" w:cs="Times New Roman"/>
          <w:sz w:val="72"/>
          <w:szCs w:val="72"/>
        </w:rPr>
      </w:pPr>
    </w:p>
    <w:p>
      <w:pPr>
        <w:pStyle w:val="16"/>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b/>
          <w:bCs/>
          <w:sz w:val="32"/>
          <w:szCs w:val="32"/>
        </w:rPr>
        <w:t>一、</w:t>
      </w:r>
      <w:r>
        <w:rPr>
          <w:rFonts w:ascii="Times New Roman" w:hAnsi="Times New Roman" w:eastAsia="仿宋_GB2312" w:cs="Times New Roman"/>
          <w:sz w:val="32"/>
          <w:szCs w:val="32"/>
        </w:rPr>
        <w:t>2024年度部门(单位)整体支出绩效自评报告。</w:t>
      </w:r>
    </w:p>
    <w:p>
      <w:pPr>
        <w:pStyle w:val="16"/>
        <w:spacing w:line="600" w:lineRule="exact"/>
        <w:ind w:firstLine="640" w:firstLineChars="200"/>
        <w:rPr>
          <w:rFonts w:ascii="Times New Roman" w:hAnsi="Times New Roman" w:eastAsia="仿宋_GB2312" w:cs="Times New Roman"/>
          <w:sz w:val="32"/>
          <w:szCs w:val="32"/>
        </w:rPr>
      </w:pPr>
    </w:p>
    <w:p>
      <w:pPr>
        <w:pStyle w:val="16"/>
        <w:jc w:val="center"/>
        <w:rPr>
          <w:rFonts w:ascii="Times New Roman" w:hAnsi="Times New Roman" w:cs="Times New Roman"/>
          <w:sz w:val="72"/>
          <w:szCs w:val="72"/>
        </w:rPr>
      </w:pPr>
    </w:p>
    <w:p>
      <w:pPr>
        <w:pStyle w:val="16"/>
        <w:jc w:val="center"/>
        <w:rPr>
          <w:rFonts w:ascii="Times New Roman" w:hAnsi="Times New Roman" w:cs="Times New Roman"/>
          <w:sz w:val="72"/>
          <w:szCs w:val="72"/>
        </w:rPr>
      </w:pPr>
    </w:p>
    <w:p>
      <w:pPr>
        <w:jc w:val="left"/>
        <w:rPr>
          <w:rFonts w:ascii="Times New Roman" w:hAnsi="Times New Roman" w:cs="Times New Roman"/>
          <w:color w:val="000000"/>
          <w:kern w:val="0"/>
          <w:sz w:val="32"/>
          <w:szCs w:val="32"/>
        </w:rPr>
      </w:pPr>
    </w:p>
    <w:sectPr>
      <w:pgSz w:w="11906" w:h="16838"/>
      <w:pgMar w:top="1417" w:right="1588" w:bottom="1417" w:left="1588"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altName w:val="方正小标宋_GBK"/>
    <w:panose1 w:val="00000000000000000000"/>
    <w:charset w:val="86"/>
    <w:family w:val="auto"/>
    <w:pitch w:val="default"/>
    <w:sig w:usb0="00000000" w:usb1="00000000" w:usb2="00000010" w:usb3="00000000" w:csb0="00040000" w:csb1="00000000"/>
  </w:font>
  <w:font w:name="仿宋_GB2312">
    <w:panose1 w:val="02010609030101010101"/>
    <w:charset w:val="86"/>
    <w:family w:val="auto"/>
    <w:pitch w:val="default"/>
    <w:sig w:usb0="00000001" w:usb1="080E0000" w:usb2="00000000" w:usb3="00000000" w:csb0="00040000" w:csb1="00000000"/>
  </w:font>
  <w:font w:name="方正小标宋_GBK">
    <w:panose1 w:val="02000000000000000000"/>
    <w:charset w:val="86"/>
    <w:family w:val="script"/>
    <w:pitch w:val="default"/>
    <w:sig w:usb0="A00002BF" w:usb1="38CF7CFA" w:usb2="00082016" w:usb3="00000000" w:csb0="00040001" w:csb1="00000000"/>
  </w:font>
  <w:font w:name="华文中宋">
    <w:altName w:val="方正书宋_GBK"/>
    <w:panose1 w:val="00000000000000000000"/>
    <w:charset w:val="86"/>
    <w:family w:val="auto"/>
    <w:pitch w:val="default"/>
    <w:sig w:usb0="00000000" w:usb1="00000000" w:usb2="00000010" w:usb3="00000000" w:csb0="0004009F" w:csb1="DFD70000"/>
  </w:font>
  <w:font w:name="楷体_GB2312">
    <w:altName w:val="楷体"/>
    <w:panose1 w:val="00000000000000000000"/>
    <w:charset w:val="86"/>
    <w:family w:val="auto"/>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微软雅黑">
    <w:altName w:val="黑体"/>
    <w:panose1 w:val="020B0503020204020204"/>
    <w:charset w:val="86"/>
    <w:family w:val="swiss"/>
    <w:pitch w:val="default"/>
    <w:sig w:usb0="00000000" w:usb1="00000000" w:usb2="00000016" w:usb3="00000000" w:csb0="0004001F" w:csb1="00000000"/>
  </w:font>
  <w:font w:name="方正书宋_GBK">
    <w:panose1 w:val="02000000000000000000"/>
    <w:charset w:val="86"/>
    <w:family w:val="auto"/>
    <w:pitch w:val="default"/>
    <w:sig w:usb0="A00002BF" w:usb1="38CF7CFA" w:usb2="00082016" w:usb3="00000000" w:csb0="00040001" w:csb1="00000000"/>
  </w:font>
  <w:font w:name="Nimbus Roman No9 L">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w:pict>
        <v:shape id="文本框 5" o:spid="_x0000_s1236"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weight="0.5pt" joinstyle="miter"/>
          <v:imagedata o:title=""/>
          <o:lock v:ext="edit"/>
          <v:textbox inset="0mm,0mm,0mm,0mm" style="mso-fit-shape-to-text:t;">
            <w:txbxContent>
              <w:p>
                <w:pPr>
                  <w:pStyle w:val="12"/>
                </w:pPr>
                <w:r>
                  <w:fldChar w:fldCharType="begin"/>
                </w:r>
                <w:r>
                  <w:instrText xml:space="preserve"> PAGE  \* MERGEFORMAT </w:instrText>
                </w:r>
                <w:r>
                  <w:fldChar w:fldCharType="separate"/>
                </w:r>
                <w:r>
                  <w:t>15</w:t>
                </w:r>
                <w: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9958174"/>
    <w:multiLevelType w:val="singleLevel"/>
    <w:tmpl w:val="B9958174"/>
    <w:lvl w:ilvl="0" w:tentative="0">
      <w:start w:val="9"/>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NotTrackMoves/>
  <w:documentProtection w:enforcement="0"/>
  <w:defaultTabStop w:val="420"/>
  <w:drawingGridHorizontalSpacing w:val="105"/>
  <w:drawingGridVerticalSpacing w:val="156"/>
  <w:noPunctuationKerning w:val="true"/>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761006"/>
    <w:rsid w:val="00080C80"/>
    <w:rsid w:val="00080DCC"/>
    <w:rsid w:val="0008228B"/>
    <w:rsid w:val="000A6A6B"/>
    <w:rsid w:val="000E54B1"/>
    <w:rsid w:val="00190F45"/>
    <w:rsid w:val="00194860"/>
    <w:rsid w:val="001B671A"/>
    <w:rsid w:val="00203918"/>
    <w:rsid w:val="002B7E94"/>
    <w:rsid w:val="0031544E"/>
    <w:rsid w:val="0033379B"/>
    <w:rsid w:val="004040E3"/>
    <w:rsid w:val="0048677E"/>
    <w:rsid w:val="004E6FC8"/>
    <w:rsid w:val="00570E11"/>
    <w:rsid w:val="00581F49"/>
    <w:rsid w:val="005A1A2E"/>
    <w:rsid w:val="005C74D5"/>
    <w:rsid w:val="00605AD2"/>
    <w:rsid w:val="00630DFD"/>
    <w:rsid w:val="0065145C"/>
    <w:rsid w:val="00692F04"/>
    <w:rsid w:val="006B6DAE"/>
    <w:rsid w:val="00761006"/>
    <w:rsid w:val="007B1713"/>
    <w:rsid w:val="007B6E7D"/>
    <w:rsid w:val="00821AD1"/>
    <w:rsid w:val="008339F6"/>
    <w:rsid w:val="00836213"/>
    <w:rsid w:val="00844375"/>
    <w:rsid w:val="00847C26"/>
    <w:rsid w:val="00932F1A"/>
    <w:rsid w:val="00960710"/>
    <w:rsid w:val="009E3519"/>
    <w:rsid w:val="00A5761E"/>
    <w:rsid w:val="00C268B3"/>
    <w:rsid w:val="00D27FAD"/>
    <w:rsid w:val="00D44338"/>
    <w:rsid w:val="00D6290F"/>
    <w:rsid w:val="00D62CB3"/>
    <w:rsid w:val="00D87378"/>
    <w:rsid w:val="00E00CBD"/>
    <w:rsid w:val="00EA74C5"/>
    <w:rsid w:val="00EB1037"/>
    <w:rsid w:val="12A7719E"/>
    <w:rsid w:val="143A247B"/>
    <w:rsid w:val="1EE111CD"/>
    <w:rsid w:val="47650171"/>
    <w:rsid w:val="485B6005"/>
    <w:rsid w:val="4F9E612B"/>
    <w:rsid w:val="5265143E"/>
    <w:rsid w:val="57947A7F"/>
    <w:rsid w:val="60AF6886"/>
    <w:rsid w:val="611761E6"/>
    <w:rsid w:val="66DA6F11"/>
    <w:rsid w:val="69B46CBE"/>
    <w:rsid w:val="6A613A70"/>
    <w:rsid w:val="7F9FB69C"/>
    <w:rsid w:val="7FA35BB5"/>
    <w:rsid w:val="FD0B27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customStyle="1" w:styleId="2">
    <w:name w:val="Footnote Text"/>
    <w:basedOn w:val="1"/>
    <w:next w:val="3"/>
    <w:semiHidden/>
    <w:qFormat/>
    <w:uiPriority w:val="0"/>
    <w:pPr>
      <w:snapToGrid w:val="0"/>
      <w:jc w:val="left"/>
    </w:pPr>
    <w:rPr>
      <w:sz w:val="18"/>
      <w:szCs w:val="18"/>
    </w:rPr>
  </w:style>
  <w:style w:type="paragraph" w:styleId="3">
    <w:name w:val="Body Text First Indent 2"/>
    <w:basedOn w:val="4"/>
    <w:next w:val="1"/>
    <w:unhideWhenUsed/>
    <w:qFormat/>
    <w:uiPriority w:val="99"/>
    <w:pPr>
      <w:ind w:firstLine="420" w:firstLineChars="200"/>
    </w:pPr>
  </w:style>
  <w:style w:type="paragraph" w:styleId="4">
    <w:name w:val="Body Text Indent"/>
    <w:basedOn w:val="1"/>
    <w:next w:val="3"/>
    <w:unhideWhenUsed/>
    <w:qFormat/>
    <w:uiPriority w:val="99"/>
    <w:pPr>
      <w:widowControl/>
      <w:spacing w:after="120"/>
      <w:ind w:left="420" w:leftChars="200"/>
      <w:jc w:val="left"/>
    </w:pPr>
    <w:rPr>
      <w:rFonts w:ascii="宋体" w:hAnsi="宋体" w:eastAsia="宋体" w:cs="宋体"/>
      <w:kern w:val="0"/>
      <w:sz w:val="24"/>
    </w:rPr>
  </w:style>
  <w:style w:type="paragraph" w:styleId="5">
    <w:name w:val="Balloon Text"/>
    <w:basedOn w:val="1"/>
    <w:link w:val="18"/>
    <w:semiHidden/>
    <w:unhideWhenUsed/>
    <w:qFormat/>
    <w:uiPriority w:val="99"/>
    <w:rPr>
      <w:sz w:val="18"/>
      <w:szCs w:val="18"/>
    </w:rPr>
  </w:style>
  <w:style w:type="paragraph" w:styleId="6">
    <w:name w:val="footer"/>
    <w:basedOn w:val="1"/>
    <w:link w:val="23"/>
    <w:unhideWhenUsed/>
    <w:qFormat/>
    <w:uiPriority w:val="99"/>
    <w:pPr>
      <w:tabs>
        <w:tab w:val="center" w:pos="4153"/>
        <w:tab w:val="right" w:pos="8306"/>
      </w:tabs>
      <w:snapToGrid w:val="0"/>
      <w:jc w:val="left"/>
    </w:pPr>
    <w:rPr>
      <w:sz w:val="18"/>
      <w:szCs w:val="18"/>
    </w:rPr>
  </w:style>
  <w:style w:type="paragraph" w:styleId="7">
    <w:name w:val="header"/>
    <w:basedOn w:val="1"/>
    <w:link w:val="22"/>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10">
    <w:name w:val="Table Grid"/>
    <w:qFormat/>
    <w:uiPriority w:val="0"/>
    <w:tblPr>
      <w:tblBorders>
        <w:top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
  </w:style>
  <w:style w:type="paragraph" w:customStyle="1" w:styleId="12">
    <w:name w:val="Footer"/>
    <w:basedOn w:val="1"/>
    <w:link w:val="15"/>
    <w:unhideWhenUsed/>
    <w:qFormat/>
    <w:uiPriority w:val="99"/>
    <w:pPr>
      <w:tabs>
        <w:tab w:val="center" w:pos="4153"/>
        <w:tab w:val="right" w:pos="8306"/>
      </w:tabs>
      <w:snapToGrid w:val="0"/>
      <w:jc w:val="left"/>
    </w:pPr>
    <w:rPr>
      <w:sz w:val="18"/>
      <w:szCs w:val="18"/>
    </w:rPr>
  </w:style>
  <w:style w:type="paragraph" w:customStyle="1" w:styleId="13">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14">
    <w:name w:val="页眉 Char"/>
    <w:basedOn w:val="11"/>
    <w:link w:val="13"/>
    <w:qFormat/>
    <w:uiPriority w:val="99"/>
    <w:rPr>
      <w:sz w:val="18"/>
      <w:szCs w:val="18"/>
    </w:rPr>
  </w:style>
  <w:style w:type="character" w:customStyle="1" w:styleId="15">
    <w:name w:val="页脚 Char"/>
    <w:basedOn w:val="11"/>
    <w:link w:val="12"/>
    <w:qFormat/>
    <w:uiPriority w:val="99"/>
    <w:rPr>
      <w:sz w:val="18"/>
      <w:szCs w:val="18"/>
    </w:rPr>
  </w:style>
  <w:style w:type="paragraph" w:customStyle="1" w:styleId="16">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17">
    <w:name w:val="List Paragraph"/>
    <w:basedOn w:val="1"/>
    <w:qFormat/>
    <w:uiPriority w:val="34"/>
    <w:pPr>
      <w:ind w:firstLine="420" w:firstLineChars="200"/>
    </w:pPr>
  </w:style>
  <w:style w:type="character" w:customStyle="1" w:styleId="18">
    <w:name w:val="批注框文本 Char"/>
    <w:basedOn w:val="11"/>
    <w:link w:val="5"/>
    <w:semiHidden/>
    <w:qFormat/>
    <w:uiPriority w:val="99"/>
    <w:rPr>
      <w:sz w:val="18"/>
      <w:szCs w:val="18"/>
    </w:rPr>
  </w:style>
  <w:style w:type="character" w:customStyle="1" w:styleId="19">
    <w:name w:val="font01"/>
    <w:basedOn w:val="11"/>
    <w:qFormat/>
    <w:uiPriority w:val="0"/>
    <w:rPr>
      <w:rFonts w:hint="eastAsia" w:ascii="宋体" w:hAnsi="宋体" w:eastAsia="宋体" w:cs="宋体"/>
      <w:color w:val="000000"/>
      <w:sz w:val="22"/>
      <w:szCs w:val="22"/>
      <w:u w:val="none"/>
    </w:rPr>
  </w:style>
  <w:style w:type="character" w:customStyle="1" w:styleId="20">
    <w:name w:val="font21"/>
    <w:basedOn w:val="11"/>
    <w:qFormat/>
    <w:uiPriority w:val="0"/>
    <w:rPr>
      <w:rFonts w:hint="eastAsia" w:ascii="宋体" w:hAnsi="宋体" w:eastAsia="宋体" w:cs="宋体"/>
      <w:color w:val="000000"/>
      <w:sz w:val="24"/>
      <w:szCs w:val="24"/>
      <w:u w:val="none"/>
    </w:rPr>
  </w:style>
  <w:style w:type="character" w:customStyle="1" w:styleId="21">
    <w:name w:val="font11"/>
    <w:basedOn w:val="11"/>
    <w:qFormat/>
    <w:uiPriority w:val="0"/>
    <w:rPr>
      <w:rFonts w:hint="eastAsia" w:ascii="宋体" w:hAnsi="宋体" w:eastAsia="宋体" w:cs="宋体"/>
      <w:color w:val="000000"/>
      <w:sz w:val="24"/>
      <w:szCs w:val="24"/>
      <w:u w:val="none"/>
    </w:rPr>
  </w:style>
  <w:style w:type="character" w:customStyle="1" w:styleId="22">
    <w:name w:val="页眉 Char1"/>
    <w:basedOn w:val="11"/>
    <w:link w:val="7"/>
    <w:qFormat/>
    <w:uiPriority w:val="99"/>
    <w:rPr>
      <w:rFonts w:asciiTheme="minorHAnsi" w:hAnsiTheme="minorHAnsi" w:eastAsiaTheme="minorEastAsia" w:cstheme="minorBidi"/>
      <w:kern w:val="2"/>
      <w:sz w:val="18"/>
      <w:szCs w:val="18"/>
    </w:rPr>
  </w:style>
  <w:style w:type="character" w:customStyle="1" w:styleId="23">
    <w:name w:val="页脚 Char1"/>
    <w:basedOn w:val="11"/>
    <w:link w:val="6"/>
    <w:qFormat/>
    <w:uiPriority w:val="99"/>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23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27</Pages>
  <Words>3119</Words>
  <Characters>4807</Characters>
  <Lines>88</Lines>
  <Paragraphs>24</Paragraphs>
  <TotalTime>6</TotalTime>
  <ScaleCrop>false</ScaleCrop>
  <LinksUpToDate>false</LinksUpToDate>
  <CharactersWithSpaces>5678</CharactersWithSpaces>
  <Application>WPS Office_11.1.0.10161_F1E327BC-269C-435d-A152-05C5408002CA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2025-09-15T17:37:00Z</dcterms:created>
  <dc:creator>李航 null</dc:creator>
  <cp:lastModifiedBy>greatwall</cp:lastModifiedBy>
  <cp:lastPrinted>2024-08-09T10:20:00Z</cp:lastPrinted>
  <dcterms:modified xsi:type="dcterms:W3CDTF">2025-09-26T16:04:19Z</dcterms:modified>
  <cp:revision>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2052-11.1.0.10161</vt:lpwstr>
  </property>
  <property fmtid="{D5CDD505-2E9C-101B-9397-08002B2CF9AE}" pid="3" name="ICV">
    <vt:lpwstr>BB7B6AA21D207914D6FDA268992A22D6</vt:lpwstr>
  </property>
  <property fmtid="{D5CDD505-2E9C-101B-9397-08002B2CF9AE}" pid="4" name="KSOTemplateDocerSaveRecord">
    <vt:lpwstr>eyJoZGlkIjoiNDA5ZTYxNzYxOGIyMmI5M2I3Mzg2MzJmODAzMzVkNGMiLCJ1c2VySWQiOiI2NDE3NjU2MjkifQ==</vt:lpwstr>
  </property>
</Properties>
</file>