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8E7E9">
      <w:pPr>
        <w:pStyle w:val="12"/>
        <w:jc w:val="both"/>
        <w:rPr>
          <w:rFonts w:hAnsi="黑体"/>
          <w:sz w:val="36"/>
          <w:szCs w:val="36"/>
        </w:rPr>
      </w:pPr>
      <w:r>
        <w:rPr>
          <w:rFonts w:hint="eastAsia" w:hAnsi="黑体"/>
          <w:sz w:val="36"/>
          <w:szCs w:val="36"/>
        </w:rPr>
        <w:t>附件1</w:t>
      </w:r>
    </w:p>
    <w:p w14:paraId="301D2AB7">
      <w:pPr>
        <w:pStyle w:val="12"/>
        <w:jc w:val="center"/>
        <w:rPr>
          <w:rFonts w:ascii="Times New Roman" w:hAnsi="Times New Roman" w:cs="Times New Roman"/>
          <w:sz w:val="56"/>
          <w:szCs w:val="56"/>
        </w:rPr>
      </w:pPr>
    </w:p>
    <w:p w14:paraId="6ABE8956">
      <w:pPr>
        <w:pStyle w:val="12"/>
        <w:jc w:val="center"/>
        <w:rPr>
          <w:rFonts w:ascii="Times New Roman" w:hAnsi="Times New Roman" w:cs="Times New Roman"/>
          <w:sz w:val="84"/>
          <w:szCs w:val="84"/>
        </w:rPr>
      </w:pPr>
    </w:p>
    <w:p w14:paraId="54448B8F">
      <w:pPr>
        <w:pStyle w:val="12"/>
        <w:jc w:val="center"/>
        <w:rPr>
          <w:rFonts w:ascii="Times New Roman" w:hAnsi="Times New Roman" w:cs="Times New Roman"/>
          <w:sz w:val="84"/>
          <w:szCs w:val="84"/>
        </w:rPr>
      </w:pPr>
    </w:p>
    <w:p w14:paraId="3FA29854">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4DBD67C">
      <w:pPr>
        <w:pStyle w:val="12"/>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怀化市残疾人联合会</w:t>
      </w:r>
    </w:p>
    <w:p w14:paraId="1F209D05">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60EA396E">
      <w:pPr>
        <w:pStyle w:val="12"/>
        <w:jc w:val="center"/>
        <w:rPr>
          <w:rFonts w:ascii="Times New Roman" w:hAnsi="Times New Roman" w:eastAsia="方正小标宋_GBK" w:cs="Times New Roman"/>
          <w:sz w:val="56"/>
          <w:szCs w:val="56"/>
        </w:rPr>
      </w:pPr>
    </w:p>
    <w:p w14:paraId="28C9D472">
      <w:pPr>
        <w:pStyle w:val="12"/>
        <w:jc w:val="center"/>
        <w:rPr>
          <w:rFonts w:ascii="Times New Roman" w:hAnsi="Times New Roman" w:cs="Times New Roman"/>
          <w:sz w:val="56"/>
          <w:szCs w:val="56"/>
        </w:rPr>
      </w:pPr>
    </w:p>
    <w:p w14:paraId="7D62DB4C">
      <w:pPr>
        <w:pStyle w:val="12"/>
        <w:rPr>
          <w:rFonts w:ascii="Times New Roman" w:hAnsi="Times New Roman" w:cs="Times New Roman"/>
          <w:sz w:val="56"/>
          <w:szCs w:val="56"/>
        </w:rPr>
      </w:pPr>
    </w:p>
    <w:p w14:paraId="3B158C7C">
      <w:pPr>
        <w:pStyle w:val="12"/>
        <w:jc w:val="center"/>
        <w:rPr>
          <w:rFonts w:ascii="Times New Roman" w:hAnsi="Times New Roman" w:cs="Times New Roman"/>
          <w:sz w:val="32"/>
          <w:szCs w:val="32"/>
        </w:rPr>
      </w:pPr>
    </w:p>
    <w:p w14:paraId="1B803F28">
      <w:pPr>
        <w:pStyle w:val="12"/>
        <w:jc w:val="center"/>
        <w:rPr>
          <w:rFonts w:ascii="Times New Roman" w:hAnsi="Times New Roman" w:cs="Times New Roman"/>
          <w:sz w:val="32"/>
          <w:szCs w:val="32"/>
        </w:rPr>
      </w:pPr>
    </w:p>
    <w:p w14:paraId="632D7FCF">
      <w:pPr>
        <w:pStyle w:val="12"/>
        <w:jc w:val="center"/>
        <w:rPr>
          <w:rFonts w:ascii="Times New Roman" w:hAnsi="Times New Roman" w:cs="Times New Roman"/>
          <w:sz w:val="32"/>
          <w:szCs w:val="32"/>
        </w:rPr>
      </w:pPr>
    </w:p>
    <w:p w14:paraId="3E723BA3">
      <w:pPr>
        <w:pStyle w:val="12"/>
        <w:jc w:val="center"/>
        <w:rPr>
          <w:rFonts w:ascii="Times New Roman" w:hAnsi="Times New Roman" w:cs="Times New Roman"/>
          <w:sz w:val="32"/>
          <w:szCs w:val="32"/>
        </w:rPr>
      </w:pPr>
    </w:p>
    <w:p w14:paraId="34851D7A">
      <w:pPr>
        <w:pStyle w:val="12"/>
        <w:jc w:val="center"/>
        <w:rPr>
          <w:rFonts w:ascii="Times New Roman" w:hAnsi="Times New Roman" w:cs="Times New Roman"/>
          <w:sz w:val="32"/>
          <w:szCs w:val="32"/>
        </w:rPr>
      </w:pPr>
    </w:p>
    <w:p w14:paraId="4DE686C0">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2C770CC1">
      <w:pPr>
        <w:pStyle w:val="12"/>
        <w:spacing w:line="600" w:lineRule="exact"/>
        <w:jc w:val="both"/>
        <w:rPr>
          <w:rFonts w:ascii="Times New Roman" w:hAnsi="Times New Roman" w:cs="Times New Roman"/>
          <w:b/>
          <w:sz w:val="36"/>
          <w:szCs w:val="28"/>
        </w:rPr>
      </w:pPr>
    </w:p>
    <w:p w14:paraId="4F548797">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04910F4">
      <w:pPr>
        <w:pStyle w:val="12"/>
        <w:spacing w:line="600" w:lineRule="exact"/>
        <w:jc w:val="center"/>
        <w:rPr>
          <w:rFonts w:ascii="Times New Roman" w:hAnsi="Times New Roman" w:cs="Times New Roman"/>
          <w:b/>
          <w:sz w:val="36"/>
          <w:szCs w:val="28"/>
        </w:rPr>
      </w:pPr>
    </w:p>
    <w:p w14:paraId="5B37605C">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 xml:space="preserve"> </w:t>
      </w:r>
      <w:r>
        <w:rPr>
          <w:rFonts w:hint="eastAsia" w:ascii="Times New Roman" w:hAnsi="Times New Roman" w:cs="Times New Roman"/>
          <w:bCs/>
          <w:sz w:val="32"/>
          <w:szCs w:val="32"/>
        </w:rPr>
        <w:t>怀化市残疾人联合会</w:t>
      </w:r>
      <w:r>
        <w:rPr>
          <w:rFonts w:ascii="Times New Roman" w:hAnsi="Times New Roman" w:cs="Times New Roman"/>
          <w:bCs/>
          <w:sz w:val="32"/>
          <w:szCs w:val="32"/>
        </w:rPr>
        <w:t>概况</w:t>
      </w:r>
    </w:p>
    <w:p w14:paraId="6A00BC5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7A083B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CBF404F">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4074B7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E69DF8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E07AB3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04715D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21492E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69C28E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7A8790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4A4BAA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CE8F1C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8D8BC1">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AAC628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BA2DAB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9A9531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8178A7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C8009D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051149D0">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40BFB48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C15FDF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A45165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5D8013F3">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06946C9">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45F5DEA">
      <w:pPr>
        <w:pStyle w:val="12"/>
        <w:spacing w:line="600" w:lineRule="exact"/>
        <w:rPr>
          <w:rFonts w:ascii="Times New Roman" w:hAnsi="Times New Roman" w:cs="Times New Roman"/>
          <w:bCs/>
          <w:sz w:val="28"/>
          <w:szCs w:val="28"/>
        </w:rPr>
      </w:pPr>
    </w:p>
    <w:p w14:paraId="7B710666">
      <w:pPr>
        <w:jc w:val="center"/>
        <w:rPr>
          <w:rFonts w:ascii="Times New Roman" w:hAnsi="Times New Roman" w:cs="Times New Roman"/>
          <w:sz w:val="72"/>
          <w:szCs w:val="72"/>
        </w:rPr>
      </w:pPr>
    </w:p>
    <w:p w14:paraId="36F6119A">
      <w:pPr>
        <w:jc w:val="center"/>
        <w:rPr>
          <w:rFonts w:ascii="Times New Roman" w:hAnsi="Times New Roman" w:cs="Times New Roman"/>
          <w:sz w:val="72"/>
          <w:szCs w:val="72"/>
        </w:rPr>
      </w:pPr>
    </w:p>
    <w:p w14:paraId="47E67FEC">
      <w:pPr>
        <w:jc w:val="center"/>
        <w:rPr>
          <w:rFonts w:ascii="Times New Roman" w:hAnsi="Times New Roman" w:cs="Times New Roman"/>
          <w:sz w:val="72"/>
          <w:szCs w:val="72"/>
        </w:rPr>
      </w:pPr>
    </w:p>
    <w:p w14:paraId="77C3C3F5">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8C68D00">
      <w:pPr>
        <w:rPr>
          <w:rFonts w:ascii="Times New Roman" w:hAnsi="Times New Roman" w:eastAsia="方正小标宋_GBK" w:cs="Times New Roman"/>
          <w:sz w:val="72"/>
          <w:szCs w:val="72"/>
        </w:rPr>
      </w:pPr>
    </w:p>
    <w:p w14:paraId="1ADDA3D2">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4DF5CBB">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怀化市残疾人联合会</w:t>
      </w:r>
      <w:r>
        <w:rPr>
          <w:rFonts w:ascii="Times New Roman" w:hAnsi="Times New Roman" w:eastAsia="方正小标宋_GBK" w:cs="Times New Roman"/>
          <w:sz w:val="52"/>
          <w:szCs w:val="52"/>
        </w:rPr>
        <w:t>概况</w:t>
      </w:r>
    </w:p>
    <w:p w14:paraId="4411722F">
      <w:pPr>
        <w:pStyle w:val="3"/>
        <w:ind w:left="0" w:leftChars="0" w:firstLine="0" w:firstLineChars="0"/>
        <w:rPr>
          <w:rFonts w:ascii="Times New Roman" w:hAnsi="Times New Roman" w:cs="Times New Roman"/>
        </w:rPr>
      </w:pPr>
    </w:p>
    <w:p w14:paraId="79263099">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351144D">
      <w:pPr>
        <w:spacing w:line="60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怀化市残疾人联合会的职能是“代表、服务、管理”（即代表残疾人共同利益，维护残疾人合法权益；团结教育残疾人，为残疾人服务；履行法律赋予的职责，承担政府委托的任务，管理和发展残疾人事业）。主要工作任务：一是听取残疾人意见，反映残疾人需求，维护残疾人权益，为残疾人服务。二是团结教育残疾人遵守法律，履行应尽的义务，发扬乐观进取精神，自尊、自信、自强、自立，为社会主义建设贡献力量。三是弘扬人道主义精神，宣传残疾人事业，受政府委托发展残疾人事业、管理残疾人，动员社会理解、尊重、关心、帮助残疾人。四是协同有关部门开展残疾人康复、教育、劳动就业、扶贫、文化、体育、科研、用品用具供应、福利、社会服务、无障碍设施和残疾预防工作，创造良好的环境和条件，扶助残疾人平等参与社会生活。五是协助政府研究、拟定和实施残疾人事业的地方性法规、政策、规划和计划，对有关业务进行指导和管理。六是承担市政府残疾人工作委员会的日常工作，做好综合、组织、协调和服务。七是承办市委、市人民政府交办的其他事项。</w:t>
      </w:r>
    </w:p>
    <w:p w14:paraId="4CAB24FE">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7DBEDEB">
      <w:pPr>
        <w:widowControl/>
        <w:spacing w:line="600" w:lineRule="exact"/>
        <w:ind w:firstLine="640" w:firstLineChars="200"/>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怀化市残疾人联合会</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办公室、康复部、教就部，1个下属事业单位：怀化市残疾人服务中心。</w:t>
      </w:r>
    </w:p>
    <w:p w14:paraId="2CD55B6D">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怀化市残疾人联合会</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怀化市残疾人联合会</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5394270B">
      <w:pPr>
        <w:jc w:val="left"/>
        <w:rPr>
          <w:rFonts w:ascii="Times New Roman" w:hAnsi="Times New Roman" w:eastAsia="仿宋_GB2312" w:cs="Times New Roman"/>
          <w:sz w:val="28"/>
          <w:szCs w:val="32"/>
        </w:rPr>
      </w:pPr>
    </w:p>
    <w:p w14:paraId="6B5C2C1A">
      <w:pPr>
        <w:jc w:val="center"/>
        <w:rPr>
          <w:rFonts w:ascii="Times New Roman" w:hAnsi="Times New Roman" w:eastAsia="黑体" w:cs="Times New Roman"/>
          <w:sz w:val="28"/>
          <w:szCs w:val="28"/>
        </w:rPr>
      </w:pPr>
    </w:p>
    <w:p w14:paraId="4601773E">
      <w:pPr>
        <w:jc w:val="center"/>
        <w:rPr>
          <w:rFonts w:ascii="Times New Roman" w:hAnsi="Times New Roman" w:eastAsia="黑体" w:cs="Times New Roman"/>
          <w:sz w:val="28"/>
          <w:szCs w:val="28"/>
        </w:rPr>
      </w:pPr>
    </w:p>
    <w:p w14:paraId="574F5107">
      <w:pPr>
        <w:jc w:val="center"/>
        <w:rPr>
          <w:rFonts w:ascii="Times New Roman" w:hAnsi="Times New Roman" w:eastAsia="黑体" w:cs="Times New Roman"/>
          <w:sz w:val="28"/>
          <w:szCs w:val="28"/>
        </w:rPr>
      </w:pPr>
    </w:p>
    <w:p w14:paraId="1A83E879">
      <w:pPr>
        <w:jc w:val="center"/>
        <w:rPr>
          <w:rFonts w:ascii="Times New Roman" w:hAnsi="Times New Roman" w:eastAsia="黑体" w:cs="Times New Roman"/>
          <w:sz w:val="28"/>
          <w:szCs w:val="28"/>
        </w:rPr>
      </w:pPr>
    </w:p>
    <w:p w14:paraId="5B965164">
      <w:pPr>
        <w:jc w:val="center"/>
        <w:rPr>
          <w:rFonts w:ascii="Times New Roman" w:hAnsi="Times New Roman" w:eastAsia="黑体" w:cs="Times New Roman"/>
          <w:sz w:val="28"/>
          <w:szCs w:val="28"/>
        </w:rPr>
      </w:pPr>
    </w:p>
    <w:p w14:paraId="2A068783">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30CFF858">
      <w:pPr>
        <w:pStyle w:val="12"/>
        <w:jc w:val="center"/>
        <w:rPr>
          <w:rFonts w:ascii="Times New Roman" w:hAnsi="Times New Roman" w:eastAsia="方正小标宋_GBK" w:cs="Times New Roman"/>
          <w:sz w:val="52"/>
          <w:szCs w:val="52"/>
        </w:rPr>
      </w:pPr>
    </w:p>
    <w:p w14:paraId="4A55967F">
      <w:pPr>
        <w:pStyle w:val="12"/>
        <w:jc w:val="center"/>
        <w:rPr>
          <w:rFonts w:ascii="Times New Roman" w:hAnsi="Times New Roman" w:eastAsia="方正小标宋_GBK" w:cs="Times New Roman"/>
          <w:sz w:val="52"/>
          <w:szCs w:val="52"/>
        </w:rPr>
      </w:pPr>
    </w:p>
    <w:p w14:paraId="155F2F89">
      <w:pPr>
        <w:pStyle w:val="12"/>
        <w:jc w:val="center"/>
        <w:rPr>
          <w:rFonts w:ascii="Times New Roman" w:hAnsi="Times New Roman" w:eastAsia="方正小标宋_GBK" w:cs="Times New Roman"/>
          <w:sz w:val="52"/>
          <w:szCs w:val="52"/>
        </w:rPr>
      </w:pPr>
    </w:p>
    <w:p w14:paraId="61926925">
      <w:pPr>
        <w:pStyle w:val="12"/>
        <w:jc w:val="center"/>
        <w:rPr>
          <w:rFonts w:ascii="Times New Roman" w:hAnsi="Times New Roman" w:eastAsia="方正小标宋_GBK" w:cs="Times New Roman"/>
          <w:sz w:val="52"/>
          <w:szCs w:val="52"/>
        </w:rPr>
      </w:pPr>
    </w:p>
    <w:p w14:paraId="02309A32">
      <w:pPr>
        <w:pStyle w:val="12"/>
        <w:jc w:val="center"/>
        <w:rPr>
          <w:rFonts w:ascii="Times New Roman" w:hAnsi="Times New Roman" w:eastAsia="方正小标宋_GBK" w:cs="Times New Roman"/>
          <w:sz w:val="52"/>
          <w:szCs w:val="52"/>
        </w:rPr>
      </w:pPr>
    </w:p>
    <w:p w14:paraId="1BFA3C74">
      <w:pPr>
        <w:pStyle w:val="12"/>
        <w:jc w:val="center"/>
        <w:rPr>
          <w:rFonts w:ascii="Times New Roman" w:hAnsi="Times New Roman" w:eastAsia="方正小标宋_GBK" w:cs="Times New Roman"/>
          <w:sz w:val="52"/>
          <w:szCs w:val="52"/>
        </w:rPr>
      </w:pPr>
    </w:p>
    <w:p w14:paraId="25C226DA">
      <w:pPr>
        <w:pStyle w:val="12"/>
        <w:jc w:val="center"/>
        <w:rPr>
          <w:rFonts w:ascii="Times New Roman" w:hAnsi="Times New Roman" w:eastAsia="方正小标宋_GBK" w:cs="Times New Roman"/>
          <w:sz w:val="52"/>
          <w:szCs w:val="52"/>
        </w:rPr>
      </w:pPr>
    </w:p>
    <w:p w14:paraId="24445236">
      <w:pPr>
        <w:pStyle w:val="12"/>
        <w:jc w:val="center"/>
        <w:rPr>
          <w:rFonts w:ascii="Times New Roman" w:hAnsi="Times New Roman" w:eastAsia="方正小标宋_GBK" w:cs="Times New Roman"/>
          <w:sz w:val="52"/>
          <w:szCs w:val="52"/>
        </w:rPr>
      </w:pPr>
    </w:p>
    <w:p w14:paraId="7C741806">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w:t>
      </w:r>
    </w:p>
    <w:p w14:paraId="191F83DA">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2024年度部门决算表</w:t>
      </w:r>
    </w:p>
    <w:p w14:paraId="3E34DFC6">
      <w:pPr>
        <w:pStyle w:val="12"/>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w:t>
      </w:r>
      <w:r>
        <w:rPr>
          <w:rFonts w:hint="eastAsia" w:ascii="Times New Roman" w:hAnsi="Times New Roman" w:eastAsia="方正小标宋_GBK" w:cs="Times New Roman"/>
          <w:sz w:val="52"/>
          <w:szCs w:val="52"/>
          <w:lang w:val="en-US" w:eastAsia="zh-CN"/>
        </w:rPr>
        <w:t>详见附表</w:t>
      </w:r>
      <w:r>
        <w:rPr>
          <w:rFonts w:hint="eastAsia" w:ascii="Times New Roman" w:hAnsi="Times New Roman" w:eastAsia="方正小标宋_GBK" w:cs="Times New Roman"/>
          <w:sz w:val="52"/>
          <w:szCs w:val="52"/>
          <w:lang w:eastAsia="zh-CN"/>
        </w:rPr>
        <w:t>）</w:t>
      </w:r>
    </w:p>
    <w:p w14:paraId="46A79A4B">
      <w:pPr>
        <w:pStyle w:val="12"/>
        <w:rPr>
          <w:rFonts w:ascii="Times New Roman" w:hAnsi="Times New Roman" w:cs="Times New Roman"/>
          <w:sz w:val="72"/>
          <w:szCs w:val="72"/>
        </w:rPr>
      </w:pPr>
    </w:p>
    <w:p w14:paraId="3F5683D5">
      <w:pPr>
        <w:pStyle w:val="12"/>
        <w:rPr>
          <w:rFonts w:ascii="Times New Roman" w:hAnsi="Times New Roman" w:cs="Times New Roman"/>
          <w:sz w:val="72"/>
          <w:szCs w:val="72"/>
        </w:rPr>
      </w:pPr>
    </w:p>
    <w:p w14:paraId="6A7D3508">
      <w:pPr>
        <w:pStyle w:val="12"/>
        <w:rPr>
          <w:rFonts w:ascii="Times New Roman" w:hAnsi="Times New Roman" w:cs="Times New Roman"/>
          <w:sz w:val="72"/>
          <w:szCs w:val="72"/>
        </w:rPr>
      </w:pPr>
    </w:p>
    <w:p w14:paraId="3C875421">
      <w:pPr>
        <w:pStyle w:val="12"/>
        <w:rPr>
          <w:rFonts w:ascii="Times New Roman" w:hAnsi="Times New Roman" w:cs="Times New Roman"/>
          <w:sz w:val="72"/>
          <w:szCs w:val="72"/>
        </w:rPr>
      </w:pPr>
    </w:p>
    <w:p w14:paraId="271374CA">
      <w:pPr>
        <w:pStyle w:val="12"/>
        <w:jc w:val="center"/>
        <w:rPr>
          <w:rFonts w:ascii="Times New Roman" w:hAnsi="Times New Roman" w:cs="Times New Roman"/>
          <w:sz w:val="72"/>
          <w:szCs w:val="72"/>
        </w:rPr>
      </w:pPr>
    </w:p>
    <w:p w14:paraId="1EC641AB">
      <w:pPr>
        <w:pStyle w:val="12"/>
        <w:jc w:val="center"/>
        <w:rPr>
          <w:rFonts w:ascii="Times New Roman" w:hAnsi="Times New Roman" w:eastAsia="方正小标宋_GBK" w:cs="Times New Roman"/>
          <w:sz w:val="72"/>
          <w:szCs w:val="72"/>
        </w:rPr>
      </w:pPr>
    </w:p>
    <w:p w14:paraId="6818719F">
      <w:pPr>
        <w:pStyle w:val="12"/>
        <w:spacing w:line="360" w:lineRule="auto"/>
        <w:jc w:val="center"/>
        <w:rPr>
          <w:rFonts w:ascii="Times New Roman" w:hAnsi="Times New Roman" w:eastAsia="方正小标宋_GBK" w:cs="Times New Roman"/>
          <w:sz w:val="52"/>
          <w:szCs w:val="52"/>
        </w:rPr>
      </w:pPr>
    </w:p>
    <w:p w14:paraId="7C34DF49">
      <w:pPr>
        <w:pStyle w:val="12"/>
        <w:spacing w:line="360" w:lineRule="auto"/>
        <w:jc w:val="center"/>
        <w:rPr>
          <w:rFonts w:ascii="Times New Roman" w:hAnsi="Times New Roman" w:eastAsia="方正小标宋_GBK" w:cs="Times New Roman"/>
          <w:sz w:val="52"/>
          <w:szCs w:val="52"/>
        </w:rPr>
      </w:pPr>
    </w:p>
    <w:p w14:paraId="77B0F1C8">
      <w:pPr>
        <w:pStyle w:val="12"/>
        <w:spacing w:line="360" w:lineRule="auto"/>
        <w:jc w:val="center"/>
        <w:rPr>
          <w:rFonts w:ascii="Times New Roman" w:hAnsi="Times New Roman" w:eastAsia="方正小标宋_GBK" w:cs="Times New Roman"/>
          <w:sz w:val="52"/>
          <w:szCs w:val="52"/>
        </w:rPr>
      </w:pPr>
    </w:p>
    <w:p w14:paraId="08CA603A">
      <w:pPr>
        <w:pStyle w:val="12"/>
        <w:spacing w:line="360" w:lineRule="auto"/>
        <w:jc w:val="center"/>
        <w:rPr>
          <w:rFonts w:ascii="Times New Roman" w:hAnsi="Times New Roman" w:eastAsia="方正小标宋_GBK" w:cs="Times New Roman"/>
          <w:sz w:val="52"/>
          <w:szCs w:val="52"/>
        </w:rPr>
      </w:pPr>
    </w:p>
    <w:p w14:paraId="766DAC31">
      <w:pPr>
        <w:pStyle w:val="12"/>
        <w:spacing w:line="360" w:lineRule="auto"/>
        <w:jc w:val="center"/>
        <w:rPr>
          <w:rFonts w:ascii="Times New Roman" w:hAnsi="Times New Roman" w:eastAsia="方正小标宋_GBK" w:cs="Times New Roman"/>
          <w:sz w:val="52"/>
          <w:szCs w:val="52"/>
        </w:rPr>
      </w:pPr>
    </w:p>
    <w:p w14:paraId="6D67923C">
      <w:pPr>
        <w:pStyle w:val="12"/>
        <w:spacing w:line="360" w:lineRule="auto"/>
        <w:jc w:val="center"/>
        <w:rPr>
          <w:rFonts w:ascii="Times New Roman" w:hAnsi="Times New Roman" w:eastAsia="方正小标宋_GBK" w:cs="Times New Roman"/>
          <w:sz w:val="52"/>
          <w:szCs w:val="52"/>
        </w:rPr>
      </w:pPr>
    </w:p>
    <w:p w14:paraId="1CB11DCF">
      <w:pPr>
        <w:pStyle w:val="12"/>
        <w:spacing w:line="360" w:lineRule="auto"/>
        <w:jc w:val="center"/>
        <w:rPr>
          <w:rFonts w:ascii="Times New Roman" w:hAnsi="Times New Roman" w:eastAsia="方正小标宋_GBK" w:cs="Times New Roman"/>
          <w:sz w:val="52"/>
          <w:szCs w:val="52"/>
        </w:rPr>
      </w:pPr>
    </w:p>
    <w:p w14:paraId="41A91995">
      <w:pPr>
        <w:pStyle w:val="12"/>
        <w:spacing w:line="360" w:lineRule="auto"/>
        <w:jc w:val="center"/>
        <w:rPr>
          <w:rFonts w:ascii="Times New Roman" w:hAnsi="Times New Roman" w:eastAsia="方正小标宋_GBK" w:cs="Times New Roman"/>
          <w:sz w:val="52"/>
          <w:szCs w:val="52"/>
        </w:rPr>
      </w:pPr>
    </w:p>
    <w:p w14:paraId="0D42AC4A">
      <w:pPr>
        <w:pStyle w:val="12"/>
        <w:spacing w:line="360" w:lineRule="auto"/>
        <w:jc w:val="center"/>
        <w:rPr>
          <w:rFonts w:ascii="Times New Roman" w:hAnsi="Times New Roman" w:eastAsia="方正小标宋_GBK" w:cs="Times New Roman"/>
          <w:sz w:val="52"/>
          <w:szCs w:val="52"/>
        </w:rPr>
      </w:pPr>
    </w:p>
    <w:p w14:paraId="0D0247A2">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6814DA0">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544A0E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EFFA08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FB4180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1099.64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187.43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14.56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本年度项目经费收入减少，项目支出减少</w:t>
      </w:r>
      <w:r>
        <w:rPr>
          <w:rFonts w:hint="eastAsia" w:ascii="Times New Roman" w:hAnsi="Times New Roman" w:eastAsia="仿宋_GB2312" w:cs="Times New Roman"/>
          <w:sz w:val="32"/>
          <w:szCs w:val="32"/>
          <w:lang w:eastAsia="zh-CN"/>
        </w:rPr>
        <w:t>。</w:t>
      </w:r>
    </w:p>
    <w:p w14:paraId="5ECA335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EF8056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1099.64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1086.59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98.81</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13.05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rPr>
        <w:t>%。</w:t>
      </w:r>
    </w:p>
    <w:p w14:paraId="4A8EDF2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6ED392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1099.64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329.11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29.93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770.53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70.07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959156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29215A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1086.59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197.96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15.41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本年度项目经费收入减少，项目支出减少。</w:t>
      </w:r>
    </w:p>
    <w:p w14:paraId="6FB9B67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B0D7AE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9906F0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1069.29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97.24</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rPr>
        <w:t>182.26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14.56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本年度项目经费收入减少，项目支出减少。</w:t>
      </w:r>
    </w:p>
    <w:p w14:paraId="37207BE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610F69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1069.29</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26.45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1009.41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94.40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11.61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21.82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DA5E40D">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FA7D35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653.45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1069.29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163.64</w:t>
      </w:r>
      <w:r>
        <w:rPr>
          <w:rFonts w:ascii="Times New Roman" w:hAnsi="Times New Roman" w:eastAsia="仿宋_GB2312" w:cs="Times New Roman"/>
          <w:sz w:val="32"/>
          <w:szCs w:val="32"/>
        </w:rPr>
        <w:t>%，其中：</w:t>
      </w:r>
    </w:p>
    <w:p w14:paraId="5297081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1、文化旅游体育与传媒（类）体育（款）其他体育支出（项）。</w:t>
      </w:r>
    </w:p>
    <w:p w14:paraId="32C6340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年初预算为0万元，支出决算为26.45万元，决算数大于年初预算数的主要原因是：年中追加残疾人亚运会奖励。</w:t>
      </w:r>
    </w:p>
    <w:p w14:paraId="2E74868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2、社会保障和就业（类）行政事业单位养老（款）机关事业单位基本养老保险缴费支出（项）。</w:t>
      </w:r>
    </w:p>
    <w:p w14:paraId="130B792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年初预算为27.71万元，支出决算为27.86万元，完成年初预算的</w:t>
      </w:r>
      <w:r>
        <w:rPr>
          <w:rFonts w:hint="eastAsia" w:ascii="Times New Roman" w:hAnsi="Times New Roman" w:eastAsia="仿宋_GB2312" w:cs="Times New Roman"/>
          <w:sz w:val="32"/>
          <w:szCs w:val="32"/>
          <w:lang w:val="en-US" w:eastAsia="zh-CN"/>
        </w:rPr>
        <w:t>100.54</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2024年政策性安置1人，提前退休人员1人办理退休，</w:t>
      </w:r>
      <w:r>
        <w:rPr>
          <w:rFonts w:hint="eastAsia" w:ascii="Times New Roman" w:hAnsi="Times New Roman" w:eastAsia="仿宋_GB2312" w:cs="Times New Roman"/>
          <w:sz w:val="32"/>
          <w:szCs w:val="32"/>
        </w:rPr>
        <w:t>基本养老保险缴费支出</w:t>
      </w:r>
      <w:r>
        <w:rPr>
          <w:rFonts w:hint="eastAsia" w:ascii="Times New Roman" w:hAnsi="Times New Roman" w:eastAsia="仿宋_GB2312" w:cs="Times New Roman"/>
          <w:sz w:val="32"/>
          <w:szCs w:val="32"/>
          <w:lang w:val="en-US" w:eastAsia="zh-CN"/>
        </w:rPr>
        <w:t>增加</w:t>
      </w:r>
      <w:r>
        <w:rPr>
          <w:rFonts w:hint="eastAsia" w:ascii="Times New Roman" w:hAnsi="Times New Roman" w:eastAsia="仿宋_GB2312" w:cs="Times New Roman"/>
          <w:sz w:val="32"/>
          <w:szCs w:val="32"/>
        </w:rPr>
        <w:t>。</w:t>
      </w:r>
    </w:p>
    <w:p w14:paraId="7D3C201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3、社会保障和就业（类）行政事业单位养老（款）其他行政事业单位养老支出（项）。</w:t>
      </w:r>
    </w:p>
    <w:p w14:paraId="1E9D8C4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年初预算为15.27万元，支出决算为15.27万元，</w:t>
      </w:r>
      <w:r>
        <w:rPr>
          <w:rFonts w:hint="eastAsia" w:ascii="Times New Roman" w:hAnsi="Times New Roman" w:eastAsia="仿宋_GB2312" w:cs="Times New Roman"/>
          <w:sz w:val="32"/>
          <w:szCs w:val="32"/>
          <w:lang w:val="en-US" w:eastAsia="zh-CN"/>
        </w:rPr>
        <w:t>完成年初预算的100%，</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于年初预算数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年度预算精准，执行较好</w:t>
      </w:r>
      <w:r>
        <w:rPr>
          <w:rFonts w:hint="eastAsia" w:ascii="Times New Roman" w:hAnsi="Times New Roman" w:eastAsia="仿宋_GB2312" w:cs="Times New Roman"/>
          <w:sz w:val="32"/>
          <w:szCs w:val="32"/>
        </w:rPr>
        <w:t>。</w:t>
      </w:r>
    </w:p>
    <w:p w14:paraId="20272EF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4、社会保障和就业（类）就业补助（款）其他就业补助支出（项）。</w:t>
      </w:r>
    </w:p>
    <w:p w14:paraId="77329E4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年初预算为0万元，支出决算为24.98万元，决算数大于年初预算数的主要原因是：年中追加公益性岗位人员</w:t>
      </w:r>
      <w:r>
        <w:rPr>
          <w:rFonts w:hint="eastAsia" w:ascii="Times New Roman" w:hAnsi="Times New Roman" w:eastAsia="仿宋_GB2312" w:cs="Times New Roman"/>
          <w:sz w:val="32"/>
          <w:szCs w:val="32"/>
          <w:lang w:val="en-US" w:eastAsia="zh-CN"/>
        </w:rPr>
        <w:t>补贴、就业补助资金</w:t>
      </w:r>
      <w:r>
        <w:rPr>
          <w:rFonts w:hint="eastAsia" w:ascii="Times New Roman" w:hAnsi="Times New Roman" w:eastAsia="仿宋_GB2312" w:cs="Times New Roman"/>
          <w:sz w:val="32"/>
          <w:szCs w:val="32"/>
        </w:rPr>
        <w:t>。</w:t>
      </w:r>
    </w:p>
    <w:p w14:paraId="6A4522B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5、社会保障和就业（类）残疾人事业（款）行政运行（项）。</w:t>
      </w:r>
    </w:p>
    <w:p w14:paraId="0581DDE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年初预算为311.1</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万元，支出决算为236.7</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76.08</w:t>
      </w:r>
      <w:r>
        <w:rPr>
          <w:rFonts w:hint="eastAsia" w:ascii="Times New Roman" w:hAnsi="Times New Roman" w:eastAsia="仿宋_GB2312" w:cs="Times New Roman"/>
          <w:sz w:val="32"/>
          <w:szCs w:val="32"/>
        </w:rPr>
        <w:t>%，决算数小于年初预算数的主要原因是：在职人员工资异动及提标；</w:t>
      </w:r>
      <w:r>
        <w:rPr>
          <w:rFonts w:hint="eastAsia" w:ascii="Times New Roman" w:hAnsi="Times New Roman" w:eastAsia="仿宋_GB2312" w:cs="Times New Roman"/>
          <w:sz w:val="32"/>
          <w:szCs w:val="32"/>
          <w:lang w:val="en-US" w:eastAsia="zh-CN"/>
        </w:rPr>
        <w:t>根据决算编制要求调整专项业务经费项目支出功能科目</w:t>
      </w:r>
      <w:r>
        <w:rPr>
          <w:rFonts w:hint="eastAsia" w:ascii="Times New Roman" w:hAnsi="Times New Roman" w:eastAsia="仿宋_GB2312" w:cs="Times New Roman"/>
          <w:sz w:val="32"/>
          <w:szCs w:val="32"/>
        </w:rPr>
        <w:t>。</w:t>
      </w:r>
    </w:p>
    <w:p w14:paraId="693E164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6、社会保障和就业（类）残疾人事业（款）残疾人康复（项）。</w:t>
      </w:r>
    </w:p>
    <w:p w14:paraId="2F908A9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rPr>
        <w:t>年初预算为60万元，支出决算为56.47万元，完成年初预算的</w:t>
      </w:r>
      <w:r>
        <w:rPr>
          <w:rFonts w:hint="eastAsia" w:ascii="Times New Roman" w:hAnsi="Times New Roman" w:eastAsia="仿宋_GB2312" w:cs="Times New Roman"/>
          <w:sz w:val="32"/>
          <w:szCs w:val="32"/>
          <w:lang w:val="en-US" w:eastAsia="zh-CN"/>
        </w:rPr>
        <w:t>94.12</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rPr>
        <w:t>，决算数</w:t>
      </w:r>
      <w:r>
        <w:rPr>
          <w:rFonts w:hint="eastAsia" w:ascii="Times New Roman" w:hAnsi="Times New Roman" w:eastAsia="仿宋_GB2312" w:cs="Times New Roman"/>
          <w:sz w:val="32"/>
          <w:szCs w:val="32"/>
          <w:highlight w:val="none"/>
          <w:lang w:val="en-US" w:eastAsia="zh-CN"/>
        </w:rPr>
        <w:t>小</w:t>
      </w:r>
      <w:r>
        <w:rPr>
          <w:rFonts w:hint="eastAsia" w:ascii="Times New Roman" w:hAnsi="Times New Roman" w:eastAsia="仿宋_GB2312" w:cs="Times New Roman"/>
          <w:sz w:val="32"/>
          <w:szCs w:val="32"/>
          <w:highlight w:val="none"/>
        </w:rPr>
        <w:t>于年初预算数的主要原因是：</w:t>
      </w:r>
      <w:r>
        <w:rPr>
          <w:rFonts w:hint="eastAsia" w:ascii="Times New Roman" w:hAnsi="Times New Roman" w:eastAsia="仿宋_GB2312" w:cs="Times New Roman"/>
          <w:sz w:val="32"/>
          <w:szCs w:val="32"/>
          <w:highlight w:val="none"/>
          <w:lang w:val="en-US" w:eastAsia="zh-CN"/>
        </w:rPr>
        <w:t>康复培训费厉行节约结余3.5万元</w:t>
      </w:r>
      <w:r>
        <w:rPr>
          <w:rFonts w:hint="eastAsia" w:ascii="Times New Roman" w:hAnsi="Times New Roman" w:eastAsia="仿宋_GB2312" w:cs="Times New Roman"/>
          <w:sz w:val="32"/>
          <w:szCs w:val="32"/>
          <w:highlight w:val="none"/>
        </w:rPr>
        <w:t>。</w:t>
      </w:r>
    </w:p>
    <w:p w14:paraId="7FC7936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7、社会保障和就业（类）残疾人事业（款）残疾人就业（项）。</w:t>
      </w:r>
    </w:p>
    <w:p w14:paraId="41721A6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年初预算为45万元，支出决算为171.95万元，完成年初预算的</w:t>
      </w:r>
      <w:r>
        <w:rPr>
          <w:rFonts w:hint="eastAsia" w:ascii="Times New Roman" w:hAnsi="Times New Roman" w:eastAsia="仿宋_GB2312" w:cs="Times New Roman"/>
          <w:sz w:val="32"/>
          <w:szCs w:val="32"/>
          <w:lang w:val="en-US" w:eastAsia="zh-CN"/>
        </w:rPr>
        <w:t>382.11</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w:t>
      </w:r>
      <w:r>
        <w:rPr>
          <w:rFonts w:hint="eastAsia" w:ascii="Times New Roman" w:hAnsi="Times New Roman" w:eastAsia="仿宋_GB2312" w:cs="Times New Roman"/>
          <w:sz w:val="32"/>
          <w:szCs w:val="32"/>
        </w:rPr>
        <w:t>湘财社指〔2022〕23号残疾人扶助专项（托养服务省级配套资金）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湘财预〔2023〕364号残疾人事业补助（阳光家园计划）湘财社指〔2024〕21号残疾人扶助专项（残疾人就业创业）。</w:t>
      </w:r>
    </w:p>
    <w:p w14:paraId="2EF22FA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8、社会保障和就业（类）残疾人事业（款）残疾人体育（项）。</w:t>
      </w:r>
    </w:p>
    <w:p w14:paraId="1A1DB2B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年初预算为10.56万元，支出决算为13.06万元，完成年初预算的</w:t>
      </w:r>
      <w:r>
        <w:rPr>
          <w:rFonts w:hint="eastAsia" w:ascii="Times New Roman" w:hAnsi="Times New Roman" w:eastAsia="仿宋_GB2312" w:cs="Times New Roman"/>
          <w:sz w:val="32"/>
          <w:szCs w:val="32"/>
          <w:lang w:val="en-US" w:eastAsia="zh-CN"/>
        </w:rPr>
        <w:t>123.67</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hint="eastAsia"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的主要原因是：年中追加</w:t>
      </w:r>
      <w:r>
        <w:rPr>
          <w:rFonts w:hint="eastAsia" w:ascii="Times New Roman" w:hAnsi="Times New Roman" w:eastAsia="仿宋_GB2312" w:cs="Times New Roman"/>
          <w:sz w:val="32"/>
          <w:szCs w:val="32"/>
        </w:rPr>
        <w:t>湘财社指〔2024〕32号第四届亚残运会奖金。</w:t>
      </w:r>
    </w:p>
    <w:p w14:paraId="66DA23A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9、社会保障和就业（类）残疾人事业（款）其他残疾人事业支出（项）。</w:t>
      </w:r>
    </w:p>
    <w:p w14:paraId="24AFB63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年初预算为150.7</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万元，支出决算为458.12万元，完成年初预算的</w:t>
      </w:r>
      <w:r>
        <w:rPr>
          <w:rFonts w:hint="eastAsia" w:ascii="Times New Roman" w:hAnsi="Times New Roman" w:eastAsia="仿宋_GB2312" w:cs="Times New Roman"/>
          <w:sz w:val="32"/>
          <w:szCs w:val="32"/>
          <w:lang w:val="en-US" w:eastAsia="zh-CN"/>
        </w:rPr>
        <w:t>303.99</w:t>
      </w:r>
      <w:r>
        <w:rPr>
          <w:rFonts w:hint="eastAsia" w:ascii="Times New Roman" w:hAnsi="Times New Roman" w:eastAsia="仿宋_GB2312" w:cs="Times New Roman"/>
          <w:sz w:val="32"/>
          <w:szCs w:val="32"/>
        </w:rPr>
        <w:t>%，决算数大于年初预算数的主要原因是：怀化市残疾人托养康复中心建设项目经费由本级财政统筹安排预算；年中追加湘财社指〔2021〕25号2021年残疾人服务设施建设补助资金。</w:t>
      </w:r>
    </w:p>
    <w:p w14:paraId="66D47B5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10、社会保障和就业（类）其他社会保障和就业（款）其他社会保障和就业支出（项）。</w:t>
      </w:r>
    </w:p>
    <w:p w14:paraId="22ED5CA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万元，决算数大于年初预算数的主要原因是：年中追加助残工作经费。</w:t>
      </w:r>
    </w:p>
    <w:p w14:paraId="6D5F52E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11、卫生健康（类）行政事业单位医疗（款）行政单位医疗（项）。</w:t>
      </w:r>
    </w:p>
    <w:p w14:paraId="557FC5A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rPr>
        <w:t>年初预算为11.7</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万元，支出决算为11.61万元，完成年初预算的</w:t>
      </w:r>
      <w:r>
        <w:rPr>
          <w:rFonts w:hint="eastAsia" w:ascii="Times New Roman" w:hAnsi="Times New Roman" w:eastAsia="仿宋_GB2312" w:cs="Times New Roman"/>
          <w:sz w:val="32"/>
          <w:szCs w:val="32"/>
          <w:lang w:val="en-US" w:eastAsia="zh-CN"/>
        </w:rPr>
        <w:t>99.06</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hint="eastAsia" w:ascii="Times New Roman" w:hAnsi="Times New Roman" w:eastAsia="仿宋_GB2312" w:cs="Times New Roman"/>
          <w:sz w:val="32"/>
          <w:szCs w:val="32"/>
        </w:rPr>
        <w:t>于年初预算数的主要原因</w:t>
      </w:r>
      <w:r>
        <w:rPr>
          <w:rFonts w:hint="eastAsia" w:ascii="Times New Roman" w:hAnsi="Times New Roman" w:eastAsia="仿宋_GB2312" w:cs="Times New Roman"/>
          <w:sz w:val="32"/>
          <w:szCs w:val="32"/>
          <w:highlight w:val="none"/>
        </w:rPr>
        <w:t>是：2024年提前退休人员1人办理退休，职工基本医疗保险缴费支出</w:t>
      </w:r>
      <w:r>
        <w:rPr>
          <w:rFonts w:hint="eastAsia" w:ascii="Times New Roman" w:hAnsi="Times New Roman" w:eastAsia="仿宋_GB2312" w:cs="Times New Roman"/>
          <w:sz w:val="32"/>
          <w:szCs w:val="32"/>
          <w:highlight w:val="none"/>
          <w:lang w:val="en-US" w:eastAsia="zh-CN"/>
        </w:rPr>
        <w:t>减少</w:t>
      </w:r>
      <w:r>
        <w:rPr>
          <w:rFonts w:hint="eastAsia" w:ascii="Times New Roman" w:hAnsi="Times New Roman" w:eastAsia="仿宋_GB2312" w:cs="Times New Roman"/>
          <w:sz w:val="32"/>
          <w:szCs w:val="32"/>
          <w:highlight w:val="none"/>
        </w:rPr>
        <w:t>。</w:t>
      </w:r>
    </w:p>
    <w:p w14:paraId="795E5D7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12、住房保障（类）住房改革（款）住房公积金（项）。</w:t>
      </w:r>
    </w:p>
    <w:p w14:paraId="3A21542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年初预算为21.3</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万元，支出决算为21.82万元，完成年初预算的</w:t>
      </w:r>
      <w:r>
        <w:rPr>
          <w:rFonts w:hint="eastAsia" w:ascii="Times New Roman" w:hAnsi="Times New Roman" w:eastAsia="仿宋_GB2312" w:cs="Times New Roman"/>
          <w:sz w:val="32"/>
          <w:szCs w:val="32"/>
          <w:lang w:val="en-US" w:eastAsia="zh-CN"/>
        </w:rPr>
        <w:t>102.06</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hint="eastAsia" w:ascii="Times New Roman" w:hAnsi="Times New Roman" w:eastAsia="仿宋_GB2312" w:cs="Times New Roman"/>
          <w:sz w:val="32"/>
          <w:szCs w:val="32"/>
        </w:rPr>
        <w:t>于年初预算数的主要原因是：2024年政策性安置1人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财政配套住房公积金支出增加</w:t>
      </w:r>
      <w:r>
        <w:rPr>
          <w:rFonts w:hint="eastAsia" w:ascii="Times New Roman" w:hAnsi="Times New Roman" w:eastAsia="仿宋_GB2312" w:cs="Times New Roman"/>
          <w:sz w:val="32"/>
          <w:szCs w:val="32"/>
        </w:rPr>
        <w:t>。</w:t>
      </w:r>
    </w:p>
    <w:p w14:paraId="63D9DC2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21DF71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316.06</w:t>
      </w:r>
      <w:r>
        <w:rPr>
          <w:rFonts w:ascii="Times New Roman" w:hAnsi="Times New Roman" w:eastAsia="仿宋_GB2312" w:cs="Times New Roman"/>
          <w:sz w:val="32"/>
          <w:szCs w:val="32"/>
        </w:rPr>
        <w:t>万元，其中：</w:t>
      </w:r>
    </w:p>
    <w:p w14:paraId="0586704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286.9</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90.77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 xml:space="preserve">  基本工资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其他社会保障缴费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其他工资福利支出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生活补助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救济费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奖励金</w:t>
      </w:r>
      <w:r>
        <w:rPr>
          <w:rFonts w:ascii="Times New Roman" w:hAnsi="Times New Roman" w:eastAsia="仿宋_GB2312" w:cs="Times New Roman"/>
          <w:sz w:val="32"/>
          <w:szCs w:val="32"/>
        </w:rPr>
        <w:t>。</w:t>
      </w:r>
    </w:p>
    <w:p w14:paraId="317A8B7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29.1</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9.23</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电费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邮电费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维修（护）费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劳务费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福利费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eastAsia="zh-CN"/>
        </w:rPr>
        <w:t>、</w:t>
      </w:r>
    </w:p>
    <w:p w14:paraId="1298B438">
      <w:pPr>
        <w:pStyle w:val="12"/>
        <w:overflowPunct w:val="0"/>
        <w:autoSpaceDE/>
        <w:autoSpaceDN/>
        <w:spacing w:line="600" w:lineRule="exact"/>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其他商品和服务支出</w:t>
      </w:r>
      <w:r>
        <w:rPr>
          <w:rFonts w:ascii="Times New Roman" w:hAnsi="Times New Roman" w:eastAsia="仿宋_GB2312" w:cs="Times New Roman"/>
          <w:sz w:val="32"/>
          <w:szCs w:val="32"/>
        </w:rPr>
        <w:t>。</w:t>
      </w:r>
    </w:p>
    <w:p w14:paraId="50309A05">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14:paraId="563C8C61">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DFD4927">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经费财政拨款支出预算为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5.36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89.33</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车辆使用年限较长，车辆燃油费增加</w:t>
      </w:r>
      <w:r>
        <w:rPr>
          <w:rFonts w:ascii="Times New Roman" w:hAnsi="Times New Roman" w:eastAsia="仿宋_GB2312" w:cs="Times New Roman"/>
          <w:sz w:val="32"/>
          <w:szCs w:val="32"/>
        </w:rPr>
        <w:t>。</w:t>
      </w:r>
    </w:p>
    <w:p w14:paraId="274D70C5">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89F3C8F">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hint="eastAsia" w:ascii="Times New Roman" w:hAnsi="Times New Roman" w:eastAsia="仿宋_GB2312" w:cs="Times New Roman"/>
          <w:sz w:val="32"/>
          <w:szCs w:val="32"/>
        </w:rPr>
        <w:t>因公出国（境）费支出</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4CE991C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4.80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4.80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7.14</w:t>
      </w:r>
      <w:r>
        <w:rPr>
          <w:rFonts w:ascii="Times New Roman" w:hAnsi="Times New Roman" w:eastAsia="仿宋_GB2312" w:cs="Times New Roman"/>
          <w:sz w:val="32"/>
          <w:szCs w:val="32"/>
        </w:rPr>
        <w:t>%。其中：</w:t>
      </w:r>
    </w:p>
    <w:p w14:paraId="521FCCA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决算数持平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怀化市残疾人联合会</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11B575C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4.80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4.80</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车辆燃油费、保险费、维修费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7.14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车辆使用年限较长，车辆燃油费增加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3BEB7CE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46.67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23.29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本单位厉行节俭，严控“三公”经费支出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77</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rPr>
        <w:t>省残联调研考察、县市区残联对接工作</w:t>
      </w:r>
      <w:r>
        <w:rPr>
          <w:rFonts w:ascii="Times New Roman" w:hAnsi="Times New Roman" w:eastAsia="仿宋_GB2312" w:cs="Times New Roman"/>
          <w:sz w:val="32"/>
          <w:szCs w:val="32"/>
        </w:rPr>
        <w:t>发生的接待支出。</w:t>
      </w:r>
    </w:p>
    <w:p w14:paraId="47A1647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303FC70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17.3</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17.3</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E811B5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1、其他支出（类）彩票公益金安排的支出（款）用于残疾人事业的彩票公益金支出（项）。</w:t>
      </w:r>
    </w:p>
    <w:p w14:paraId="52B839F3">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17.30</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年中追加湘财社指〔2023〕91号残疾人事业补助（残疾人文化服务）。</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2C145F0A">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40AF5B3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7E40C2F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29.15</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2.37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8.85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劳务费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val="en-US" w:eastAsia="zh-CN"/>
        </w:rPr>
        <w:t>支出增加</w:t>
      </w:r>
      <w:r>
        <w:rPr>
          <w:rFonts w:ascii="Times New Roman" w:hAnsi="Times New Roman" w:eastAsia="仿宋_GB2312" w:cs="Times New Roman"/>
          <w:sz w:val="32"/>
          <w:szCs w:val="32"/>
        </w:rPr>
        <w:t>。</w:t>
      </w:r>
    </w:p>
    <w:p w14:paraId="62C0237E">
      <w:pPr>
        <w:pStyle w:val="12"/>
        <w:overflowPunct w:val="0"/>
        <w:autoSpaceDE/>
        <w:autoSpaceDN/>
        <w:spacing w:line="600" w:lineRule="exact"/>
        <w:ind w:firstLine="640" w:firstLineChars="200"/>
        <w:jc w:val="both"/>
        <w:rPr>
          <w:rFonts w:ascii="Times New Roman" w:hAnsi="Times New Roman" w:cs="Times New Roman"/>
          <w:bCs/>
          <w:sz w:val="32"/>
          <w:szCs w:val="32"/>
          <w:highlight w:val="none"/>
        </w:rPr>
      </w:pPr>
      <w:r>
        <w:rPr>
          <w:rFonts w:ascii="Times New Roman" w:hAnsi="Times New Roman" w:cs="Times New Roman"/>
          <w:bCs/>
          <w:sz w:val="32"/>
          <w:szCs w:val="32"/>
          <w:highlight w:val="none"/>
        </w:rPr>
        <w:t>十</w:t>
      </w:r>
      <w:r>
        <w:rPr>
          <w:rFonts w:hint="eastAsia" w:ascii="Times New Roman" w:hAnsi="Times New Roman" w:cs="Times New Roman"/>
          <w:bCs/>
          <w:sz w:val="32"/>
          <w:szCs w:val="32"/>
          <w:highlight w:val="none"/>
          <w:lang w:val="en-US" w:eastAsia="zh-CN"/>
        </w:rPr>
        <w:t>一</w:t>
      </w:r>
      <w:r>
        <w:rPr>
          <w:rFonts w:ascii="Times New Roman" w:hAnsi="Times New Roman" w:cs="Times New Roman"/>
          <w:bCs/>
          <w:sz w:val="32"/>
          <w:szCs w:val="32"/>
          <w:highlight w:val="none"/>
        </w:rPr>
        <w:t>、一般性支出情况说明</w:t>
      </w:r>
    </w:p>
    <w:p w14:paraId="13C61C7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1.57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其中：开支会议费0.97万元，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rPr>
        <w:t>第六届主席团二次会议、2024年全市残联工作会议</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56</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召开怀化市残疾人联合会</w:t>
      </w:r>
      <w:r>
        <w:rPr>
          <w:rFonts w:hint="eastAsia" w:ascii="Times New Roman" w:hAnsi="Times New Roman" w:eastAsia="仿宋_GB2312" w:cs="Times New Roman"/>
          <w:sz w:val="32"/>
          <w:szCs w:val="32"/>
        </w:rPr>
        <w:t>第六届主席团第二次会议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调整市残联主席团副主席、委员，市残联执行理事会作工作报告；县市区残联工作作交流发言；总结2023年、部署2024年全市残联工作，市领导作重要讲话</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开支会议费0.60万元，</w:t>
      </w:r>
      <w:r>
        <w:rPr>
          <w:rFonts w:ascii="Times New Roman" w:hAnsi="Times New Roman" w:eastAsia="仿宋_GB2312" w:cs="Times New Roman"/>
          <w:sz w:val="32"/>
          <w:szCs w:val="32"/>
        </w:rPr>
        <w:t>用于召开</w:t>
      </w:r>
      <w:r>
        <w:rPr>
          <w:rFonts w:hint="eastAsia" w:ascii="Times New Roman" w:hAnsi="Times New Roman" w:eastAsia="仿宋_GB2312" w:cs="Times New Roman"/>
          <w:sz w:val="32"/>
          <w:szCs w:val="32"/>
        </w:rPr>
        <w:t>全市残联系统重点工作推进会暨残疾人服务一件事办理现场培训会</w:t>
      </w:r>
      <w:r>
        <w:rPr>
          <w:rFonts w:ascii="Times New Roman" w:hAnsi="Times New Roman" w:eastAsia="仿宋_GB2312" w:cs="Times New Roman"/>
          <w:sz w:val="32"/>
          <w:szCs w:val="32"/>
        </w:rPr>
        <w:t>，人数</w:t>
      </w:r>
      <w:r>
        <w:rPr>
          <w:rFonts w:hint="eastAsia" w:asciiTheme="majorEastAsia" w:hAnsiTheme="majorEastAsia" w:eastAsiaTheme="majorEastAsia"/>
          <w:sz w:val="30"/>
          <w:szCs w:val="30"/>
          <w:lang w:val="en-US" w:eastAsia="zh-CN"/>
        </w:rPr>
        <w:t>30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学习贯彻党的二十届三中全会精神，传达省残联相关会议精神；总结2024年上半年全市残联工作并部署2024年下半年工作；组织开展残疾人服务“一件事”现场培训</w:t>
      </w:r>
      <w:r>
        <w:rPr>
          <w:rFonts w:hint="eastAsia" w:ascii="Times New Roman" w:hAnsi="Times New Roman" w:eastAsia="仿宋_GB2312" w:cs="Times New Roman"/>
          <w:sz w:val="32"/>
          <w:szCs w:val="32"/>
          <w:lang w:eastAsia="zh-CN"/>
        </w:rPr>
        <w:t>。</w:t>
      </w:r>
    </w:p>
    <w:p w14:paraId="76679AB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2024年本部门</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30.45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其中：开支培训费0.15万元，</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rPr>
        <w:t>2024年残疾儿童康复救助</w:t>
      </w:r>
      <w:r>
        <w:rPr>
          <w:rFonts w:hint="eastAsia"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rPr>
        <w:t>培训</w:t>
      </w:r>
      <w:r>
        <w:rPr>
          <w:rFonts w:hint="eastAsia" w:ascii="Times New Roman" w:hAnsi="Times New Roman" w:eastAsia="仿宋_GB2312" w:cs="Times New Roman"/>
          <w:sz w:val="32"/>
          <w:szCs w:val="32"/>
          <w:lang w:val="en-US" w:eastAsia="zh-CN"/>
        </w:rPr>
        <w:t>会</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总结2023年年全市残疾人康复工作，部署培训2024年残疾人康复工作及残疾儿童康复救助项目；各县市区残联、残疾儿童康复定点机构座谈交流。开支培训费2.18万元，</w:t>
      </w:r>
      <w:r>
        <w:rPr>
          <w:rFonts w:ascii="Times New Roman" w:hAnsi="Times New Roman" w:eastAsia="仿宋_GB2312" w:cs="Times New Roman"/>
          <w:color w:val="auto"/>
          <w:sz w:val="32"/>
          <w:szCs w:val="32"/>
        </w:rPr>
        <w:t>用于开展</w:t>
      </w:r>
      <w:r>
        <w:rPr>
          <w:rFonts w:hint="eastAsia" w:ascii="Times New Roman" w:hAnsi="Times New Roman" w:eastAsia="仿宋_GB2312" w:cs="Times New Roman"/>
          <w:color w:val="auto"/>
          <w:sz w:val="32"/>
          <w:szCs w:val="32"/>
        </w:rPr>
        <w:t>全市残联系统康复业务培训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45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残疾人康复重点政策和业务知识讲解；辅助器具补贴业务知识培训。开支培训费3.32万元，</w:t>
      </w:r>
      <w:r>
        <w:rPr>
          <w:rFonts w:ascii="Times New Roman" w:hAnsi="Times New Roman" w:eastAsia="仿宋_GB2312" w:cs="Times New Roman"/>
          <w:color w:val="auto"/>
          <w:sz w:val="32"/>
          <w:szCs w:val="32"/>
        </w:rPr>
        <w:t>用于开展</w:t>
      </w:r>
      <w:r>
        <w:rPr>
          <w:rFonts w:hint="eastAsia" w:ascii="Times New Roman" w:hAnsi="Times New Roman" w:eastAsia="仿宋_GB2312" w:cs="Times New Roman"/>
          <w:color w:val="auto"/>
          <w:sz w:val="32"/>
          <w:szCs w:val="32"/>
        </w:rPr>
        <w:t>2024年全市康复专业技术人员</w:t>
      </w:r>
      <w:r>
        <w:rPr>
          <w:rFonts w:hint="eastAsia" w:ascii="Times New Roman" w:hAnsi="Times New Roman" w:eastAsia="仿宋_GB2312" w:cs="Times New Roman"/>
          <w:color w:val="auto"/>
          <w:sz w:val="32"/>
          <w:szCs w:val="32"/>
          <w:lang w:val="en-US" w:eastAsia="zh-CN"/>
        </w:rPr>
        <w:t>规范化</w:t>
      </w:r>
      <w:r>
        <w:rPr>
          <w:rFonts w:hint="eastAsia" w:ascii="Times New Roman" w:hAnsi="Times New Roman" w:eastAsia="仿宋_GB2312" w:cs="Times New Roman"/>
          <w:color w:val="auto"/>
          <w:sz w:val="32"/>
          <w:szCs w:val="32"/>
        </w:rPr>
        <w:t>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101</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对智力、孤独症定点康复从业人员进行专业规范化培训、安全生产培训，提高其康复能力水平和安全生产意识。开支培训费16.80万</w:t>
      </w:r>
      <w:r>
        <w:rPr>
          <w:rFonts w:hint="eastAsia" w:ascii="Times New Roman" w:hAnsi="Times New Roman" w:eastAsia="仿宋_GB2312" w:cs="Times New Roman"/>
          <w:sz w:val="32"/>
          <w:szCs w:val="32"/>
          <w:lang w:val="en-US" w:eastAsia="zh-CN"/>
        </w:rPr>
        <w:t>元，</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rPr>
        <w:t>残疾人保健按摩培训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培训时间15天，</w:t>
      </w:r>
      <w:r>
        <w:rPr>
          <w:rFonts w:ascii="Times New Roman" w:hAnsi="Times New Roman" w:eastAsia="仿宋_GB2312" w:cs="Times New Roman"/>
          <w:sz w:val="32"/>
          <w:szCs w:val="32"/>
        </w:rPr>
        <w:t>内容为</w:t>
      </w:r>
      <w:r>
        <w:rPr>
          <w:rFonts w:hint="eastAsia" w:ascii="Times New Roman" w:hAnsi="Times New Roman" w:eastAsia="仿宋_GB2312" w:cs="Times New Roman"/>
          <w:sz w:val="32"/>
          <w:szCs w:val="32"/>
          <w:lang w:val="en-US" w:eastAsia="zh-CN"/>
        </w:rPr>
        <w:t>职业道德素质及服务礼仪，接待与咨询，保健按摩基础知识与身体各部按摩注意事项、常用穴位、按摩手法等。开支培训费4万元，</w:t>
      </w:r>
      <w:r>
        <w:rPr>
          <w:rFonts w:ascii="Times New Roman" w:hAnsi="Times New Roman" w:eastAsia="仿宋_GB2312" w:cs="Times New Roman"/>
          <w:sz w:val="32"/>
          <w:szCs w:val="32"/>
        </w:rPr>
        <w:t>用于开展</w:t>
      </w:r>
      <w:r>
        <w:rPr>
          <w:rFonts w:hint="eastAsia" w:ascii="Times New Roman" w:hAnsi="Times New Roman" w:eastAsia="仿宋_GB2312" w:cs="Times New Roman"/>
          <w:sz w:val="32"/>
          <w:szCs w:val="32"/>
        </w:rPr>
        <w:t>残疾人新媒体新业态培训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学习</w:t>
      </w:r>
      <w:r>
        <w:rPr>
          <w:rFonts w:hint="eastAsia" w:ascii="Times New Roman" w:hAnsi="Times New Roman" w:eastAsia="仿宋_GB2312" w:cs="Times New Roman"/>
          <w:sz w:val="32"/>
          <w:szCs w:val="32"/>
        </w:rPr>
        <w:t>新媒体</w:t>
      </w:r>
      <w:r>
        <w:rPr>
          <w:rFonts w:hint="eastAsia" w:ascii="Times New Roman" w:hAnsi="Times New Roman" w:eastAsia="仿宋_GB2312" w:cs="Times New Roman"/>
          <w:sz w:val="32"/>
          <w:szCs w:val="32"/>
          <w:lang w:val="en-US" w:eastAsia="zh-CN"/>
        </w:rPr>
        <w:t>与电商</w:t>
      </w:r>
      <w:r>
        <w:rPr>
          <w:rFonts w:hint="eastAsia" w:ascii="Times New Roman" w:hAnsi="Times New Roman" w:eastAsia="仿宋_GB2312" w:cs="Times New Roman"/>
          <w:sz w:val="32"/>
          <w:szCs w:val="32"/>
        </w:rPr>
        <w:t>新业态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短视频拍摄与剪辑、直播带货、新媒体运营等培训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开支培训费4万元，</w:t>
      </w:r>
      <w:r>
        <w:rPr>
          <w:rFonts w:ascii="Times New Roman" w:hAnsi="Times New Roman" w:eastAsia="仿宋_GB2312" w:cs="Times New Roman"/>
          <w:sz w:val="32"/>
          <w:szCs w:val="32"/>
        </w:rPr>
        <w:t>用于</w:t>
      </w:r>
      <w:r>
        <w:rPr>
          <w:rFonts w:hint="eastAsia" w:ascii="Times New Roman" w:hAnsi="Times New Roman" w:eastAsia="仿宋_GB2312" w:cs="Times New Roman"/>
          <w:sz w:val="32"/>
          <w:szCs w:val="32"/>
          <w:lang w:val="en-US" w:eastAsia="zh-CN"/>
        </w:rPr>
        <w:t>开展</w:t>
      </w:r>
      <w:r>
        <w:rPr>
          <w:rFonts w:hint="eastAsia" w:ascii="Times New Roman" w:hAnsi="Times New Roman" w:eastAsia="仿宋_GB2312" w:cs="Times New Roman"/>
          <w:sz w:val="32"/>
          <w:szCs w:val="32"/>
        </w:rPr>
        <w:t>残疾人乡村振兴人才培育</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人，内容</w:t>
      </w:r>
      <w:r>
        <w:rPr>
          <w:rFonts w:hint="eastAsia" w:ascii="Times New Roman" w:hAnsi="Times New Roman" w:eastAsia="仿宋_GB2312" w:cs="Times New Roman"/>
          <w:sz w:val="32"/>
          <w:szCs w:val="32"/>
          <w:lang w:val="en-US" w:eastAsia="zh-CN"/>
        </w:rPr>
        <w:t>为政策法规解读与应用、职业技能培训：电商直播技能、种植培训、养殖培训，创新思维与项目策划培训</w:t>
      </w:r>
      <w:r>
        <w:rPr>
          <w:rFonts w:hint="eastAsia" w:ascii="Times New Roman" w:hAnsi="Times New Roman" w:eastAsia="仿宋_GB2312" w:cs="Times New Roman"/>
          <w:sz w:val="32"/>
          <w:szCs w:val="32"/>
          <w:lang w:eastAsia="zh-CN"/>
        </w:rPr>
        <w:t>。</w:t>
      </w:r>
    </w:p>
    <w:p w14:paraId="431EAB1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2024年本部门未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2FD3168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46137DCC">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268.94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8.15</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7.3</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253.49</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268.94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268.94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5F3F5597">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27E72E80">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怀化市残疾人联合会</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一般公务用车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BBB92A9">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CADB80B">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组织对2024年度本部门整体支出开展绩效自评，涉及项目</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rPr>
        <w:t>770.53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19</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753.23</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70.44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17.30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eastAsia="zh-CN"/>
        </w:rPr>
        <w:t>“残疾人培训创业扶持经费”</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38A8B5EB">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1165.15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1099.64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94.38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97.44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rPr>
        <w:t>2024年，在市委市政府的坚强领导下，在省残联的精心指导下，市残联坚持以习近平新时代中国特色社会主义思想为指导，深入贯彻落实党的二十届三中全会精神和市委六届七次、八次全会精神，紧紧围绕年初既定目标任务，认真履行“代表、服务、管理”职能，主动作为、对标推进，整体工作有序向好发展。怀化籍残疾人运动员斩获巴黎残奥会金牌2枚，并打破世界记录；怀化市残疾人罗小小获得中国青年创青春大赛金奖；市残联两项省重点民生实事项目均提前超额完成任务，其中残疾人家庭无障碍改造实时进度排全省第三，残疾儿童康复救助增长率排全省第二；全省“高效办成残疾人一件事”在怀化试点成功，怀化经验被人民号、新湖南等中央、省级媒体推介，并被作为全省优化政务服务推动“高效办成一件事”暨“揭榜竞优”典型经验在全省推广；怀化成为全省首个多部门联合下文将盲人医疗按摩纳入医保的市州；在全省残联事业统计工作综合评价中位列第1位；怀化助残志愿服务工作全省作经验发言；市残联被评为全市文明单位</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rPr>
        <w:t>年初编制的预算不够精确，年内预算追加较大</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rPr>
        <w:t>着力增强预算编制的全面性、准确性，强化预算执行的严肃性。对年初没有预算安排的支出原则上不安排支出</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加强预算绩效管理。进一步加强单位的预算资金管理，减少预算资金使用的随意性，对预算的事前、事中、事后进行全过程控制，加大对预算编制与执行的监督管理力度，提高预算资金使用效率</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sz w:val="32"/>
          <w:szCs w:val="32"/>
        </w:rPr>
        <w:t>残疾人培训创业扶持经费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发现的主要问题</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原因</w:t>
      </w:r>
      <w:r>
        <w:rPr>
          <w:rFonts w:hint="eastAsia" w:ascii="Times New Roman" w:hAnsi="Times New Roman" w:eastAsia="仿宋_GB2312" w:cs="Times New Roman"/>
          <w:sz w:val="32"/>
          <w:szCs w:val="32"/>
          <w:lang w:val="en-US" w:eastAsia="zh-CN"/>
        </w:rPr>
        <w:t>及下一步工作措施</w:t>
      </w:r>
      <w:r>
        <w:rPr>
          <w:rFonts w:ascii="Times New Roman" w:hAnsi="Times New Roman" w:eastAsia="仿宋_GB2312" w:cs="Times New Roman"/>
          <w:kern w:val="0"/>
          <w:sz w:val="32"/>
          <w:szCs w:val="32"/>
        </w:rPr>
        <w:t>。</w:t>
      </w:r>
    </w:p>
    <w:p w14:paraId="14C6C87B">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绩效自评结果可以进一步规范财政资金管理，强化部门绩效和责任意识，切实提高财政资金使用效益，同时编制下一年的部门预算可以参考绩效自评结果，以提高预算编制的精准性。绩效自评结果按照财政要求及时公开</w:t>
      </w:r>
      <w:r>
        <w:rPr>
          <w:rFonts w:hint="eastAsia" w:ascii="Times New Roman" w:hAnsi="Times New Roman" w:eastAsia="仿宋_GB2312" w:cs="Times New Roman"/>
          <w:color w:val="auto"/>
          <w:sz w:val="32"/>
          <w:szCs w:val="32"/>
          <w:lang w:eastAsia="zh-CN"/>
        </w:rPr>
        <w:t>。</w:t>
      </w:r>
    </w:p>
    <w:p w14:paraId="46AFD85F">
      <w:pPr>
        <w:pStyle w:val="12"/>
        <w:jc w:val="center"/>
        <w:rPr>
          <w:rFonts w:ascii="Times New Roman" w:hAnsi="Times New Roman" w:cs="Times New Roman"/>
          <w:sz w:val="72"/>
          <w:szCs w:val="72"/>
        </w:rPr>
      </w:pPr>
    </w:p>
    <w:p w14:paraId="4B07C397">
      <w:pPr>
        <w:pStyle w:val="12"/>
        <w:jc w:val="both"/>
        <w:rPr>
          <w:rFonts w:ascii="Times New Roman" w:hAnsi="Times New Roman" w:cs="Times New Roman"/>
          <w:sz w:val="72"/>
          <w:szCs w:val="72"/>
        </w:rPr>
      </w:pPr>
    </w:p>
    <w:p w14:paraId="4DA980E2">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2EAB97D">
      <w:pPr>
        <w:widowControl/>
        <w:jc w:val="left"/>
        <w:rPr>
          <w:rFonts w:ascii="Times New Roman" w:hAnsi="Times New Roman" w:cs="Times New Roman"/>
          <w:color w:val="000000"/>
          <w:kern w:val="0"/>
          <w:sz w:val="32"/>
          <w:szCs w:val="32"/>
        </w:rPr>
      </w:pPr>
    </w:p>
    <w:p w14:paraId="73DD4037">
      <w:pPr>
        <w:ind w:firstLine="640" w:firstLineChars="200"/>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2D6D8954">
      <w:pPr>
        <w:ind w:firstLine="640" w:firstLineChars="200"/>
        <w:jc w:val="left"/>
        <w:rPr>
          <w:rFonts w:ascii="Times New Roman" w:hAnsi="Times New Roman" w:cs="Times New Roman"/>
          <w:color w:val="000000"/>
          <w:kern w:val="0"/>
          <w:sz w:val="32"/>
          <w:szCs w:val="3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CA5DFD0">
      <w:pPr>
        <w:pStyle w:val="12"/>
        <w:jc w:val="center"/>
        <w:rPr>
          <w:rFonts w:ascii="Times New Roman" w:hAnsi="Times New Roman" w:cs="Times New Roman"/>
          <w:sz w:val="72"/>
          <w:szCs w:val="72"/>
        </w:rPr>
      </w:pPr>
    </w:p>
    <w:p w14:paraId="28A943BE">
      <w:pPr>
        <w:pStyle w:val="12"/>
        <w:jc w:val="center"/>
        <w:rPr>
          <w:rFonts w:ascii="Times New Roman" w:hAnsi="Times New Roman" w:cs="Times New Roman"/>
          <w:sz w:val="72"/>
          <w:szCs w:val="72"/>
        </w:rPr>
      </w:pPr>
    </w:p>
    <w:p w14:paraId="6116364F">
      <w:pPr>
        <w:pStyle w:val="12"/>
        <w:jc w:val="center"/>
        <w:rPr>
          <w:rFonts w:ascii="Times New Roman" w:hAnsi="Times New Roman" w:cs="Times New Roman"/>
          <w:sz w:val="72"/>
          <w:szCs w:val="72"/>
        </w:rPr>
      </w:pPr>
    </w:p>
    <w:p w14:paraId="10546FCA">
      <w:pPr>
        <w:pStyle w:val="12"/>
        <w:jc w:val="both"/>
        <w:rPr>
          <w:rFonts w:ascii="Times New Roman" w:hAnsi="Times New Roman" w:cs="Times New Roman"/>
          <w:sz w:val="72"/>
          <w:szCs w:val="72"/>
        </w:rPr>
      </w:pPr>
      <w:bookmarkStart w:id="0" w:name="_GoBack"/>
      <w:bookmarkEnd w:id="0"/>
    </w:p>
    <w:p w14:paraId="7A488136">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3789691">
      <w:pPr>
        <w:rPr>
          <w:rFonts w:ascii="Times New Roman" w:hAnsi="Times New Roman" w:cs="Times New Roman"/>
          <w:sz w:val="72"/>
          <w:szCs w:val="72"/>
        </w:rPr>
      </w:pPr>
    </w:p>
    <w:p w14:paraId="77D6C984">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1D4854A6">
      <w:pPr>
        <w:pStyle w:val="12"/>
        <w:jc w:val="center"/>
        <w:rPr>
          <w:rFonts w:ascii="Times New Roman" w:hAnsi="Times New Roman" w:cs="Times New Roman"/>
          <w:sz w:val="72"/>
          <w:szCs w:val="72"/>
        </w:rPr>
      </w:pPr>
    </w:p>
    <w:p w14:paraId="256EA7F3">
      <w:pPr>
        <w:pStyle w:val="12"/>
        <w:jc w:val="center"/>
        <w:rPr>
          <w:rFonts w:ascii="Times New Roman" w:hAnsi="Times New Roman" w:cs="Times New Roman"/>
          <w:sz w:val="72"/>
          <w:szCs w:val="72"/>
        </w:rPr>
      </w:pPr>
    </w:p>
    <w:p w14:paraId="6EA33D5E">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6B8E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EC4C">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C17D">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89D0">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42BCF809">
                <w:pPr>
                  <w:pStyle w:val="5"/>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4001AC"/>
    <w:rsid w:val="026954E1"/>
    <w:rsid w:val="036D7252"/>
    <w:rsid w:val="03D177E1"/>
    <w:rsid w:val="04A3117E"/>
    <w:rsid w:val="06F6136F"/>
    <w:rsid w:val="086E3851"/>
    <w:rsid w:val="086F75C9"/>
    <w:rsid w:val="08BE2E93"/>
    <w:rsid w:val="09AB63DF"/>
    <w:rsid w:val="0CEF2A86"/>
    <w:rsid w:val="0D105F46"/>
    <w:rsid w:val="0D4857C3"/>
    <w:rsid w:val="0E597314"/>
    <w:rsid w:val="106612B1"/>
    <w:rsid w:val="14F25809"/>
    <w:rsid w:val="155913E5"/>
    <w:rsid w:val="165C4647"/>
    <w:rsid w:val="16866209"/>
    <w:rsid w:val="169F72CB"/>
    <w:rsid w:val="17146528"/>
    <w:rsid w:val="17B84AE8"/>
    <w:rsid w:val="190E24E6"/>
    <w:rsid w:val="19805192"/>
    <w:rsid w:val="19C60AC7"/>
    <w:rsid w:val="1A7B3BAB"/>
    <w:rsid w:val="1A872550"/>
    <w:rsid w:val="1CCC06EE"/>
    <w:rsid w:val="1D183933"/>
    <w:rsid w:val="1D97DEFF"/>
    <w:rsid w:val="1DFF72E5"/>
    <w:rsid w:val="1E1D38F7"/>
    <w:rsid w:val="1ECE4BF1"/>
    <w:rsid w:val="1EFC6F07"/>
    <w:rsid w:val="1F1620F4"/>
    <w:rsid w:val="1F5F1CED"/>
    <w:rsid w:val="1FCB2EDF"/>
    <w:rsid w:val="24053AF9"/>
    <w:rsid w:val="25DC7BF4"/>
    <w:rsid w:val="26D44D6F"/>
    <w:rsid w:val="27CC5A46"/>
    <w:rsid w:val="2810627B"/>
    <w:rsid w:val="29A05029"/>
    <w:rsid w:val="2A284CA3"/>
    <w:rsid w:val="2CB83FE7"/>
    <w:rsid w:val="2CFC1EE7"/>
    <w:rsid w:val="2D5269EE"/>
    <w:rsid w:val="2D9B0395"/>
    <w:rsid w:val="2DE81100"/>
    <w:rsid w:val="2E254102"/>
    <w:rsid w:val="2E800BA4"/>
    <w:rsid w:val="2FDF85B8"/>
    <w:rsid w:val="2FFFEE04"/>
    <w:rsid w:val="304E5B92"/>
    <w:rsid w:val="309F019C"/>
    <w:rsid w:val="30FA5A71"/>
    <w:rsid w:val="31B163D9"/>
    <w:rsid w:val="32B96D04"/>
    <w:rsid w:val="3333289F"/>
    <w:rsid w:val="33791178"/>
    <w:rsid w:val="34DF85B0"/>
    <w:rsid w:val="351B1DBB"/>
    <w:rsid w:val="367E0853"/>
    <w:rsid w:val="369B31B3"/>
    <w:rsid w:val="38390ED6"/>
    <w:rsid w:val="39AB7BB1"/>
    <w:rsid w:val="39D76BF8"/>
    <w:rsid w:val="3AFB06C4"/>
    <w:rsid w:val="3B8F36BC"/>
    <w:rsid w:val="3C4340D1"/>
    <w:rsid w:val="3C6B3338"/>
    <w:rsid w:val="3CBC5196"/>
    <w:rsid w:val="3E52684D"/>
    <w:rsid w:val="3EAB2402"/>
    <w:rsid w:val="3EB43064"/>
    <w:rsid w:val="400F1888"/>
    <w:rsid w:val="40297A82"/>
    <w:rsid w:val="41036525"/>
    <w:rsid w:val="421B3151"/>
    <w:rsid w:val="42981CC8"/>
    <w:rsid w:val="42A31D6D"/>
    <w:rsid w:val="42EB54C2"/>
    <w:rsid w:val="442742D8"/>
    <w:rsid w:val="457E43CC"/>
    <w:rsid w:val="459C4852"/>
    <w:rsid w:val="462431C5"/>
    <w:rsid w:val="463902F3"/>
    <w:rsid w:val="48757D08"/>
    <w:rsid w:val="491FF225"/>
    <w:rsid w:val="4A477482"/>
    <w:rsid w:val="4B9D70F1"/>
    <w:rsid w:val="4C177328"/>
    <w:rsid w:val="4D36558C"/>
    <w:rsid w:val="4E1A6C5C"/>
    <w:rsid w:val="4E8E71C6"/>
    <w:rsid w:val="4E946A0E"/>
    <w:rsid w:val="4F3D2C02"/>
    <w:rsid w:val="4FFD214C"/>
    <w:rsid w:val="511D718F"/>
    <w:rsid w:val="537D5CC3"/>
    <w:rsid w:val="56574072"/>
    <w:rsid w:val="567A0BDF"/>
    <w:rsid w:val="5777D4F5"/>
    <w:rsid w:val="584414A5"/>
    <w:rsid w:val="59DD8326"/>
    <w:rsid w:val="5B8D6CBF"/>
    <w:rsid w:val="5CD01559"/>
    <w:rsid w:val="5D9702C9"/>
    <w:rsid w:val="5DEF592A"/>
    <w:rsid w:val="5F85487D"/>
    <w:rsid w:val="5FC6BB1E"/>
    <w:rsid w:val="5FF53085"/>
    <w:rsid w:val="5FF720F1"/>
    <w:rsid w:val="60CA62C0"/>
    <w:rsid w:val="61A66D2D"/>
    <w:rsid w:val="62257929"/>
    <w:rsid w:val="62CF7BBD"/>
    <w:rsid w:val="62D84CC4"/>
    <w:rsid w:val="63E92F01"/>
    <w:rsid w:val="64EC38A5"/>
    <w:rsid w:val="65F8567D"/>
    <w:rsid w:val="67C9107F"/>
    <w:rsid w:val="67FF5C0B"/>
    <w:rsid w:val="69BA7563"/>
    <w:rsid w:val="6A425119"/>
    <w:rsid w:val="6AFD6E95"/>
    <w:rsid w:val="6B0D1BCA"/>
    <w:rsid w:val="6B4A24D7"/>
    <w:rsid w:val="6C9F4AA4"/>
    <w:rsid w:val="6D321474"/>
    <w:rsid w:val="6DDD3AD6"/>
    <w:rsid w:val="6ED866A2"/>
    <w:rsid w:val="6EF03395"/>
    <w:rsid w:val="6EFC0924"/>
    <w:rsid w:val="6FB74722"/>
    <w:rsid w:val="6FEF8B7E"/>
    <w:rsid w:val="70812E3F"/>
    <w:rsid w:val="71A6591B"/>
    <w:rsid w:val="71AB7A47"/>
    <w:rsid w:val="72365E9E"/>
    <w:rsid w:val="72874010"/>
    <w:rsid w:val="737D59BA"/>
    <w:rsid w:val="73B9300A"/>
    <w:rsid w:val="73F74F85"/>
    <w:rsid w:val="754A2042"/>
    <w:rsid w:val="75AD00A5"/>
    <w:rsid w:val="76452218"/>
    <w:rsid w:val="779F3BAA"/>
    <w:rsid w:val="77C37683"/>
    <w:rsid w:val="799139C7"/>
    <w:rsid w:val="79D044EF"/>
    <w:rsid w:val="79D19834"/>
    <w:rsid w:val="79DF4732"/>
    <w:rsid w:val="79FF515B"/>
    <w:rsid w:val="7BFF10BB"/>
    <w:rsid w:val="7C8D4919"/>
    <w:rsid w:val="7CA51C63"/>
    <w:rsid w:val="7D0C3A90"/>
    <w:rsid w:val="7D513B99"/>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3795</Words>
  <Characters>4253</Characters>
  <Lines>69</Lines>
  <Paragraphs>19</Paragraphs>
  <TotalTime>27</TotalTime>
  <ScaleCrop>false</ScaleCrop>
  <LinksUpToDate>false</LinksUpToDate>
  <CharactersWithSpaces>4262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璐萍</cp:lastModifiedBy>
  <cp:lastPrinted>2024-08-08T18:20:00Z</cp:lastPrinted>
  <dcterms:modified xsi:type="dcterms:W3CDTF">2025-09-23T01:47:34Z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eyJoZGlkIjoiMWJkNjZkNWQ0YTczMmJjNjU1NDVmZjgwNjc3MTRjOWQiLCJ1c2VySWQiOiI1Njc1NzgyMDIifQ==</vt:lpwstr>
  </property>
</Properties>
</file>