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color w:val="auto"/>
          <w:sz w:val="56"/>
          <w:szCs w:val="56"/>
        </w:rPr>
      </w:pPr>
    </w:p>
    <w:p>
      <w:pPr>
        <w:pStyle w:val="10"/>
        <w:jc w:val="center"/>
        <w:rPr>
          <w:color w:val="auto"/>
          <w:sz w:val="56"/>
          <w:szCs w:val="56"/>
        </w:rPr>
      </w:pPr>
    </w:p>
    <w:p>
      <w:pPr>
        <w:pStyle w:val="10"/>
        <w:jc w:val="center"/>
        <w:rPr>
          <w:color w:val="auto"/>
          <w:sz w:val="84"/>
          <w:szCs w:val="84"/>
        </w:rPr>
      </w:pPr>
    </w:p>
    <w:p>
      <w:pPr>
        <w:pStyle w:val="10"/>
        <w:jc w:val="center"/>
        <w:rPr>
          <w:color w:val="auto"/>
          <w:sz w:val="84"/>
          <w:szCs w:val="84"/>
        </w:rPr>
      </w:pPr>
    </w:p>
    <w:p>
      <w:pPr>
        <w:pStyle w:val="10"/>
        <w:jc w:val="center"/>
        <w:rPr>
          <w:color w:val="auto"/>
          <w:sz w:val="84"/>
          <w:szCs w:val="84"/>
        </w:rPr>
      </w:pPr>
      <w:r>
        <w:rPr>
          <w:rFonts w:hint="eastAsia"/>
          <w:color w:val="auto"/>
          <w:sz w:val="84"/>
          <w:szCs w:val="84"/>
          <w:lang w:eastAsia="zh-CN"/>
        </w:rPr>
        <w:t>2021</w:t>
      </w:r>
      <w:r>
        <w:rPr>
          <w:rFonts w:hint="eastAsia"/>
          <w:color w:val="auto"/>
          <w:sz w:val="84"/>
          <w:szCs w:val="84"/>
        </w:rPr>
        <w:t>年度</w:t>
      </w:r>
    </w:p>
    <w:p>
      <w:pPr>
        <w:pStyle w:val="10"/>
        <w:jc w:val="both"/>
        <w:rPr>
          <w:color w:val="auto"/>
          <w:sz w:val="84"/>
          <w:szCs w:val="84"/>
        </w:rPr>
      </w:pPr>
      <w:r>
        <w:rPr>
          <w:rFonts w:hint="eastAsia"/>
          <w:color w:val="auto"/>
          <w:sz w:val="84"/>
          <w:szCs w:val="84"/>
          <w:lang w:val="en-US" w:eastAsia="zh-CN"/>
        </w:rPr>
        <w:t>怀化市红十字会</w:t>
      </w:r>
      <w:r>
        <w:rPr>
          <w:rFonts w:hint="eastAsia"/>
          <w:color w:val="auto"/>
          <w:sz w:val="84"/>
          <w:szCs w:val="84"/>
        </w:rPr>
        <w:t>部门决算</w:t>
      </w:r>
    </w:p>
    <w:p>
      <w:pPr>
        <w:pStyle w:val="10"/>
        <w:jc w:val="center"/>
        <w:rPr>
          <w:color w:val="auto"/>
          <w:sz w:val="56"/>
          <w:szCs w:val="56"/>
        </w:rPr>
      </w:pPr>
    </w:p>
    <w:p>
      <w:pPr>
        <w:pStyle w:val="10"/>
        <w:jc w:val="center"/>
        <w:rPr>
          <w:color w:val="auto"/>
          <w:sz w:val="56"/>
          <w:szCs w:val="56"/>
        </w:rPr>
      </w:pPr>
    </w:p>
    <w:p>
      <w:pPr>
        <w:pStyle w:val="10"/>
        <w:jc w:val="center"/>
        <w:rPr>
          <w:color w:val="auto"/>
          <w:sz w:val="56"/>
          <w:szCs w:val="56"/>
        </w:rPr>
      </w:pPr>
    </w:p>
    <w:p>
      <w:pPr>
        <w:pStyle w:val="10"/>
        <w:jc w:val="center"/>
        <w:rPr>
          <w:color w:val="auto"/>
          <w:sz w:val="56"/>
          <w:szCs w:val="56"/>
        </w:rPr>
      </w:pPr>
    </w:p>
    <w:p>
      <w:pPr>
        <w:pStyle w:val="10"/>
        <w:jc w:val="center"/>
        <w:rPr>
          <w:color w:val="auto"/>
          <w:sz w:val="56"/>
          <w:szCs w:val="56"/>
        </w:rPr>
      </w:pPr>
    </w:p>
    <w:p>
      <w:pPr>
        <w:pStyle w:val="10"/>
        <w:jc w:val="center"/>
        <w:rPr>
          <w:color w:val="auto"/>
          <w:sz w:val="56"/>
          <w:szCs w:val="56"/>
        </w:rPr>
      </w:pPr>
    </w:p>
    <w:p>
      <w:pPr>
        <w:pStyle w:val="10"/>
        <w:jc w:val="center"/>
        <w:rPr>
          <w:color w:val="auto"/>
          <w:sz w:val="56"/>
          <w:szCs w:val="56"/>
        </w:rPr>
      </w:pPr>
    </w:p>
    <w:p>
      <w:pPr>
        <w:pStyle w:val="10"/>
        <w:spacing w:line="500" w:lineRule="exact"/>
        <w:jc w:val="both"/>
        <w:rPr>
          <w:rFonts w:hint="eastAsia"/>
          <w:b/>
          <w:color w:val="auto"/>
          <w:sz w:val="36"/>
          <w:szCs w:val="28"/>
        </w:rPr>
      </w:pPr>
    </w:p>
    <w:p>
      <w:pPr>
        <w:pStyle w:val="10"/>
        <w:spacing w:line="500" w:lineRule="exact"/>
        <w:jc w:val="center"/>
        <w:rPr>
          <w:rFonts w:hint="eastAsia"/>
          <w:b/>
          <w:color w:val="auto"/>
          <w:sz w:val="36"/>
          <w:szCs w:val="28"/>
        </w:rPr>
      </w:pPr>
    </w:p>
    <w:p>
      <w:pPr>
        <w:pStyle w:val="10"/>
        <w:spacing w:line="500" w:lineRule="exact"/>
        <w:jc w:val="center"/>
        <w:rPr>
          <w:b/>
          <w:color w:val="auto"/>
          <w:sz w:val="36"/>
          <w:szCs w:val="28"/>
        </w:rPr>
      </w:pPr>
      <w:r>
        <w:rPr>
          <w:rFonts w:hint="eastAsia"/>
          <w:b/>
          <w:color w:val="auto"/>
          <w:sz w:val="36"/>
          <w:szCs w:val="28"/>
        </w:rPr>
        <w:t>目</w:t>
      </w:r>
      <w:r>
        <w:rPr>
          <w:rFonts w:hint="eastAsia"/>
          <w:b/>
          <w:color w:val="auto"/>
          <w:sz w:val="36"/>
          <w:szCs w:val="28"/>
          <w:lang w:val="en-US" w:eastAsia="zh-CN"/>
        </w:rPr>
        <w:t xml:space="preserve">  </w:t>
      </w:r>
      <w:r>
        <w:rPr>
          <w:rFonts w:hint="eastAsia"/>
          <w:b/>
          <w:color w:val="auto"/>
          <w:sz w:val="36"/>
          <w:szCs w:val="28"/>
        </w:rPr>
        <w:t>录</w:t>
      </w:r>
    </w:p>
    <w:p>
      <w:pPr>
        <w:pStyle w:val="10"/>
        <w:spacing w:line="500" w:lineRule="exact"/>
        <w:ind w:firstLine="281" w:firstLineChars="100"/>
        <w:rPr>
          <w:rFonts w:ascii="仿宋_GB2312" w:hAnsi="仿宋_GB2312" w:cs="仿宋_GB2312"/>
          <w:b/>
          <w:color w:val="auto"/>
          <w:sz w:val="28"/>
          <w:szCs w:val="28"/>
        </w:rPr>
      </w:pPr>
      <w:r>
        <w:rPr>
          <w:rFonts w:hint="eastAsia"/>
          <w:b/>
          <w:color w:val="auto"/>
          <w:sz w:val="28"/>
          <w:szCs w:val="28"/>
        </w:rPr>
        <w:t>第一部分</w:t>
      </w:r>
      <w:r>
        <w:rPr>
          <w:rFonts w:hint="eastAsia"/>
          <w:b/>
          <w:color w:val="auto"/>
          <w:sz w:val="28"/>
          <w:szCs w:val="28"/>
          <w:lang w:val="en-US" w:eastAsia="zh-CN"/>
        </w:rPr>
        <w:t>怀化市红十字会</w:t>
      </w:r>
      <w:r>
        <w:rPr>
          <w:rFonts w:hint="eastAsia"/>
          <w:b/>
          <w:color w:val="auto"/>
          <w:sz w:val="28"/>
          <w:szCs w:val="28"/>
        </w:rPr>
        <w:t>概况</w:t>
      </w:r>
    </w:p>
    <w:p>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一、部门职责</w:t>
      </w:r>
    </w:p>
    <w:p>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二、机构设置</w:t>
      </w:r>
    </w:p>
    <w:p>
      <w:pPr>
        <w:pStyle w:val="10"/>
        <w:spacing w:line="500" w:lineRule="exact"/>
        <w:ind w:firstLine="281" w:firstLineChars="100"/>
        <w:rPr>
          <w:rFonts w:ascii="仿宋_GB2312" w:hAnsi="仿宋_GB2312" w:cs="仿宋_GB2312"/>
          <w:b/>
          <w:color w:val="auto"/>
          <w:sz w:val="28"/>
          <w:szCs w:val="28"/>
        </w:rPr>
      </w:pPr>
      <w:r>
        <w:rPr>
          <w:rFonts w:hint="eastAsia" w:hAnsi="仿宋_GB2312"/>
          <w:b/>
          <w:color w:val="auto"/>
          <w:sz w:val="28"/>
          <w:szCs w:val="28"/>
        </w:rPr>
        <w:t>第二部分</w:t>
      </w:r>
      <w:r>
        <w:rPr>
          <w:rFonts w:hint="eastAsia" w:hAnsi="仿宋_GB2312"/>
          <w:b/>
          <w:color w:val="auto"/>
          <w:sz w:val="28"/>
          <w:szCs w:val="28"/>
          <w:lang w:eastAsia="zh-CN"/>
        </w:rPr>
        <w:t>2021</w:t>
      </w:r>
      <w:r>
        <w:rPr>
          <w:rFonts w:hint="eastAsia" w:hAnsi="仿宋_GB2312"/>
          <w:b/>
          <w:color w:val="auto"/>
          <w:sz w:val="28"/>
          <w:szCs w:val="28"/>
        </w:rPr>
        <w:t>年度部门决算表</w:t>
      </w:r>
    </w:p>
    <w:p>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一、收入支出决算总表</w:t>
      </w:r>
    </w:p>
    <w:p>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二、收入决算表</w:t>
      </w:r>
    </w:p>
    <w:p>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三、支出决算表</w:t>
      </w:r>
    </w:p>
    <w:p>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四、财政拨款收入支出决算总表</w:t>
      </w:r>
    </w:p>
    <w:p>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五、一般公共预算财政拨款支出决算表</w:t>
      </w:r>
    </w:p>
    <w:p>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六、一般公共预算财政拨款基本支出决算表</w:t>
      </w:r>
    </w:p>
    <w:p>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七、一般公共预算财政拨款“三公”经费支出决算表</w:t>
      </w:r>
    </w:p>
    <w:p>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八、政府性基金预算财政拨款收入支出决算表</w:t>
      </w:r>
    </w:p>
    <w:p>
      <w:pPr>
        <w:pStyle w:val="10"/>
        <w:spacing w:line="500" w:lineRule="exact"/>
        <w:ind w:firstLine="700" w:firstLineChars="250"/>
        <w:rPr>
          <w:rFonts w:cs="仿宋_GB2312" w:asciiTheme="minorEastAsia" w:hAnsiTheme="minorEastAsia" w:eastAsiaTheme="minorEastAsia"/>
          <w:color w:val="auto"/>
          <w:sz w:val="28"/>
          <w:szCs w:val="28"/>
        </w:rPr>
      </w:pPr>
      <w:r>
        <w:rPr>
          <w:rFonts w:hint="eastAsia" w:cs="仿宋_GB2312" w:asciiTheme="minorEastAsia" w:hAnsiTheme="minorEastAsia" w:eastAsiaTheme="minorEastAsia"/>
          <w:color w:val="auto"/>
          <w:sz w:val="28"/>
          <w:szCs w:val="28"/>
        </w:rPr>
        <w:t>九、国有资本经营预算财政拨款支出决算表</w:t>
      </w:r>
    </w:p>
    <w:p>
      <w:pPr>
        <w:pStyle w:val="10"/>
        <w:spacing w:line="500" w:lineRule="exact"/>
        <w:ind w:firstLine="281" w:firstLineChars="100"/>
        <w:rPr>
          <w:rFonts w:ascii="仿宋_GB2312" w:hAnsi="仿宋_GB2312" w:cs="仿宋_GB2312"/>
          <w:b/>
          <w:color w:val="auto"/>
          <w:sz w:val="28"/>
          <w:szCs w:val="28"/>
        </w:rPr>
      </w:pPr>
      <w:r>
        <w:rPr>
          <w:rFonts w:hint="eastAsia" w:hAnsi="仿宋_GB2312"/>
          <w:b/>
          <w:color w:val="auto"/>
          <w:sz w:val="28"/>
          <w:szCs w:val="28"/>
        </w:rPr>
        <w:t>第三部分</w:t>
      </w:r>
      <w:r>
        <w:rPr>
          <w:rFonts w:hint="eastAsia" w:hAnsi="仿宋_GB2312"/>
          <w:b/>
          <w:color w:val="auto"/>
          <w:sz w:val="28"/>
          <w:szCs w:val="28"/>
          <w:lang w:eastAsia="zh-CN"/>
        </w:rPr>
        <w:t>2021</w:t>
      </w:r>
      <w:r>
        <w:rPr>
          <w:rFonts w:hint="eastAsia" w:hAnsi="仿宋_GB2312"/>
          <w:b/>
          <w:color w:val="auto"/>
          <w:sz w:val="28"/>
          <w:szCs w:val="28"/>
        </w:rPr>
        <w:t>年度部门决算情况说明</w:t>
      </w:r>
    </w:p>
    <w:p>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一、收入支出决算总体情况说明</w:t>
      </w:r>
    </w:p>
    <w:p>
      <w:pPr>
        <w:spacing w:line="500" w:lineRule="exact"/>
        <w:ind w:firstLine="700" w:firstLineChars="250"/>
        <w:jc w:val="left"/>
        <w:rPr>
          <w:rFonts w:ascii="仿宋_GB2312" w:hAnsi="仿宋_GB2312" w:cs="仿宋_GB2312"/>
          <w:color w:val="auto"/>
          <w:sz w:val="28"/>
          <w:szCs w:val="28"/>
        </w:rPr>
      </w:pPr>
      <w:r>
        <w:rPr>
          <w:rFonts w:ascii="仿宋_GB2312" w:hAnsi="仿宋_GB2312" w:cs="仿宋_GB2312"/>
          <w:color w:val="auto"/>
          <w:sz w:val="28"/>
          <w:szCs w:val="28"/>
        </w:rPr>
        <w:t>二、收入决算情况说明</w:t>
      </w:r>
    </w:p>
    <w:p>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ascii="仿宋_GB2312" w:hAnsi="仿宋_GB2312" w:cs="仿宋_GB2312"/>
          <w:color w:val="auto"/>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ascii="仿宋_GB2312" w:hAnsi="仿宋_GB2312" w:cs="仿宋_GB2312"/>
          <w:color w:val="auto"/>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ascii="仿宋_GB2312" w:hAnsi="仿宋_GB2312" w:cs="仿宋_GB2312"/>
          <w:color w:val="auto"/>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ascii="仿宋_GB2312" w:hAnsi="仿宋_GB2312" w:cs="仿宋_GB2312"/>
          <w:color w:val="auto"/>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ascii="仿宋_GB2312" w:hAnsi="仿宋_GB2312" w:cs="仿宋_GB2312"/>
          <w:color w:val="auto"/>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cs="仿宋_GB2312"/>
          <w:color w:val="auto"/>
          <w:kern w:val="0"/>
          <w:sz w:val="28"/>
          <w:szCs w:val="28"/>
        </w:rPr>
      </w:pPr>
      <w:r>
        <w:rPr>
          <w:rFonts w:hint="eastAsia" w:ascii="仿宋_GB2312" w:hAnsi="仿宋_GB2312" w:cs="仿宋_GB2312"/>
          <w:color w:val="auto"/>
          <w:kern w:val="0"/>
          <w:sz w:val="28"/>
          <w:szCs w:val="28"/>
        </w:rPr>
        <w:t>八</w:t>
      </w:r>
      <w:r>
        <w:rPr>
          <w:rFonts w:ascii="仿宋_GB2312" w:hAnsi="仿宋_GB2312" w:cs="仿宋_GB2312"/>
          <w:color w:val="auto"/>
          <w:kern w:val="0"/>
          <w:sz w:val="28"/>
          <w:szCs w:val="28"/>
        </w:rPr>
        <w:t>、</w:t>
      </w:r>
      <w:r>
        <w:rPr>
          <w:rFonts w:hint="eastAsia" w:ascii="仿宋_GB2312" w:hAnsi="仿宋_GB2312" w:cs="仿宋_GB2312"/>
          <w:color w:val="auto"/>
          <w:kern w:val="0"/>
          <w:sz w:val="28"/>
          <w:szCs w:val="28"/>
        </w:rPr>
        <w:t>政府性基金预算收入支出决算情况</w:t>
      </w:r>
    </w:p>
    <w:p>
      <w:pPr>
        <w:autoSpaceDE w:val="0"/>
        <w:autoSpaceDN w:val="0"/>
        <w:adjustRightInd w:val="0"/>
        <w:spacing w:line="500" w:lineRule="exact"/>
        <w:ind w:firstLine="700" w:firstLineChars="250"/>
        <w:jc w:val="left"/>
        <w:rPr>
          <w:rFonts w:hint="eastAsia" w:ascii="仿宋_GB2312" w:hAnsi="仿宋_GB2312" w:cs="仿宋_GB2312"/>
          <w:color w:val="auto"/>
          <w:kern w:val="0"/>
          <w:sz w:val="28"/>
          <w:szCs w:val="28"/>
        </w:rPr>
      </w:pPr>
      <w:r>
        <w:rPr>
          <w:rFonts w:hint="eastAsia" w:ascii="仿宋_GB2312" w:hAnsi="仿宋_GB2312" w:cs="仿宋_GB2312"/>
          <w:color w:val="auto"/>
          <w:kern w:val="0"/>
          <w:sz w:val="28"/>
          <w:szCs w:val="28"/>
        </w:rPr>
        <w:t>九、国有资本经营预算财政拨款支出决算情况说明</w:t>
      </w:r>
    </w:p>
    <w:p>
      <w:pPr>
        <w:autoSpaceDE w:val="0"/>
        <w:autoSpaceDN w:val="0"/>
        <w:adjustRightInd w:val="0"/>
        <w:spacing w:line="500" w:lineRule="exact"/>
        <w:ind w:firstLine="700" w:firstLineChars="250"/>
        <w:jc w:val="left"/>
        <w:rPr>
          <w:rFonts w:hint="eastAsia" w:ascii="仿宋_GB2312" w:hAnsi="仿宋_GB2312" w:cs="仿宋_GB2312"/>
          <w:color w:val="auto"/>
          <w:kern w:val="0"/>
          <w:sz w:val="28"/>
          <w:szCs w:val="28"/>
        </w:rPr>
      </w:pPr>
      <w:r>
        <w:rPr>
          <w:rFonts w:hint="eastAsia" w:ascii="仿宋_GB2312" w:hAnsi="仿宋_GB2312" w:cs="仿宋_GB2312"/>
          <w:color w:val="auto"/>
          <w:kern w:val="0"/>
          <w:sz w:val="28"/>
          <w:szCs w:val="28"/>
        </w:rPr>
        <w:t>十、关于机关运行经费支出说明</w:t>
      </w:r>
    </w:p>
    <w:p>
      <w:pPr>
        <w:autoSpaceDE w:val="0"/>
        <w:autoSpaceDN w:val="0"/>
        <w:adjustRightInd w:val="0"/>
        <w:spacing w:line="500" w:lineRule="exact"/>
        <w:ind w:firstLine="700" w:firstLineChars="250"/>
        <w:jc w:val="left"/>
        <w:rPr>
          <w:rFonts w:hint="eastAsia" w:ascii="仿宋_GB2312" w:hAnsi="仿宋_GB2312" w:cs="仿宋_GB2312"/>
          <w:color w:val="auto"/>
          <w:kern w:val="0"/>
          <w:sz w:val="28"/>
          <w:szCs w:val="28"/>
        </w:rPr>
      </w:pPr>
      <w:r>
        <w:rPr>
          <w:rFonts w:hint="eastAsia" w:ascii="仿宋_GB2312" w:hAnsi="仿宋_GB2312" w:cs="仿宋_GB2312"/>
          <w:color w:val="auto"/>
          <w:kern w:val="0"/>
          <w:sz w:val="28"/>
          <w:szCs w:val="28"/>
        </w:rPr>
        <w:t>十一、一般性支出情况说明</w:t>
      </w:r>
    </w:p>
    <w:p>
      <w:pPr>
        <w:autoSpaceDE w:val="0"/>
        <w:autoSpaceDN w:val="0"/>
        <w:adjustRightInd w:val="0"/>
        <w:spacing w:line="500" w:lineRule="exact"/>
        <w:ind w:firstLine="700" w:firstLineChars="250"/>
        <w:jc w:val="left"/>
        <w:rPr>
          <w:rFonts w:hint="eastAsia" w:ascii="仿宋_GB2312" w:hAnsi="仿宋_GB2312" w:cs="仿宋_GB2312"/>
          <w:color w:val="auto"/>
          <w:kern w:val="0"/>
          <w:sz w:val="28"/>
          <w:szCs w:val="28"/>
        </w:rPr>
      </w:pPr>
      <w:r>
        <w:rPr>
          <w:rFonts w:hint="eastAsia" w:ascii="仿宋_GB2312" w:hAnsi="仿宋_GB2312" w:cs="仿宋_GB2312"/>
          <w:color w:val="auto"/>
          <w:kern w:val="0"/>
          <w:sz w:val="28"/>
          <w:szCs w:val="28"/>
        </w:rPr>
        <w:t>十二、关于政府采购支出说明</w:t>
      </w:r>
    </w:p>
    <w:p>
      <w:pPr>
        <w:autoSpaceDE w:val="0"/>
        <w:autoSpaceDN w:val="0"/>
        <w:adjustRightInd w:val="0"/>
        <w:spacing w:line="500" w:lineRule="exact"/>
        <w:ind w:firstLine="700" w:firstLineChars="250"/>
        <w:jc w:val="left"/>
        <w:rPr>
          <w:rFonts w:hint="eastAsia" w:ascii="仿宋_GB2312" w:hAnsi="仿宋_GB2312" w:cs="仿宋_GB2312"/>
          <w:color w:val="auto"/>
          <w:kern w:val="0"/>
          <w:sz w:val="28"/>
          <w:szCs w:val="28"/>
        </w:rPr>
      </w:pPr>
      <w:r>
        <w:rPr>
          <w:rFonts w:hint="eastAsia" w:ascii="仿宋_GB2312" w:hAnsi="仿宋_GB2312" w:cs="仿宋_GB2312"/>
          <w:color w:val="auto"/>
          <w:kern w:val="0"/>
          <w:sz w:val="28"/>
          <w:szCs w:val="28"/>
        </w:rPr>
        <w:t>十三、关于国有资产占用情况说明</w:t>
      </w:r>
    </w:p>
    <w:p>
      <w:pPr>
        <w:autoSpaceDE w:val="0"/>
        <w:autoSpaceDN w:val="0"/>
        <w:adjustRightInd w:val="0"/>
        <w:spacing w:line="500" w:lineRule="exact"/>
        <w:ind w:firstLine="700" w:firstLineChars="250"/>
        <w:jc w:val="left"/>
        <w:rPr>
          <w:rFonts w:hint="eastAsia" w:ascii="仿宋_GB2312" w:hAnsi="仿宋_GB2312" w:cs="仿宋_GB2312"/>
          <w:color w:val="auto"/>
          <w:kern w:val="0"/>
          <w:sz w:val="28"/>
          <w:szCs w:val="28"/>
        </w:rPr>
      </w:pPr>
      <w:r>
        <w:rPr>
          <w:rFonts w:hint="eastAsia" w:ascii="仿宋_GB2312" w:hAnsi="仿宋_GB2312" w:cs="仿宋_GB2312"/>
          <w:color w:val="auto"/>
          <w:kern w:val="0"/>
          <w:sz w:val="28"/>
          <w:szCs w:val="28"/>
        </w:rPr>
        <w:t>十四、关于2021年度预算绩效情况的说明</w:t>
      </w:r>
    </w:p>
    <w:p>
      <w:pPr>
        <w:autoSpaceDE w:val="0"/>
        <w:autoSpaceDN w:val="0"/>
        <w:adjustRightInd w:val="0"/>
        <w:spacing w:line="500" w:lineRule="exact"/>
        <w:ind w:firstLine="281" w:firstLineChars="100"/>
        <w:jc w:val="left"/>
        <w:rPr>
          <w:rFonts w:ascii="黑体" w:hAnsi="黑体" w:eastAsia="黑体" w:cs="黑体"/>
          <w:b/>
          <w:color w:val="auto"/>
          <w:kern w:val="0"/>
          <w:sz w:val="28"/>
          <w:szCs w:val="28"/>
        </w:rPr>
      </w:pPr>
      <w:r>
        <w:rPr>
          <w:rFonts w:ascii="黑体" w:hAnsi="黑体" w:eastAsia="黑体" w:cs="黑体"/>
          <w:b/>
          <w:color w:val="auto"/>
          <w:kern w:val="0"/>
          <w:sz w:val="28"/>
          <w:szCs w:val="28"/>
        </w:rPr>
        <w:t>第四部分名词解释</w:t>
      </w:r>
    </w:p>
    <w:p>
      <w:pPr>
        <w:autoSpaceDE w:val="0"/>
        <w:autoSpaceDN w:val="0"/>
        <w:adjustRightInd w:val="0"/>
        <w:spacing w:line="500" w:lineRule="exact"/>
        <w:ind w:firstLine="281" w:firstLineChars="100"/>
        <w:jc w:val="left"/>
        <w:rPr>
          <w:rFonts w:ascii="黑体" w:hAnsi="黑体" w:eastAsia="黑体" w:cs="仿宋_GB2312"/>
          <w:b/>
          <w:color w:val="auto"/>
          <w:kern w:val="0"/>
          <w:sz w:val="28"/>
          <w:szCs w:val="28"/>
        </w:rPr>
      </w:pPr>
      <w:r>
        <w:rPr>
          <w:rFonts w:hint="eastAsia" w:ascii="黑体" w:hAnsi="黑体" w:eastAsia="黑体" w:cs="黑体"/>
          <w:b/>
          <w:color w:val="auto"/>
          <w:kern w:val="0"/>
          <w:sz w:val="28"/>
          <w:szCs w:val="28"/>
        </w:rPr>
        <w:t>第五部分附件</w:t>
      </w: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pStyle w:val="10"/>
        <w:jc w:val="both"/>
        <w:rPr>
          <w:rFonts w:hint="eastAsia"/>
          <w:color w:val="auto"/>
          <w:sz w:val="84"/>
          <w:szCs w:val="84"/>
        </w:rPr>
      </w:pPr>
    </w:p>
    <w:p>
      <w:pPr>
        <w:pStyle w:val="10"/>
        <w:jc w:val="center"/>
        <w:rPr>
          <w:color w:val="auto"/>
          <w:sz w:val="72"/>
          <w:szCs w:val="72"/>
        </w:rPr>
      </w:pPr>
      <w:r>
        <w:rPr>
          <w:rFonts w:hint="eastAsia"/>
          <w:color w:val="auto"/>
          <w:sz w:val="72"/>
          <w:szCs w:val="72"/>
        </w:rPr>
        <w:t>第一部分</w:t>
      </w:r>
      <w:r>
        <w:rPr>
          <w:color w:val="auto"/>
          <w:sz w:val="72"/>
          <w:szCs w:val="72"/>
        </w:rPr>
        <w:t xml:space="preserve"> </w:t>
      </w:r>
    </w:p>
    <w:p>
      <w:pPr>
        <w:pStyle w:val="10"/>
        <w:jc w:val="center"/>
        <w:rPr>
          <w:rFonts w:hint="eastAsia"/>
          <w:color w:val="auto"/>
          <w:sz w:val="72"/>
          <w:szCs w:val="72"/>
          <w:lang w:val="en-US" w:eastAsia="zh-CN"/>
        </w:rPr>
      </w:pPr>
    </w:p>
    <w:p>
      <w:pPr>
        <w:pStyle w:val="10"/>
        <w:jc w:val="center"/>
        <w:rPr>
          <w:color w:val="auto"/>
          <w:sz w:val="72"/>
          <w:szCs w:val="72"/>
        </w:rPr>
      </w:pPr>
      <w:r>
        <w:rPr>
          <w:rFonts w:hint="eastAsia"/>
          <w:color w:val="auto"/>
          <w:sz w:val="72"/>
          <w:szCs w:val="72"/>
          <w:lang w:val="en-US" w:eastAsia="zh-CN"/>
        </w:rPr>
        <w:t>怀化市红十字会</w:t>
      </w:r>
      <w:r>
        <w:rPr>
          <w:rFonts w:hint="eastAsia"/>
          <w:color w:val="auto"/>
          <w:sz w:val="72"/>
          <w:szCs w:val="72"/>
        </w:rPr>
        <w:t>概况</w:t>
      </w: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both"/>
        <w:rPr>
          <w:color w:val="auto"/>
          <w:sz w:val="32"/>
          <w:szCs w:val="32"/>
        </w:rPr>
      </w:pPr>
    </w:p>
    <w:p>
      <w:pPr>
        <w:jc w:val="both"/>
        <w:rPr>
          <w:color w:val="auto"/>
          <w:sz w:val="32"/>
          <w:szCs w:val="32"/>
        </w:rPr>
      </w:pPr>
    </w:p>
    <w:p>
      <w:pPr>
        <w:pStyle w:val="11"/>
        <w:numPr>
          <w:ilvl w:val="0"/>
          <w:numId w:val="1"/>
        </w:numPr>
        <w:ind w:firstLineChars="0"/>
        <w:jc w:val="left"/>
        <w:rPr>
          <w:rFonts w:ascii="黑体" w:hAnsi="黑体" w:eastAsia="黑体"/>
          <w:color w:val="auto"/>
          <w:sz w:val="32"/>
          <w:szCs w:val="32"/>
        </w:rPr>
      </w:pPr>
      <w:r>
        <w:rPr>
          <w:rFonts w:ascii="黑体" w:hAnsi="黑体" w:eastAsia="黑体"/>
          <w:color w:val="auto"/>
          <w:sz w:val="32"/>
          <w:szCs w:val="32"/>
        </w:rPr>
        <w:t>部门职责</w:t>
      </w:r>
    </w:p>
    <w:p>
      <w:pPr>
        <w:widowControl/>
        <w:numPr>
          <w:ilvl w:val="0"/>
          <w:numId w:val="2"/>
        </w:numPr>
        <w:spacing w:line="600" w:lineRule="exact"/>
        <w:ind w:firstLine="640" w:firstLineChars="200"/>
        <w:rPr>
          <w:rFonts w:asciiTheme="minorEastAsia" w:hAnsiTheme="minorEastAsia"/>
          <w:bCs/>
          <w:color w:val="auto"/>
          <w:kern w:val="0"/>
          <w:sz w:val="32"/>
          <w:szCs w:val="32"/>
        </w:rPr>
      </w:pPr>
      <w:r>
        <w:rPr>
          <w:rFonts w:hint="eastAsia" w:asciiTheme="minorEastAsia" w:hAnsiTheme="minorEastAsia"/>
          <w:bCs/>
          <w:color w:val="auto"/>
          <w:kern w:val="0"/>
          <w:sz w:val="32"/>
          <w:szCs w:val="32"/>
        </w:rPr>
        <w:t>宣传、执行《中华人民共和国红十字会法》等相关法律法规以及国际红十字和红新月运动的基本原则和日内瓦公约及其附加议定书，并依照有关规定开展工作，传播红十字运动基本知识；</w:t>
      </w:r>
    </w:p>
    <w:p>
      <w:pPr>
        <w:widowControl/>
        <w:numPr>
          <w:ilvl w:val="0"/>
          <w:numId w:val="2"/>
        </w:numPr>
        <w:spacing w:line="600" w:lineRule="exact"/>
        <w:ind w:firstLine="640" w:firstLineChars="200"/>
        <w:rPr>
          <w:rFonts w:asciiTheme="minorEastAsia" w:hAnsiTheme="minorEastAsia"/>
          <w:bCs/>
          <w:color w:val="auto"/>
          <w:kern w:val="0"/>
          <w:sz w:val="32"/>
          <w:szCs w:val="32"/>
        </w:rPr>
      </w:pPr>
      <w:r>
        <w:rPr>
          <w:rFonts w:hint="eastAsia" w:asciiTheme="minorEastAsia" w:hAnsiTheme="minorEastAsia"/>
          <w:bCs/>
          <w:color w:val="auto"/>
          <w:kern w:val="0"/>
          <w:sz w:val="32"/>
          <w:szCs w:val="32"/>
        </w:rPr>
        <w:t>指导全市各级红十字会开展工作，加强对冠名红十字医疗机构、红十字会员单位的组织管理和服务，组织开展红十字志愿服务、红十字青少年工作；</w:t>
      </w:r>
    </w:p>
    <w:p>
      <w:pPr>
        <w:widowControl/>
        <w:numPr>
          <w:ilvl w:val="0"/>
          <w:numId w:val="2"/>
        </w:numPr>
        <w:spacing w:line="600" w:lineRule="exact"/>
        <w:ind w:firstLine="640" w:firstLineChars="200"/>
        <w:rPr>
          <w:rFonts w:asciiTheme="minorEastAsia" w:hAnsiTheme="minorEastAsia"/>
          <w:bCs/>
          <w:color w:val="auto"/>
          <w:kern w:val="0"/>
          <w:sz w:val="32"/>
          <w:szCs w:val="32"/>
        </w:rPr>
      </w:pPr>
      <w:r>
        <w:rPr>
          <w:rFonts w:hint="eastAsia" w:asciiTheme="minorEastAsia" w:hAnsiTheme="minorEastAsia"/>
          <w:bCs/>
          <w:color w:val="auto"/>
          <w:kern w:val="0"/>
          <w:sz w:val="32"/>
          <w:szCs w:val="32"/>
        </w:rPr>
        <w:t>开展救援、救灾的相关工作，建立红十字应急救援体系。在战争、武装冲突和自然灾害、事故灾难、公共卫生事件等突发事件中，对伤病人员和其他受害者提供紧急救援和人道救助；</w:t>
      </w:r>
    </w:p>
    <w:p>
      <w:pPr>
        <w:widowControl/>
        <w:numPr>
          <w:ilvl w:val="0"/>
          <w:numId w:val="2"/>
        </w:numPr>
        <w:spacing w:line="600" w:lineRule="exact"/>
        <w:ind w:firstLine="640" w:firstLineChars="200"/>
        <w:rPr>
          <w:rFonts w:asciiTheme="minorEastAsia" w:hAnsiTheme="minorEastAsia"/>
          <w:bCs/>
          <w:color w:val="auto"/>
          <w:kern w:val="0"/>
          <w:sz w:val="32"/>
          <w:szCs w:val="32"/>
        </w:rPr>
      </w:pPr>
      <w:r>
        <w:rPr>
          <w:rFonts w:hint="eastAsia" w:asciiTheme="minorEastAsia" w:hAnsiTheme="minorEastAsia"/>
          <w:bCs/>
          <w:color w:val="auto"/>
          <w:kern w:val="0"/>
          <w:sz w:val="32"/>
          <w:szCs w:val="32"/>
        </w:rPr>
        <w:t>开展应急救护培训，普及应急救护、防灾避险和卫生健康知识，组织志愿者参与现场救护；</w:t>
      </w:r>
    </w:p>
    <w:p>
      <w:pPr>
        <w:widowControl/>
        <w:numPr>
          <w:ilvl w:val="0"/>
          <w:numId w:val="2"/>
        </w:numPr>
        <w:spacing w:line="600" w:lineRule="exact"/>
        <w:ind w:firstLine="640" w:firstLineChars="200"/>
        <w:rPr>
          <w:rFonts w:asciiTheme="minorEastAsia" w:hAnsiTheme="minorEastAsia"/>
          <w:bCs/>
          <w:color w:val="auto"/>
          <w:kern w:val="0"/>
          <w:sz w:val="32"/>
          <w:szCs w:val="32"/>
        </w:rPr>
      </w:pPr>
      <w:r>
        <w:rPr>
          <w:rFonts w:hint="eastAsia" w:asciiTheme="minorEastAsia" w:hAnsiTheme="minorEastAsia"/>
          <w:bCs/>
          <w:color w:val="auto"/>
          <w:kern w:val="0"/>
          <w:sz w:val="32"/>
          <w:szCs w:val="32"/>
        </w:rPr>
        <w:t>参与、推动无偿献血、遗体和人体器官捐献工作，组织开展造血干细胞捐献的相关工作，协助政府部门开展无偿献血的宣传和表彰工作；</w:t>
      </w:r>
    </w:p>
    <w:p>
      <w:pPr>
        <w:widowControl/>
        <w:numPr>
          <w:ilvl w:val="0"/>
          <w:numId w:val="2"/>
        </w:numPr>
        <w:spacing w:line="600" w:lineRule="exact"/>
        <w:ind w:firstLine="640" w:firstLineChars="200"/>
        <w:rPr>
          <w:rFonts w:asciiTheme="minorEastAsia" w:hAnsiTheme="minorEastAsia"/>
          <w:bCs/>
          <w:color w:val="auto"/>
          <w:kern w:val="0"/>
          <w:sz w:val="32"/>
          <w:szCs w:val="32"/>
        </w:rPr>
      </w:pPr>
      <w:r>
        <w:rPr>
          <w:rFonts w:hint="eastAsia" w:asciiTheme="minorEastAsia" w:hAnsiTheme="minorEastAsia"/>
          <w:bCs/>
          <w:color w:val="auto"/>
          <w:kern w:val="0"/>
          <w:sz w:val="32"/>
          <w:szCs w:val="32"/>
        </w:rPr>
        <w:t>依法募集物资和款项，接受、处理境内外组织和个人的捐赠。加强对捐赠款物管理和使用的监督。开展网上红十字工作，严格执行信息公开制度；</w:t>
      </w:r>
    </w:p>
    <w:p>
      <w:pPr>
        <w:widowControl/>
        <w:numPr>
          <w:ilvl w:val="0"/>
          <w:numId w:val="2"/>
        </w:numPr>
        <w:spacing w:line="600" w:lineRule="exact"/>
        <w:ind w:firstLine="640" w:firstLineChars="200"/>
        <w:rPr>
          <w:rFonts w:asciiTheme="minorEastAsia" w:hAnsiTheme="minorEastAsia"/>
          <w:bCs/>
          <w:color w:val="auto"/>
          <w:kern w:val="0"/>
          <w:sz w:val="32"/>
          <w:szCs w:val="32"/>
        </w:rPr>
      </w:pPr>
      <w:r>
        <w:rPr>
          <w:rFonts w:hint="eastAsia" w:asciiTheme="minorEastAsia" w:hAnsiTheme="minorEastAsia"/>
          <w:bCs/>
          <w:color w:val="auto"/>
          <w:kern w:val="0"/>
          <w:sz w:val="32"/>
          <w:szCs w:val="32"/>
        </w:rPr>
        <w:t>兴办符合红十字会宗旨的社会福利事业、健康产业和经济实体，并直接进行管理；</w:t>
      </w:r>
    </w:p>
    <w:p>
      <w:pPr>
        <w:widowControl/>
        <w:numPr>
          <w:ilvl w:val="0"/>
          <w:numId w:val="2"/>
        </w:numPr>
        <w:spacing w:line="600" w:lineRule="exact"/>
        <w:ind w:firstLine="640" w:firstLineChars="200"/>
        <w:rPr>
          <w:rFonts w:asciiTheme="minorEastAsia" w:hAnsiTheme="minorEastAsia"/>
          <w:bCs/>
          <w:color w:val="auto"/>
          <w:kern w:val="0"/>
          <w:sz w:val="32"/>
          <w:szCs w:val="32"/>
        </w:rPr>
      </w:pPr>
      <w:r>
        <w:rPr>
          <w:rFonts w:hint="eastAsia" w:asciiTheme="minorEastAsia" w:hAnsiTheme="minorEastAsia"/>
          <w:bCs/>
          <w:color w:val="auto"/>
          <w:kern w:val="0"/>
          <w:sz w:val="32"/>
          <w:szCs w:val="32"/>
        </w:rPr>
        <w:t>依照国际红十字运动原则，发展与港澳台地区红十字组织、境外红十字会、红新月会的合作和交流活动；</w:t>
      </w:r>
    </w:p>
    <w:p>
      <w:pPr>
        <w:widowControl/>
        <w:numPr>
          <w:ilvl w:val="0"/>
          <w:numId w:val="0"/>
        </w:numPr>
        <w:spacing w:line="600" w:lineRule="exact"/>
        <w:ind w:firstLine="640" w:firstLineChars="200"/>
        <w:rPr>
          <w:rFonts w:ascii="仿宋_GB2312" w:eastAsia="仿宋_GB2312" w:hAnsiTheme="minorEastAsia"/>
          <w:color w:val="auto"/>
          <w:sz w:val="28"/>
          <w:szCs w:val="32"/>
        </w:rPr>
      </w:pPr>
      <w:r>
        <w:rPr>
          <w:rFonts w:hint="eastAsia" w:asciiTheme="minorEastAsia" w:hAnsiTheme="minorEastAsia"/>
          <w:bCs/>
          <w:color w:val="auto"/>
          <w:kern w:val="0"/>
          <w:sz w:val="32"/>
          <w:szCs w:val="32"/>
          <w:lang w:eastAsia="zh-CN"/>
        </w:rPr>
        <w:t>（</w:t>
      </w:r>
      <w:r>
        <w:rPr>
          <w:rFonts w:hint="eastAsia" w:asciiTheme="minorEastAsia" w:hAnsiTheme="minorEastAsia"/>
          <w:bCs/>
          <w:color w:val="auto"/>
          <w:kern w:val="0"/>
          <w:sz w:val="32"/>
          <w:szCs w:val="32"/>
          <w:lang w:val="en-US" w:eastAsia="zh-CN"/>
        </w:rPr>
        <w:t>九</w:t>
      </w:r>
      <w:r>
        <w:rPr>
          <w:rFonts w:hint="eastAsia" w:asciiTheme="minorEastAsia" w:hAnsiTheme="minorEastAsia"/>
          <w:bCs/>
          <w:color w:val="auto"/>
          <w:kern w:val="0"/>
          <w:sz w:val="32"/>
          <w:szCs w:val="32"/>
          <w:lang w:eastAsia="zh-CN"/>
        </w:rPr>
        <w:t>）</w:t>
      </w:r>
      <w:r>
        <w:rPr>
          <w:rFonts w:hint="eastAsia" w:asciiTheme="minorEastAsia" w:hAnsiTheme="minorEastAsia"/>
          <w:bCs/>
          <w:color w:val="auto"/>
          <w:kern w:val="0"/>
          <w:sz w:val="32"/>
          <w:szCs w:val="32"/>
        </w:rPr>
        <w:t>完成市委和市政府交办的其他任务。</w:t>
      </w:r>
    </w:p>
    <w:p>
      <w:pPr>
        <w:widowControl/>
        <w:spacing w:line="600" w:lineRule="exact"/>
        <w:rPr>
          <w:rFonts w:ascii="黑体" w:hAnsi="黑体" w:eastAsia="黑体"/>
          <w:bCs/>
          <w:color w:val="auto"/>
          <w:kern w:val="0"/>
          <w:sz w:val="32"/>
          <w:szCs w:val="32"/>
        </w:rPr>
      </w:pPr>
      <w:r>
        <w:rPr>
          <w:rFonts w:hint="eastAsia" w:ascii="黑体" w:hAnsi="黑体" w:eastAsia="黑体"/>
          <w:bCs/>
          <w:color w:val="auto"/>
          <w:kern w:val="0"/>
          <w:sz w:val="32"/>
          <w:szCs w:val="32"/>
        </w:rPr>
        <w:t>二、机构设置及决算单位构成</w:t>
      </w:r>
    </w:p>
    <w:p>
      <w:pPr>
        <w:widowControl/>
        <w:spacing w:line="600" w:lineRule="exact"/>
        <w:ind w:firstLine="640" w:firstLineChars="200"/>
        <w:rPr>
          <w:rFonts w:asciiTheme="minorEastAsia" w:hAnsiTheme="minorEastAsia"/>
          <w:bCs/>
          <w:color w:val="auto"/>
          <w:kern w:val="0"/>
          <w:sz w:val="32"/>
          <w:szCs w:val="32"/>
        </w:rPr>
      </w:pPr>
      <w:r>
        <w:rPr>
          <w:rFonts w:hint="eastAsia" w:asciiTheme="minorEastAsia" w:hAnsiTheme="minorEastAsia"/>
          <w:bCs/>
          <w:color w:val="auto"/>
          <w:kern w:val="0"/>
          <w:sz w:val="32"/>
          <w:szCs w:val="32"/>
        </w:rPr>
        <w:t>（一）内设机构设置。</w:t>
      </w:r>
      <w:r>
        <w:rPr>
          <w:rFonts w:hint="eastAsia" w:asciiTheme="minorEastAsia" w:hAnsiTheme="minorEastAsia"/>
          <w:bCs/>
          <w:color w:val="auto"/>
          <w:kern w:val="0"/>
          <w:sz w:val="32"/>
          <w:szCs w:val="32"/>
          <w:lang w:val="en-US" w:eastAsia="zh-CN"/>
        </w:rPr>
        <w:t>怀化市红十字会</w:t>
      </w:r>
      <w:r>
        <w:rPr>
          <w:rFonts w:hint="eastAsia" w:asciiTheme="minorEastAsia" w:hAnsiTheme="minorEastAsia"/>
          <w:bCs/>
          <w:color w:val="auto"/>
          <w:kern w:val="0"/>
          <w:sz w:val="32"/>
          <w:szCs w:val="32"/>
        </w:rPr>
        <w:t>内设机构包括：</w:t>
      </w:r>
      <w:r>
        <w:rPr>
          <w:rFonts w:hint="eastAsia" w:asciiTheme="minorEastAsia" w:hAnsiTheme="minorEastAsia"/>
          <w:bCs/>
          <w:color w:val="auto"/>
          <w:kern w:val="0"/>
          <w:sz w:val="32"/>
          <w:szCs w:val="32"/>
          <w:lang w:val="en-US" w:eastAsia="zh-CN"/>
        </w:rPr>
        <w:t>办公室，组织宣传部，筹资与财务部，赈济救护部</w:t>
      </w:r>
      <w:r>
        <w:rPr>
          <w:rFonts w:hint="eastAsia" w:asciiTheme="minorEastAsia" w:hAnsiTheme="minorEastAsia"/>
          <w:bCs/>
          <w:color w:val="auto"/>
          <w:kern w:val="0"/>
          <w:sz w:val="32"/>
          <w:szCs w:val="32"/>
        </w:rPr>
        <w:t>。</w:t>
      </w:r>
    </w:p>
    <w:p>
      <w:pPr>
        <w:widowControl/>
        <w:spacing w:line="600" w:lineRule="exact"/>
        <w:ind w:firstLine="640" w:firstLineChars="200"/>
        <w:rPr>
          <w:rFonts w:hint="eastAsia" w:asciiTheme="minorEastAsia" w:hAnsiTheme="minorEastAsia" w:eastAsiaTheme="minorEastAsia"/>
          <w:bCs/>
          <w:color w:val="auto"/>
          <w:kern w:val="0"/>
          <w:sz w:val="32"/>
          <w:szCs w:val="32"/>
          <w:lang w:eastAsia="zh-CN"/>
        </w:rPr>
      </w:pPr>
      <w:r>
        <w:rPr>
          <w:rFonts w:hint="eastAsia" w:asciiTheme="minorEastAsia" w:hAnsiTheme="minorEastAsia"/>
          <w:bCs/>
          <w:color w:val="auto"/>
          <w:kern w:val="0"/>
          <w:sz w:val="32"/>
          <w:szCs w:val="32"/>
        </w:rPr>
        <w:t>（二）决算单位构成。</w:t>
      </w:r>
      <w:r>
        <w:rPr>
          <w:rFonts w:hint="eastAsia" w:asciiTheme="minorEastAsia" w:hAnsiTheme="minorEastAsia"/>
          <w:bCs/>
          <w:color w:val="auto"/>
          <w:kern w:val="0"/>
          <w:sz w:val="32"/>
          <w:szCs w:val="32"/>
          <w:lang w:val="en-US" w:eastAsia="zh-CN"/>
        </w:rPr>
        <w:t>怀化市红十字会</w:t>
      </w:r>
      <w:r>
        <w:rPr>
          <w:rFonts w:hint="eastAsia" w:asciiTheme="minorEastAsia" w:hAnsiTheme="minorEastAsia"/>
          <w:bCs/>
          <w:color w:val="auto"/>
          <w:kern w:val="0"/>
          <w:sz w:val="32"/>
          <w:szCs w:val="32"/>
          <w:lang w:eastAsia="zh-CN"/>
        </w:rPr>
        <w:t>2021</w:t>
      </w:r>
      <w:r>
        <w:rPr>
          <w:rFonts w:hint="eastAsia" w:asciiTheme="minorEastAsia" w:hAnsiTheme="minorEastAsia"/>
          <w:bCs/>
          <w:color w:val="auto"/>
          <w:kern w:val="0"/>
          <w:sz w:val="32"/>
          <w:szCs w:val="32"/>
        </w:rPr>
        <w:t>年部门决算汇总公开单位构成包括：</w:t>
      </w:r>
      <w:r>
        <w:rPr>
          <w:rFonts w:hint="eastAsia" w:asciiTheme="minorEastAsia" w:hAnsiTheme="minorEastAsia"/>
          <w:bCs/>
          <w:color w:val="auto"/>
          <w:kern w:val="0"/>
          <w:sz w:val="32"/>
          <w:szCs w:val="32"/>
          <w:lang w:val="en-US" w:eastAsia="zh-CN"/>
        </w:rPr>
        <w:t>怀化市红十字会</w:t>
      </w:r>
      <w:r>
        <w:rPr>
          <w:rFonts w:hint="eastAsia" w:asciiTheme="minorEastAsia" w:hAnsiTheme="minorEastAsia"/>
          <w:bCs/>
          <w:color w:val="auto"/>
          <w:kern w:val="0"/>
          <w:sz w:val="32"/>
          <w:szCs w:val="32"/>
        </w:rPr>
        <w:t>本级</w:t>
      </w:r>
      <w:r>
        <w:rPr>
          <w:rFonts w:hint="eastAsia" w:asciiTheme="minorEastAsia" w:hAnsiTheme="minorEastAsia"/>
          <w:bCs/>
          <w:color w:val="auto"/>
          <w:kern w:val="0"/>
          <w:sz w:val="32"/>
          <w:szCs w:val="32"/>
          <w:lang w:eastAsia="zh-CN"/>
        </w:rPr>
        <w:t>。</w:t>
      </w:r>
    </w:p>
    <w:p>
      <w:pPr>
        <w:jc w:val="left"/>
        <w:rPr>
          <w:rFonts w:ascii="仿宋_GB2312" w:eastAsia="仿宋_GB2312" w:hAnsiTheme="minorEastAsia"/>
          <w:color w:val="auto"/>
          <w:sz w:val="28"/>
          <w:szCs w:val="32"/>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both"/>
        <w:rPr>
          <w:color w:val="auto"/>
          <w:sz w:val="72"/>
          <w:szCs w:val="72"/>
        </w:rPr>
      </w:pPr>
    </w:p>
    <w:p>
      <w:pPr>
        <w:jc w:val="both"/>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rFonts w:hint="eastAsia" w:ascii="黑体" w:eastAsia="黑体" w:cs="黑体" w:hAnsiTheme="minorHAnsi"/>
          <w:color w:val="auto"/>
          <w:kern w:val="0"/>
          <w:sz w:val="72"/>
          <w:szCs w:val="72"/>
          <w:lang w:val="en-US" w:eastAsia="zh-CN" w:bidi="ar-SA"/>
        </w:rPr>
      </w:pPr>
      <w:r>
        <w:rPr>
          <w:rFonts w:hint="eastAsia" w:ascii="黑体" w:eastAsia="黑体" w:cs="黑体" w:hAnsiTheme="minorHAnsi"/>
          <w:color w:val="auto"/>
          <w:kern w:val="0"/>
          <w:sz w:val="72"/>
          <w:szCs w:val="72"/>
          <w:lang w:val="en-US" w:eastAsia="zh-CN" w:bidi="ar-SA"/>
        </w:rPr>
        <w:t>第二部分</w:t>
      </w:r>
    </w:p>
    <w:p>
      <w:pPr>
        <w:jc w:val="center"/>
        <w:rPr>
          <w:rFonts w:hint="eastAsia" w:ascii="黑体" w:eastAsia="黑体" w:cs="黑体" w:hAnsiTheme="minorHAnsi"/>
          <w:color w:val="auto"/>
          <w:kern w:val="0"/>
          <w:sz w:val="72"/>
          <w:szCs w:val="72"/>
          <w:lang w:val="en-US" w:eastAsia="zh-CN" w:bidi="ar-SA"/>
        </w:rPr>
      </w:pPr>
    </w:p>
    <w:p>
      <w:pPr>
        <w:jc w:val="center"/>
        <w:rPr>
          <w:rFonts w:hint="eastAsia" w:ascii="黑体" w:eastAsia="黑体" w:cs="黑体" w:hAnsiTheme="minorHAnsi"/>
          <w:color w:val="auto"/>
          <w:kern w:val="0"/>
          <w:sz w:val="72"/>
          <w:szCs w:val="72"/>
          <w:lang w:val="en-US" w:eastAsia="zh-CN" w:bidi="ar-SA"/>
        </w:rPr>
      </w:pPr>
      <w:r>
        <w:rPr>
          <w:rFonts w:hint="eastAsia" w:ascii="黑体" w:eastAsia="黑体" w:cs="黑体" w:hAnsiTheme="minorHAnsi"/>
          <w:color w:val="auto"/>
          <w:kern w:val="0"/>
          <w:sz w:val="72"/>
          <w:szCs w:val="72"/>
          <w:lang w:val="en-US" w:eastAsia="zh-CN" w:bidi="ar-SA"/>
        </w:rPr>
        <w:t>部门决算表</w:t>
      </w:r>
    </w:p>
    <w:p>
      <w:pPr>
        <w:jc w:val="center"/>
        <w:rPr>
          <w:color w:val="auto"/>
          <w:sz w:val="72"/>
          <w:szCs w:val="72"/>
        </w:rPr>
      </w:pPr>
    </w:p>
    <w:p>
      <w:pPr>
        <w:jc w:val="center"/>
        <w:rPr>
          <w:color w:val="auto"/>
          <w:sz w:val="72"/>
          <w:szCs w:val="72"/>
        </w:rPr>
      </w:pPr>
    </w:p>
    <w:p>
      <w:pPr>
        <w:widowControl/>
        <w:jc w:val="center"/>
        <w:rPr>
          <w:rFonts w:hint="eastAsia" w:eastAsiaTheme="minorEastAsia"/>
          <w:color w:val="auto"/>
          <w:sz w:val="44"/>
          <w:szCs w:val="44"/>
          <w:lang w:eastAsia="zh-CN"/>
        </w:rPr>
        <w:sectPr>
          <w:pgSz w:w="11906" w:h="16838"/>
          <w:pgMar w:top="1440" w:right="1304" w:bottom="1440" w:left="1304" w:header="851" w:footer="992" w:gutter="0"/>
          <w:cols w:space="0" w:num="1"/>
          <w:rtlGutter w:val="0"/>
          <w:docGrid w:type="lines" w:linePitch="312" w:charSpace="0"/>
        </w:sectPr>
      </w:pPr>
      <w:r>
        <w:rPr>
          <w:rFonts w:hint="eastAsia"/>
          <w:color w:val="auto"/>
          <w:sz w:val="44"/>
          <w:szCs w:val="44"/>
          <w:lang w:eastAsia="zh-CN"/>
        </w:rPr>
        <w:t>见附件</w:t>
      </w:r>
    </w:p>
    <w:p>
      <w:pPr>
        <w:pStyle w:val="10"/>
        <w:jc w:val="both"/>
        <w:rPr>
          <w:color w:val="auto"/>
          <w:sz w:val="72"/>
          <w:szCs w:val="72"/>
        </w:rPr>
      </w:pPr>
    </w:p>
    <w:p>
      <w:pPr>
        <w:pStyle w:val="10"/>
        <w:jc w:val="both"/>
        <w:rPr>
          <w:color w:val="auto"/>
          <w:sz w:val="72"/>
          <w:szCs w:val="72"/>
        </w:rPr>
      </w:pPr>
    </w:p>
    <w:p>
      <w:pPr>
        <w:pStyle w:val="10"/>
        <w:jc w:val="both"/>
        <w:rPr>
          <w:color w:val="auto"/>
          <w:sz w:val="72"/>
          <w:szCs w:val="72"/>
        </w:rPr>
      </w:pPr>
    </w:p>
    <w:p>
      <w:pPr>
        <w:pStyle w:val="10"/>
        <w:jc w:val="both"/>
        <w:rPr>
          <w:color w:val="auto"/>
          <w:sz w:val="72"/>
          <w:szCs w:val="72"/>
        </w:rPr>
      </w:pPr>
    </w:p>
    <w:p>
      <w:pPr>
        <w:pStyle w:val="10"/>
        <w:jc w:val="both"/>
        <w:rPr>
          <w:color w:val="auto"/>
          <w:sz w:val="72"/>
          <w:szCs w:val="72"/>
        </w:rPr>
      </w:pPr>
    </w:p>
    <w:p>
      <w:pPr>
        <w:pStyle w:val="10"/>
        <w:jc w:val="center"/>
        <w:rPr>
          <w:rFonts w:hint="eastAsia"/>
          <w:color w:val="auto"/>
          <w:sz w:val="72"/>
          <w:szCs w:val="72"/>
        </w:rPr>
      </w:pPr>
    </w:p>
    <w:p>
      <w:pPr>
        <w:pStyle w:val="10"/>
        <w:jc w:val="center"/>
        <w:rPr>
          <w:color w:val="auto"/>
          <w:sz w:val="72"/>
          <w:szCs w:val="72"/>
        </w:rPr>
      </w:pPr>
      <w:r>
        <w:rPr>
          <w:rFonts w:hint="eastAsia"/>
          <w:color w:val="auto"/>
          <w:sz w:val="72"/>
          <w:szCs w:val="72"/>
        </w:rPr>
        <w:t>第三部分</w:t>
      </w:r>
    </w:p>
    <w:p>
      <w:pPr>
        <w:pStyle w:val="10"/>
        <w:jc w:val="center"/>
        <w:rPr>
          <w:color w:val="auto"/>
          <w:sz w:val="70"/>
          <w:szCs w:val="70"/>
        </w:rPr>
      </w:pPr>
    </w:p>
    <w:p>
      <w:pPr>
        <w:pStyle w:val="10"/>
        <w:jc w:val="center"/>
        <w:rPr>
          <w:color w:val="auto"/>
          <w:sz w:val="70"/>
          <w:szCs w:val="70"/>
        </w:rPr>
      </w:pPr>
      <w:r>
        <w:rPr>
          <w:rFonts w:hint="eastAsia"/>
          <w:color w:val="auto"/>
          <w:sz w:val="70"/>
          <w:szCs w:val="70"/>
          <w:lang w:eastAsia="zh-CN"/>
        </w:rPr>
        <w:t>2021</w:t>
      </w:r>
      <w:r>
        <w:rPr>
          <w:rFonts w:hint="eastAsia"/>
          <w:color w:val="auto"/>
          <w:sz w:val="70"/>
          <w:szCs w:val="70"/>
        </w:rPr>
        <w:t>年度部门决算情况说明</w:t>
      </w:r>
    </w:p>
    <w:p>
      <w:pPr>
        <w:widowControl/>
        <w:jc w:val="left"/>
        <w:rPr>
          <w:rFonts w:asciiTheme="minorEastAsia" w:hAnsiTheme="minorEastAsia" w:eastAsiaTheme="minorEastAsia"/>
          <w:color w:val="auto"/>
          <w:sz w:val="32"/>
          <w:szCs w:val="32"/>
        </w:rPr>
      </w:pPr>
      <w:r>
        <w:rPr>
          <w:color w:val="auto"/>
          <w:sz w:val="70"/>
          <w:szCs w:val="70"/>
        </w:rPr>
        <w:br w:type="page"/>
      </w:r>
    </w:p>
    <w:p>
      <w:pPr>
        <w:pStyle w:val="10"/>
        <w:rPr>
          <w:rFonts w:hAnsi="黑体"/>
          <w:b/>
          <w:color w:val="auto"/>
          <w:sz w:val="32"/>
          <w:szCs w:val="32"/>
        </w:rPr>
      </w:pPr>
      <w:r>
        <w:rPr>
          <w:rFonts w:hint="eastAsia" w:hAnsi="黑体"/>
          <w:b/>
          <w:color w:val="auto"/>
          <w:sz w:val="32"/>
          <w:szCs w:val="32"/>
        </w:rPr>
        <w:t>一、收入支出决算总体情况说明</w:t>
      </w:r>
    </w:p>
    <w:p>
      <w:pPr>
        <w:pStyle w:val="10"/>
        <w:ind w:firstLine="640" w:firstLineChars="200"/>
        <w:rPr>
          <w:rFonts w:hint="default"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lang w:eastAsia="zh-CN"/>
        </w:rPr>
        <w:t>2021</w:t>
      </w:r>
      <w:r>
        <w:rPr>
          <w:rFonts w:hint="eastAsia" w:asciiTheme="minorEastAsia" w:hAnsiTheme="minorEastAsia" w:eastAsiaTheme="minorEastAsia"/>
          <w:color w:val="auto"/>
          <w:sz w:val="32"/>
          <w:szCs w:val="32"/>
        </w:rPr>
        <w:t>年度收、支总计</w:t>
      </w:r>
      <w:r>
        <w:rPr>
          <w:rFonts w:hint="eastAsia" w:asciiTheme="minorEastAsia" w:hAnsiTheme="minorEastAsia" w:eastAsiaTheme="minorEastAsia"/>
          <w:color w:val="auto"/>
          <w:sz w:val="32"/>
          <w:szCs w:val="32"/>
          <w:lang w:val="en-US" w:eastAsia="zh-CN"/>
        </w:rPr>
        <w:t>各</w:t>
      </w:r>
      <w:r>
        <w:rPr>
          <w:rFonts w:hint="eastAsia" w:asciiTheme="minorEastAsia" w:hAnsiTheme="minorEastAsia" w:eastAsiaTheme="minorEastAsia"/>
          <w:color w:val="auto"/>
          <w:sz w:val="32"/>
          <w:szCs w:val="32"/>
        </w:rPr>
        <w:t>113.28万元。与上年相比，</w:t>
      </w:r>
      <w:r>
        <w:rPr>
          <w:rFonts w:hint="eastAsia" w:asciiTheme="minorEastAsia" w:hAnsiTheme="minorEastAsia" w:eastAsiaTheme="minorEastAsia"/>
          <w:color w:val="auto"/>
          <w:sz w:val="32"/>
          <w:szCs w:val="32"/>
          <w:lang w:val="en-US" w:eastAsia="zh-CN"/>
        </w:rPr>
        <w:t>增加4.36</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color w:val="auto"/>
          <w:sz w:val="32"/>
          <w:szCs w:val="32"/>
          <w:lang w:val="en-US" w:eastAsia="zh-CN"/>
        </w:rPr>
        <w:t>增加4.00</w:t>
      </w:r>
      <w:r>
        <w:rPr>
          <w:rFonts w:hint="eastAsia" w:asciiTheme="minorEastAsia" w:hAnsiTheme="minorEastAsia" w:eastAsiaTheme="minorEastAsia"/>
          <w:color w:val="auto"/>
          <w:sz w:val="32"/>
          <w:szCs w:val="32"/>
        </w:rPr>
        <w:t>%，主要是因为</w:t>
      </w:r>
      <w:r>
        <w:rPr>
          <w:rFonts w:hint="eastAsia" w:asciiTheme="minorEastAsia" w:hAnsiTheme="minorEastAsia" w:eastAsiaTheme="minorEastAsia"/>
          <w:color w:val="auto"/>
          <w:sz w:val="32"/>
          <w:szCs w:val="32"/>
          <w:lang w:val="en-US" w:eastAsia="zh-CN"/>
        </w:rPr>
        <w:t>业务工作经费增加。</w:t>
      </w:r>
    </w:p>
    <w:p>
      <w:pPr>
        <w:pStyle w:val="10"/>
        <w:rPr>
          <w:rFonts w:hAnsi="黑体"/>
          <w:b/>
          <w:color w:val="auto"/>
          <w:sz w:val="32"/>
          <w:szCs w:val="32"/>
        </w:rPr>
      </w:pPr>
      <w:r>
        <w:rPr>
          <w:rFonts w:hint="eastAsia" w:hAnsi="黑体"/>
          <w:b/>
          <w:color w:val="auto"/>
          <w:sz w:val="32"/>
          <w:szCs w:val="32"/>
        </w:rPr>
        <w:t>二、收入决算情况说明</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本年收入合计111.92万元，其中：财政拨款收入111.92万元，占</w:t>
      </w:r>
      <w:r>
        <w:rPr>
          <w:rFonts w:hint="eastAsia" w:asciiTheme="minorEastAsia" w:hAnsiTheme="minorEastAsia" w:eastAsiaTheme="minorEastAsia"/>
          <w:color w:val="auto"/>
          <w:sz w:val="32"/>
          <w:szCs w:val="32"/>
          <w:lang w:val="en-US" w:eastAsia="zh-CN"/>
        </w:rPr>
        <w:t>100</w:t>
      </w:r>
      <w:r>
        <w:rPr>
          <w:rFonts w:hint="eastAsia" w:asciiTheme="minorEastAsia" w:hAnsiTheme="minorEastAsia" w:eastAsiaTheme="minorEastAsia"/>
          <w:color w:val="auto"/>
          <w:sz w:val="32"/>
          <w:szCs w:val="32"/>
        </w:rPr>
        <w:t>%；上级补助收入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%；事业收入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%；经营收入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%；附属单位上缴收入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%；其他收入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w:t>
      </w:r>
    </w:p>
    <w:p>
      <w:pPr>
        <w:pStyle w:val="10"/>
        <w:rPr>
          <w:rFonts w:hAnsi="黑体"/>
          <w:b/>
          <w:color w:val="auto"/>
          <w:sz w:val="32"/>
          <w:szCs w:val="32"/>
        </w:rPr>
      </w:pPr>
      <w:r>
        <w:rPr>
          <w:rFonts w:hint="eastAsia" w:hAnsi="黑体"/>
          <w:b/>
          <w:color w:val="auto"/>
          <w:sz w:val="32"/>
          <w:szCs w:val="32"/>
        </w:rPr>
        <w:t>三、支出决算情况说明</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本年支出合计113.28万元，其中：基本支出113.28万元，占</w:t>
      </w:r>
      <w:r>
        <w:rPr>
          <w:rFonts w:hint="eastAsia" w:asciiTheme="minorEastAsia" w:hAnsiTheme="minorEastAsia" w:eastAsiaTheme="minorEastAsia"/>
          <w:color w:val="auto"/>
          <w:sz w:val="32"/>
          <w:szCs w:val="32"/>
          <w:lang w:val="en-US" w:eastAsia="zh-CN"/>
        </w:rPr>
        <w:t>100</w:t>
      </w:r>
      <w:r>
        <w:rPr>
          <w:rFonts w:hint="eastAsia" w:asciiTheme="minorEastAsia" w:hAnsiTheme="minorEastAsia" w:eastAsiaTheme="minorEastAsia"/>
          <w:color w:val="auto"/>
          <w:sz w:val="32"/>
          <w:szCs w:val="32"/>
        </w:rPr>
        <w:t>%；项目支出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%；上缴上级支出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%；经营支出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%；对附属单位补助支出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w:t>
      </w:r>
    </w:p>
    <w:p>
      <w:pPr>
        <w:pStyle w:val="10"/>
        <w:rPr>
          <w:rFonts w:hAnsi="黑体"/>
          <w:b/>
          <w:color w:val="auto"/>
          <w:sz w:val="32"/>
          <w:szCs w:val="32"/>
        </w:rPr>
      </w:pPr>
      <w:r>
        <w:rPr>
          <w:rFonts w:hint="eastAsia" w:hAnsi="黑体"/>
          <w:b/>
          <w:color w:val="auto"/>
          <w:sz w:val="32"/>
          <w:szCs w:val="32"/>
        </w:rPr>
        <w:t>四、财政拨款收入支出决算总体情况说明</w:t>
      </w:r>
    </w:p>
    <w:p>
      <w:pPr>
        <w:pStyle w:val="10"/>
        <w:ind w:firstLine="640"/>
        <w:rPr>
          <w:rFonts w:hint="default"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lang w:eastAsia="zh-CN"/>
        </w:rPr>
        <w:t>2021</w:t>
      </w:r>
      <w:r>
        <w:rPr>
          <w:rFonts w:hint="eastAsia" w:asciiTheme="minorEastAsia" w:hAnsiTheme="minorEastAsia" w:eastAsiaTheme="minorEastAsia"/>
          <w:color w:val="auto"/>
          <w:sz w:val="32"/>
          <w:szCs w:val="32"/>
        </w:rPr>
        <w:t>年度财政拨款收、支总计</w:t>
      </w:r>
      <w:r>
        <w:rPr>
          <w:rFonts w:hint="eastAsia" w:asciiTheme="minorEastAsia" w:hAnsiTheme="minorEastAsia" w:eastAsiaTheme="minorEastAsia"/>
          <w:color w:val="auto"/>
          <w:sz w:val="32"/>
          <w:szCs w:val="32"/>
          <w:lang w:val="en-US" w:eastAsia="zh-CN"/>
        </w:rPr>
        <w:t>各113.27</w:t>
      </w:r>
      <w:r>
        <w:rPr>
          <w:rFonts w:hint="eastAsia" w:asciiTheme="minorEastAsia" w:hAnsiTheme="minorEastAsia" w:eastAsiaTheme="minorEastAsia"/>
          <w:color w:val="auto"/>
          <w:sz w:val="32"/>
          <w:szCs w:val="32"/>
        </w:rPr>
        <w:t>万元，与上年相比，</w:t>
      </w:r>
      <w:r>
        <w:rPr>
          <w:rFonts w:hint="eastAsia" w:asciiTheme="minorEastAsia" w:hAnsiTheme="minorEastAsia" w:eastAsiaTheme="minorEastAsia"/>
          <w:color w:val="auto"/>
          <w:sz w:val="32"/>
          <w:szCs w:val="32"/>
          <w:lang w:val="en-US" w:eastAsia="zh-CN"/>
        </w:rPr>
        <w:t>增加4.35</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color w:val="auto"/>
          <w:sz w:val="32"/>
          <w:szCs w:val="32"/>
          <w:lang w:val="en-US" w:eastAsia="zh-CN"/>
        </w:rPr>
        <w:t>增加3.99</w:t>
      </w:r>
      <w:r>
        <w:rPr>
          <w:rFonts w:hint="eastAsia" w:asciiTheme="minorEastAsia" w:hAnsiTheme="minorEastAsia" w:eastAsiaTheme="minorEastAsia"/>
          <w:color w:val="auto"/>
          <w:sz w:val="32"/>
          <w:szCs w:val="32"/>
        </w:rPr>
        <w:t>%，主要是因为</w:t>
      </w:r>
      <w:r>
        <w:rPr>
          <w:rFonts w:hint="eastAsia" w:asciiTheme="minorEastAsia" w:hAnsiTheme="minorEastAsia" w:eastAsiaTheme="minorEastAsia"/>
          <w:color w:val="auto"/>
          <w:sz w:val="32"/>
          <w:szCs w:val="32"/>
          <w:lang w:val="en-US" w:eastAsia="zh-CN"/>
        </w:rPr>
        <w:t>业务工作经费增加。</w:t>
      </w:r>
    </w:p>
    <w:p>
      <w:pPr>
        <w:pStyle w:val="10"/>
        <w:rPr>
          <w:rFonts w:hAnsi="黑体"/>
          <w:b/>
          <w:color w:val="auto"/>
          <w:sz w:val="32"/>
          <w:szCs w:val="32"/>
        </w:rPr>
      </w:pPr>
      <w:r>
        <w:rPr>
          <w:rFonts w:hint="eastAsia" w:hAnsi="黑体"/>
          <w:b/>
          <w:color w:val="auto"/>
          <w:sz w:val="32"/>
          <w:szCs w:val="32"/>
        </w:rPr>
        <w:t>五、一般公共预算财政拨款支出决算情况说明</w:t>
      </w:r>
    </w:p>
    <w:p>
      <w:pPr>
        <w:pStyle w:val="10"/>
        <w:ind w:firstLine="640" w:firstLineChars="20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（一）财政拨款支出决算总体情况</w:t>
      </w:r>
    </w:p>
    <w:p>
      <w:pPr>
        <w:pStyle w:val="10"/>
        <w:ind w:firstLine="800" w:firstLineChars="250"/>
        <w:rPr>
          <w:rFonts w:hint="default" w:asciiTheme="minorEastAsia" w:hAnsiTheme="minorEastAsia" w:eastAsiaTheme="minorEastAsia"/>
          <w:color w:val="auto"/>
          <w:sz w:val="32"/>
          <w:szCs w:val="32"/>
          <w:lang w:val="en-US"/>
        </w:rPr>
      </w:pPr>
      <w:r>
        <w:rPr>
          <w:rFonts w:hint="eastAsia" w:asciiTheme="minorEastAsia" w:hAnsiTheme="minorEastAsia" w:eastAsiaTheme="minorEastAsia"/>
          <w:color w:val="auto"/>
          <w:sz w:val="32"/>
          <w:szCs w:val="32"/>
          <w:lang w:eastAsia="zh-CN"/>
        </w:rPr>
        <w:t>2021</w:t>
      </w:r>
      <w:r>
        <w:rPr>
          <w:rFonts w:hint="eastAsia" w:asciiTheme="minorEastAsia" w:hAnsiTheme="minorEastAsia" w:eastAsiaTheme="minorEastAsia"/>
          <w:color w:val="auto"/>
          <w:sz w:val="32"/>
          <w:szCs w:val="32"/>
        </w:rPr>
        <w:t>年度财政拨款支出</w:t>
      </w:r>
      <w:r>
        <w:rPr>
          <w:rFonts w:hint="eastAsia" w:asciiTheme="minorEastAsia" w:hAnsiTheme="minorEastAsia" w:eastAsiaTheme="minorEastAsia"/>
          <w:color w:val="auto"/>
          <w:sz w:val="32"/>
          <w:szCs w:val="32"/>
          <w:lang w:val="en-US" w:eastAsia="zh-CN"/>
        </w:rPr>
        <w:t>113.27</w:t>
      </w:r>
      <w:r>
        <w:rPr>
          <w:rFonts w:hint="eastAsia" w:asciiTheme="minorEastAsia" w:hAnsiTheme="minorEastAsia" w:eastAsiaTheme="minorEastAsia"/>
          <w:color w:val="auto"/>
          <w:sz w:val="32"/>
          <w:szCs w:val="32"/>
        </w:rPr>
        <w:t>万元，占本年支出合计的</w:t>
      </w:r>
      <w:r>
        <w:rPr>
          <w:rFonts w:hint="eastAsia" w:asciiTheme="minorEastAsia" w:hAnsiTheme="minorEastAsia" w:eastAsiaTheme="minorEastAsia"/>
          <w:color w:val="auto"/>
          <w:sz w:val="32"/>
          <w:szCs w:val="32"/>
          <w:lang w:val="en-US" w:eastAsia="zh-CN"/>
        </w:rPr>
        <w:t>99.99</w:t>
      </w:r>
      <w:r>
        <w:rPr>
          <w:rFonts w:hint="eastAsia" w:asciiTheme="minorEastAsia" w:hAnsiTheme="minorEastAsia" w:eastAsiaTheme="minorEastAsia"/>
          <w:color w:val="auto"/>
          <w:sz w:val="32"/>
          <w:szCs w:val="32"/>
        </w:rPr>
        <w:t>%，与上年相比，财政拨款支出</w:t>
      </w:r>
      <w:r>
        <w:rPr>
          <w:rFonts w:hint="eastAsia" w:asciiTheme="minorEastAsia" w:hAnsiTheme="minorEastAsia" w:eastAsiaTheme="minorEastAsia"/>
          <w:color w:val="auto"/>
          <w:sz w:val="32"/>
          <w:szCs w:val="32"/>
          <w:lang w:val="en-US" w:eastAsia="zh-CN"/>
        </w:rPr>
        <w:t>增加7.55</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color w:val="auto"/>
          <w:sz w:val="32"/>
          <w:szCs w:val="32"/>
          <w:lang w:val="en-US" w:eastAsia="zh-CN"/>
        </w:rPr>
        <w:t>增加7.14</w:t>
      </w:r>
      <w:r>
        <w:rPr>
          <w:rFonts w:hint="eastAsia" w:asciiTheme="minorEastAsia" w:hAnsiTheme="minorEastAsia" w:eastAsiaTheme="minorEastAsia"/>
          <w:color w:val="auto"/>
          <w:sz w:val="32"/>
          <w:szCs w:val="32"/>
        </w:rPr>
        <w:t>%，主要是因为</w:t>
      </w:r>
      <w:r>
        <w:rPr>
          <w:rFonts w:hint="eastAsia" w:asciiTheme="minorEastAsia" w:hAnsiTheme="minorEastAsia" w:eastAsiaTheme="minorEastAsia"/>
          <w:color w:val="auto"/>
          <w:sz w:val="32"/>
          <w:szCs w:val="32"/>
          <w:lang w:val="en-US" w:eastAsia="zh-CN"/>
        </w:rPr>
        <w:t>业务工作经费增加。</w:t>
      </w:r>
    </w:p>
    <w:p>
      <w:pPr>
        <w:pStyle w:val="10"/>
        <w:ind w:firstLine="480" w:firstLineChars="15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（二）财政拨款支出决算结构情况</w:t>
      </w:r>
    </w:p>
    <w:p>
      <w:pPr>
        <w:pStyle w:val="10"/>
        <w:ind w:firstLine="640" w:firstLineChars="200"/>
        <w:rPr>
          <w:rFonts w:hint="eastAsia"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lang w:eastAsia="zh-CN"/>
        </w:rPr>
        <w:t>2021</w:t>
      </w:r>
      <w:r>
        <w:rPr>
          <w:rFonts w:hint="eastAsia" w:asciiTheme="minorEastAsia" w:hAnsiTheme="minorEastAsia" w:eastAsiaTheme="minorEastAsia"/>
          <w:color w:val="auto"/>
          <w:sz w:val="32"/>
          <w:szCs w:val="32"/>
        </w:rPr>
        <w:t>年度财政拨款支出</w:t>
      </w:r>
      <w:r>
        <w:rPr>
          <w:rFonts w:hint="eastAsia" w:asciiTheme="minorEastAsia" w:hAnsiTheme="minorEastAsia" w:eastAsiaTheme="minorEastAsia"/>
          <w:color w:val="auto"/>
          <w:sz w:val="32"/>
          <w:szCs w:val="32"/>
          <w:lang w:val="en-US" w:eastAsia="zh-CN"/>
        </w:rPr>
        <w:t>113.27</w:t>
      </w:r>
      <w:r>
        <w:rPr>
          <w:rFonts w:hint="eastAsia" w:asciiTheme="minorEastAsia" w:hAnsiTheme="minorEastAsia" w:eastAsiaTheme="minorEastAsia"/>
          <w:color w:val="auto"/>
          <w:sz w:val="32"/>
          <w:szCs w:val="32"/>
        </w:rPr>
        <w:t>万元，主要用于以下方面：社会保障和就业（类）支出</w:t>
      </w:r>
      <w:r>
        <w:rPr>
          <w:rFonts w:hint="eastAsia" w:asciiTheme="minorEastAsia" w:hAnsiTheme="minorEastAsia" w:eastAsiaTheme="minorEastAsia"/>
          <w:color w:val="auto"/>
          <w:sz w:val="32"/>
          <w:szCs w:val="32"/>
          <w:lang w:val="en-US" w:eastAsia="zh-CN"/>
        </w:rPr>
        <w:t>110.88</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97.89</w:t>
      </w:r>
      <w:r>
        <w:rPr>
          <w:rFonts w:hint="eastAsia" w:asciiTheme="minorEastAsia" w:hAnsiTheme="minorEastAsia" w:eastAsiaTheme="minorEastAsia"/>
          <w:color w:val="auto"/>
          <w:sz w:val="32"/>
          <w:szCs w:val="32"/>
        </w:rPr>
        <w:t>%；卫生健康（类）支出</w:t>
      </w:r>
      <w:r>
        <w:rPr>
          <w:rFonts w:hint="eastAsia" w:asciiTheme="minorEastAsia" w:hAnsiTheme="minorEastAsia" w:eastAsiaTheme="minorEastAsia"/>
          <w:color w:val="auto"/>
          <w:sz w:val="32"/>
          <w:szCs w:val="32"/>
          <w:lang w:val="en-US" w:eastAsia="zh-CN"/>
        </w:rPr>
        <w:t>2.39</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2.11</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lang w:eastAsia="zh-CN"/>
        </w:rPr>
        <w:t>。</w:t>
      </w:r>
    </w:p>
    <w:p>
      <w:pPr>
        <w:pStyle w:val="10"/>
        <w:ind w:firstLine="800" w:firstLineChars="25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（三）财政拨款支出决算具体情况</w:t>
      </w:r>
    </w:p>
    <w:p>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eastAsia="zh-CN"/>
        </w:rPr>
        <w:t>2021</w:t>
      </w:r>
      <w:r>
        <w:rPr>
          <w:rFonts w:hint="eastAsia" w:asciiTheme="minorEastAsia" w:hAnsiTheme="minorEastAsia" w:eastAsiaTheme="minorEastAsia"/>
          <w:color w:val="auto"/>
          <w:sz w:val="32"/>
          <w:szCs w:val="32"/>
        </w:rPr>
        <w:t>年度财政拨款支出年初预算数为</w:t>
      </w:r>
      <w:r>
        <w:rPr>
          <w:rFonts w:hint="eastAsia" w:asciiTheme="minorEastAsia" w:hAnsiTheme="minorEastAsia" w:eastAsiaTheme="minorEastAsia"/>
          <w:color w:val="auto"/>
          <w:sz w:val="32"/>
          <w:szCs w:val="32"/>
          <w:lang w:val="en-US" w:eastAsia="zh-CN"/>
        </w:rPr>
        <w:t>81.99</w:t>
      </w:r>
      <w:r>
        <w:rPr>
          <w:rFonts w:hint="eastAsia" w:asciiTheme="minorEastAsia" w:hAnsiTheme="minorEastAsia" w:eastAsiaTheme="minorEastAsia"/>
          <w:color w:val="auto"/>
          <w:sz w:val="32"/>
          <w:szCs w:val="32"/>
        </w:rPr>
        <w:t>万元，支出决算数为</w:t>
      </w:r>
      <w:r>
        <w:rPr>
          <w:rFonts w:hint="eastAsia" w:asciiTheme="minorEastAsia" w:hAnsiTheme="minorEastAsia" w:eastAsiaTheme="minorEastAsia"/>
          <w:color w:val="auto"/>
          <w:sz w:val="32"/>
          <w:szCs w:val="32"/>
          <w:lang w:val="en-US" w:eastAsia="zh-CN"/>
        </w:rPr>
        <w:t>113.27</w:t>
      </w:r>
      <w:r>
        <w:rPr>
          <w:rFonts w:hint="eastAsia" w:asciiTheme="minorEastAsia" w:hAnsiTheme="minorEastAsia" w:eastAsiaTheme="minorEastAsia"/>
          <w:color w:val="auto"/>
          <w:sz w:val="32"/>
          <w:szCs w:val="32"/>
        </w:rPr>
        <w:t>万元，完成年初预算的</w:t>
      </w:r>
      <w:r>
        <w:rPr>
          <w:rFonts w:hint="eastAsia" w:asciiTheme="minorEastAsia" w:hAnsiTheme="minorEastAsia" w:eastAsiaTheme="minorEastAsia"/>
          <w:color w:val="auto"/>
          <w:sz w:val="32"/>
          <w:szCs w:val="32"/>
          <w:lang w:val="en-US" w:eastAsia="zh-CN"/>
        </w:rPr>
        <w:t>138.15</w:t>
      </w:r>
      <w:r>
        <w:rPr>
          <w:rFonts w:hint="eastAsia" w:asciiTheme="minorEastAsia" w:hAnsiTheme="minorEastAsia" w:eastAsiaTheme="minorEastAsia"/>
          <w:color w:val="auto"/>
          <w:sz w:val="32"/>
          <w:szCs w:val="32"/>
        </w:rPr>
        <w:t>%，其中：</w:t>
      </w:r>
    </w:p>
    <w:p>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1、社会保障和就业</w:t>
      </w:r>
      <w:r>
        <w:rPr>
          <w:rFonts w:hint="eastAsia" w:asciiTheme="minorEastAsia" w:hAnsiTheme="minorEastAsia" w:eastAsiaTheme="minorEastAsia"/>
          <w:color w:val="auto"/>
          <w:sz w:val="32"/>
          <w:szCs w:val="32"/>
          <w:lang w:val="en-US" w:eastAsia="zh-CN"/>
        </w:rPr>
        <w:t>支出</w:t>
      </w:r>
      <w:r>
        <w:rPr>
          <w:rFonts w:hint="eastAsia" w:asciiTheme="minorEastAsia" w:hAnsiTheme="minorEastAsia" w:eastAsiaTheme="minorEastAsia"/>
          <w:color w:val="auto"/>
          <w:sz w:val="32"/>
          <w:szCs w:val="32"/>
        </w:rPr>
        <w:t>（类）行政事业单位养老支出（款）行政单位离退休（项）。</w:t>
      </w:r>
    </w:p>
    <w:p>
      <w:pPr>
        <w:pStyle w:val="10"/>
        <w:ind w:firstLine="800" w:firstLineChars="250"/>
        <w:rPr>
          <w:rFonts w:hint="eastAsia"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12.86</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12.86</w:t>
      </w:r>
      <w:r>
        <w:rPr>
          <w:rFonts w:hint="eastAsia" w:asciiTheme="minorEastAsia" w:hAnsiTheme="minorEastAsia" w:eastAsiaTheme="minorEastAsia"/>
          <w:color w:val="auto"/>
          <w:sz w:val="32"/>
          <w:szCs w:val="32"/>
        </w:rPr>
        <w:t>万元，完成年初预算的</w:t>
      </w:r>
      <w:r>
        <w:rPr>
          <w:rFonts w:hint="eastAsia" w:asciiTheme="minorEastAsia" w:hAnsiTheme="minorEastAsia" w:eastAsiaTheme="minorEastAsia"/>
          <w:color w:val="auto"/>
          <w:sz w:val="32"/>
          <w:szCs w:val="32"/>
          <w:lang w:val="en-US" w:eastAsia="zh-CN"/>
        </w:rPr>
        <w:t>100</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lang w:val="en-US" w:eastAsia="zh-CN"/>
        </w:rPr>
        <w:t>本年度发生提前退休人员工资支出的功能科目为行政单位离退休。</w:t>
      </w:r>
    </w:p>
    <w:p>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2</w:t>
      </w:r>
      <w:r>
        <w:rPr>
          <w:rFonts w:hint="eastAsia" w:asciiTheme="minorEastAsia" w:hAnsiTheme="minorEastAsia" w:eastAsiaTheme="minorEastAsia"/>
          <w:color w:val="auto"/>
          <w:sz w:val="32"/>
          <w:szCs w:val="32"/>
        </w:rPr>
        <w:t>、社会保障和就业</w:t>
      </w:r>
      <w:r>
        <w:rPr>
          <w:rFonts w:hint="eastAsia" w:asciiTheme="minorEastAsia" w:hAnsiTheme="minorEastAsia" w:eastAsiaTheme="minorEastAsia"/>
          <w:color w:val="auto"/>
          <w:sz w:val="32"/>
          <w:szCs w:val="32"/>
          <w:lang w:val="en-US" w:eastAsia="zh-CN"/>
        </w:rPr>
        <w:t>支出</w:t>
      </w:r>
      <w:r>
        <w:rPr>
          <w:rFonts w:hint="eastAsia" w:asciiTheme="minorEastAsia" w:hAnsiTheme="minorEastAsia" w:eastAsiaTheme="minorEastAsia"/>
          <w:color w:val="auto"/>
          <w:sz w:val="32"/>
          <w:szCs w:val="32"/>
        </w:rPr>
        <w:t>（类）行政事业单位养老支出（款）机关事业单位基本养老保险缴费支出（项）。</w:t>
      </w:r>
    </w:p>
    <w:p>
      <w:pPr>
        <w:pStyle w:val="10"/>
        <w:ind w:firstLine="800" w:firstLineChars="250"/>
        <w:rPr>
          <w:rFonts w:hint="eastAsia" w:asciiTheme="minorEastAsia" w:hAnsiTheme="minorEastAsia" w:eastAsiaTheme="minorEastAsia"/>
          <w:color w:val="auto"/>
          <w:sz w:val="32"/>
          <w:szCs w:val="32"/>
          <w:highlight w:val="none"/>
          <w:lang w:val="en-US"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6.51</w:t>
      </w:r>
      <w:r>
        <w:rPr>
          <w:rFonts w:hint="eastAsia" w:asciiTheme="minorEastAsia" w:hAnsiTheme="minorEastAsia" w:eastAsiaTheme="minorEastAsia"/>
          <w:color w:val="auto"/>
          <w:sz w:val="32"/>
          <w:szCs w:val="32"/>
        </w:rPr>
        <w:t>万元，决算数大于年初预算数的主要原因是：</w:t>
      </w:r>
      <w:r>
        <w:rPr>
          <w:rFonts w:hint="eastAsia" w:asciiTheme="minorEastAsia" w:hAnsiTheme="minorEastAsia" w:eastAsiaTheme="minorEastAsia"/>
          <w:color w:val="auto"/>
          <w:sz w:val="32"/>
          <w:szCs w:val="32"/>
          <w:lang w:val="en-US" w:eastAsia="zh-CN"/>
        </w:rPr>
        <w:t>本年度发生</w:t>
      </w:r>
      <w:r>
        <w:rPr>
          <w:rFonts w:hint="eastAsia" w:asciiTheme="minorEastAsia" w:hAnsiTheme="minorEastAsia" w:eastAsiaTheme="minorEastAsia"/>
          <w:color w:val="auto"/>
          <w:sz w:val="32"/>
          <w:szCs w:val="32"/>
        </w:rPr>
        <w:t>机关事业单位基本养老保险缴费支出</w:t>
      </w:r>
      <w:r>
        <w:rPr>
          <w:rFonts w:hint="eastAsia" w:asciiTheme="minorEastAsia" w:hAnsiTheme="minorEastAsia" w:eastAsiaTheme="minorEastAsia"/>
          <w:color w:val="auto"/>
          <w:sz w:val="32"/>
          <w:szCs w:val="32"/>
          <w:lang w:eastAsia="zh-CN"/>
        </w:rPr>
        <w:t>，</w:t>
      </w:r>
      <w:r>
        <w:rPr>
          <w:rFonts w:hint="eastAsia" w:asciiTheme="minorEastAsia" w:hAnsiTheme="minorEastAsia" w:eastAsiaTheme="minorEastAsia"/>
          <w:color w:val="auto"/>
          <w:sz w:val="32"/>
          <w:szCs w:val="32"/>
          <w:highlight w:val="none"/>
          <w:lang w:val="en-US" w:eastAsia="zh-CN"/>
        </w:rPr>
        <w:t>而年初未纳入预算。</w:t>
      </w:r>
    </w:p>
    <w:p>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highlight w:val="none"/>
          <w:lang w:val="en-US" w:eastAsia="zh-CN"/>
        </w:rPr>
        <w:t>3、</w:t>
      </w:r>
      <w:r>
        <w:rPr>
          <w:rFonts w:hint="eastAsia" w:asciiTheme="minorEastAsia" w:hAnsiTheme="minorEastAsia" w:eastAsiaTheme="minorEastAsia"/>
          <w:color w:val="auto"/>
          <w:sz w:val="32"/>
          <w:szCs w:val="32"/>
        </w:rPr>
        <w:t>社会保障和就业</w:t>
      </w:r>
      <w:r>
        <w:rPr>
          <w:rFonts w:hint="eastAsia" w:asciiTheme="minorEastAsia" w:hAnsiTheme="minorEastAsia" w:eastAsiaTheme="minorEastAsia"/>
          <w:color w:val="auto"/>
          <w:sz w:val="32"/>
          <w:szCs w:val="32"/>
          <w:lang w:val="en-US" w:eastAsia="zh-CN"/>
        </w:rPr>
        <w:t>支出</w:t>
      </w:r>
      <w:r>
        <w:rPr>
          <w:rFonts w:hint="eastAsia" w:asciiTheme="minorEastAsia" w:hAnsiTheme="minorEastAsia" w:eastAsiaTheme="minorEastAsia"/>
          <w:color w:val="auto"/>
          <w:sz w:val="32"/>
          <w:szCs w:val="32"/>
        </w:rPr>
        <w:t>（类）行政事业单位养老支出（款）</w:t>
      </w:r>
      <w:r>
        <w:rPr>
          <w:rFonts w:hint="eastAsia" w:asciiTheme="minorEastAsia" w:hAnsiTheme="minorEastAsia" w:eastAsiaTheme="minorEastAsia"/>
          <w:color w:val="auto"/>
          <w:sz w:val="32"/>
          <w:szCs w:val="32"/>
          <w:lang w:val="en-US" w:eastAsia="zh-CN"/>
        </w:rPr>
        <w:t>其他行政</w:t>
      </w:r>
      <w:r>
        <w:rPr>
          <w:rFonts w:hint="eastAsia" w:asciiTheme="minorEastAsia" w:hAnsiTheme="minorEastAsia" w:eastAsiaTheme="minorEastAsia"/>
          <w:color w:val="auto"/>
          <w:sz w:val="32"/>
          <w:szCs w:val="32"/>
        </w:rPr>
        <w:t>事业单位养老支出（项）。</w:t>
      </w:r>
    </w:p>
    <w:p>
      <w:pPr>
        <w:pStyle w:val="10"/>
        <w:ind w:firstLine="800" w:firstLineChars="250"/>
        <w:rPr>
          <w:rFonts w:hint="default" w:asciiTheme="minorEastAsia" w:hAnsiTheme="minorEastAsia" w:eastAsiaTheme="minorEastAsia"/>
          <w:color w:val="auto"/>
          <w:sz w:val="32"/>
          <w:szCs w:val="32"/>
          <w:highlight w:val="none"/>
          <w:lang w:val="en-US"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万元，支出决算为5.</w:t>
      </w:r>
      <w:r>
        <w:rPr>
          <w:rFonts w:hint="eastAsia" w:asciiTheme="minorEastAsia" w:hAnsiTheme="minorEastAsia" w:eastAsiaTheme="minorEastAsia"/>
          <w:color w:val="auto"/>
          <w:sz w:val="32"/>
          <w:szCs w:val="32"/>
          <w:lang w:val="en-US" w:eastAsia="zh-CN"/>
        </w:rPr>
        <w:t>01</w:t>
      </w:r>
      <w:r>
        <w:rPr>
          <w:rFonts w:hint="eastAsia" w:asciiTheme="minorEastAsia" w:hAnsiTheme="minorEastAsia" w:eastAsiaTheme="minorEastAsia"/>
          <w:color w:val="auto"/>
          <w:sz w:val="32"/>
          <w:szCs w:val="32"/>
        </w:rPr>
        <w:t>万元，决算数大于年初预算数的主要原因是：</w:t>
      </w:r>
      <w:r>
        <w:rPr>
          <w:rFonts w:hint="eastAsia" w:asciiTheme="minorEastAsia" w:hAnsiTheme="minorEastAsia" w:eastAsiaTheme="minorEastAsia"/>
          <w:color w:val="auto"/>
          <w:sz w:val="32"/>
          <w:szCs w:val="32"/>
          <w:lang w:val="en-US" w:eastAsia="zh-CN"/>
        </w:rPr>
        <w:t>年中追加退休人员春节一次性生活补助，</w:t>
      </w:r>
      <w:r>
        <w:rPr>
          <w:rFonts w:hint="eastAsia" w:asciiTheme="minorEastAsia" w:hAnsiTheme="minorEastAsia" w:eastAsiaTheme="minorEastAsia"/>
          <w:color w:val="auto"/>
          <w:sz w:val="32"/>
          <w:szCs w:val="32"/>
          <w:highlight w:val="none"/>
          <w:lang w:val="en-US" w:eastAsia="zh-CN"/>
        </w:rPr>
        <w:t>而年初未纳入预算</w:t>
      </w:r>
      <w:r>
        <w:rPr>
          <w:rFonts w:hint="eastAsia" w:asciiTheme="minorEastAsia" w:hAnsiTheme="minorEastAsia" w:eastAsiaTheme="minorEastAsia"/>
          <w:color w:val="auto"/>
          <w:sz w:val="32"/>
          <w:szCs w:val="32"/>
          <w:lang w:val="en-US" w:eastAsia="zh-CN"/>
        </w:rPr>
        <w:t>。</w:t>
      </w:r>
    </w:p>
    <w:p>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4</w:t>
      </w:r>
      <w:r>
        <w:rPr>
          <w:rFonts w:hint="eastAsia" w:asciiTheme="minorEastAsia" w:hAnsiTheme="minorEastAsia" w:eastAsiaTheme="minorEastAsia"/>
          <w:color w:val="auto"/>
          <w:sz w:val="32"/>
          <w:szCs w:val="32"/>
        </w:rPr>
        <w:t>、社会保障和就业</w:t>
      </w:r>
      <w:r>
        <w:rPr>
          <w:rFonts w:hint="eastAsia" w:asciiTheme="minorEastAsia" w:hAnsiTheme="minorEastAsia" w:eastAsiaTheme="minorEastAsia"/>
          <w:color w:val="auto"/>
          <w:sz w:val="32"/>
          <w:szCs w:val="32"/>
          <w:lang w:val="en-US" w:eastAsia="zh-CN"/>
        </w:rPr>
        <w:t>支出</w:t>
      </w:r>
      <w:r>
        <w:rPr>
          <w:rFonts w:hint="eastAsia" w:asciiTheme="minorEastAsia" w:hAnsiTheme="minorEastAsia" w:eastAsiaTheme="minorEastAsia"/>
          <w:color w:val="auto"/>
          <w:sz w:val="32"/>
          <w:szCs w:val="32"/>
        </w:rPr>
        <w:t>（类）红十字事业（款）</w:t>
      </w:r>
      <w:r>
        <w:rPr>
          <w:rFonts w:hint="eastAsia" w:asciiTheme="minorEastAsia" w:hAnsiTheme="minorEastAsia" w:eastAsiaTheme="minorEastAsia"/>
          <w:color w:val="auto"/>
          <w:sz w:val="32"/>
          <w:szCs w:val="32"/>
          <w:lang w:val="en-US" w:eastAsia="zh-CN"/>
        </w:rPr>
        <w:t>行政运行</w:t>
      </w:r>
      <w:r>
        <w:rPr>
          <w:rFonts w:hint="eastAsia" w:asciiTheme="minorEastAsia" w:hAnsiTheme="minorEastAsia" w:eastAsiaTheme="minorEastAsia"/>
          <w:color w:val="auto"/>
          <w:sz w:val="32"/>
          <w:szCs w:val="32"/>
        </w:rPr>
        <w:t>（项）。</w:t>
      </w:r>
    </w:p>
    <w:p>
      <w:pPr>
        <w:pStyle w:val="10"/>
        <w:ind w:firstLine="800" w:firstLineChars="250"/>
        <w:rPr>
          <w:rFonts w:hint="default"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69.13</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86.5</w:t>
      </w:r>
      <w:r>
        <w:rPr>
          <w:rFonts w:hint="eastAsia" w:asciiTheme="minorEastAsia" w:hAnsiTheme="minorEastAsia" w:eastAsiaTheme="minorEastAsia"/>
          <w:color w:val="auto"/>
          <w:sz w:val="32"/>
          <w:szCs w:val="32"/>
        </w:rPr>
        <w:t>万元，完成年初预算的</w:t>
      </w:r>
      <w:r>
        <w:rPr>
          <w:rFonts w:hint="eastAsia" w:asciiTheme="minorEastAsia" w:hAnsiTheme="minorEastAsia" w:eastAsiaTheme="minorEastAsia"/>
          <w:color w:val="auto"/>
          <w:sz w:val="32"/>
          <w:szCs w:val="32"/>
          <w:lang w:val="en-US" w:eastAsia="zh-CN"/>
        </w:rPr>
        <w:t>125.13</w:t>
      </w:r>
      <w:r>
        <w:rPr>
          <w:rFonts w:hint="eastAsia" w:asciiTheme="minorEastAsia" w:hAnsiTheme="minorEastAsia" w:eastAsiaTheme="minorEastAsia"/>
          <w:color w:val="auto"/>
          <w:sz w:val="32"/>
          <w:szCs w:val="32"/>
        </w:rPr>
        <w:t>%，决算数大于年初预算数的主要原因是：</w:t>
      </w:r>
      <w:r>
        <w:rPr>
          <w:rFonts w:hint="eastAsia" w:asciiTheme="minorEastAsia" w:hAnsiTheme="minorEastAsia" w:eastAsiaTheme="minorEastAsia"/>
          <w:color w:val="auto"/>
          <w:sz w:val="32"/>
          <w:szCs w:val="32"/>
          <w:lang w:val="en-US" w:eastAsia="zh-CN"/>
        </w:rPr>
        <w:t>年中追加2020年绩效考核奖金。</w:t>
      </w:r>
    </w:p>
    <w:p>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5</w:t>
      </w:r>
      <w:r>
        <w:rPr>
          <w:rFonts w:hint="eastAsia" w:asciiTheme="minorEastAsia" w:hAnsiTheme="minorEastAsia" w:eastAsiaTheme="minorEastAsia"/>
          <w:color w:val="auto"/>
          <w:sz w:val="32"/>
          <w:szCs w:val="32"/>
        </w:rPr>
        <w:t>、卫生健康</w:t>
      </w:r>
      <w:r>
        <w:rPr>
          <w:rFonts w:hint="eastAsia" w:asciiTheme="minorEastAsia" w:hAnsiTheme="minorEastAsia" w:eastAsiaTheme="minorEastAsia"/>
          <w:color w:val="auto"/>
          <w:sz w:val="32"/>
          <w:szCs w:val="32"/>
          <w:lang w:val="en-US" w:eastAsia="zh-CN"/>
        </w:rPr>
        <w:t>支出</w:t>
      </w:r>
      <w:r>
        <w:rPr>
          <w:rFonts w:hint="eastAsia" w:asciiTheme="minorEastAsia" w:hAnsiTheme="minorEastAsia" w:eastAsiaTheme="minorEastAsia"/>
          <w:color w:val="auto"/>
          <w:sz w:val="32"/>
          <w:szCs w:val="32"/>
        </w:rPr>
        <w:t>（类）行政事业单位医疗（款）</w:t>
      </w:r>
      <w:r>
        <w:rPr>
          <w:rFonts w:hint="eastAsia" w:asciiTheme="minorEastAsia" w:hAnsiTheme="minorEastAsia" w:eastAsiaTheme="minorEastAsia"/>
          <w:color w:val="auto"/>
          <w:sz w:val="32"/>
          <w:szCs w:val="32"/>
          <w:lang w:val="en-US" w:eastAsia="zh-CN"/>
        </w:rPr>
        <w:t>行政</w:t>
      </w:r>
      <w:r>
        <w:rPr>
          <w:rFonts w:hint="eastAsia" w:asciiTheme="minorEastAsia" w:hAnsiTheme="minorEastAsia" w:eastAsiaTheme="minorEastAsia"/>
          <w:color w:val="auto"/>
          <w:sz w:val="32"/>
          <w:szCs w:val="32"/>
        </w:rPr>
        <w:t>单位医疗（项）。</w:t>
      </w:r>
    </w:p>
    <w:p>
      <w:pPr>
        <w:pStyle w:val="10"/>
        <w:ind w:firstLine="800" w:firstLineChars="250"/>
        <w:rPr>
          <w:rFonts w:hint="default"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1.93</w:t>
      </w:r>
      <w:r>
        <w:rPr>
          <w:rFonts w:hint="eastAsia" w:asciiTheme="minorEastAsia" w:hAnsiTheme="minorEastAsia" w:eastAsiaTheme="minorEastAsia"/>
          <w:color w:val="auto"/>
          <w:sz w:val="32"/>
          <w:szCs w:val="32"/>
        </w:rPr>
        <w:t>万元，决算数大于年初预算数的主要原因是：</w:t>
      </w:r>
      <w:r>
        <w:rPr>
          <w:rFonts w:hint="eastAsia" w:asciiTheme="minorEastAsia" w:hAnsiTheme="minorEastAsia" w:eastAsiaTheme="minorEastAsia"/>
          <w:color w:val="auto"/>
          <w:sz w:val="32"/>
          <w:szCs w:val="32"/>
          <w:lang w:val="en-US" w:eastAsia="zh-CN"/>
        </w:rPr>
        <w:t>本年度发生职工基本医疗保险缴费支出，而年初未纳入预算。</w:t>
      </w:r>
    </w:p>
    <w:p>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6</w:t>
      </w:r>
      <w:r>
        <w:rPr>
          <w:rFonts w:hint="eastAsia" w:asciiTheme="minorEastAsia" w:hAnsiTheme="minorEastAsia" w:eastAsiaTheme="minorEastAsia"/>
          <w:color w:val="auto"/>
          <w:sz w:val="32"/>
          <w:szCs w:val="32"/>
        </w:rPr>
        <w:t>、卫生健康</w:t>
      </w:r>
      <w:r>
        <w:rPr>
          <w:rFonts w:hint="eastAsia" w:asciiTheme="minorEastAsia" w:hAnsiTheme="minorEastAsia" w:eastAsiaTheme="minorEastAsia"/>
          <w:color w:val="auto"/>
          <w:sz w:val="32"/>
          <w:szCs w:val="32"/>
          <w:lang w:val="en-US" w:eastAsia="zh-CN"/>
        </w:rPr>
        <w:t>支出</w:t>
      </w:r>
      <w:r>
        <w:rPr>
          <w:rFonts w:hint="eastAsia" w:asciiTheme="minorEastAsia" w:hAnsiTheme="minorEastAsia" w:eastAsiaTheme="minorEastAsia"/>
          <w:color w:val="auto"/>
          <w:sz w:val="32"/>
          <w:szCs w:val="32"/>
        </w:rPr>
        <w:t>（类）行政事业单位医疗（款）其他行政事业单位医疗支出（项）。</w:t>
      </w:r>
    </w:p>
    <w:p>
      <w:pPr>
        <w:pStyle w:val="10"/>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0.46</w:t>
      </w:r>
      <w:r>
        <w:rPr>
          <w:rFonts w:hint="eastAsia" w:asciiTheme="minorEastAsia" w:hAnsiTheme="minorEastAsia" w:eastAsiaTheme="minorEastAsia"/>
          <w:color w:val="auto"/>
          <w:sz w:val="32"/>
          <w:szCs w:val="32"/>
        </w:rPr>
        <w:t>万元，决算数大于年初预算数的主要原因是：</w:t>
      </w:r>
      <w:r>
        <w:rPr>
          <w:rFonts w:hint="eastAsia" w:asciiTheme="minorEastAsia" w:hAnsiTheme="minorEastAsia" w:eastAsiaTheme="minorEastAsia"/>
          <w:color w:val="auto"/>
          <w:sz w:val="32"/>
          <w:szCs w:val="32"/>
          <w:lang w:val="en-US" w:eastAsia="zh-CN"/>
        </w:rPr>
        <w:t>本年度发生职工基本医疗保险缴费支出，而年初未纳入预算。</w:t>
      </w:r>
    </w:p>
    <w:p>
      <w:pPr>
        <w:pStyle w:val="10"/>
        <w:rPr>
          <w:rFonts w:hAnsi="黑体"/>
          <w:b/>
          <w:color w:val="auto"/>
          <w:sz w:val="32"/>
          <w:szCs w:val="32"/>
        </w:rPr>
      </w:pPr>
      <w:r>
        <w:rPr>
          <w:rFonts w:hint="eastAsia" w:hAnsi="黑体"/>
          <w:b/>
          <w:color w:val="auto"/>
          <w:sz w:val="32"/>
          <w:szCs w:val="32"/>
        </w:rPr>
        <w:t>六、一般公共预算财政拨款基本支出决算情况说明</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eastAsia="zh-CN"/>
        </w:rPr>
        <w:t>2021</w:t>
      </w:r>
      <w:r>
        <w:rPr>
          <w:rFonts w:hint="eastAsia" w:asciiTheme="minorEastAsia" w:hAnsiTheme="minorEastAsia" w:eastAsiaTheme="minorEastAsia"/>
          <w:color w:val="auto"/>
          <w:sz w:val="32"/>
          <w:szCs w:val="32"/>
        </w:rPr>
        <w:t>年度财政拨款基本支出</w:t>
      </w:r>
      <w:r>
        <w:rPr>
          <w:rFonts w:hint="eastAsia" w:asciiTheme="minorEastAsia" w:hAnsiTheme="minorEastAsia" w:eastAsiaTheme="minorEastAsia"/>
          <w:color w:val="auto"/>
          <w:sz w:val="32"/>
          <w:szCs w:val="32"/>
          <w:lang w:val="en-US" w:eastAsia="zh-CN"/>
        </w:rPr>
        <w:t>113.27</w:t>
      </w:r>
      <w:r>
        <w:rPr>
          <w:rFonts w:hint="eastAsia" w:asciiTheme="minorEastAsia" w:hAnsiTheme="minorEastAsia" w:eastAsiaTheme="minorEastAsia"/>
          <w:color w:val="auto"/>
          <w:sz w:val="32"/>
          <w:szCs w:val="32"/>
        </w:rPr>
        <w:t>万元，其中：人员经费</w:t>
      </w:r>
      <w:r>
        <w:rPr>
          <w:rFonts w:hint="eastAsia" w:asciiTheme="minorEastAsia" w:hAnsiTheme="minorEastAsia" w:eastAsiaTheme="minorEastAsia"/>
          <w:color w:val="auto"/>
          <w:sz w:val="32"/>
          <w:szCs w:val="32"/>
          <w:lang w:val="en-US" w:eastAsia="zh-CN"/>
        </w:rPr>
        <w:t>74.12</w:t>
      </w:r>
      <w:r>
        <w:rPr>
          <w:rFonts w:hint="eastAsia" w:asciiTheme="minorEastAsia" w:hAnsiTheme="minorEastAsia" w:eastAsiaTheme="minorEastAsia"/>
          <w:color w:val="auto"/>
          <w:sz w:val="32"/>
          <w:szCs w:val="32"/>
        </w:rPr>
        <w:t>万元，占基本支出的</w:t>
      </w:r>
      <w:r>
        <w:rPr>
          <w:rFonts w:hint="eastAsia" w:asciiTheme="minorEastAsia" w:hAnsiTheme="minorEastAsia" w:eastAsiaTheme="minorEastAsia"/>
          <w:color w:val="auto"/>
          <w:sz w:val="32"/>
          <w:szCs w:val="32"/>
          <w:lang w:val="en-US" w:eastAsia="zh-CN"/>
        </w:rPr>
        <w:t>65.44</w:t>
      </w:r>
      <w:r>
        <w:rPr>
          <w:rFonts w:hint="eastAsia" w:asciiTheme="minorEastAsia" w:hAnsiTheme="minorEastAsia" w:eastAsiaTheme="minorEastAsia"/>
          <w:color w:val="auto"/>
          <w:sz w:val="32"/>
          <w:szCs w:val="32"/>
        </w:rPr>
        <w:t>%,主要包括基本工资、津贴补贴、奖金、机关事业单位基本养老保险缴费</w:t>
      </w:r>
      <w:r>
        <w:rPr>
          <w:rFonts w:hint="eastAsia" w:asciiTheme="minorEastAsia" w:hAnsiTheme="minorEastAsia" w:eastAsiaTheme="minorEastAsia"/>
          <w:color w:val="auto"/>
          <w:sz w:val="32"/>
          <w:szCs w:val="32"/>
          <w:lang w:eastAsia="zh-CN"/>
        </w:rPr>
        <w:t>、职工基本医疗保险缴费、其他社会保障缴费、</w:t>
      </w:r>
      <w:r>
        <w:rPr>
          <w:rFonts w:hint="eastAsia" w:asciiTheme="minorEastAsia" w:hAnsiTheme="minorEastAsia" w:eastAsiaTheme="minorEastAsia"/>
          <w:color w:val="auto"/>
          <w:sz w:val="32"/>
          <w:szCs w:val="32"/>
          <w:lang w:val="en-US" w:eastAsia="zh-CN"/>
        </w:rPr>
        <w:t>生活补助、奖励金、其他对个人和家庭的补助等</w:t>
      </w:r>
      <w:r>
        <w:rPr>
          <w:rFonts w:hint="eastAsia" w:asciiTheme="minorEastAsia" w:hAnsiTheme="minorEastAsia" w:eastAsiaTheme="minorEastAsia"/>
          <w:color w:val="auto"/>
          <w:sz w:val="32"/>
          <w:szCs w:val="32"/>
        </w:rPr>
        <w:t>；公用经费</w:t>
      </w:r>
      <w:r>
        <w:rPr>
          <w:rFonts w:hint="eastAsia" w:asciiTheme="minorEastAsia" w:hAnsiTheme="minorEastAsia" w:eastAsiaTheme="minorEastAsia"/>
          <w:color w:val="auto"/>
          <w:sz w:val="32"/>
          <w:szCs w:val="32"/>
          <w:lang w:val="en-US" w:eastAsia="zh-CN"/>
        </w:rPr>
        <w:t>39.15</w:t>
      </w:r>
      <w:r>
        <w:rPr>
          <w:rFonts w:hint="eastAsia" w:asciiTheme="minorEastAsia" w:hAnsiTheme="minorEastAsia" w:eastAsiaTheme="minorEastAsia"/>
          <w:color w:val="auto"/>
          <w:sz w:val="32"/>
          <w:szCs w:val="32"/>
        </w:rPr>
        <w:t>万元，占基本支出的</w:t>
      </w:r>
      <w:r>
        <w:rPr>
          <w:rFonts w:hint="eastAsia" w:asciiTheme="minorEastAsia" w:hAnsiTheme="minorEastAsia" w:eastAsiaTheme="minorEastAsia"/>
          <w:color w:val="auto"/>
          <w:sz w:val="32"/>
          <w:szCs w:val="32"/>
          <w:lang w:val="en-US" w:eastAsia="zh-CN"/>
        </w:rPr>
        <w:t>34.56</w:t>
      </w:r>
      <w:r>
        <w:rPr>
          <w:rFonts w:hint="eastAsia" w:asciiTheme="minorEastAsia" w:hAnsiTheme="minorEastAsia" w:eastAsiaTheme="minorEastAsia"/>
          <w:color w:val="auto"/>
          <w:sz w:val="32"/>
          <w:szCs w:val="32"/>
        </w:rPr>
        <w:t>%，主要包括办公费、印刷费、</w:t>
      </w:r>
      <w:r>
        <w:rPr>
          <w:rFonts w:hint="eastAsia" w:asciiTheme="minorEastAsia" w:hAnsiTheme="minorEastAsia" w:eastAsiaTheme="minorEastAsia"/>
          <w:color w:val="auto"/>
          <w:sz w:val="32"/>
          <w:szCs w:val="32"/>
          <w:lang w:val="en-US" w:eastAsia="zh-CN"/>
        </w:rPr>
        <w:t>邮电费、差旅费、维修（护）费、会议费、培训费、公务接待费、劳务费、工会经费、福利费、其他交通费用、其他商品和服务支出</w:t>
      </w:r>
      <w:r>
        <w:rPr>
          <w:rFonts w:hint="eastAsia" w:asciiTheme="minorEastAsia" w:hAnsiTheme="minorEastAsia" w:eastAsiaTheme="minorEastAsia"/>
          <w:color w:val="auto"/>
          <w:sz w:val="32"/>
          <w:szCs w:val="32"/>
        </w:rPr>
        <w:t>。</w:t>
      </w:r>
    </w:p>
    <w:p>
      <w:pPr>
        <w:pStyle w:val="10"/>
        <w:rPr>
          <w:rFonts w:hAnsi="黑体"/>
          <w:b/>
          <w:color w:val="auto"/>
          <w:sz w:val="32"/>
          <w:szCs w:val="32"/>
        </w:rPr>
      </w:pPr>
      <w:r>
        <w:rPr>
          <w:rFonts w:hint="eastAsia" w:hAnsi="黑体"/>
          <w:b/>
          <w:color w:val="auto"/>
          <w:sz w:val="32"/>
          <w:szCs w:val="32"/>
        </w:rPr>
        <w:t>七、一般公共预算财政拨款三公经费支出决算情况说明</w:t>
      </w:r>
    </w:p>
    <w:p>
      <w:pPr>
        <w:pStyle w:val="10"/>
        <w:ind w:firstLine="640" w:firstLineChars="20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（一）“三公”经费财政拨款支出决算总体情况说明</w:t>
      </w:r>
    </w:p>
    <w:p>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“三公”经费财政拨款支出预算为</w:t>
      </w:r>
      <w:r>
        <w:rPr>
          <w:rFonts w:hint="eastAsia" w:asciiTheme="minorEastAsia" w:hAnsiTheme="minorEastAsia" w:eastAsiaTheme="minorEastAsia"/>
          <w:color w:val="auto"/>
          <w:sz w:val="32"/>
          <w:szCs w:val="32"/>
          <w:lang w:val="en-US" w:eastAsia="zh-CN"/>
        </w:rPr>
        <w:t>3.82</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0.35</w:t>
      </w:r>
      <w:r>
        <w:rPr>
          <w:rFonts w:hint="eastAsia" w:asciiTheme="minorEastAsia" w:hAnsiTheme="minorEastAsia" w:eastAsiaTheme="minorEastAsia"/>
          <w:color w:val="auto"/>
          <w:sz w:val="32"/>
          <w:szCs w:val="32"/>
        </w:rPr>
        <w:t>万元，完成预算的</w:t>
      </w:r>
      <w:r>
        <w:rPr>
          <w:rFonts w:hint="eastAsia" w:asciiTheme="minorEastAsia" w:hAnsiTheme="minorEastAsia" w:eastAsiaTheme="minorEastAsia"/>
          <w:color w:val="auto"/>
          <w:sz w:val="32"/>
          <w:szCs w:val="32"/>
          <w:lang w:val="en-US" w:eastAsia="zh-CN"/>
        </w:rPr>
        <w:t>9.16</w:t>
      </w:r>
      <w:r>
        <w:rPr>
          <w:rFonts w:hint="eastAsia" w:asciiTheme="minorEastAsia" w:hAnsiTheme="minorEastAsia" w:eastAsiaTheme="minorEastAsia"/>
          <w:color w:val="auto"/>
          <w:sz w:val="32"/>
          <w:szCs w:val="32"/>
        </w:rPr>
        <w:t>%，其中：</w:t>
      </w:r>
    </w:p>
    <w:p>
      <w:pPr>
        <w:pStyle w:val="10"/>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因公出国（境）费支出预算为0万元，支出决算为0万元，决算数与年初预算数持平，主要原因按预算执行，与上年数持平，主要原因本年度未安排因公出国（境）。</w:t>
      </w:r>
    </w:p>
    <w:p>
      <w:pPr>
        <w:pStyle w:val="10"/>
        <w:ind w:firstLine="800" w:firstLineChars="250"/>
        <w:rPr>
          <w:rFonts w:hint="default"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rPr>
        <w:t>公务接待费支出预算为</w:t>
      </w:r>
      <w:r>
        <w:rPr>
          <w:rFonts w:hint="eastAsia" w:asciiTheme="minorEastAsia" w:hAnsiTheme="minorEastAsia" w:eastAsiaTheme="minorEastAsia"/>
          <w:color w:val="auto"/>
          <w:sz w:val="32"/>
          <w:szCs w:val="32"/>
          <w:lang w:val="en-US" w:eastAsia="zh-CN"/>
        </w:rPr>
        <w:t>1.29</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0.35</w:t>
      </w:r>
      <w:r>
        <w:rPr>
          <w:rFonts w:hint="eastAsia" w:asciiTheme="minorEastAsia" w:hAnsiTheme="minorEastAsia" w:eastAsiaTheme="minorEastAsia"/>
          <w:color w:val="auto"/>
          <w:sz w:val="32"/>
          <w:szCs w:val="32"/>
        </w:rPr>
        <w:t>万元，完成预算的</w:t>
      </w:r>
      <w:r>
        <w:rPr>
          <w:rFonts w:hint="eastAsia" w:asciiTheme="minorEastAsia" w:hAnsiTheme="minorEastAsia" w:eastAsiaTheme="minorEastAsia"/>
          <w:color w:val="auto"/>
          <w:sz w:val="32"/>
          <w:szCs w:val="32"/>
          <w:lang w:val="en-US" w:eastAsia="zh-CN"/>
        </w:rPr>
        <w:t>27.13</w:t>
      </w:r>
      <w:r>
        <w:rPr>
          <w:rFonts w:hint="eastAsia" w:asciiTheme="minorEastAsia" w:hAnsiTheme="minorEastAsia" w:eastAsiaTheme="minorEastAsia"/>
          <w:color w:val="auto"/>
          <w:sz w:val="32"/>
          <w:szCs w:val="32"/>
        </w:rPr>
        <w:t>%，决算数小于预算数的主要原因是本单位厉行节俭，严控“三公”经费，</w:t>
      </w:r>
      <w:r>
        <w:rPr>
          <w:rFonts w:hint="eastAsia" w:asciiTheme="minorEastAsia" w:hAnsiTheme="minorEastAsia" w:eastAsiaTheme="minorEastAsia"/>
          <w:color w:val="auto"/>
          <w:sz w:val="32"/>
          <w:szCs w:val="32"/>
          <w:highlight w:val="none"/>
        </w:rPr>
        <w:t>与上年相比</w:t>
      </w:r>
      <w:r>
        <w:rPr>
          <w:rFonts w:hint="eastAsia" w:asciiTheme="minorEastAsia" w:hAnsiTheme="minorEastAsia" w:eastAsiaTheme="minorEastAsia"/>
          <w:color w:val="auto"/>
          <w:sz w:val="32"/>
          <w:szCs w:val="32"/>
          <w:highlight w:val="none"/>
          <w:lang w:val="en-US" w:eastAsia="zh-CN"/>
        </w:rPr>
        <w:t>减少0.63</w:t>
      </w:r>
      <w:r>
        <w:rPr>
          <w:rFonts w:hint="eastAsia" w:asciiTheme="minorEastAsia" w:hAnsiTheme="minorEastAsia" w:eastAsiaTheme="minorEastAsia"/>
          <w:color w:val="auto"/>
          <w:sz w:val="32"/>
          <w:szCs w:val="32"/>
          <w:highlight w:val="none"/>
        </w:rPr>
        <w:t>万元，</w:t>
      </w:r>
      <w:r>
        <w:rPr>
          <w:rFonts w:hint="eastAsia" w:asciiTheme="minorEastAsia" w:hAnsiTheme="minorEastAsia" w:eastAsiaTheme="minorEastAsia"/>
          <w:color w:val="auto"/>
          <w:sz w:val="32"/>
          <w:szCs w:val="32"/>
          <w:highlight w:val="none"/>
          <w:lang w:val="en-US" w:eastAsia="zh-CN"/>
        </w:rPr>
        <w:t>减少64.57</w:t>
      </w:r>
      <w:r>
        <w:rPr>
          <w:rFonts w:hint="eastAsia" w:asciiTheme="minorEastAsia" w:hAnsiTheme="minorEastAsia" w:eastAsiaTheme="minorEastAsia"/>
          <w:color w:val="auto"/>
          <w:sz w:val="32"/>
          <w:szCs w:val="32"/>
          <w:highlight w:val="none"/>
        </w:rPr>
        <w:t>%</w:t>
      </w:r>
      <w:r>
        <w:rPr>
          <w:rFonts w:hint="eastAsia" w:asciiTheme="minorEastAsia" w:hAnsiTheme="minorEastAsia" w:eastAsiaTheme="minorEastAsia"/>
          <w:color w:val="auto"/>
          <w:sz w:val="32"/>
          <w:szCs w:val="32"/>
          <w:highlight w:val="none"/>
          <w:lang w:eastAsia="zh-CN"/>
        </w:rPr>
        <w:t>，</w:t>
      </w:r>
      <w:r>
        <w:rPr>
          <w:rFonts w:hint="eastAsia" w:asciiTheme="minorEastAsia" w:hAnsiTheme="minorEastAsia" w:eastAsiaTheme="minorEastAsia"/>
          <w:color w:val="auto"/>
          <w:sz w:val="32"/>
          <w:szCs w:val="32"/>
          <w:highlight w:val="none"/>
          <w:lang w:val="en-US" w:eastAsia="zh-CN"/>
        </w:rPr>
        <w:t>主要原因厉行节约。</w:t>
      </w:r>
    </w:p>
    <w:p>
      <w:pPr>
        <w:pStyle w:val="10"/>
        <w:ind w:firstLine="640" w:firstLineChars="200"/>
        <w:rPr>
          <w:rFonts w:hint="default"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rPr>
        <w:t>公务用车购置费及运行维护费支出预算为</w:t>
      </w:r>
      <w:r>
        <w:rPr>
          <w:rFonts w:hint="eastAsia" w:asciiTheme="minorEastAsia" w:hAnsiTheme="minorEastAsia" w:eastAsiaTheme="minorEastAsia"/>
          <w:color w:val="auto"/>
          <w:sz w:val="32"/>
          <w:szCs w:val="32"/>
          <w:lang w:val="en-US" w:eastAsia="zh-CN"/>
        </w:rPr>
        <w:t>2.53</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万元，完成预算的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%，决算数小于预算数的主要原因是</w:t>
      </w:r>
      <w:r>
        <w:rPr>
          <w:rFonts w:hint="eastAsia" w:asciiTheme="minorEastAsia" w:hAnsiTheme="minorEastAsia" w:eastAsiaTheme="minorEastAsia"/>
          <w:color w:val="auto"/>
          <w:sz w:val="32"/>
          <w:szCs w:val="32"/>
          <w:lang w:val="en-US" w:eastAsia="zh-CN"/>
        </w:rPr>
        <w:t>为加强对公务用车的管理，我单位</w:t>
      </w:r>
      <w:r>
        <w:rPr>
          <w:rFonts w:hint="eastAsia" w:asciiTheme="minorEastAsia" w:hAnsiTheme="minorEastAsia" w:eastAsiaTheme="minorEastAsia"/>
          <w:color w:val="auto"/>
          <w:sz w:val="32"/>
          <w:szCs w:val="32"/>
        </w:rPr>
        <w:t>公务车1辆移交到公车办。</w:t>
      </w:r>
      <w:r>
        <w:rPr>
          <w:rFonts w:hint="eastAsia" w:asciiTheme="minorEastAsia" w:hAnsiTheme="minorEastAsia" w:eastAsiaTheme="minorEastAsia"/>
          <w:color w:val="auto"/>
          <w:sz w:val="32"/>
          <w:szCs w:val="32"/>
          <w:lang w:val="en-US" w:eastAsia="zh-CN"/>
        </w:rPr>
        <w:t>与上年相比减少2.74万元，下降100%，主要原因是厉行节约。</w:t>
      </w:r>
    </w:p>
    <w:p>
      <w:pPr>
        <w:pStyle w:val="10"/>
        <w:ind w:firstLine="640" w:firstLineChars="20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（二）“三公”经费财政拨款支出决算具体情况说明</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eastAsia="zh-CN"/>
        </w:rPr>
        <w:t>2021</w:t>
      </w:r>
      <w:r>
        <w:rPr>
          <w:rFonts w:hint="eastAsia" w:asciiTheme="minorEastAsia" w:hAnsiTheme="minorEastAsia" w:eastAsiaTheme="minorEastAsia"/>
          <w:color w:val="auto"/>
          <w:sz w:val="32"/>
          <w:szCs w:val="32"/>
        </w:rPr>
        <w:t>年度“三公”经费财政拨款支出决算中，公务接待费支出决算</w:t>
      </w:r>
      <w:r>
        <w:rPr>
          <w:rFonts w:hint="eastAsia" w:asciiTheme="minorEastAsia" w:hAnsiTheme="minorEastAsia" w:eastAsiaTheme="minorEastAsia"/>
          <w:color w:val="auto"/>
          <w:sz w:val="32"/>
          <w:szCs w:val="32"/>
          <w:lang w:val="en-US" w:eastAsia="zh-CN"/>
        </w:rPr>
        <w:t>0.35</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100</w:t>
      </w:r>
      <w:r>
        <w:rPr>
          <w:rFonts w:hint="eastAsia" w:asciiTheme="minorEastAsia" w:hAnsiTheme="minorEastAsia" w:eastAsiaTheme="minorEastAsia"/>
          <w:color w:val="auto"/>
          <w:sz w:val="32"/>
          <w:szCs w:val="32"/>
        </w:rPr>
        <w:t>%,因公出国（境）费支出决算</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%,公务用车购置费及运行维护费支出决算</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%。其中：</w:t>
      </w:r>
    </w:p>
    <w:p>
      <w:pPr>
        <w:pStyle w:val="10"/>
        <w:ind w:firstLine="640" w:firstLineChars="200"/>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color w:val="auto"/>
          <w:sz w:val="32"/>
          <w:szCs w:val="32"/>
        </w:rPr>
        <w:t>1、因公出国（境）费支出决算为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万元，全年安排因公出国（境）团组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个，累计</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人次</w:t>
      </w:r>
      <w:r>
        <w:rPr>
          <w:rFonts w:hint="eastAsia" w:asciiTheme="minorEastAsia" w:hAnsiTheme="minorEastAsia" w:eastAsiaTheme="minorEastAsia"/>
          <w:color w:val="auto"/>
          <w:sz w:val="32"/>
          <w:szCs w:val="32"/>
          <w:lang w:eastAsia="zh-CN"/>
        </w:rPr>
        <w:t>。</w:t>
      </w:r>
    </w:p>
    <w:p>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2、公务接待费支出决算为</w:t>
      </w:r>
      <w:r>
        <w:rPr>
          <w:rFonts w:hint="eastAsia" w:asciiTheme="minorEastAsia" w:hAnsiTheme="minorEastAsia" w:eastAsiaTheme="minorEastAsia"/>
          <w:color w:val="auto"/>
          <w:sz w:val="32"/>
          <w:szCs w:val="32"/>
          <w:lang w:val="en-US" w:eastAsia="zh-CN"/>
        </w:rPr>
        <w:t>0.35</w:t>
      </w:r>
      <w:r>
        <w:rPr>
          <w:rFonts w:hint="eastAsia" w:asciiTheme="minorEastAsia" w:hAnsiTheme="minorEastAsia" w:eastAsiaTheme="minorEastAsia"/>
          <w:color w:val="auto"/>
          <w:sz w:val="32"/>
          <w:szCs w:val="32"/>
        </w:rPr>
        <w:t>万元，全年共接待来访团组</w:t>
      </w:r>
      <w:r>
        <w:rPr>
          <w:rFonts w:hint="eastAsia" w:asciiTheme="minorEastAsia" w:hAnsiTheme="minorEastAsia" w:eastAsiaTheme="minorEastAsia"/>
          <w:color w:val="auto"/>
          <w:sz w:val="32"/>
          <w:szCs w:val="32"/>
          <w:lang w:val="en-US" w:eastAsia="zh-CN"/>
        </w:rPr>
        <w:t>6</w:t>
      </w:r>
      <w:r>
        <w:rPr>
          <w:rFonts w:hint="eastAsia" w:asciiTheme="minorEastAsia" w:hAnsiTheme="minorEastAsia" w:eastAsiaTheme="minorEastAsia"/>
          <w:color w:val="auto"/>
          <w:sz w:val="32"/>
          <w:szCs w:val="32"/>
        </w:rPr>
        <w:t>个、来宾</w:t>
      </w:r>
      <w:r>
        <w:rPr>
          <w:rFonts w:hint="eastAsia" w:asciiTheme="minorEastAsia" w:hAnsiTheme="minorEastAsia" w:eastAsiaTheme="minorEastAsia"/>
          <w:color w:val="auto"/>
          <w:sz w:val="32"/>
          <w:szCs w:val="32"/>
          <w:lang w:val="en-US" w:eastAsia="zh-CN"/>
        </w:rPr>
        <w:t>51</w:t>
      </w:r>
      <w:r>
        <w:rPr>
          <w:rFonts w:hint="eastAsia" w:asciiTheme="minorEastAsia" w:hAnsiTheme="minorEastAsia" w:eastAsiaTheme="minorEastAsia"/>
          <w:color w:val="auto"/>
          <w:sz w:val="32"/>
          <w:szCs w:val="32"/>
        </w:rPr>
        <w:t>人次，主要是开展红十字会</w:t>
      </w:r>
      <w:r>
        <w:rPr>
          <w:rFonts w:hint="eastAsia" w:asciiTheme="minorEastAsia" w:hAnsiTheme="minorEastAsia" w:eastAsiaTheme="minorEastAsia"/>
          <w:color w:val="auto"/>
          <w:sz w:val="32"/>
          <w:szCs w:val="32"/>
          <w:lang w:val="en-US" w:eastAsia="zh-CN"/>
        </w:rPr>
        <w:t>事业</w:t>
      </w:r>
      <w:r>
        <w:rPr>
          <w:rFonts w:hint="eastAsia" w:asciiTheme="minorEastAsia" w:hAnsiTheme="minorEastAsia" w:eastAsiaTheme="minorEastAsia"/>
          <w:color w:val="auto"/>
          <w:sz w:val="32"/>
          <w:szCs w:val="32"/>
        </w:rPr>
        <w:t>工作发生的接待支出。</w:t>
      </w:r>
    </w:p>
    <w:p>
      <w:pPr>
        <w:ind w:firstLine="800" w:firstLineChars="250"/>
        <w:rPr>
          <w:rFonts w:cs="黑体" w:asciiTheme="minorEastAsia" w:hAnsiTheme="minorEastAsia"/>
          <w:color w:val="auto"/>
          <w:kern w:val="0"/>
          <w:sz w:val="32"/>
          <w:szCs w:val="32"/>
        </w:rPr>
      </w:pPr>
      <w:r>
        <w:rPr>
          <w:rFonts w:hint="eastAsia" w:asciiTheme="minorEastAsia" w:hAnsiTheme="minorEastAsia"/>
          <w:color w:val="auto"/>
          <w:sz w:val="32"/>
          <w:szCs w:val="32"/>
        </w:rPr>
        <w:t>3、公务用车购置费及运行维护费支出决算为</w:t>
      </w:r>
      <w:r>
        <w:rPr>
          <w:rFonts w:hint="eastAsia" w:asciiTheme="minorEastAsia" w:hAnsiTheme="minorEastAsia"/>
          <w:color w:val="auto"/>
          <w:sz w:val="32"/>
          <w:szCs w:val="32"/>
          <w:lang w:val="en-US" w:eastAsia="zh-CN"/>
        </w:rPr>
        <w:t>0</w:t>
      </w:r>
      <w:r>
        <w:rPr>
          <w:rFonts w:hint="eastAsia" w:asciiTheme="minorEastAsia" w:hAnsiTheme="minorEastAsia"/>
          <w:color w:val="auto"/>
          <w:sz w:val="32"/>
          <w:szCs w:val="32"/>
        </w:rPr>
        <w:t>万元，其中：公务用车购置费</w:t>
      </w:r>
      <w:r>
        <w:rPr>
          <w:rFonts w:hint="eastAsia" w:asciiTheme="minorEastAsia" w:hAnsiTheme="minorEastAsia"/>
          <w:color w:val="auto"/>
          <w:sz w:val="32"/>
          <w:szCs w:val="32"/>
          <w:lang w:val="en-US" w:eastAsia="zh-CN"/>
        </w:rPr>
        <w:t>0</w:t>
      </w:r>
      <w:r>
        <w:rPr>
          <w:rFonts w:hint="eastAsia" w:asciiTheme="minorEastAsia" w:hAnsiTheme="minorEastAsia"/>
          <w:color w:val="auto"/>
          <w:sz w:val="32"/>
          <w:szCs w:val="32"/>
        </w:rPr>
        <w:t>万元，</w:t>
      </w:r>
      <w:r>
        <w:rPr>
          <w:rFonts w:hint="eastAsia" w:asciiTheme="minorEastAsia" w:hAnsiTheme="minorEastAsia"/>
          <w:color w:val="auto"/>
          <w:sz w:val="32"/>
          <w:szCs w:val="32"/>
          <w:lang w:val="en-US" w:eastAsia="zh-CN"/>
        </w:rPr>
        <w:t>市红十字会</w:t>
      </w:r>
      <w:r>
        <w:rPr>
          <w:rFonts w:hint="eastAsia" w:asciiTheme="minorEastAsia" w:hAnsiTheme="minorEastAsia"/>
          <w:color w:val="auto"/>
          <w:sz w:val="32"/>
          <w:szCs w:val="32"/>
        </w:rPr>
        <w:t>更新公务用车</w:t>
      </w:r>
      <w:r>
        <w:rPr>
          <w:rFonts w:hint="eastAsia" w:asciiTheme="minorEastAsia" w:hAnsiTheme="minorEastAsia"/>
          <w:color w:val="auto"/>
          <w:sz w:val="32"/>
          <w:szCs w:val="32"/>
          <w:lang w:val="en-US" w:eastAsia="zh-CN"/>
        </w:rPr>
        <w:t>0</w:t>
      </w:r>
      <w:r>
        <w:rPr>
          <w:rFonts w:hint="eastAsia" w:asciiTheme="minorEastAsia" w:hAnsiTheme="minorEastAsia"/>
          <w:color w:val="auto"/>
          <w:sz w:val="32"/>
          <w:szCs w:val="32"/>
        </w:rPr>
        <w:t>辆。公务用车运行维护费</w:t>
      </w:r>
      <w:r>
        <w:rPr>
          <w:rFonts w:hint="eastAsia" w:asciiTheme="minorEastAsia" w:hAnsiTheme="minorEastAsia"/>
          <w:color w:val="auto"/>
          <w:sz w:val="32"/>
          <w:szCs w:val="32"/>
          <w:lang w:val="en-US" w:eastAsia="zh-CN"/>
        </w:rPr>
        <w:t>0</w:t>
      </w:r>
      <w:r>
        <w:rPr>
          <w:rFonts w:hint="eastAsia" w:asciiTheme="minorEastAsia" w:hAnsiTheme="minorEastAsia"/>
          <w:color w:val="auto"/>
          <w:sz w:val="32"/>
          <w:szCs w:val="32"/>
        </w:rPr>
        <w:t>万元，截止</w:t>
      </w:r>
      <w:r>
        <w:rPr>
          <w:rFonts w:hint="eastAsia" w:asciiTheme="minorEastAsia" w:hAnsiTheme="minorEastAsia"/>
          <w:color w:val="auto"/>
          <w:sz w:val="32"/>
          <w:szCs w:val="32"/>
          <w:lang w:eastAsia="zh-CN"/>
        </w:rPr>
        <w:t>2021</w:t>
      </w:r>
      <w:r>
        <w:rPr>
          <w:rFonts w:hint="eastAsia" w:asciiTheme="minorEastAsia" w:hAnsiTheme="minorEastAsia"/>
          <w:color w:val="auto"/>
          <w:sz w:val="32"/>
          <w:szCs w:val="32"/>
        </w:rPr>
        <w:t>年12月31日，我单位开支财政拨款的公务用车保有量为</w:t>
      </w:r>
      <w:r>
        <w:rPr>
          <w:rFonts w:hint="eastAsia" w:asciiTheme="minorEastAsia" w:hAnsiTheme="minorEastAsia"/>
          <w:color w:val="auto"/>
          <w:sz w:val="32"/>
          <w:szCs w:val="32"/>
          <w:lang w:val="en-US" w:eastAsia="zh-CN"/>
        </w:rPr>
        <w:t>0</w:t>
      </w:r>
      <w:r>
        <w:rPr>
          <w:rFonts w:hint="eastAsia" w:asciiTheme="minorEastAsia" w:hAnsiTheme="minorEastAsia"/>
          <w:color w:val="auto"/>
          <w:sz w:val="32"/>
          <w:szCs w:val="32"/>
        </w:rPr>
        <w:t>辆。</w:t>
      </w:r>
    </w:p>
    <w:p>
      <w:pPr>
        <w:pStyle w:val="10"/>
        <w:rPr>
          <w:rFonts w:hint="eastAsia" w:asciiTheme="minorEastAsia" w:hAnsiTheme="minorEastAsia" w:eastAsiaTheme="minorEastAsia"/>
          <w:color w:val="auto"/>
          <w:sz w:val="32"/>
          <w:szCs w:val="32"/>
          <w:lang w:val="en-US" w:eastAsia="zh-CN"/>
        </w:rPr>
      </w:pPr>
      <w:r>
        <w:rPr>
          <w:rFonts w:hint="eastAsia" w:hAnsi="黑体"/>
          <w:b/>
          <w:color w:val="auto"/>
          <w:sz w:val="32"/>
          <w:szCs w:val="32"/>
        </w:rPr>
        <w:t>八、政府性基金预算收入支出决算情况</w:t>
      </w:r>
      <w:r>
        <w:rPr>
          <w:rFonts w:hint="eastAsia" w:asciiTheme="minorEastAsia" w:hAnsiTheme="minorEastAsia" w:eastAsiaTheme="minorEastAsia"/>
          <w:color w:val="auto"/>
          <w:sz w:val="32"/>
          <w:szCs w:val="32"/>
          <w:lang w:val="en-US" w:eastAsia="zh-CN"/>
        </w:rPr>
        <w:t xml:space="preserve">  </w:t>
      </w:r>
    </w:p>
    <w:p>
      <w:pPr>
        <w:pStyle w:val="10"/>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color w:val="auto"/>
          <w:sz w:val="32"/>
          <w:szCs w:val="32"/>
          <w:lang w:val="en-US" w:eastAsia="zh-CN"/>
        </w:rPr>
        <w:t xml:space="preserve">   </w:t>
      </w:r>
      <w:r>
        <w:rPr>
          <w:rFonts w:hint="eastAsia" w:asciiTheme="minorEastAsia" w:hAnsiTheme="minorEastAsia" w:eastAsiaTheme="minorEastAsia"/>
          <w:color w:val="auto"/>
          <w:sz w:val="32"/>
          <w:szCs w:val="32"/>
        </w:rPr>
        <w:t>本单位无政府性基金收支</w:t>
      </w:r>
      <w:r>
        <w:rPr>
          <w:rFonts w:hint="eastAsia" w:asciiTheme="minorEastAsia" w:hAnsiTheme="minorEastAsia" w:eastAsiaTheme="minorEastAsia"/>
          <w:color w:val="auto"/>
          <w:sz w:val="32"/>
          <w:szCs w:val="32"/>
          <w:lang w:eastAsia="zh-CN"/>
        </w:rPr>
        <w:t>。</w:t>
      </w:r>
    </w:p>
    <w:p>
      <w:pPr>
        <w:pStyle w:val="10"/>
        <w:rPr>
          <w:rFonts w:hint="eastAsia" w:hAnsi="黑体"/>
          <w:b/>
          <w:color w:val="auto"/>
          <w:sz w:val="32"/>
          <w:szCs w:val="32"/>
          <w:lang w:val="en-US" w:eastAsia="zh-CN"/>
        </w:rPr>
      </w:pPr>
      <w:r>
        <w:rPr>
          <w:rFonts w:hint="eastAsia" w:hAnsi="黑体"/>
          <w:b/>
          <w:color w:val="auto"/>
          <w:sz w:val="32"/>
          <w:szCs w:val="32"/>
          <w:lang w:val="en-US" w:eastAsia="zh-CN"/>
        </w:rPr>
        <w:t>九、国有资本经营预算财政拨款支出决算情况说明</w:t>
      </w:r>
    </w:p>
    <w:p>
      <w:pPr>
        <w:pStyle w:val="10"/>
        <w:ind w:firstLine="640" w:firstLineChars="200"/>
        <w:rPr>
          <w:rFonts w:hint="eastAsia"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lang w:val="en-US" w:eastAsia="zh-CN"/>
        </w:rPr>
        <w:t>2021年度本单位无国有资本经营预算财政拨款支出。</w:t>
      </w:r>
    </w:p>
    <w:p>
      <w:pPr>
        <w:pStyle w:val="10"/>
        <w:rPr>
          <w:rFonts w:hAnsi="黑体"/>
          <w:b/>
          <w:color w:val="auto"/>
          <w:sz w:val="32"/>
          <w:szCs w:val="32"/>
        </w:rPr>
      </w:pPr>
      <w:r>
        <w:rPr>
          <w:rFonts w:hint="eastAsia" w:hAnsi="黑体"/>
          <w:b/>
          <w:color w:val="auto"/>
          <w:sz w:val="32"/>
          <w:szCs w:val="32"/>
          <w:lang w:val="en-US" w:eastAsia="zh-CN"/>
        </w:rPr>
        <w:t>十</w:t>
      </w:r>
      <w:r>
        <w:rPr>
          <w:rFonts w:hint="eastAsia" w:hAnsi="黑体"/>
          <w:b/>
          <w:color w:val="auto"/>
          <w:sz w:val="32"/>
          <w:szCs w:val="32"/>
        </w:rPr>
        <w:t>、关于机关运行经费支出说明</w:t>
      </w:r>
    </w:p>
    <w:p>
      <w:pPr>
        <w:pStyle w:val="10"/>
        <w:ind w:firstLine="640" w:firstLineChars="200"/>
        <w:rPr>
          <w:rFonts w:hint="eastAsia" w:hAnsi="黑体"/>
          <w:b/>
          <w:color w:val="auto"/>
          <w:sz w:val="32"/>
          <w:szCs w:val="32"/>
        </w:rPr>
      </w:pPr>
      <w:r>
        <w:rPr>
          <w:rFonts w:hint="eastAsia" w:asciiTheme="minorEastAsia" w:hAnsiTheme="minorEastAsia" w:eastAsiaTheme="minorEastAsia"/>
          <w:color w:val="auto"/>
          <w:sz w:val="32"/>
          <w:szCs w:val="32"/>
        </w:rPr>
        <w:t>本部门</w:t>
      </w:r>
      <w:r>
        <w:rPr>
          <w:rFonts w:hint="eastAsia" w:asciiTheme="minorEastAsia" w:hAnsiTheme="minorEastAsia" w:eastAsiaTheme="minorEastAsia"/>
          <w:color w:val="auto"/>
          <w:sz w:val="32"/>
          <w:szCs w:val="32"/>
          <w:lang w:eastAsia="zh-CN"/>
        </w:rPr>
        <w:t>2021</w:t>
      </w:r>
      <w:r>
        <w:rPr>
          <w:rFonts w:hint="eastAsia" w:asciiTheme="minorEastAsia" w:hAnsiTheme="minorEastAsia" w:eastAsiaTheme="minorEastAsia"/>
          <w:color w:val="auto"/>
          <w:sz w:val="32"/>
          <w:szCs w:val="32"/>
        </w:rPr>
        <w:t>年度机关运行经费支出</w:t>
      </w:r>
      <w:r>
        <w:rPr>
          <w:rFonts w:hint="eastAsia" w:asciiTheme="minorEastAsia" w:hAnsiTheme="minorEastAsia" w:eastAsiaTheme="minorEastAsia"/>
          <w:color w:val="auto"/>
          <w:sz w:val="32"/>
          <w:szCs w:val="32"/>
          <w:lang w:val="en-US" w:eastAsia="zh-CN"/>
        </w:rPr>
        <w:t>39.15</w:t>
      </w:r>
      <w:r>
        <w:rPr>
          <w:rFonts w:hint="eastAsia" w:asciiTheme="minorEastAsia" w:hAnsiTheme="minorEastAsia" w:eastAsiaTheme="minorEastAsia"/>
          <w:color w:val="auto"/>
          <w:sz w:val="32"/>
          <w:szCs w:val="32"/>
        </w:rPr>
        <w:t>万元，比年初预算数</w:t>
      </w:r>
      <w:r>
        <w:rPr>
          <w:rFonts w:hint="eastAsia" w:asciiTheme="minorEastAsia" w:hAnsiTheme="minorEastAsia" w:eastAsiaTheme="minorEastAsia"/>
          <w:color w:val="auto"/>
          <w:sz w:val="32"/>
          <w:szCs w:val="32"/>
          <w:lang w:val="en-US" w:eastAsia="zh-CN"/>
        </w:rPr>
        <w:t>减少2.46</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color w:val="auto"/>
          <w:sz w:val="32"/>
          <w:szCs w:val="32"/>
          <w:lang w:val="en-US" w:eastAsia="zh-CN"/>
        </w:rPr>
        <w:t>减少5.91</w:t>
      </w:r>
      <w:r>
        <w:rPr>
          <w:rFonts w:hint="eastAsia" w:asciiTheme="minorEastAsia" w:hAnsiTheme="minorEastAsia" w:eastAsiaTheme="minorEastAsia"/>
          <w:color w:val="auto"/>
          <w:sz w:val="32"/>
          <w:szCs w:val="32"/>
        </w:rPr>
        <w:t>%。主要原因是：</w:t>
      </w:r>
      <w:r>
        <w:rPr>
          <w:rFonts w:hint="eastAsia" w:asciiTheme="minorEastAsia" w:hAnsiTheme="minorEastAsia" w:eastAsiaTheme="minorEastAsia"/>
          <w:color w:val="auto"/>
          <w:sz w:val="32"/>
          <w:szCs w:val="32"/>
          <w:lang w:val="en-US" w:eastAsia="zh-CN"/>
        </w:rPr>
        <w:t>我单位厉行节约，缩减机关运行经费开支</w:t>
      </w:r>
      <w:r>
        <w:rPr>
          <w:rFonts w:hint="eastAsia" w:asciiTheme="minorEastAsia" w:hAnsiTheme="minorEastAsia" w:eastAsiaTheme="minorEastAsia"/>
          <w:color w:val="auto"/>
          <w:sz w:val="32"/>
          <w:szCs w:val="32"/>
        </w:rPr>
        <w:t>。</w:t>
      </w:r>
    </w:p>
    <w:p>
      <w:pPr>
        <w:pStyle w:val="10"/>
        <w:rPr>
          <w:rFonts w:hAnsi="黑体"/>
          <w:b/>
          <w:color w:val="auto"/>
          <w:sz w:val="32"/>
          <w:szCs w:val="32"/>
        </w:rPr>
      </w:pPr>
      <w:r>
        <w:rPr>
          <w:rFonts w:hint="eastAsia" w:hAnsi="黑体"/>
          <w:b/>
          <w:color w:val="auto"/>
          <w:sz w:val="32"/>
          <w:szCs w:val="32"/>
        </w:rPr>
        <w:t>十</w:t>
      </w:r>
      <w:r>
        <w:rPr>
          <w:rFonts w:hint="eastAsia" w:hAnsi="黑体"/>
          <w:b/>
          <w:color w:val="auto"/>
          <w:sz w:val="32"/>
          <w:szCs w:val="32"/>
          <w:lang w:val="en-US" w:eastAsia="zh-CN"/>
        </w:rPr>
        <w:t>一</w:t>
      </w:r>
      <w:r>
        <w:rPr>
          <w:rFonts w:hint="eastAsia" w:hAnsi="黑体"/>
          <w:b/>
          <w:color w:val="auto"/>
          <w:sz w:val="32"/>
          <w:szCs w:val="32"/>
        </w:rPr>
        <w:t>、一般性支出情况</w:t>
      </w:r>
    </w:p>
    <w:p>
      <w:pPr>
        <w:pStyle w:val="10"/>
        <w:ind w:firstLine="640" w:firstLineChars="200"/>
        <w:rPr>
          <w:rFonts w:hint="default"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lang w:eastAsia="zh-CN"/>
        </w:rPr>
        <w:t>2021</w:t>
      </w:r>
      <w:r>
        <w:rPr>
          <w:rFonts w:hint="eastAsia" w:asciiTheme="minorEastAsia" w:hAnsiTheme="minorEastAsia" w:eastAsiaTheme="minorEastAsia"/>
          <w:color w:val="auto"/>
          <w:sz w:val="32"/>
          <w:szCs w:val="32"/>
        </w:rPr>
        <w:t>年本部门开支会议费0.71万元，较上年增加支出0.71万元；培训费0.83万元，较上年减少支出2.47万元。</w:t>
      </w:r>
      <w:r>
        <w:rPr>
          <w:rFonts w:hint="eastAsia" w:asciiTheme="minorEastAsia" w:hAnsiTheme="minorEastAsia" w:eastAsiaTheme="minorEastAsia"/>
          <w:color w:val="auto"/>
          <w:sz w:val="32"/>
          <w:szCs w:val="32"/>
          <w:lang w:val="en-US" w:eastAsia="zh-CN"/>
        </w:rPr>
        <w:t>主要原因厉行节约。</w:t>
      </w:r>
    </w:p>
    <w:p>
      <w:pPr>
        <w:pStyle w:val="10"/>
        <w:rPr>
          <w:rFonts w:hAnsi="黑体"/>
          <w:b/>
          <w:color w:val="auto"/>
          <w:sz w:val="32"/>
          <w:szCs w:val="32"/>
        </w:rPr>
      </w:pPr>
      <w:r>
        <w:rPr>
          <w:rFonts w:hint="eastAsia" w:hAnsi="黑体"/>
          <w:b/>
          <w:color w:val="auto"/>
          <w:sz w:val="32"/>
          <w:szCs w:val="32"/>
        </w:rPr>
        <w:t>十</w:t>
      </w:r>
      <w:r>
        <w:rPr>
          <w:rFonts w:hint="eastAsia" w:hAnsi="黑体"/>
          <w:b/>
          <w:color w:val="auto"/>
          <w:sz w:val="32"/>
          <w:szCs w:val="32"/>
          <w:lang w:val="en-US" w:eastAsia="zh-CN"/>
        </w:rPr>
        <w:t>二</w:t>
      </w:r>
      <w:r>
        <w:rPr>
          <w:rFonts w:hint="eastAsia" w:hAnsi="黑体"/>
          <w:b/>
          <w:color w:val="auto"/>
          <w:sz w:val="32"/>
          <w:szCs w:val="32"/>
        </w:rPr>
        <w:t>、关于政府采购支出说明</w:t>
      </w:r>
    </w:p>
    <w:p>
      <w:pPr>
        <w:pStyle w:val="10"/>
        <w:ind w:firstLine="640" w:firstLineChars="200"/>
        <w:rPr>
          <w:rFonts w:hint="eastAsia" w:asciiTheme="minorEastAsia" w:hAnsiTheme="minorEastAsia" w:eastAsiaTheme="minorEastAsia"/>
          <w:color w:val="auto"/>
          <w:sz w:val="32"/>
          <w:szCs w:val="32"/>
        </w:rPr>
      </w:pPr>
      <w:bookmarkStart w:id="0" w:name="_GoBack"/>
      <w:bookmarkEnd w:id="0"/>
      <w:r>
        <w:rPr>
          <w:rFonts w:hint="eastAsia" w:asciiTheme="minorEastAsia" w:hAnsiTheme="minorEastAsia" w:eastAsiaTheme="minorEastAsia"/>
          <w:color w:val="auto"/>
          <w:sz w:val="32"/>
          <w:szCs w:val="32"/>
        </w:rPr>
        <w:t>关于政府采购支出2021年度政府采购支出总额0万元，其中：政府采购货物支出0万元、政府采购工程支出0万元、政府采购服务支出0万元。授予中小企业合同金额0万元，由于政府采购总额为0万元，无法计算百分比，其中：授予小微企业合同金额0万元，由于政府采购总额为0万元，无法计算百分比。</w:t>
      </w:r>
    </w:p>
    <w:p>
      <w:pPr>
        <w:pStyle w:val="10"/>
        <w:rPr>
          <w:rFonts w:hAnsi="黑体"/>
          <w:b/>
          <w:color w:val="auto"/>
          <w:sz w:val="32"/>
          <w:szCs w:val="32"/>
        </w:rPr>
      </w:pPr>
      <w:r>
        <w:rPr>
          <w:rFonts w:hint="eastAsia" w:hAnsi="黑体"/>
          <w:b/>
          <w:color w:val="auto"/>
          <w:sz w:val="32"/>
          <w:szCs w:val="32"/>
        </w:rPr>
        <w:t>十</w:t>
      </w:r>
      <w:r>
        <w:rPr>
          <w:rFonts w:hint="eastAsia" w:hAnsi="黑体"/>
          <w:b/>
          <w:color w:val="auto"/>
          <w:sz w:val="32"/>
          <w:szCs w:val="32"/>
          <w:lang w:val="en-US" w:eastAsia="zh-CN"/>
        </w:rPr>
        <w:t>三</w:t>
      </w:r>
      <w:r>
        <w:rPr>
          <w:rFonts w:hint="eastAsia" w:hAnsi="黑体"/>
          <w:b/>
          <w:color w:val="auto"/>
          <w:sz w:val="32"/>
          <w:szCs w:val="32"/>
        </w:rPr>
        <w:t>、关于国有资产占用情况说明</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截至</w:t>
      </w:r>
      <w:r>
        <w:rPr>
          <w:rFonts w:hint="eastAsia" w:asciiTheme="minorEastAsia" w:hAnsiTheme="minorEastAsia" w:eastAsiaTheme="minorEastAsia"/>
          <w:color w:val="auto"/>
          <w:sz w:val="32"/>
          <w:szCs w:val="32"/>
          <w:lang w:eastAsia="zh-CN"/>
        </w:rPr>
        <w:t>2021</w:t>
      </w:r>
      <w:r>
        <w:rPr>
          <w:rFonts w:hint="eastAsia" w:asciiTheme="minorEastAsia" w:hAnsiTheme="minorEastAsia" w:eastAsiaTheme="minorEastAsia"/>
          <w:color w:val="auto"/>
          <w:sz w:val="32"/>
          <w:szCs w:val="32"/>
        </w:rPr>
        <w:t>年12月31日，本单位共有车辆</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辆，其中，主要领导干部用车</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辆，机要通信用车</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辆、应急保障用车</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辆、执法执勤用车</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辆、特种专业技术用车</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辆、其他用车</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辆；单位价值50万元以上通用设备</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台（套）；单位价值100万元以上专用设备</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台（套）。</w:t>
      </w:r>
    </w:p>
    <w:p>
      <w:pPr>
        <w:pStyle w:val="10"/>
        <w:rPr>
          <w:rFonts w:hAnsi="黑体"/>
          <w:b/>
          <w:color w:val="auto"/>
          <w:sz w:val="32"/>
          <w:szCs w:val="32"/>
        </w:rPr>
      </w:pPr>
      <w:r>
        <w:rPr>
          <w:rFonts w:hint="eastAsia" w:hAnsi="黑体"/>
          <w:b/>
          <w:color w:val="auto"/>
          <w:sz w:val="32"/>
          <w:szCs w:val="32"/>
        </w:rPr>
        <w:t>十</w:t>
      </w:r>
      <w:r>
        <w:rPr>
          <w:rFonts w:hint="eastAsia" w:hAnsi="黑体"/>
          <w:b/>
          <w:color w:val="auto"/>
          <w:sz w:val="32"/>
          <w:szCs w:val="32"/>
          <w:lang w:val="en-US" w:eastAsia="zh-CN"/>
        </w:rPr>
        <w:t>四</w:t>
      </w:r>
      <w:r>
        <w:rPr>
          <w:rFonts w:hint="eastAsia" w:hAnsi="黑体"/>
          <w:b/>
          <w:color w:val="auto"/>
          <w:sz w:val="32"/>
          <w:szCs w:val="32"/>
        </w:rPr>
        <w:t>、关于</w:t>
      </w:r>
      <w:r>
        <w:rPr>
          <w:rFonts w:hint="eastAsia" w:hAnsi="黑体"/>
          <w:b/>
          <w:color w:val="auto"/>
          <w:sz w:val="32"/>
          <w:szCs w:val="32"/>
          <w:lang w:eastAsia="zh-CN"/>
        </w:rPr>
        <w:t>2021</w:t>
      </w:r>
      <w:r>
        <w:rPr>
          <w:rFonts w:hint="eastAsia" w:hAnsi="黑体"/>
          <w:b/>
          <w:color w:val="auto"/>
          <w:sz w:val="32"/>
          <w:szCs w:val="32"/>
        </w:rPr>
        <w:t>年度预算绩效情况的说明</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本部门预算绩效管理开展情况、绩效目标和绩效评价报告等</w:t>
      </w:r>
      <w:r>
        <w:rPr>
          <w:rFonts w:hint="eastAsia" w:asciiTheme="minorEastAsia" w:hAnsiTheme="minorEastAsia" w:eastAsiaTheme="minorEastAsia"/>
          <w:color w:val="auto"/>
          <w:sz w:val="32"/>
          <w:szCs w:val="32"/>
          <w:lang w:val="en-US" w:eastAsia="zh-CN"/>
        </w:rPr>
        <w:t>见</w:t>
      </w:r>
      <w:r>
        <w:rPr>
          <w:rFonts w:hint="eastAsia" w:asciiTheme="minorEastAsia" w:hAnsiTheme="minorEastAsia" w:eastAsiaTheme="minorEastAsia"/>
          <w:color w:val="auto"/>
          <w:sz w:val="32"/>
          <w:szCs w:val="32"/>
        </w:rPr>
        <w:t>附件</w:t>
      </w:r>
      <w:r>
        <w:rPr>
          <w:rFonts w:hint="eastAsia" w:asciiTheme="minorEastAsia" w:hAnsiTheme="minorEastAsia" w:eastAsiaTheme="minorEastAsia"/>
          <w:color w:val="auto"/>
          <w:sz w:val="32"/>
          <w:szCs w:val="32"/>
          <w:lang w:eastAsia="zh-CN"/>
        </w:rPr>
        <w:t>。本单位无重点项目，因此无重点项目绩效报告。</w:t>
      </w:r>
    </w:p>
    <w:p>
      <w:pPr>
        <w:pStyle w:val="10"/>
        <w:jc w:val="center"/>
        <w:rPr>
          <w:color w:val="auto"/>
          <w:sz w:val="72"/>
          <w:szCs w:val="72"/>
        </w:rPr>
      </w:pPr>
    </w:p>
    <w:p>
      <w:pPr>
        <w:pStyle w:val="10"/>
        <w:jc w:val="center"/>
        <w:rPr>
          <w:color w:val="auto"/>
          <w:sz w:val="72"/>
          <w:szCs w:val="72"/>
        </w:rPr>
      </w:pPr>
    </w:p>
    <w:p>
      <w:pPr>
        <w:pStyle w:val="10"/>
        <w:jc w:val="center"/>
        <w:rPr>
          <w:color w:val="auto"/>
          <w:sz w:val="72"/>
          <w:szCs w:val="72"/>
        </w:rPr>
      </w:pPr>
    </w:p>
    <w:p>
      <w:pPr>
        <w:pStyle w:val="10"/>
        <w:jc w:val="center"/>
        <w:rPr>
          <w:color w:val="auto"/>
          <w:sz w:val="72"/>
          <w:szCs w:val="72"/>
        </w:rPr>
      </w:pPr>
    </w:p>
    <w:p>
      <w:pPr>
        <w:pStyle w:val="10"/>
        <w:jc w:val="center"/>
        <w:rPr>
          <w:color w:val="auto"/>
          <w:sz w:val="72"/>
          <w:szCs w:val="72"/>
        </w:rPr>
      </w:pPr>
    </w:p>
    <w:p>
      <w:pPr>
        <w:pStyle w:val="10"/>
        <w:jc w:val="both"/>
        <w:rPr>
          <w:rFonts w:hint="eastAsia"/>
          <w:color w:val="auto"/>
          <w:sz w:val="72"/>
          <w:szCs w:val="72"/>
        </w:rPr>
      </w:pPr>
    </w:p>
    <w:p>
      <w:pPr>
        <w:pStyle w:val="10"/>
        <w:jc w:val="both"/>
        <w:rPr>
          <w:rFonts w:hint="eastAsia"/>
          <w:color w:val="auto"/>
          <w:sz w:val="72"/>
          <w:szCs w:val="72"/>
        </w:rPr>
      </w:pPr>
    </w:p>
    <w:p>
      <w:pPr>
        <w:pStyle w:val="10"/>
        <w:jc w:val="both"/>
        <w:rPr>
          <w:rFonts w:hint="eastAsia"/>
          <w:color w:val="auto"/>
          <w:sz w:val="72"/>
          <w:szCs w:val="72"/>
        </w:rPr>
      </w:pPr>
    </w:p>
    <w:p>
      <w:pPr>
        <w:pStyle w:val="10"/>
        <w:jc w:val="center"/>
        <w:rPr>
          <w:rFonts w:hint="eastAsia"/>
          <w:color w:val="auto"/>
          <w:sz w:val="72"/>
          <w:szCs w:val="72"/>
        </w:rPr>
      </w:pPr>
      <w:r>
        <w:rPr>
          <w:rFonts w:hint="eastAsia"/>
          <w:color w:val="auto"/>
          <w:sz w:val="72"/>
          <w:szCs w:val="72"/>
        </w:rPr>
        <w:t>第四部分</w:t>
      </w:r>
    </w:p>
    <w:p>
      <w:pPr>
        <w:pStyle w:val="10"/>
        <w:jc w:val="center"/>
        <w:rPr>
          <w:rFonts w:hint="eastAsia"/>
          <w:color w:val="auto"/>
          <w:sz w:val="72"/>
          <w:szCs w:val="72"/>
        </w:rPr>
      </w:pPr>
    </w:p>
    <w:p>
      <w:pPr>
        <w:pStyle w:val="10"/>
        <w:jc w:val="center"/>
        <w:rPr>
          <w:rFonts w:hint="eastAsia"/>
          <w:color w:val="auto"/>
          <w:sz w:val="72"/>
          <w:szCs w:val="72"/>
        </w:rPr>
      </w:pPr>
      <w:r>
        <w:rPr>
          <w:rFonts w:hint="eastAsia"/>
          <w:color w:val="auto"/>
          <w:sz w:val="72"/>
          <w:szCs w:val="72"/>
        </w:rPr>
        <w:t>名词解释</w:t>
      </w:r>
    </w:p>
    <w:p>
      <w:pPr>
        <w:widowControl/>
        <w:jc w:val="left"/>
        <w:rPr>
          <w:rFonts w:ascii="黑体" w:eastAsia="黑体" w:cs="黑体"/>
          <w:color w:val="auto"/>
          <w:kern w:val="0"/>
          <w:sz w:val="70"/>
          <w:szCs w:val="70"/>
        </w:rPr>
      </w:pPr>
      <w:r>
        <w:rPr>
          <w:rFonts w:ascii="黑体" w:eastAsia="黑体" w:cs="黑体"/>
          <w:color w:val="auto"/>
          <w:kern w:val="0"/>
          <w:sz w:val="70"/>
          <w:szCs w:val="70"/>
        </w:rPr>
        <w:br w:type="page"/>
      </w:r>
    </w:p>
    <w:p>
      <w:pPr>
        <w:ind w:firstLine="640" w:firstLineChars="200"/>
        <w:jc w:val="left"/>
        <w:rPr>
          <w:rFonts w:cs="黑体" w:asciiTheme="minorEastAsia" w:hAnsiTheme="minorEastAsia"/>
          <w:color w:val="auto"/>
          <w:kern w:val="0"/>
          <w:sz w:val="32"/>
          <w:szCs w:val="32"/>
        </w:rPr>
      </w:pPr>
    </w:p>
    <w:p>
      <w:pPr>
        <w:ind w:firstLine="640" w:firstLineChars="200"/>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ind w:firstLine="640" w:firstLineChars="200"/>
        <w:rPr>
          <w:rFonts w:eastAsia="黑体" w:cs="黑体" w:asciiTheme="minorEastAsia" w:hAnsiTheme="minorEastAsia"/>
          <w:color w:val="auto"/>
          <w:kern w:val="0"/>
          <w:sz w:val="28"/>
          <w:szCs w:val="32"/>
        </w:rPr>
      </w:pPr>
      <w:r>
        <w:rPr>
          <w:rFonts w:hint="eastAsia" w:cs="黑体" w:asciiTheme="minorEastAsia" w:hAnsiTheme="minorEastAsia"/>
          <w:color w:val="auto"/>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0"/>
        <w:jc w:val="center"/>
        <w:rPr>
          <w:color w:val="auto"/>
          <w:sz w:val="72"/>
          <w:szCs w:val="72"/>
        </w:rPr>
      </w:pPr>
    </w:p>
    <w:p>
      <w:pPr>
        <w:pStyle w:val="10"/>
        <w:jc w:val="center"/>
        <w:rPr>
          <w:color w:val="auto"/>
          <w:sz w:val="72"/>
          <w:szCs w:val="72"/>
        </w:rPr>
      </w:pPr>
    </w:p>
    <w:p>
      <w:pPr>
        <w:pStyle w:val="10"/>
        <w:jc w:val="center"/>
        <w:rPr>
          <w:color w:val="auto"/>
          <w:sz w:val="72"/>
          <w:szCs w:val="72"/>
        </w:rPr>
      </w:pPr>
    </w:p>
    <w:p>
      <w:pPr>
        <w:pStyle w:val="10"/>
        <w:jc w:val="center"/>
        <w:rPr>
          <w:color w:val="auto"/>
          <w:sz w:val="72"/>
          <w:szCs w:val="72"/>
        </w:rPr>
      </w:pPr>
    </w:p>
    <w:p>
      <w:pPr>
        <w:pStyle w:val="10"/>
        <w:jc w:val="center"/>
        <w:rPr>
          <w:color w:val="auto"/>
          <w:sz w:val="72"/>
          <w:szCs w:val="72"/>
        </w:rPr>
      </w:pPr>
    </w:p>
    <w:p>
      <w:pPr>
        <w:pStyle w:val="10"/>
        <w:jc w:val="center"/>
        <w:rPr>
          <w:color w:val="auto"/>
          <w:sz w:val="72"/>
          <w:szCs w:val="72"/>
        </w:rPr>
      </w:pPr>
    </w:p>
    <w:p>
      <w:pPr>
        <w:pStyle w:val="10"/>
        <w:jc w:val="center"/>
        <w:rPr>
          <w:color w:val="auto"/>
          <w:sz w:val="72"/>
          <w:szCs w:val="72"/>
        </w:rPr>
      </w:pPr>
    </w:p>
    <w:p>
      <w:pPr>
        <w:pStyle w:val="10"/>
        <w:jc w:val="center"/>
        <w:rPr>
          <w:color w:val="auto"/>
          <w:sz w:val="72"/>
          <w:szCs w:val="72"/>
        </w:rPr>
      </w:pPr>
    </w:p>
    <w:p>
      <w:pPr>
        <w:pStyle w:val="10"/>
        <w:jc w:val="center"/>
        <w:rPr>
          <w:color w:val="auto"/>
          <w:sz w:val="72"/>
          <w:szCs w:val="72"/>
        </w:rPr>
      </w:pPr>
    </w:p>
    <w:p>
      <w:pPr>
        <w:pStyle w:val="10"/>
        <w:jc w:val="both"/>
        <w:rPr>
          <w:color w:val="auto"/>
          <w:sz w:val="72"/>
          <w:szCs w:val="72"/>
        </w:rPr>
      </w:pPr>
    </w:p>
    <w:p>
      <w:pPr>
        <w:pStyle w:val="10"/>
        <w:jc w:val="both"/>
        <w:rPr>
          <w:color w:val="auto"/>
          <w:sz w:val="72"/>
          <w:szCs w:val="72"/>
        </w:rPr>
      </w:pPr>
    </w:p>
    <w:p>
      <w:pPr>
        <w:pStyle w:val="10"/>
        <w:jc w:val="center"/>
        <w:rPr>
          <w:color w:val="auto"/>
          <w:sz w:val="72"/>
          <w:szCs w:val="72"/>
        </w:rPr>
      </w:pPr>
      <w:r>
        <w:rPr>
          <w:rFonts w:hint="eastAsia"/>
          <w:color w:val="auto"/>
          <w:sz w:val="72"/>
          <w:szCs w:val="72"/>
        </w:rPr>
        <w:t>第五部分</w:t>
      </w:r>
    </w:p>
    <w:p>
      <w:pPr>
        <w:jc w:val="center"/>
        <w:rPr>
          <w:rFonts w:ascii="黑体" w:eastAsia="黑体" w:cs="黑体"/>
          <w:color w:val="auto"/>
          <w:kern w:val="0"/>
          <w:sz w:val="70"/>
          <w:szCs w:val="70"/>
        </w:rPr>
      </w:pPr>
    </w:p>
    <w:p>
      <w:pPr>
        <w:jc w:val="center"/>
        <w:rPr>
          <w:rFonts w:ascii="黑体" w:eastAsia="黑体" w:cs="黑体"/>
          <w:color w:val="auto"/>
          <w:kern w:val="0"/>
          <w:sz w:val="70"/>
          <w:szCs w:val="70"/>
        </w:rPr>
      </w:pPr>
      <w:r>
        <w:rPr>
          <w:rFonts w:hint="eastAsia" w:ascii="黑体" w:eastAsia="黑体" w:cs="黑体"/>
          <w:color w:val="auto"/>
          <w:kern w:val="0"/>
          <w:sz w:val="70"/>
          <w:szCs w:val="70"/>
        </w:rPr>
        <w:t>附件</w:t>
      </w:r>
    </w:p>
    <w:p>
      <w:pPr>
        <w:widowControl/>
        <w:jc w:val="left"/>
        <w:rPr>
          <w:rFonts w:ascii="黑体" w:eastAsia="黑体" w:cs="黑体"/>
          <w:color w:val="auto"/>
          <w:kern w:val="0"/>
          <w:sz w:val="70"/>
          <w:szCs w:val="70"/>
        </w:rPr>
      </w:pPr>
    </w:p>
    <w:sectPr>
      <w:pgSz w:w="11906" w:h="16838"/>
      <w:pgMar w:top="1270" w:right="1247" w:bottom="1270" w:left="1247" w:header="851" w:footer="992" w:gutter="0"/>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DD4058"/>
    <w:multiLevelType w:val="singleLevel"/>
    <w:tmpl w:val="C5DD4058"/>
    <w:lvl w:ilvl="0" w:tentative="0">
      <w:start w:val="1"/>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3C29"/>
    <w:rsid w:val="001D0F5A"/>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1FB3389"/>
    <w:rsid w:val="05592245"/>
    <w:rsid w:val="06B438B4"/>
    <w:rsid w:val="071A6013"/>
    <w:rsid w:val="071B46F0"/>
    <w:rsid w:val="0B55730A"/>
    <w:rsid w:val="0CC22D7B"/>
    <w:rsid w:val="133B3FA9"/>
    <w:rsid w:val="162A21CC"/>
    <w:rsid w:val="17BF5EF1"/>
    <w:rsid w:val="1C0E24DD"/>
    <w:rsid w:val="1D4A7B20"/>
    <w:rsid w:val="1DCF471D"/>
    <w:rsid w:val="228F6A0D"/>
    <w:rsid w:val="25AB7D77"/>
    <w:rsid w:val="277F7C15"/>
    <w:rsid w:val="2C084DFD"/>
    <w:rsid w:val="2CC32648"/>
    <w:rsid w:val="2CD274B7"/>
    <w:rsid w:val="2F755A7A"/>
    <w:rsid w:val="2F9458E0"/>
    <w:rsid w:val="31C21E51"/>
    <w:rsid w:val="31C51929"/>
    <w:rsid w:val="32696CB3"/>
    <w:rsid w:val="34907C83"/>
    <w:rsid w:val="355F711E"/>
    <w:rsid w:val="375530FC"/>
    <w:rsid w:val="3C9E7618"/>
    <w:rsid w:val="3DB63911"/>
    <w:rsid w:val="3F3827AC"/>
    <w:rsid w:val="41BB01B1"/>
    <w:rsid w:val="446728AA"/>
    <w:rsid w:val="45552B81"/>
    <w:rsid w:val="458A27AC"/>
    <w:rsid w:val="45A95BBF"/>
    <w:rsid w:val="46695B4C"/>
    <w:rsid w:val="4761384A"/>
    <w:rsid w:val="493F6864"/>
    <w:rsid w:val="49A04937"/>
    <w:rsid w:val="4ABD7AC6"/>
    <w:rsid w:val="4DA2693E"/>
    <w:rsid w:val="526B3C75"/>
    <w:rsid w:val="53A315AD"/>
    <w:rsid w:val="55FE1380"/>
    <w:rsid w:val="58FE74EE"/>
    <w:rsid w:val="59A914E5"/>
    <w:rsid w:val="5AAE70AA"/>
    <w:rsid w:val="5CF75F50"/>
    <w:rsid w:val="5F100BE3"/>
    <w:rsid w:val="5F7C7776"/>
    <w:rsid w:val="616E212A"/>
    <w:rsid w:val="63B615BF"/>
    <w:rsid w:val="64E3189D"/>
    <w:rsid w:val="64E54F7F"/>
    <w:rsid w:val="6C01743B"/>
    <w:rsid w:val="6C2D1FAE"/>
    <w:rsid w:val="6D393A2B"/>
    <w:rsid w:val="71CD20B4"/>
    <w:rsid w:val="72A71937"/>
    <w:rsid w:val="79AB17C4"/>
    <w:rsid w:val="7D2A6446"/>
    <w:rsid w:val="7D727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16</Pages>
  <Words>3941</Words>
  <Characters>4262</Characters>
  <Lines>62</Lines>
  <Paragraphs>17</Paragraphs>
  <TotalTime>16</TotalTime>
  <ScaleCrop>false</ScaleCrop>
  <LinksUpToDate>false</LinksUpToDate>
  <CharactersWithSpaces>4276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非鱼</cp:lastModifiedBy>
  <cp:lastPrinted>2022-09-06T02:33:00Z</cp:lastPrinted>
  <dcterms:modified xsi:type="dcterms:W3CDTF">2023-10-06T02:13:39Z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E165F38F636949D9AB9152271EE1D5A6</vt:lpwstr>
  </property>
</Properties>
</file>