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2021年度</w:t>
      </w:r>
      <w:r>
        <w:rPr>
          <w:rFonts w:hint="eastAsia" w:ascii="Times New Roman" w:hAnsi="Times New Roman" w:eastAsia="方正小标宋_GBK" w:cs="Times New Roman"/>
          <w:sz w:val="52"/>
          <w:szCs w:val="52"/>
          <w:lang w:val="en-US" w:eastAsia="zh-CN"/>
        </w:rPr>
        <w:t>怀化市红十字会</w:t>
      </w:r>
      <w:r>
        <w:rPr>
          <w:rFonts w:ascii="Times New Roman" w:hAnsi="Times New Roman" w:eastAsia="方正小标宋_GBK" w:cs="Times New Roman"/>
          <w:sz w:val="52"/>
          <w:szCs w:val="52"/>
        </w:rPr>
        <w:t>整体支出</w:t>
      </w:r>
    </w:p>
    <w:p>
      <w:pPr>
        <w:jc w:val="center"/>
        <w:rPr>
          <w:rFonts w:ascii="Times New Roman" w:hAnsi="Times New Roman" w:eastAsia="方正小标宋_GBK" w:cs="Times New Roman"/>
          <w:sz w:val="52"/>
          <w:szCs w:val="52"/>
        </w:rPr>
      </w:pPr>
      <w:bookmarkStart w:id="0" w:name="_GoBack"/>
      <w:r>
        <w:rPr>
          <w:rFonts w:ascii="Times New Roman" w:hAnsi="Times New Roman" w:eastAsia="方正小标宋_GBK" w:cs="Times New Roman"/>
          <w:sz w:val="52"/>
          <w:szCs w:val="52"/>
        </w:rPr>
        <w:t>绩效自评报告</w:t>
      </w:r>
    </w:p>
    <w:bookmarkEnd w:id="0"/>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spacing w:line="600" w:lineRule="exact"/>
        <w:jc w:val="both"/>
        <w:rPr>
          <w:rFonts w:ascii="Times New Roman" w:hAnsi="Times New Roman" w:eastAsia="仿宋_GB2312" w:cs="Times New Roman"/>
          <w:sz w:val="32"/>
          <w:szCs w:val="32"/>
        </w:rPr>
      </w:pPr>
    </w:p>
    <w:p>
      <w:pPr>
        <w:spacing w:line="600" w:lineRule="exact"/>
        <w:ind w:firstLine="3200" w:firstLineChars="1000"/>
        <w:jc w:val="both"/>
        <w:rPr>
          <w:rFonts w:ascii="Times New Roman" w:hAnsi="Times New Roman" w:eastAsia="仿宋_GB2312" w:cs="Times New Roman"/>
          <w:sz w:val="32"/>
          <w:szCs w:val="32"/>
        </w:rPr>
      </w:pPr>
    </w:p>
    <w:p>
      <w:pPr>
        <w:spacing w:line="600" w:lineRule="exact"/>
        <w:ind w:firstLine="3200" w:firstLineChars="1000"/>
        <w:jc w:val="both"/>
        <w:rPr>
          <w:rFonts w:hint="default" w:ascii="Times New Roman" w:hAnsi="Times New Roman" w:eastAsia="仿宋_GB2312" w:cs="Times New Roman"/>
          <w:sz w:val="32"/>
          <w:szCs w:val="32"/>
          <w:u w:val="single"/>
          <w:lang w:val="en-US" w:eastAsia="zh-CN"/>
        </w:rPr>
      </w:pPr>
      <w:r>
        <w:rPr>
          <w:rFonts w:ascii="Times New Roman" w:hAnsi="Times New Roman" w:eastAsia="仿宋_GB2312" w:cs="Times New Roman"/>
          <w:sz w:val="32"/>
          <w:szCs w:val="32"/>
        </w:rPr>
        <w:t>单位名称：</w:t>
      </w:r>
      <w:r>
        <w:rPr>
          <w:rFonts w:hint="eastAsia" w:ascii="Times New Roman" w:hAnsi="Times New Roman" w:eastAsia="仿宋_GB2312" w:cs="Times New Roman"/>
          <w:sz w:val="32"/>
          <w:szCs w:val="32"/>
          <w:u w:val="single"/>
          <w:lang w:val="en-US" w:eastAsia="zh-CN"/>
        </w:rPr>
        <w:t>怀化市红十字会</w:t>
      </w:r>
    </w:p>
    <w:p>
      <w:pPr>
        <w:spacing w:line="60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 xml:space="preserve">     2022</w:t>
      </w:r>
      <w:r>
        <w:rPr>
          <w:rFonts w:ascii="Times New Roman" w:hAnsi="Times New Roman" w:eastAsia="楷体_GB2312" w:cs="Times New Roman"/>
          <w:sz w:val="32"/>
          <w:szCs w:val="32"/>
        </w:rPr>
        <w:t xml:space="preserve">年 </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月</w:t>
      </w:r>
      <w:r>
        <w:rPr>
          <w:rFonts w:hint="eastAsia" w:ascii="Times New Roman" w:hAnsi="Times New Roman" w:eastAsia="楷体_GB2312" w:cs="Times New Roman"/>
          <w:sz w:val="32"/>
          <w:szCs w:val="32"/>
          <w:lang w:val="en-US" w:eastAsia="zh-CN"/>
        </w:rPr>
        <w:t>27</w:t>
      </w:r>
      <w:r>
        <w:rPr>
          <w:rFonts w:ascii="Times New Roman" w:hAnsi="Times New Roman" w:eastAsia="楷体_GB2312" w:cs="Times New Roman"/>
          <w:sz w:val="32"/>
          <w:szCs w:val="32"/>
        </w:rPr>
        <w:t>日</w:t>
      </w:r>
    </w:p>
    <w:p>
      <w:pPr>
        <w:jc w:val="center"/>
        <w:rPr>
          <w:rFonts w:ascii="Times New Roman" w:hAnsi="Times New Roman" w:eastAsia="黑体" w:cs="Times New Roman"/>
          <w:sz w:val="32"/>
          <w:szCs w:val="32"/>
        </w:rPr>
      </w:pPr>
    </w:p>
    <w:p>
      <w:pPr>
        <w:jc w:val="both"/>
        <w:rPr>
          <w:rFonts w:hint="eastAsia" w:ascii="Times New Roman" w:hAnsi="Times New Roman" w:eastAsia="方正小标宋_GBK" w:cs="Times New Roman"/>
          <w:sz w:val="44"/>
          <w:szCs w:val="44"/>
          <w:lang w:val="en-US" w:eastAsia="zh-CN"/>
        </w:rPr>
      </w:pPr>
    </w:p>
    <w:p>
      <w:pPr>
        <w:jc w:val="both"/>
        <w:rPr>
          <w:rFonts w:hint="eastAsia" w:ascii="Times New Roman" w:hAnsi="Times New Roman" w:eastAsia="方正小标宋_GBK" w:cs="Times New Roman"/>
          <w:sz w:val="44"/>
          <w:szCs w:val="44"/>
          <w:lang w:val="en-US" w:eastAsia="zh-CN"/>
        </w:rPr>
      </w:pPr>
    </w:p>
    <w:p>
      <w:pPr>
        <w:jc w:val="both"/>
        <w:rPr>
          <w:rFonts w:hint="eastAsia" w:ascii="Times New Roman" w:hAnsi="Times New Roman" w:eastAsia="方正小标宋_GBK" w:cs="Times New Roman"/>
          <w:sz w:val="44"/>
          <w:szCs w:val="44"/>
          <w:lang w:val="en-US" w:eastAsia="zh-CN"/>
        </w:rPr>
      </w:pPr>
    </w:p>
    <w:p>
      <w:pPr>
        <w:jc w:val="center"/>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怀化市红十字会</w:t>
      </w:r>
    </w:p>
    <w:p>
      <w:pPr>
        <w:jc w:val="center"/>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2021年整体支出绩效评价报告</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根据《怀化市财政局关于开展2021年度市级财政资金绩效自评工作的通知》（怀财绩〔2022〕51号）的文件精神， 我会对部门整体支出进行了绩效评价，现报告如下:</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一、部门概况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（一）部门基本情况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uto"/>
          <w:sz w:val="28"/>
          <w:szCs w:val="28"/>
          <w:lang w:val="en-US" w:eastAsia="zh-CN"/>
        </w:rPr>
        <w:t>机构和人数：</w:t>
      </w:r>
      <w:r>
        <w:rPr>
          <w:rFonts w:hint="eastAsia" w:ascii="仿宋_GB2312" w:hAnsi="仿宋_GB2312" w:eastAsia="仿宋_GB2312" w:cs="仿宋_GB2312"/>
          <w:color w:val="auto"/>
          <w:sz w:val="28"/>
          <w:szCs w:val="28"/>
          <w:lang w:val="en-US" w:eastAsia="zh-CN"/>
        </w:rPr>
        <w:t>怀化市红十字会是财政全额拨款参公管理的事业单位，我会内设四个部室（副科级）：办公室（对外联络部）、筹资与财务部、赈济救护部、组织宣传部（推动无偿献血办公室），全额拨款事业编制9名，会长由相关领导兼任，设专职副会长（副处级）1名，秘书长（正科级）1名，专职副监事长（正科级）1名，科长（副科级）4名。目前，实有在编人员5名，其中专职副会长1名，二级调研员1名，工作人员3名，财政供应人员控制率55.56%，未超过编制，控制较好。</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主要职责：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1.宣传、执行《中华人民共和国红十字会法》等相关法律法规以及国际红十字和红新月运动的基本原则和日内瓦公约及其附加议定书，并依照有关规定开展工作，传播红十字运动基本知识；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2.指导全市各级红十字会开展工作，加强对冠名红十字医疗机构、红十字会员单位的组织管理和服务，组织开展红十字志愿服务、红十字青少年工作；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3.开展救援、救灾的相关工作，建立红十字应急救援体系。在战争、武装冲突和自然灾害、事故灾难、公共卫生事件等突发事件中，对伤病人员和其他受害者提供紧急救援和人道救助；</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4.开展应急救护培训，普及应急救护、防灾避险和卫生健康知识，组织志愿者参与现场救护；</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5.参与、推动无偿献血、遗体和人体器官捐献工作，组织开展造血干细胞捐献的相关工作，协助政府部门开展无偿献血的宣传和表彰工作；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6.依法募集物资和款项，接受、处理境内外组织和个人的捐赠。加强对捐赠款物管理和使用的监督。开展网上红十字工作，严格执行信息公开制度；</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7.兴办符合红十字会宗旨的社会福利事业、健康产业和经济实体，并直接进行管理；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8.依照国际红十字运动原则，发展与港澳台地区红十字组织、境外红十字会、红新月会的合作和交流活动；9.完成市委和市政府交办的其他任务。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 w:hAnsi="仿宋" w:eastAsia="仿宋" w:cs="仿宋"/>
          <w:b/>
          <w:bCs/>
          <w:sz w:val="28"/>
          <w:szCs w:val="28"/>
          <w:highlight w:val="none"/>
          <w:lang w:val="en-US" w:eastAsia="zh-CN"/>
        </w:rPr>
        <w:t>重点工作：</w:t>
      </w:r>
      <w:r>
        <w:rPr>
          <w:rFonts w:hint="eastAsia" w:ascii="仿宋_GB2312" w:hAnsi="仿宋_GB2312" w:eastAsia="仿宋_GB2312" w:cs="仿宋_GB2312"/>
          <w:color w:val="auto"/>
          <w:sz w:val="28"/>
          <w:szCs w:val="28"/>
          <w:lang w:val="en-US" w:eastAsia="zh-CN"/>
        </w:rPr>
        <w:t>1.切实加强党的建设，确保事业科学发展；2.着力推进核心业务工作，提高人道服务水平；3.勇于创新工作方法，提升红十字公信力。</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（二）部门整体支出规模、使用方向和主要内容、涉及范围</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1、2021年部门预算情况</w:t>
      </w:r>
      <w:r>
        <w:rPr>
          <w:rFonts w:hint="default" w:ascii="仿宋_GB2312" w:hAnsi="仿宋_GB2312" w:eastAsia="仿宋_GB2312" w:cs="仿宋_GB2312"/>
          <w:color w:val="auto"/>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2021年我会年初预算数81.99万元，其中，一般公共预算拨款81.99万元</w:t>
      </w:r>
      <w:r>
        <w:rPr>
          <w:rFonts w:hint="default" w:ascii="仿宋_GB2312" w:hAnsi="仿宋_GB2312" w:eastAsia="仿宋_GB2312" w:cs="仿宋_GB2312"/>
          <w:color w:val="auto"/>
          <w:sz w:val="28"/>
          <w:szCs w:val="28"/>
          <w:lang w:val="en-US" w:eastAsia="zh-CN"/>
        </w:rPr>
        <w:t>。年初支出总预算</w:t>
      </w:r>
      <w:r>
        <w:rPr>
          <w:rFonts w:hint="eastAsia" w:ascii="仿宋_GB2312" w:hAnsi="仿宋_GB2312" w:eastAsia="仿宋_GB2312" w:cs="仿宋_GB2312"/>
          <w:color w:val="auto"/>
          <w:sz w:val="28"/>
          <w:szCs w:val="28"/>
          <w:lang w:val="en-US" w:eastAsia="zh-CN"/>
        </w:rPr>
        <w:t>81.99</w:t>
      </w:r>
      <w:r>
        <w:rPr>
          <w:rFonts w:hint="default" w:ascii="仿宋_GB2312" w:hAnsi="仿宋_GB2312" w:eastAsia="仿宋_GB2312" w:cs="仿宋_GB2312"/>
          <w:color w:val="auto"/>
          <w:sz w:val="28"/>
          <w:szCs w:val="28"/>
          <w:lang w:val="en-US" w:eastAsia="zh-CN"/>
        </w:rPr>
        <w:t>万元，</w:t>
      </w:r>
      <w:r>
        <w:rPr>
          <w:rFonts w:hint="eastAsia" w:ascii="仿宋_GB2312" w:hAnsi="仿宋_GB2312" w:eastAsia="仿宋_GB2312" w:cs="仿宋_GB2312"/>
          <w:color w:val="auto"/>
          <w:sz w:val="28"/>
          <w:szCs w:val="28"/>
          <w:lang w:val="en-US" w:eastAsia="zh-CN"/>
        </w:rPr>
        <w:t>其中，主要是工资福利支出28.12万元、商品和服务支出41.61万元和对个人和家庭的补助12.26万元。</w:t>
      </w:r>
      <w:r>
        <w:rPr>
          <w:rFonts w:hint="default" w:ascii="仿宋_GB2312" w:hAnsi="仿宋_GB2312" w:eastAsia="仿宋_GB2312" w:cs="仿宋_GB2312"/>
          <w:color w:val="auto"/>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w:t>
      </w:r>
      <w:r>
        <w:rPr>
          <w:rFonts w:hint="default" w:ascii="仿宋_GB2312" w:hAnsi="仿宋_GB2312" w:eastAsia="仿宋_GB2312" w:cs="仿宋_GB2312"/>
          <w:color w:val="auto"/>
          <w:sz w:val="28"/>
          <w:szCs w:val="28"/>
          <w:lang w:val="en-US" w:eastAsia="zh-CN"/>
        </w:rPr>
        <w:t>年收入预算调整数</w:t>
      </w:r>
      <w:r>
        <w:rPr>
          <w:rFonts w:hint="eastAsia" w:ascii="仿宋_GB2312" w:hAnsi="仿宋_GB2312" w:eastAsia="仿宋_GB2312" w:cs="仿宋_GB2312"/>
          <w:color w:val="auto"/>
          <w:sz w:val="28"/>
          <w:szCs w:val="28"/>
          <w:lang w:val="en-US" w:eastAsia="zh-CN"/>
        </w:rPr>
        <w:t>29.93</w:t>
      </w:r>
      <w:r>
        <w:rPr>
          <w:rFonts w:hint="default" w:ascii="仿宋_GB2312" w:hAnsi="仿宋_GB2312" w:eastAsia="仿宋_GB2312" w:cs="仿宋_GB2312"/>
          <w:color w:val="auto"/>
          <w:sz w:val="28"/>
          <w:szCs w:val="28"/>
          <w:lang w:val="en-US" w:eastAsia="zh-CN"/>
        </w:rPr>
        <w:t>万元，其中财政拨款收入调整预算数</w:t>
      </w:r>
      <w:r>
        <w:rPr>
          <w:rFonts w:hint="eastAsia" w:ascii="仿宋_GB2312" w:hAnsi="仿宋_GB2312" w:eastAsia="仿宋_GB2312" w:cs="仿宋_GB2312"/>
          <w:color w:val="auto"/>
          <w:sz w:val="28"/>
          <w:szCs w:val="28"/>
          <w:lang w:val="en-US" w:eastAsia="zh-CN"/>
        </w:rPr>
        <w:t>29.93</w:t>
      </w:r>
      <w:r>
        <w:rPr>
          <w:rFonts w:hint="default" w:ascii="仿宋_GB2312" w:hAnsi="仿宋_GB2312" w:eastAsia="仿宋_GB2312" w:cs="仿宋_GB2312"/>
          <w:color w:val="auto"/>
          <w:sz w:val="28"/>
          <w:szCs w:val="28"/>
          <w:lang w:val="en-US" w:eastAsia="zh-CN"/>
        </w:rPr>
        <w:t>万元</w:t>
      </w:r>
      <w:r>
        <w:rPr>
          <w:rFonts w:hint="eastAsia" w:ascii="仿宋_GB2312" w:hAnsi="仿宋_GB2312" w:eastAsia="仿宋_GB2312" w:cs="仿宋_GB2312"/>
          <w:color w:val="auto"/>
          <w:sz w:val="28"/>
          <w:szCs w:val="28"/>
          <w:lang w:val="en-US" w:eastAsia="zh-CN"/>
        </w:rPr>
        <w:t>，</w:t>
      </w:r>
      <w:r>
        <w:rPr>
          <w:rFonts w:hint="default" w:ascii="仿宋_GB2312" w:hAnsi="仿宋_GB2312" w:eastAsia="仿宋_GB2312" w:cs="仿宋_GB2312"/>
          <w:color w:val="auto"/>
          <w:sz w:val="28"/>
          <w:szCs w:val="28"/>
          <w:lang w:val="en-US" w:eastAsia="zh-CN"/>
        </w:rPr>
        <w:t>支出预算调整预算数</w:t>
      </w:r>
      <w:r>
        <w:rPr>
          <w:rFonts w:hint="eastAsia" w:ascii="仿宋_GB2312" w:hAnsi="仿宋_GB2312" w:eastAsia="仿宋_GB2312" w:cs="仿宋_GB2312"/>
          <w:color w:val="auto"/>
          <w:sz w:val="28"/>
          <w:szCs w:val="28"/>
          <w:lang w:val="en-US" w:eastAsia="zh-CN"/>
        </w:rPr>
        <w:t>31.29</w:t>
      </w:r>
      <w:r>
        <w:rPr>
          <w:rFonts w:hint="default" w:ascii="仿宋_GB2312" w:hAnsi="仿宋_GB2312" w:eastAsia="仿宋_GB2312" w:cs="仿宋_GB2312"/>
          <w:color w:val="auto"/>
          <w:sz w:val="28"/>
          <w:szCs w:val="28"/>
          <w:lang w:val="en-US" w:eastAsia="zh-CN"/>
        </w:rPr>
        <w:t>万元，与年初预算安排的差额主要是追加预算</w:t>
      </w:r>
      <w:r>
        <w:rPr>
          <w:rFonts w:hint="eastAsia" w:ascii="仿宋_GB2312" w:hAnsi="仿宋_GB2312" w:eastAsia="仿宋_GB2312" w:cs="仿宋_GB2312"/>
          <w:color w:val="auto"/>
          <w:sz w:val="28"/>
          <w:szCs w:val="28"/>
          <w:lang w:val="en-US" w:eastAsia="zh-CN"/>
        </w:rPr>
        <w:t>绩效奖、春节一次性补助等。</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2、2021</w:t>
      </w:r>
      <w:r>
        <w:rPr>
          <w:rFonts w:hint="default" w:ascii="仿宋_GB2312" w:hAnsi="仿宋_GB2312" w:eastAsia="仿宋_GB2312" w:cs="仿宋_GB2312"/>
          <w:color w:val="auto"/>
          <w:sz w:val="28"/>
          <w:szCs w:val="28"/>
          <w:lang w:val="en-US" w:eastAsia="zh-CN"/>
        </w:rPr>
        <w:t>年部门决算情况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w:t>
      </w:r>
      <w:r>
        <w:rPr>
          <w:rFonts w:hint="default" w:ascii="仿宋_GB2312" w:hAnsi="仿宋_GB2312" w:eastAsia="仿宋_GB2312" w:cs="仿宋_GB2312"/>
          <w:color w:val="auto"/>
          <w:sz w:val="28"/>
          <w:szCs w:val="28"/>
          <w:lang w:val="en-US" w:eastAsia="zh-CN"/>
        </w:rPr>
        <w:t>年度决算总收入</w:t>
      </w:r>
      <w:r>
        <w:rPr>
          <w:rFonts w:hint="eastAsia" w:ascii="仿宋_GB2312" w:hAnsi="仿宋_GB2312" w:eastAsia="仿宋_GB2312" w:cs="仿宋_GB2312"/>
          <w:color w:val="auto"/>
          <w:sz w:val="28"/>
          <w:szCs w:val="28"/>
          <w:lang w:val="en-US" w:eastAsia="zh-CN"/>
        </w:rPr>
        <w:t>111.92</w:t>
      </w:r>
      <w:r>
        <w:rPr>
          <w:rFonts w:hint="default" w:ascii="仿宋_GB2312" w:hAnsi="仿宋_GB2312" w:eastAsia="仿宋_GB2312" w:cs="仿宋_GB2312"/>
          <w:color w:val="auto"/>
          <w:sz w:val="28"/>
          <w:szCs w:val="28"/>
          <w:lang w:val="en-US" w:eastAsia="zh-CN"/>
        </w:rPr>
        <w:t>万元</w:t>
      </w:r>
      <w:r>
        <w:rPr>
          <w:rFonts w:hint="eastAsia" w:ascii="仿宋_GB2312" w:hAnsi="仿宋_GB2312" w:eastAsia="仿宋_GB2312" w:cs="仿宋_GB2312"/>
          <w:color w:val="auto"/>
          <w:sz w:val="28"/>
          <w:szCs w:val="28"/>
          <w:lang w:val="en-US" w:eastAsia="zh-CN"/>
        </w:rPr>
        <w:t>。2020</w:t>
      </w:r>
      <w:r>
        <w:rPr>
          <w:rFonts w:hint="default" w:ascii="仿宋_GB2312" w:hAnsi="仿宋_GB2312" w:eastAsia="仿宋_GB2312" w:cs="仿宋_GB2312"/>
          <w:color w:val="auto"/>
          <w:sz w:val="28"/>
          <w:szCs w:val="28"/>
          <w:lang w:val="en-US" w:eastAsia="zh-CN"/>
        </w:rPr>
        <w:t>年度决算总支出</w:t>
      </w:r>
      <w:r>
        <w:rPr>
          <w:rFonts w:hint="eastAsia" w:ascii="仿宋_GB2312" w:hAnsi="仿宋_GB2312" w:eastAsia="仿宋_GB2312" w:cs="仿宋_GB2312"/>
          <w:color w:val="auto"/>
          <w:sz w:val="28"/>
          <w:szCs w:val="28"/>
          <w:lang w:val="en-US" w:eastAsia="zh-CN"/>
        </w:rPr>
        <w:t>113.28</w:t>
      </w:r>
      <w:r>
        <w:rPr>
          <w:rFonts w:hint="default" w:ascii="仿宋_GB2312" w:hAnsi="仿宋_GB2312" w:eastAsia="仿宋_GB2312" w:cs="仿宋_GB2312"/>
          <w:color w:val="auto"/>
          <w:sz w:val="28"/>
          <w:szCs w:val="28"/>
          <w:lang w:val="en-US" w:eastAsia="zh-CN"/>
        </w:rPr>
        <w:t>万元，</w:t>
      </w:r>
      <w:r>
        <w:rPr>
          <w:rFonts w:hint="eastAsia" w:ascii="仿宋_GB2312" w:hAnsi="仿宋_GB2312" w:eastAsia="仿宋_GB2312" w:cs="仿宋_GB2312"/>
          <w:color w:val="auto"/>
          <w:sz w:val="28"/>
          <w:szCs w:val="28"/>
          <w:lang w:val="en-US" w:eastAsia="zh-CN"/>
        </w:rPr>
        <w:t>为基本支出。2021</w:t>
      </w:r>
      <w:r>
        <w:rPr>
          <w:rFonts w:hint="default" w:ascii="仿宋_GB2312" w:hAnsi="仿宋_GB2312" w:eastAsia="仿宋_GB2312" w:cs="仿宋_GB2312"/>
          <w:color w:val="auto"/>
          <w:sz w:val="28"/>
          <w:szCs w:val="28"/>
          <w:lang w:val="en-US" w:eastAsia="zh-CN"/>
        </w:rPr>
        <w:t>年年末</w:t>
      </w:r>
      <w:r>
        <w:rPr>
          <w:rFonts w:hint="eastAsia" w:ascii="仿宋_GB2312" w:hAnsi="仿宋_GB2312" w:eastAsia="仿宋_GB2312" w:cs="仿宋_GB2312"/>
          <w:color w:val="auto"/>
          <w:sz w:val="28"/>
          <w:szCs w:val="28"/>
          <w:lang w:val="en-US" w:eastAsia="zh-CN"/>
        </w:rPr>
        <w:t>无</w:t>
      </w:r>
      <w:r>
        <w:rPr>
          <w:rFonts w:hint="default" w:ascii="仿宋_GB2312" w:hAnsi="仿宋_GB2312" w:eastAsia="仿宋_GB2312" w:cs="仿宋_GB2312"/>
          <w:color w:val="auto"/>
          <w:sz w:val="28"/>
          <w:szCs w:val="28"/>
          <w:lang w:val="en-US" w:eastAsia="zh-CN"/>
        </w:rPr>
        <w:t>结转和结余</w:t>
      </w:r>
      <w:r>
        <w:rPr>
          <w:rFonts w:hint="eastAsia" w:ascii="仿宋_GB2312" w:hAnsi="仿宋_GB2312" w:eastAsia="仿宋_GB2312" w:cs="仿宋_GB2312"/>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二、部门整体支出管理及使用情况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（一）基本支出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2021年基本支出113.28万元，主要用于保障单位正常运转、完成日常工作任务而发生的支出，其中，人员经费支出74.12万元、日常公用经费支出39.16万元。具体包括：</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1、工资福利支出67.45万元。主要包括在职人员工资、政策规定津贴、奖金、基本养老保险、基本医疗保险、生育基金、工伤保险等支出，同比上年51.27万元减少31.56%。</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2、一般商品和服务支出39.16万元。包括日常运行正常办公费、印刷费、差旅费、维修（护）费、培训费、劳务费、“三公经费”、其他商品服务支出等，同比上年36.29万元增加支出7.9%。</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uto"/>
          <w:sz w:val="28"/>
          <w:szCs w:val="28"/>
          <w:lang w:val="en-US" w:eastAsia="zh-CN"/>
        </w:rPr>
        <w:t>“三公”经费方面。</w:t>
      </w:r>
      <w:r>
        <w:rPr>
          <w:rFonts w:hint="eastAsia" w:ascii="仿宋_GB2312" w:hAnsi="仿宋_GB2312" w:eastAsia="仿宋_GB2312" w:cs="仿宋_GB2312"/>
          <w:color w:val="auto"/>
          <w:sz w:val="28"/>
          <w:szCs w:val="28"/>
          <w:lang w:val="en-US" w:eastAsia="zh-CN"/>
        </w:rPr>
        <w:t>公务接待费实际开支0.35万元，较上年减少支出0.63万元；公车运行维护费实际开支0万元，较上年减少支出2.74万元，原因为公车移交公车办管理；无任何出国出境考察开支。</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uto"/>
          <w:sz w:val="28"/>
          <w:szCs w:val="28"/>
          <w:lang w:val="en-US" w:eastAsia="zh-CN"/>
        </w:rPr>
        <w:t>会议费、培训费。</w:t>
      </w:r>
      <w:r>
        <w:rPr>
          <w:rFonts w:hint="eastAsia" w:ascii="仿宋_GB2312" w:hAnsi="仿宋_GB2312" w:eastAsia="仿宋_GB2312" w:cs="仿宋_GB2312"/>
          <w:color w:val="auto"/>
          <w:sz w:val="28"/>
          <w:szCs w:val="28"/>
          <w:lang w:val="en-US" w:eastAsia="zh-CN"/>
        </w:rPr>
        <w:t>会议费开支0.71万元，较上年增加支出0.71万元；培训费0.83万元，较上年3.30万元减少支出2.47万元。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3、对个人和家庭补助支出6.67万元。主要包括退休人员春节一次性生活补助等支出，同比上年18.16万元减少开支63.27%。</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（二）专项支出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专项支出指单位为完成特定行政工作任务或事业发展目标而发生的支出，包括有关事业发展专项、专项业务费、基本建设支出等。2021年度无市本级财政安排的专项项目。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三、部门专项组织实施情况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（一）专项组织情况分析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2021年度无市本级财政安排的专项项目。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 xml:space="preserve">（二）专项管理情况分析 </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2021年度无市本级财政安排的专项项目。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四、资产管理情况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我会严格按照中华人民共和国财政部令第35号《行政单位国有资产管理暂行办法》、怀化市人民政府《关于印发〈怀化市本级行政事业单位国有资产管理办法〉的通知》的相关规定，规范国有资产管理。制定了《怀化市红十字会资产业务管理制度》，严格规范单位资产管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五、部门整体支出绩效情况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年，在市委、市政府的正确领导和省红十字会的具体指导下，我会坚持以习近平总书记系列重要讲话精神为指导，秉承“人道、博爱、奉献”的红十字精神，围绕全市工作大局和年度工作目标，充分发挥人道领域联系群众的桥梁和纽带作用，积极履职，扎实工作,营造良好的红十字工作新局面，较好地完成了年度工作任务。对照怀财绩〔2022〕51号文件规定的考核指标，我会从经济性、效率性、有效性和可持续性等对2021年部门整体支出绩效开展了评价，自评得分95分，具体情况如下：</w:t>
      </w:r>
    </w:p>
    <w:p>
      <w:pPr>
        <w:keepNext w:val="0"/>
        <w:keepLines w:val="0"/>
        <w:pageBreakBefore w:val="0"/>
        <w:widowControl w:val="0"/>
        <w:kinsoku/>
        <w:wordWrap/>
        <w:overflowPunct/>
        <w:topLinePunct w:val="0"/>
        <w:autoSpaceDE/>
        <w:autoSpaceDN/>
        <w:bidi w:val="0"/>
        <w:adjustRightInd/>
        <w:snapToGrid/>
        <w:spacing w:line="600" w:lineRule="exact"/>
        <w:ind w:firstLine="552" w:firstLineChars="200"/>
        <w:textAlignment w:val="auto"/>
        <w:rPr>
          <w:rFonts w:ascii="仿宋" w:hAnsi="仿宋" w:eastAsia="仿宋"/>
          <w:b/>
          <w:bCs/>
          <w:spacing w:val="-2"/>
          <w:sz w:val="28"/>
          <w:szCs w:val="28"/>
          <w:highlight w:val="none"/>
        </w:rPr>
      </w:pPr>
      <w:r>
        <w:rPr>
          <w:rFonts w:hint="eastAsia" w:ascii="仿宋" w:hAnsi="仿宋" w:eastAsia="仿宋"/>
          <w:b/>
          <w:bCs/>
          <w:spacing w:val="-2"/>
          <w:sz w:val="28"/>
          <w:szCs w:val="28"/>
          <w:highlight w:val="none"/>
          <w:lang w:eastAsia="zh-CN"/>
        </w:rPr>
        <w:t>（</w:t>
      </w:r>
      <w:r>
        <w:rPr>
          <w:rFonts w:hint="eastAsia" w:ascii="仿宋" w:hAnsi="仿宋" w:eastAsia="仿宋"/>
          <w:b/>
          <w:bCs/>
          <w:spacing w:val="-2"/>
          <w:sz w:val="28"/>
          <w:szCs w:val="28"/>
          <w:highlight w:val="none"/>
          <w:lang w:val="en-US" w:eastAsia="zh-CN"/>
        </w:rPr>
        <w:t>一</w:t>
      </w:r>
      <w:r>
        <w:rPr>
          <w:rFonts w:hint="eastAsia" w:ascii="仿宋" w:hAnsi="仿宋" w:eastAsia="仿宋"/>
          <w:b/>
          <w:bCs/>
          <w:spacing w:val="-2"/>
          <w:sz w:val="28"/>
          <w:szCs w:val="28"/>
          <w:highlight w:val="none"/>
          <w:lang w:eastAsia="zh-CN"/>
        </w:rPr>
        <w:t>）</w:t>
      </w:r>
      <w:r>
        <w:rPr>
          <w:rFonts w:ascii="仿宋" w:hAnsi="仿宋" w:eastAsia="仿宋"/>
          <w:b/>
          <w:bCs/>
          <w:spacing w:val="-2"/>
          <w:sz w:val="28"/>
          <w:szCs w:val="28"/>
          <w:highlight w:val="none"/>
        </w:rPr>
        <w:t>经济性分析</w:t>
      </w:r>
    </w:p>
    <w:p>
      <w:pPr>
        <w:keepNext w:val="0"/>
        <w:keepLines w:val="0"/>
        <w:pageBreakBefore w:val="0"/>
        <w:widowControl w:val="0"/>
        <w:kinsoku/>
        <w:wordWrap/>
        <w:overflowPunct/>
        <w:topLinePunct w:val="0"/>
        <w:autoSpaceDE/>
        <w:autoSpaceDN/>
        <w:bidi w:val="0"/>
        <w:adjustRightInd/>
        <w:snapToGrid/>
        <w:spacing w:line="600" w:lineRule="exact"/>
        <w:ind w:firstLine="276" w:firstLineChars="100"/>
        <w:textAlignment w:val="auto"/>
        <w:rPr>
          <w:rFonts w:hint="eastAsia" w:ascii="仿宋_GB2312" w:hAnsi="仿宋_GB2312" w:eastAsia="仿宋_GB2312" w:cs="仿宋_GB2312"/>
          <w:color w:val="auto"/>
          <w:sz w:val="28"/>
          <w:szCs w:val="28"/>
          <w:lang w:val="en-US" w:eastAsia="zh-CN"/>
        </w:rPr>
      </w:pPr>
      <w:r>
        <w:rPr>
          <w:rFonts w:hint="eastAsia" w:ascii="仿宋" w:hAnsi="仿宋" w:eastAsia="仿宋"/>
          <w:spacing w:val="-2"/>
          <w:sz w:val="28"/>
          <w:szCs w:val="28"/>
          <w:highlight w:val="none"/>
          <w:lang w:val="en-US" w:eastAsia="zh-CN"/>
        </w:rPr>
        <w:t xml:space="preserve"> </w:t>
      </w:r>
      <w:r>
        <w:rPr>
          <w:rFonts w:hint="eastAsia" w:ascii="仿宋_GB2312" w:hAnsi="仿宋_GB2312" w:eastAsia="仿宋_GB2312" w:cs="仿宋_GB2312"/>
          <w:color w:val="auto"/>
          <w:sz w:val="28"/>
          <w:szCs w:val="28"/>
          <w:lang w:val="en-US" w:eastAsia="zh-CN"/>
        </w:rPr>
        <w:t xml:space="preserve"> 2021年年初预算81.99万元，年中追加预算29.93万元，成本（预算）控制良好。   </w:t>
      </w:r>
    </w:p>
    <w:p>
      <w:pPr>
        <w:keepNext w:val="0"/>
        <w:keepLines w:val="0"/>
        <w:pageBreakBefore w:val="0"/>
        <w:widowControl w:val="0"/>
        <w:kinsoku/>
        <w:wordWrap/>
        <w:overflowPunct/>
        <w:topLinePunct w:val="0"/>
        <w:autoSpaceDE/>
        <w:autoSpaceDN/>
        <w:bidi w:val="0"/>
        <w:adjustRightInd/>
        <w:snapToGrid/>
        <w:spacing w:line="600" w:lineRule="exact"/>
        <w:ind w:firstLine="552" w:firstLineChars="200"/>
        <w:textAlignment w:val="auto"/>
        <w:rPr>
          <w:rFonts w:ascii="仿宋" w:hAnsi="仿宋" w:eastAsia="仿宋" w:cs="Times New Roman"/>
          <w:b/>
          <w:bCs/>
          <w:spacing w:val="-2"/>
          <w:sz w:val="28"/>
          <w:szCs w:val="28"/>
          <w:highlight w:val="none"/>
        </w:rPr>
      </w:pPr>
      <w:r>
        <w:rPr>
          <w:rFonts w:hint="eastAsia" w:ascii="仿宋" w:hAnsi="仿宋" w:eastAsia="仿宋" w:cs="Times New Roman"/>
          <w:b/>
          <w:bCs/>
          <w:spacing w:val="-2"/>
          <w:sz w:val="28"/>
          <w:szCs w:val="28"/>
          <w:highlight w:val="none"/>
          <w:lang w:eastAsia="zh-CN"/>
        </w:rPr>
        <w:t>（</w:t>
      </w:r>
      <w:r>
        <w:rPr>
          <w:rFonts w:hint="eastAsia" w:ascii="仿宋" w:hAnsi="仿宋" w:eastAsia="仿宋" w:cs="Times New Roman"/>
          <w:b/>
          <w:bCs/>
          <w:spacing w:val="-2"/>
          <w:sz w:val="28"/>
          <w:szCs w:val="28"/>
          <w:highlight w:val="none"/>
          <w:lang w:val="en-US" w:eastAsia="zh-CN"/>
        </w:rPr>
        <w:t>二</w:t>
      </w:r>
      <w:r>
        <w:rPr>
          <w:rFonts w:hint="eastAsia" w:ascii="仿宋" w:hAnsi="仿宋" w:eastAsia="仿宋" w:cs="Times New Roman"/>
          <w:b/>
          <w:bCs/>
          <w:spacing w:val="-2"/>
          <w:sz w:val="28"/>
          <w:szCs w:val="28"/>
          <w:highlight w:val="none"/>
          <w:lang w:eastAsia="zh-CN"/>
        </w:rPr>
        <w:t>）</w:t>
      </w:r>
      <w:r>
        <w:rPr>
          <w:rFonts w:ascii="仿宋" w:hAnsi="仿宋" w:eastAsia="仿宋" w:cs="Times New Roman"/>
          <w:b/>
          <w:bCs/>
          <w:spacing w:val="-2"/>
          <w:sz w:val="28"/>
          <w:szCs w:val="28"/>
          <w:highlight w:val="none"/>
        </w:rPr>
        <w:t>效率性分析</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1、召开全市红会系统工作会议，规划事业发展</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月30日，召开2021年怀化市红十字会系统工作会议，市人民政府副秘书长谌启业、市红十字会常务副会长欧家好以及各县市区卫健局分管红十字工作的领导、红十字会专职副会长、秘书长，部分红十字医院院长和市红十字志愿服务队负责人参加。会议全面总结回顾了2020年全市红十字工作，安排部署2021年工作。对2020年工作表现突出的7个县市区和2个志愿者服务队进行了表彰。会议要求全市各级红十字会要充分抓住改革机遇，尽快理顺体制，站在发展“三高四新”战略的高度、围绕党委政府工作大局创新性地开展工作，更好地服务于社会、服务于民生。</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2、出台《怀化市红十字会改革方案》，推进机构改革</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根据《湖南省红十字会改革方案》（湘办发〔2020〕3号)精神，结合我市实际，经过征求多部门意见、向主要领导汇报，4月22日市委深改委第十三次会议审议通过了《怀化市红十字会改革方案》（送审稿），并于5月18日出台了《中共怀化市委办公室 怀化市人民政府办公室关于印发&lt;怀化市红十字会改革方案&gt;的通知》（怀办发〔2021〕4号)，文件确定“增设市红十字会监事会；调整优化市红十字会内设机构，成立四个部室；落实全面从严治党主体责任，市、县两级红十字会按规定设立党组；全面理顺县市区红十字会管理体制，实行独立建制，列入群团序列管理；要求在2021年9月底前全面完成市县两级红十字会各项改革任务”等。7月10日，《中共怀化市委机构编制委员会 关于怀化市红十字会有关机构编制事项的批复》（怀编〔2021〕22号），明确调整后市红十字会全额拨款事业编制9名，内设机构4个（副科级），会长由相关领导兼任，设专职副会长（副处级）1名，秘书长（正科级）1名，专职副监事长（正科级）1名，科长（副科级）4名。目前市红十字会改革已基本完成，正在着手进行人员配备和改革措施落实等工作。</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为推进县市区红十字会改革，9月10日，召开了全市红十字会改革工作推进会议，会议由市人民政府副秘书长谌启业主持，市人民政府副市长欧阳明、市红十字会专职副会长舒象连、市委组织部、市委编办、怀化高新区、怀化经开区分管负责人，各县市区人民政府分管副县（市、区）长和红十字会主要负责人参加了会议。截止目前，13个县市区的红十字会改革方案均已原则上通过县委常委会或深改委会，除洪江市以外其他县市区改革方案均已两办名义发文，改革方案中都明确增设监事会。13个县市区中除洪江区2个编、芷江3个编，其他县市区都在4人及以上。</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3、加大宣传工作力度，超额完成报刊征订任务</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国红十字报》和《博爱》杂志是我们开展各项工作的宣传舆论阵地，是传播人道、博爱、奉献精神的重要渠道。2021年在全市各县市区红会的共同努力下，由于订阅工作完成较好，我会荣获“2021年度中国红十字会总会报刊宣传先进集体三等奖”，成为湖南省唯一一个地市级全国三等奖。</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4、“三献”工作稳步开展，弘扬社会正能量</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为纪念“6.14世界献血者日”，6月11日，我会联合市中心血站在火车站献血屋举行了纪念活动，志愿者们对过往市民进行无偿献血知识宣传，医护人员为市民免费量血压、测血型，给无偿献血者发放纪念品等，通过电视台、怀化日报等媒体宣传典型事迹。6月4日，芷江县红十字会启动《芷江侗族自治县无偿献血优待证》派发工作，对献血量达到8000毫升或无偿捐献造血干细胞一次的献血者发放A证，献血量达到6000毫升的发放B证，献血量达到4000毫升的发放C证，每个等次享受相关的优待，持证人可在芷江范围内免费游览政府投资主办的公园、旅游风景区，到县内公立医疗机构就诊免交普通门诊诊查费，免费乘坐县城内公交车等多重福利，鼓励更多的市民积极投入到无偿献血事业中去。市红十字会全年7次赴县市区开展无偿献血宣传活动，截至2021年12月21日，全市共采集血液40039人次，采血总量12.54吨，采血人次、采血量较去年同期分别增长11.76%和10.39%。</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通过积极宣传和各县市区红十字的配合发动，造血干细胞捐献者血样采集完成102人份，并成功捐献3例。我们为每一位成功捐献造血干细胞的志愿者举办欢迎仪式，为他们送去慰问金，感谢他们的无私大爱捐献，并邀请新闻媒体进行宣传报道，弘扬社会正能量。</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年实现公民逝世后器官捐献15例，共捐献30个肾、14个肝、2个肺、16个角膜以及7例遗体捐献。春节前市红十字会到洪江市、芷江、靖州和溆浦等县走访慰问了5户2020年度器官捐献者困难家庭，给他们送去了慰问金、大米和食用油。4月26日下午，通道县人民医院年仅31岁的口腔科医生储昌安因病抢救无效在长沙逝世。27日下午1点，遵照储医生生前意愿他的遗体被运回母校——湖南医药学院，为医学事业贡献自己最后的余温。市红十字会联系各大媒体对储医生的事迹进行宣传报道，受到了社会各界的广泛关注。因储医生家境贫困，市红十字会还发起了关爱储昌安医生家属的网络募捐，6月17日，市红十字会常务副会长欧家好带队前往靖州储昌安医生父母家里，为他们送去了大米、食用油，并将筹集到的10731.41元善款全部转给储医生妻子银行账户上，表达社会各界的关心关爱。</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5、积极推进“三救”工作，扩大影响力</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做好春节走访慰问，救助困难群众。1月20日，参加了市委市政府2021年“三下乡”慰问活动启动仪式，为中方县袁家镇的困难群众送去了200袋大米、200桶食用油。2月4日，湖南省红十字会博爱送万家活动启动仪式在我市靖州县举行，时任省人民政府副省长、省红十字会会长吴桂英；市人民政府副市长、市红十字会会长欧阳明；省红十字会党组成员、副会长邱梦丹、秘书长严国斌、挂职副会长代贺龙等领导参加启动仪式，活动为靖州县困难群众送去了价值23万余元的大米、食用油、奶粉、新年礼盒等慰问物资。2021年为我市84名困难群众申请到了省红会的人道救助金共42万元。为20位白血病患儿申请了共70万元的小天使基金救助。</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积极备灾救灾，做好防汛抗旱工作。进入汛期后，我会及时印发了《关于做好2021年备灾救灾工作的通知》（怀红发〔2021〕4号）文件，要求各县市区做好防汛抗旱准备工作，遇灾情及时察看灾情、上报灾情，积极参与救灾工作。今年，通过从红基会、省红会争取以及自筹等共筹集到价值735万余元的婴幼儿奶粉、大米、食用油、盐津铺子礼盒、急救箱、口罩等款物，按照相关要求分发给县市区进行困难救助和救灾。</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普及急救知识，增强自救互救能力。5月12日下午，市红十字会联合怀化师范高等专科学校在其多媒体教室举行纪念5月8日第74个世界红十字日和5月12日第13个国家防灾减灾日宣传活动。市红十字红箭救援队的救护师资们通过实时视频投影对现场300余名学生进行了心肺复苏、气道异物梗阻处理，校园意外伤害的预防和现场急救处理等救护知识的普及培训。市红十字医院、爱尔眼科医院、雅贝康口腔医院的医护人员对全体师生进行了义诊，活动当天发放各种宣传资料、纪念品5000余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在“5.8”红十字博爱周期间，各县市区红十字会纷纷组织开展纪念活动，组织义诊、救护知识普及培训、慰问困难群众等：辰溪县红十字会走访慰问了23户困难群众，发放大米、食用油等慰问物资及慰问金12500元，社会反响良好；溆浦县红十字会在县芙蓉学校，为400余名师生宣传普及应急救护技能以及红十字知识，并为困难学生共发放了8000元爱心款；新晃县红十字会及各基层红十字会深入到乡镇、村组、学校、机关单位开展宣传活动，共计开展义诊咨询、急救知识演练、健康知识讲座等60场次，惠及7486人次，应急避险救护知识普及培训4704人次，发放宣传单(册)7500余份，发动卫健系统干部职工和爱心人士，为重大疾病患者开展爱心募捐活动，共筹得爱心捐款35327元，全部用于贫困重大疾病患者的救助。</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10月15-17日，中国红十字基金会“成长天使基金”第37期校医培训班在怀化举办，来自13个县市区和市直学校的100余名专兼职校医、保健老师和食堂管理人员参加了为期3天的校园健康知识和红十字应急救护技能培训。截止目前，全市共培训红十字应急避险救护员510人，普及培训3万人次，切实增强了市民们在突发意外事件时的自救互救能力。</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552" w:firstLineChars="200"/>
        <w:textAlignment w:val="auto"/>
        <w:rPr>
          <w:rFonts w:ascii="仿宋" w:hAnsi="仿宋" w:eastAsia="仿宋" w:cs="Times New Roman"/>
          <w:b/>
          <w:bCs/>
          <w:spacing w:val="-2"/>
          <w:sz w:val="28"/>
          <w:szCs w:val="28"/>
          <w:highlight w:val="none"/>
        </w:rPr>
      </w:pPr>
      <w:r>
        <w:rPr>
          <w:rFonts w:hint="eastAsia" w:ascii="仿宋" w:hAnsi="仿宋" w:eastAsia="仿宋" w:cs="Times New Roman"/>
          <w:b/>
          <w:bCs/>
          <w:spacing w:val="-2"/>
          <w:sz w:val="28"/>
          <w:szCs w:val="28"/>
          <w:highlight w:val="none"/>
        </w:rPr>
        <w:t>有效性分析</w:t>
      </w:r>
    </w:p>
    <w:p>
      <w:pPr>
        <w:keepNext w:val="0"/>
        <w:keepLines w:val="0"/>
        <w:pageBreakBefore w:val="0"/>
        <w:widowControl w:val="0"/>
        <w:kinsoku/>
        <w:wordWrap/>
        <w:overflowPunct/>
        <w:topLinePunct w:val="0"/>
        <w:autoSpaceDE/>
        <w:autoSpaceDN/>
        <w:bidi w:val="0"/>
        <w:adjustRightInd/>
        <w:snapToGrid/>
        <w:spacing w:line="600" w:lineRule="exact"/>
        <w:ind w:firstLine="552" w:firstLineChars="200"/>
        <w:textAlignment w:val="auto"/>
        <w:rPr>
          <w:rFonts w:hint="eastAsia" w:ascii="仿宋_GB2312" w:hAnsi="仿宋_GB2312" w:eastAsia="仿宋_GB2312" w:cs="仿宋_GB2312"/>
          <w:color w:val="auto"/>
          <w:sz w:val="28"/>
          <w:szCs w:val="28"/>
          <w:lang w:val="en-US" w:eastAsia="zh-CN"/>
        </w:rPr>
      </w:pPr>
      <w:r>
        <w:rPr>
          <w:rFonts w:hint="eastAsia" w:ascii="仿宋" w:hAnsi="仿宋" w:eastAsia="仿宋" w:cs="Times New Roman"/>
          <w:b/>
          <w:bCs/>
          <w:spacing w:val="-2"/>
          <w:sz w:val="28"/>
          <w:szCs w:val="28"/>
          <w:highlight w:val="none"/>
          <w:lang w:val="en-US" w:eastAsia="zh-CN"/>
        </w:rPr>
        <w:t xml:space="preserve"> </w:t>
      </w:r>
      <w:r>
        <w:rPr>
          <w:rFonts w:hint="eastAsia" w:ascii="仿宋_GB2312" w:hAnsi="仿宋_GB2312" w:eastAsia="仿宋_GB2312" w:cs="仿宋_GB2312"/>
          <w:color w:val="auto"/>
          <w:sz w:val="28"/>
          <w:szCs w:val="28"/>
          <w:lang w:val="en-US" w:eastAsia="zh-CN"/>
        </w:rPr>
        <w:t xml:space="preserve">  1、预算完成率。2021年上年结转1.36万元，年初预算81.99万元，调整预算29.93万元，年末结转0万元，预算完成率100%。</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2、预算控制率。因追加预算绩效奖、春节一次性生活补助等，2021年预算控制率超过36.50%，预算控制未达到预期目标。</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3、新建楼堂馆所面积和投资概算控制率。无新建楼堂管所情况。</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4、公用经费控制率。2021年我会预算管理（按部门预算经济分类）各项指标控制一般，实际支出公用经费总额39.15万元，预算安排公用经费总额41.61万元，公用经费控制率94.09%。</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5、“三公经费”控制率。2021年度我会严控“三公”经费支出，“三公经费”实际支出数为0.35万元，预算安排3.82万元，“三公经费”控制率为9.16%。</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6、政府采购执行率。政府采购预算0万元，实际政府采购金额0万元，预算执行率100%。</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w:t>
      </w:r>
      <w:r>
        <w:rPr>
          <w:rFonts w:hint="default" w:ascii="仿宋_GB2312" w:hAnsi="仿宋_GB2312" w:eastAsia="仿宋_GB2312" w:cs="仿宋_GB2312"/>
          <w:color w:val="auto"/>
          <w:sz w:val="28"/>
          <w:szCs w:val="28"/>
          <w:lang w:val="en-US" w:eastAsia="zh-CN"/>
        </w:rPr>
        <w:t>管理制度健全性</w:t>
      </w:r>
      <w:r>
        <w:rPr>
          <w:rFonts w:hint="eastAsia" w:ascii="仿宋_GB2312" w:hAnsi="仿宋_GB2312" w:eastAsia="仿宋_GB2312" w:cs="仿宋_GB2312"/>
          <w:color w:val="auto"/>
          <w:sz w:val="28"/>
          <w:szCs w:val="28"/>
          <w:lang w:val="en-US" w:eastAsia="zh-CN"/>
        </w:rPr>
        <w:t>。</w:t>
      </w:r>
      <w:r>
        <w:rPr>
          <w:rFonts w:hint="default" w:ascii="仿宋_GB2312" w:hAnsi="仿宋_GB2312" w:eastAsia="仿宋_GB2312" w:cs="仿宋_GB2312"/>
          <w:color w:val="auto"/>
          <w:sz w:val="28"/>
          <w:szCs w:val="28"/>
          <w:lang w:val="en-US" w:eastAsia="zh-CN"/>
        </w:rPr>
        <w:t>严格落实《财务管理</w:t>
      </w:r>
      <w:r>
        <w:rPr>
          <w:rFonts w:hint="eastAsia" w:ascii="仿宋_GB2312" w:hAnsi="仿宋_GB2312" w:eastAsia="仿宋_GB2312" w:cs="仿宋_GB2312"/>
          <w:color w:val="auto"/>
          <w:sz w:val="28"/>
          <w:szCs w:val="28"/>
          <w:lang w:val="en-US" w:eastAsia="zh-CN"/>
        </w:rPr>
        <w:t>制度</w:t>
      </w:r>
      <w:r>
        <w:rPr>
          <w:rFonts w:hint="default" w:ascii="仿宋_GB2312" w:hAnsi="仿宋_GB2312" w:eastAsia="仿宋_GB2312" w:cs="仿宋_GB2312"/>
          <w:color w:val="auto"/>
          <w:sz w:val="28"/>
          <w:szCs w:val="28"/>
          <w:lang w:val="en-US" w:eastAsia="zh-CN"/>
        </w:rPr>
        <w:t>》等有关管理制度，规范财务审批程序，推行公务卡结算，严格差旅费和</w:t>
      </w:r>
      <w:r>
        <w:rPr>
          <w:rFonts w:hint="eastAsia" w:ascii="仿宋_GB2312" w:hAnsi="仿宋_GB2312" w:eastAsia="仿宋_GB2312" w:cs="仿宋_GB2312"/>
          <w:color w:val="auto"/>
          <w:sz w:val="28"/>
          <w:szCs w:val="28"/>
          <w:lang w:val="en-US" w:eastAsia="zh-CN"/>
        </w:rPr>
        <w:t>公务</w:t>
      </w:r>
      <w:r>
        <w:rPr>
          <w:rFonts w:hint="default" w:ascii="仿宋_GB2312" w:hAnsi="仿宋_GB2312" w:eastAsia="仿宋_GB2312" w:cs="仿宋_GB2312"/>
          <w:color w:val="auto"/>
          <w:sz w:val="28"/>
          <w:szCs w:val="28"/>
          <w:lang w:val="en-US" w:eastAsia="zh-CN"/>
        </w:rPr>
        <w:t>接待费支出标准、范围和程序的审核。</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w:t>
      </w:r>
      <w:r>
        <w:rPr>
          <w:rFonts w:hint="default" w:ascii="仿宋_GB2312" w:hAnsi="仿宋_GB2312" w:eastAsia="仿宋_GB2312" w:cs="仿宋_GB2312"/>
          <w:color w:val="auto"/>
          <w:sz w:val="28"/>
          <w:szCs w:val="28"/>
          <w:lang w:val="en-US" w:eastAsia="zh-CN"/>
        </w:rPr>
        <w:t> 资金使用合规性</w:t>
      </w:r>
      <w:r>
        <w:rPr>
          <w:rFonts w:hint="eastAsia" w:ascii="仿宋_GB2312" w:hAnsi="仿宋_GB2312" w:eastAsia="仿宋_GB2312" w:cs="仿宋_GB2312"/>
          <w:color w:val="auto"/>
          <w:sz w:val="28"/>
          <w:szCs w:val="28"/>
          <w:lang w:val="en-US" w:eastAsia="zh-CN"/>
        </w:rPr>
        <w:t>。</w:t>
      </w:r>
      <w:r>
        <w:rPr>
          <w:rFonts w:hint="default" w:ascii="仿宋_GB2312" w:hAnsi="仿宋_GB2312" w:eastAsia="仿宋_GB2312" w:cs="仿宋_GB2312"/>
          <w:color w:val="auto"/>
          <w:sz w:val="28"/>
          <w:szCs w:val="28"/>
          <w:lang w:val="en-US" w:eastAsia="zh-CN"/>
        </w:rPr>
        <w:t>严格落实中央八项规定和有关公务支出标准。加强经费合法合规性审核和预算控制，严格按制度政策办事，资金使用合法合规，支出手续齐全，程序到位。</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ascii="仿宋" w:hAnsi="仿宋" w:eastAsia="仿宋" w:cs="Times New Roman"/>
          <w:b/>
          <w:bCs/>
          <w:spacing w:val="-2"/>
          <w:sz w:val="28"/>
          <w:szCs w:val="28"/>
          <w:highlight w:val="none"/>
        </w:rPr>
      </w:pPr>
      <w:r>
        <w:rPr>
          <w:rFonts w:hint="eastAsia" w:ascii="仿宋_GB2312" w:hAnsi="仿宋_GB2312" w:eastAsia="仿宋_GB2312" w:cs="仿宋_GB2312"/>
          <w:color w:val="auto"/>
          <w:sz w:val="28"/>
          <w:szCs w:val="28"/>
          <w:lang w:val="en-US" w:eastAsia="zh-CN"/>
        </w:rPr>
        <w:t>9、</w:t>
      </w:r>
      <w:r>
        <w:rPr>
          <w:rFonts w:hint="default" w:ascii="仿宋_GB2312" w:hAnsi="仿宋_GB2312" w:eastAsia="仿宋_GB2312" w:cs="仿宋_GB2312"/>
          <w:color w:val="auto"/>
          <w:sz w:val="28"/>
          <w:szCs w:val="28"/>
          <w:lang w:val="en-US" w:eastAsia="zh-CN"/>
        </w:rPr>
        <w:t>预决算信息公开性</w:t>
      </w:r>
      <w:r>
        <w:rPr>
          <w:rFonts w:hint="eastAsia" w:ascii="仿宋_GB2312" w:hAnsi="仿宋_GB2312" w:eastAsia="仿宋_GB2312" w:cs="仿宋_GB2312"/>
          <w:color w:val="auto"/>
          <w:sz w:val="28"/>
          <w:szCs w:val="28"/>
          <w:lang w:val="en-US" w:eastAsia="zh-CN"/>
        </w:rPr>
        <w:t>。</w:t>
      </w:r>
      <w:r>
        <w:rPr>
          <w:rFonts w:hint="default" w:ascii="仿宋_GB2312" w:hAnsi="仿宋_GB2312" w:eastAsia="仿宋_GB2312" w:cs="仿宋_GB2312"/>
          <w:color w:val="auto"/>
          <w:sz w:val="28"/>
          <w:szCs w:val="28"/>
          <w:lang w:val="en-US" w:eastAsia="zh-CN"/>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六、存在的主要问题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2021年我会的部门整体绩效评价工作还存在一些问题和不足需要进一步完善。在资金安排和使用上仍有不可预见性，在科学设置预算绩效指标上还需进一步加强。</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七、改进措施和有关建议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进一步加强财政资金预算绩效管理，更加科学合理的编制经费预算；进一步完善财务管理制度，加强“三公”经费管理，规范财务核算，有效降低行政成本，提高财政资金使用效率。</w:t>
      </w:r>
    </w:p>
    <w:p>
      <w:pPr>
        <w:rPr>
          <w:sz w:val="28"/>
          <w:szCs w:val="28"/>
        </w:rPr>
      </w:pPr>
    </w:p>
    <w:p>
      <w:pPr>
        <w:ind w:firstLine="640" w:firstLineChars="200"/>
        <w:jc w:val="left"/>
        <w:rPr>
          <w:rFonts w:cs="黑体" w:asciiTheme="minorEastAsia" w:hAnsiTheme="minorEastAsia"/>
          <w:color w:val="000000"/>
          <w:kern w:val="0"/>
          <w:sz w:val="32"/>
          <w:szCs w:val="32"/>
        </w:rPr>
      </w:pPr>
    </w:p>
    <w:p/>
    <w:sectPr>
      <w:pgSz w:w="11906" w:h="16838"/>
      <w:pgMar w:top="1270" w:right="1247" w:bottom="1270" w:left="124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D84CAB"/>
    <w:multiLevelType w:val="singleLevel"/>
    <w:tmpl w:val="D2D84CA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5YTRlZDM0MjA5ZmExODljOTA5Y2M5Njk5YTAwZjcifQ=="/>
  </w:docVars>
  <w:rsids>
    <w:rsidRoot w:val="00000000"/>
    <w:rsid w:val="7C961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2023-09-05T10:19:42Z</dcterms:created>
  <dc:creator>lecoo</dc:creator>
  <cp:lastModifiedBy>滚成一只团子_</cp:lastModifiedBy>
  <dcterms:modified xsi:type="dcterms:W3CDTF">2023-09-05T10:19:55Z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687321B105E046B780DF848DA57A369A_12</vt:lpwstr>
  </property>
</Properties>
</file>