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4"/>
        <w:jc w:val="center"/>
        <w:rPr>
          <w:sz w:val="56"/>
          <w:szCs w:val="56"/>
        </w:rPr>
      </w:pPr>
      <w:r>
        <w:rPr>
          <w:sz w:val="56"/>
        </w:rPr>
        <mc:AlternateContent>
          <mc:Choice Requires="wps">
            <w:drawing>
              <wp:anchor distT="0" distB="0" distL="114300" distR="114300" simplePos="0" relativeHeight="251659264" behindDoc="0" locked="0" layoutInCell="1" allowOverlap="1">
                <wp:simplePos x="0" y="0"/>
                <wp:positionH relativeFrom="column">
                  <wp:posOffset>-236220</wp:posOffset>
                </wp:positionH>
                <wp:positionV relativeFrom="paragraph">
                  <wp:posOffset>-297180</wp:posOffset>
                </wp:positionV>
                <wp:extent cx="1523365" cy="517525"/>
                <wp:effectExtent l="0" t="0" r="635" b="15875"/>
                <wp:wrapNone/>
                <wp:docPr id="1" name="文本框 1"/>
                <wp:cNvGraphicFramePr/>
                <a:graphic xmlns:a="http://schemas.openxmlformats.org/drawingml/2006/main">
                  <a:graphicData uri="http://schemas.microsoft.com/office/word/2010/wordprocessingShape">
                    <wps:wsp>
                      <wps:cNvSpPr txBox="1"/>
                      <wps:spPr>
                        <a:xfrm>
                          <a:off x="1799590" y="935990"/>
                          <a:ext cx="1523365" cy="5175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ascii="楷体" w:hAnsi="楷体" w:eastAsia="楷体" w:cs="楷体"/>
                                <w:sz w:val="30"/>
                                <w:szCs w:val="30"/>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6pt;margin-top:-23.4pt;height:40.75pt;width:119.95pt;z-index:251659264;mso-width-relative:page;mso-height-relative:page;" fillcolor="#FFFFFF [3201]" filled="t" stroked="f" coordsize="21600,21600" o:gfxdata="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cvAmUNYAAAAK&#10;AQAADwAAAAAAAAABACAAAAAiAAAAZHJzL2Rvd25yZXYueG1sUEsBAhQAFAAAAAgAh07iQEe/k8dX&#10;AgAAmgQAAA4AAAAAAAAAAQAgAAAAJQEAAGRycy9lMm9Eb2MueG1sUEsFBgAAAAAGAAYAWQEAAO4F&#10;AAAAAA==&#10;">
                <v:fill on="t" focussize="0,0"/>
                <v:stroke on="f" weight="0.5pt"/>
                <v:imagedata o:title=""/>
                <o:lock v:ext="edit" aspectratio="f"/>
                <v:textbox>
                  <w:txbxContent>
                    <w:p>
                      <w:pPr>
                        <w:rPr>
                          <w:rFonts w:hint="eastAsia" w:ascii="楷体" w:hAnsi="楷体" w:eastAsia="楷体" w:cs="楷体"/>
                          <w:sz w:val="30"/>
                          <w:szCs w:val="30"/>
                          <w:lang w:val="en-US" w:eastAsia="zh-CN"/>
                        </w:rPr>
                      </w:pPr>
                    </w:p>
                  </w:txbxContent>
                </v:textbox>
              </v:shape>
            </w:pict>
          </mc:Fallback>
        </mc:AlternateContent>
      </w:r>
    </w:p>
    <w:p>
      <w:pPr>
        <w:pStyle w:val="14"/>
        <w:jc w:val="center"/>
        <w:rPr>
          <w:sz w:val="56"/>
          <w:szCs w:val="56"/>
        </w:rPr>
      </w:pPr>
    </w:p>
    <w:p>
      <w:pPr>
        <w:pStyle w:val="14"/>
        <w:jc w:val="center"/>
        <w:rPr>
          <w:sz w:val="84"/>
          <w:szCs w:val="84"/>
        </w:rPr>
      </w:pPr>
    </w:p>
    <w:p>
      <w:pPr>
        <w:pStyle w:val="14"/>
        <w:jc w:val="center"/>
        <w:rPr>
          <w:sz w:val="84"/>
          <w:szCs w:val="84"/>
        </w:rPr>
      </w:pPr>
    </w:p>
    <w:p>
      <w:pPr>
        <w:pStyle w:val="14"/>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202</w:t>
      </w:r>
      <w:r>
        <w:rPr>
          <w:rFonts w:hint="eastAsia" w:ascii="方正小标宋_GBK" w:hAnsi="方正小标宋_GBK" w:eastAsia="方正小标宋_GBK" w:cs="方正小标宋_GBK"/>
          <w:sz w:val="84"/>
          <w:szCs w:val="84"/>
          <w:lang w:val="en-US" w:eastAsia="zh-CN"/>
        </w:rPr>
        <w:t>3</w:t>
      </w:r>
      <w:r>
        <w:rPr>
          <w:rFonts w:hint="eastAsia" w:ascii="方正小标宋_GBK" w:hAnsi="方正小标宋_GBK" w:eastAsia="方正小标宋_GBK" w:cs="方正小标宋_GBK"/>
          <w:sz w:val="84"/>
          <w:szCs w:val="84"/>
        </w:rPr>
        <w:t>年度</w:t>
      </w:r>
    </w:p>
    <w:p>
      <w:pPr>
        <w:pStyle w:val="14"/>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lang w:val="en-US" w:eastAsia="zh-CN"/>
        </w:rPr>
        <w:t>怀化市红十字会</w:t>
      </w:r>
      <w:r>
        <w:rPr>
          <w:rFonts w:hint="eastAsia" w:ascii="方正小标宋_GBK" w:hAnsi="方正小标宋_GBK" w:eastAsia="方正小标宋_GBK" w:cs="方正小标宋_GBK"/>
          <w:sz w:val="84"/>
          <w:szCs w:val="84"/>
        </w:rPr>
        <w:t>部门决算</w:t>
      </w:r>
    </w:p>
    <w:p>
      <w:pPr>
        <w:pStyle w:val="14"/>
        <w:jc w:val="center"/>
        <w:rPr>
          <w:rFonts w:hint="eastAsia" w:ascii="方正小标宋_GBK" w:hAnsi="方正小标宋_GBK" w:eastAsia="方正小标宋_GBK" w:cs="方正小标宋_GBK"/>
          <w:sz w:val="56"/>
          <w:szCs w:val="56"/>
        </w:rPr>
      </w:pPr>
    </w:p>
    <w:p>
      <w:pPr>
        <w:pStyle w:val="14"/>
        <w:jc w:val="center"/>
        <w:rPr>
          <w:sz w:val="56"/>
          <w:szCs w:val="56"/>
        </w:rPr>
      </w:pPr>
    </w:p>
    <w:p>
      <w:pPr>
        <w:pStyle w:val="14"/>
        <w:jc w:val="center"/>
        <w:rPr>
          <w:sz w:val="56"/>
          <w:szCs w:val="56"/>
        </w:rPr>
      </w:pPr>
    </w:p>
    <w:p>
      <w:pPr>
        <w:pStyle w:val="14"/>
        <w:jc w:val="center"/>
        <w:rPr>
          <w:sz w:val="56"/>
          <w:szCs w:val="56"/>
        </w:rPr>
      </w:pPr>
    </w:p>
    <w:p>
      <w:pPr>
        <w:pStyle w:val="14"/>
        <w:jc w:val="center"/>
        <w:rPr>
          <w:sz w:val="32"/>
          <w:szCs w:val="32"/>
        </w:rPr>
      </w:pPr>
    </w:p>
    <w:p>
      <w:pPr>
        <w:pStyle w:val="14"/>
        <w:jc w:val="center"/>
        <w:rPr>
          <w:sz w:val="32"/>
          <w:szCs w:val="32"/>
        </w:rPr>
      </w:pPr>
    </w:p>
    <w:p>
      <w:pPr>
        <w:pStyle w:val="14"/>
        <w:jc w:val="center"/>
        <w:rPr>
          <w:sz w:val="32"/>
          <w:szCs w:val="32"/>
        </w:rPr>
      </w:pPr>
    </w:p>
    <w:p>
      <w:pPr>
        <w:pStyle w:val="14"/>
        <w:jc w:val="center"/>
        <w:rPr>
          <w:sz w:val="32"/>
          <w:szCs w:val="32"/>
        </w:rPr>
      </w:pPr>
    </w:p>
    <w:p>
      <w:pPr>
        <w:pStyle w:val="14"/>
        <w:jc w:val="center"/>
        <w:rPr>
          <w:sz w:val="32"/>
          <w:szCs w:val="32"/>
        </w:rPr>
      </w:pPr>
    </w:p>
    <w:p>
      <w:pPr>
        <w:pStyle w:val="14"/>
        <w:spacing w:line="540" w:lineRule="exact"/>
        <w:jc w:val="center"/>
        <w:rPr>
          <w:sz w:val="56"/>
          <w:szCs w:val="56"/>
        </w:rPr>
      </w:pPr>
    </w:p>
    <w:p>
      <w:pPr>
        <w:pStyle w:val="14"/>
        <w:spacing w:line="500" w:lineRule="exact"/>
        <w:jc w:val="both"/>
        <w:rPr>
          <w:b/>
          <w:sz w:val="36"/>
          <w:szCs w:val="28"/>
        </w:rPr>
      </w:pPr>
    </w:p>
    <w:p>
      <w:pPr>
        <w:pStyle w:val="14"/>
        <w:spacing w:line="500" w:lineRule="exact"/>
        <w:jc w:val="center"/>
        <w:rPr>
          <w:rFonts w:hint="eastAsia"/>
          <w:b/>
          <w:sz w:val="36"/>
          <w:szCs w:val="28"/>
        </w:rPr>
      </w:pPr>
    </w:p>
    <w:p>
      <w:pPr>
        <w:pStyle w:val="14"/>
        <w:spacing w:line="500" w:lineRule="exact"/>
        <w:jc w:val="center"/>
        <w:rPr>
          <w:rFonts w:hint="eastAsia"/>
          <w:b/>
          <w:sz w:val="36"/>
          <w:szCs w:val="28"/>
        </w:rPr>
      </w:pPr>
    </w:p>
    <w:p>
      <w:pPr>
        <w:pStyle w:val="14"/>
        <w:spacing w:line="500" w:lineRule="exact"/>
        <w:jc w:val="center"/>
        <w:rPr>
          <w:rFonts w:hint="eastAsia"/>
          <w:b/>
          <w:sz w:val="36"/>
          <w:szCs w:val="28"/>
        </w:rPr>
      </w:pPr>
      <w:r>
        <w:rPr>
          <w:rFonts w:hint="eastAsia"/>
          <w:b/>
          <w:sz w:val="36"/>
          <w:szCs w:val="28"/>
        </w:rPr>
        <w:t>目录</w:t>
      </w:r>
    </w:p>
    <w:p>
      <w:pPr>
        <w:pStyle w:val="14"/>
        <w:spacing w:line="500" w:lineRule="exact"/>
        <w:jc w:val="center"/>
        <w:rPr>
          <w:rFonts w:hint="eastAsia"/>
          <w:b/>
          <w:sz w:val="36"/>
          <w:szCs w:val="28"/>
        </w:rPr>
      </w:pPr>
    </w:p>
    <w:p>
      <w:pPr>
        <w:pStyle w:val="14"/>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第一部分</w:t>
      </w:r>
      <w:r>
        <w:rPr>
          <w:rFonts w:hint="eastAsia" w:ascii="黑体" w:hAnsi="黑体" w:eastAsia="黑体" w:cs="黑体"/>
          <w:b w:val="0"/>
          <w:bCs/>
          <w:sz w:val="28"/>
          <w:szCs w:val="28"/>
          <w:lang w:val="en-US" w:eastAsia="zh-CN"/>
        </w:rPr>
        <w:t xml:space="preserve"> </w:t>
      </w:r>
      <w:r>
        <w:rPr>
          <w:rFonts w:hint="eastAsia" w:hAnsi="黑体" w:cs="黑体"/>
          <w:b w:val="0"/>
          <w:bCs/>
          <w:sz w:val="28"/>
          <w:szCs w:val="28"/>
          <w:lang w:val="en-US" w:eastAsia="zh-CN"/>
        </w:rPr>
        <w:t>怀化市红十字会</w:t>
      </w:r>
      <w:r>
        <w:rPr>
          <w:rFonts w:hint="eastAsia" w:ascii="黑体" w:hAnsi="黑体" w:eastAsia="黑体" w:cs="黑体"/>
          <w:b w:val="0"/>
          <w:bCs/>
          <w:sz w:val="28"/>
          <w:szCs w:val="28"/>
        </w:rPr>
        <w:t>概况</w:t>
      </w:r>
    </w:p>
    <w:p>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一、部门职责</w:t>
      </w:r>
    </w:p>
    <w:p>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二、机构设置</w:t>
      </w:r>
    </w:p>
    <w:p>
      <w:pPr>
        <w:pStyle w:val="14"/>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第二部分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部门决算表</w:t>
      </w:r>
    </w:p>
    <w:p>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一、收入支出决算总表</w:t>
      </w:r>
    </w:p>
    <w:p>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二、收入决算表</w:t>
      </w:r>
    </w:p>
    <w:p>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三、支出决算表</w:t>
      </w:r>
    </w:p>
    <w:p>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四、财政拨款收入支出决算总表</w:t>
      </w:r>
    </w:p>
    <w:p>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五、一般公共预算财政拨款支出决算表</w:t>
      </w:r>
    </w:p>
    <w:p>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六、一般公共预算财政拨款基本支出决算明细表</w:t>
      </w:r>
    </w:p>
    <w:p>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七、政府性基金预算财政拨款收入支出决算表</w:t>
      </w:r>
    </w:p>
    <w:p>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八、国有资本经营预算财政拨款支出决算表</w:t>
      </w:r>
    </w:p>
    <w:p>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九、财政拨款“三公”经费支出决算表</w:t>
      </w:r>
    </w:p>
    <w:p>
      <w:pPr>
        <w:pStyle w:val="14"/>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第三部分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部门决算情况说明</w:t>
      </w:r>
    </w:p>
    <w:p>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一、收入支出决算总体情况说明</w:t>
      </w:r>
    </w:p>
    <w:p>
      <w:pPr>
        <w:spacing w:line="500" w:lineRule="exact"/>
        <w:ind w:firstLine="700" w:firstLineChars="25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二、收入决算情况说明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三、支出决算情况说明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四、财政拨款收入支出决算总体情况说明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五、一般公共预算财政拨款支出决算情况说明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六、一般公共预算财政拨款基本支出决算情况说明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七、财政拨款三公经费支出决算情况说明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八、政府性基金预算收入支出决算情况</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color w:val="000000"/>
          <w:kern w:val="0"/>
          <w:sz w:val="28"/>
          <w:szCs w:val="28"/>
          <w:lang w:val="en-US" w:eastAsia="zh-CN"/>
        </w:rPr>
        <w:t>九、国有资本经营预算收入支出决算情况</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lang w:val="en-US" w:eastAsia="zh-CN"/>
        </w:rPr>
        <w:t>十</w:t>
      </w:r>
      <w:r>
        <w:rPr>
          <w:rFonts w:hint="eastAsia" w:ascii="仿宋_GB2312" w:hAnsi="仿宋_GB2312" w:eastAsia="仿宋_GB2312" w:cs="仿宋_GB2312"/>
          <w:color w:val="000000"/>
          <w:kern w:val="0"/>
          <w:sz w:val="28"/>
          <w:szCs w:val="28"/>
        </w:rPr>
        <w:t>、关于机关运行经费支出说明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w:t>
      </w:r>
      <w:r>
        <w:rPr>
          <w:rFonts w:hint="eastAsia" w:ascii="仿宋_GB2312" w:hAnsi="仿宋_GB2312" w:eastAsia="仿宋_GB2312" w:cs="仿宋_GB2312"/>
          <w:color w:val="000000"/>
          <w:kern w:val="0"/>
          <w:sz w:val="28"/>
          <w:szCs w:val="28"/>
          <w:lang w:val="en-US" w:eastAsia="zh-CN"/>
        </w:rPr>
        <w:t>一</w:t>
      </w:r>
      <w:r>
        <w:rPr>
          <w:rFonts w:hint="eastAsia" w:ascii="仿宋_GB2312" w:hAnsi="仿宋_GB2312" w:eastAsia="仿宋_GB2312" w:cs="仿宋_GB2312"/>
          <w:color w:val="000000"/>
          <w:kern w:val="0"/>
          <w:sz w:val="28"/>
          <w:szCs w:val="28"/>
        </w:rPr>
        <w:t>、一般性支出情况说明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w:t>
      </w:r>
      <w:r>
        <w:rPr>
          <w:rFonts w:hint="eastAsia" w:ascii="仿宋_GB2312" w:hAnsi="仿宋_GB2312" w:eastAsia="仿宋_GB2312" w:cs="仿宋_GB2312"/>
          <w:color w:val="000000"/>
          <w:kern w:val="0"/>
          <w:sz w:val="28"/>
          <w:szCs w:val="28"/>
          <w:lang w:val="en-US" w:eastAsia="zh-CN"/>
        </w:rPr>
        <w:t>二</w:t>
      </w:r>
      <w:r>
        <w:rPr>
          <w:rFonts w:hint="eastAsia" w:ascii="仿宋_GB2312" w:hAnsi="仿宋_GB2312" w:eastAsia="仿宋_GB2312" w:cs="仿宋_GB2312"/>
          <w:color w:val="000000"/>
          <w:kern w:val="0"/>
          <w:sz w:val="28"/>
          <w:szCs w:val="28"/>
        </w:rPr>
        <w:t>、关于政府采购支出说明</w:t>
      </w:r>
    </w:p>
    <w:p>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w:t>
      </w:r>
      <w:r>
        <w:rPr>
          <w:rFonts w:hint="eastAsia" w:ascii="仿宋_GB2312" w:hAnsi="仿宋_GB2312" w:eastAsia="仿宋_GB2312" w:cs="仿宋_GB2312"/>
          <w:sz w:val="28"/>
          <w:szCs w:val="28"/>
          <w:lang w:val="en-US" w:eastAsia="zh-CN"/>
        </w:rPr>
        <w:t>三</w:t>
      </w:r>
      <w:r>
        <w:rPr>
          <w:rFonts w:hint="eastAsia" w:ascii="仿宋_GB2312" w:hAnsi="仿宋_GB2312" w:eastAsia="仿宋_GB2312" w:cs="仿宋_GB2312"/>
          <w:sz w:val="28"/>
          <w:szCs w:val="28"/>
        </w:rPr>
        <w:t>、关于国有资产占用情况说明</w:t>
      </w:r>
    </w:p>
    <w:p>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w:t>
      </w:r>
      <w:r>
        <w:rPr>
          <w:rFonts w:hint="eastAsia" w:ascii="仿宋_GB2312" w:hAnsi="仿宋_GB2312" w:eastAsia="仿宋_GB2312" w:cs="仿宋_GB2312"/>
          <w:sz w:val="28"/>
          <w:szCs w:val="28"/>
          <w:lang w:val="en-US" w:eastAsia="zh-CN"/>
        </w:rPr>
        <w:t>四</w:t>
      </w:r>
      <w:r>
        <w:rPr>
          <w:rFonts w:hint="eastAsia" w:ascii="仿宋_GB2312" w:hAnsi="仿宋_GB2312" w:eastAsia="仿宋_GB2312" w:cs="仿宋_GB2312"/>
          <w:sz w:val="28"/>
          <w:szCs w:val="28"/>
        </w:rPr>
        <w:t>、关于</w:t>
      </w:r>
      <w:r>
        <w:rPr>
          <w:rFonts w:hint="default" w:ascii="Times New Roman" w:hAnsi="Times New Roman" w:eastAsia="仿宋_GB2312" w:cs="Times New Roman"/>
          <w:sz w:val="28"/>
          <w:szCs w:val="28"/>
        </w:rPr>
        <w:t>202</w:t>
      </w:r>
      <w:r>
        <w:rPr>
          <w:rFonts w:hint="default" w:ascii="Times New Roman" w:hAnsi="Times New Roman" w:eastAsia="仿宋_GB2312" w:cs="Times New Roman"/>
          <w:sz w:val="28"/>
          <w:szCs w:val="28"/>
          <w:lang w:val="en-US" w:eastAsia="zh-CN"/>
        </w:rPr>
        <w:t>3</w:t>
      </w:r>
      <w:r>
        <w:rPr>
          <w:rFonts w:hint="eastAsia" w:ascii="仿宋_GB2312" w:hAnsi="仿宋_GB2312" w:eastAsia="仿宋_GB2312" w:cs="仿宋_GB2312"/>
          <w:sz w:val="28"/>
          <w:szCs w:val="28"/>
        </w:rPr>
        <w:t>年度</w:t>
      </w:r>
      <w:r>
        <w:rPr>
          <w:rFonts w:hint="eastAsia" w:ascii="仿宋_GB2312" w:hAnsi="仿宋_GB2312" w:eastAsia="仿宋_GB2312" w:cs="仿宋_GB2312"/>
          <w:sz w:val="28"/>
          <w:szCs w:val="28"/>
          <w:lang w:eastAsia="zh-CN"/>
        </w:rPr>
        <w:t>预算</w:t>
      </w:r>
      <w:r>
        <w:rPr>
          <w:rFonts w:hint="eastAsia" w:ascii="仿宋_GB2312" w:hAnsi="仿宋_GB2312" w:eastAsia="仿宋_GB2312" w:cs="仿宋_GB2312"/>
          <w:sz w:val="28"/>
          <w:szCs w:val="28"/>
        </w:rPr>
        <w:t>绩效情况的说明</w:t>
      </w:r>
    </w:p>
    <w:p>
      <w:pPr>
        <w:pStyle w:val="14"/>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第四部分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名词解释</w:t>
      </w:r>
    </w:p>
    <w:p>
      <w:pPr>
        <w:pStyle w:val="14"/>
        <w:spacing w:line="500" w:lineRule="exact"/>
        <w:rPr>
          <w:rFonts w:hint="eastAsia" w:ascii="黑体" w:hAnsi="黑体" w:eastAsia="黑体" w:cs="黑体"/>
          <w:b w:val="0"/>
          <w:bCs/>
          <w:sz w:val="28"/>
          <w:szCs w:val="28"/>
          <w:lang w:eastAsia="zh-CN"/>
        </w:rPr>
      </w:pPr>
      <w:r>
        <w:rPr>
          <w:rFonts w:hint="eastAsia" w:ascii="黑体" w:hAnsi="黑体" w:eastAsia="黑体" w:cs="黑体"/>
          <w:b w:val="0"/>
          <w:bCs/>
          <w:sz w:val="28"/>
          <w:szCs w:val="28"/>
        </w:rPr>
        <w:t>第</w:t>
      </w:r>
      <w:r>
        <w:rPr>
          <w:rFonts w:hint="eastAsia" w:hAnsi="黑体" w:cs="黑体"/>
          <w:b w:val="0"/>
          <w:bCs/>
          <w:sz w:val="28"/>
          <w:szCs w:val="28"/>
          <w:lang w:eastAsia="zh-CN"/>
        </w:rPr>
        <w:t>五</w:t>
      </w:r>
      <w:r>
        <w:rPr>
          <w:rFonts w:hint="eastAsia" w:ascii="黑体" w:hAnsi="黑体" w:eastAsia="黑体" w:cs="黑体"/>
          <w:b w:val="0"/>
          <w:bCs/>
          <w:sz w:val="28"/>
          <w:szCs w:val="28"/>
        </w:rPr>
        <w:t>部分</w:t>
      </w:r>
      <w:r>
        <w:rPr>
          <w:rFonts w:hint="eastAsia" w:ascii="黑体" w:hAnsi="黑体" w:eastAsia="黑体" w:cs="黑体"/>
          <w:b w:val="0"/>
          <w:bCs/>
          <w:sz w:val="28"/>
          <w:szCs w:val="28"/>
          <w:lang w:val="en-US" w:eastAsia="zh-CN"/>
        </w:rPr>
        <w:t xml:space="preserve"> </w:t>
      </w:r>
      <w:r>
        <w:rPr>
          <w:rFonts w:hint="eastAsia" w:hAnsi="黑体" w:cs="黑体"/>
          <w:b w:val="0"/>
          <w:bCs/>
          <w:sz w:val="28"/>
          <w:szCs w:val="28"/>
          <w:lang w:eastAsia="zh-CN"/>
        </w:rPr>
        <w:t>附件</w:t>
      </w:r>
    </w:p>
    <w:p>
      <w:pPr>
        <w:pStyle w:val="14"/>
        <w:spacing w:line="500" w:lineRule="exact"/>
        <w:rPr>
          <w:rFonts w:hint="eastAsia" w:ascii="黑体" w:hAnsi="黑体" w:eastAsia="黑体" w:cs="黑体"/>
          <w:b w:val="0"/>
          <w:bCs/>
          <w:sz w:val="28"/>
          <w:szCs w:val="28"/>
        </w:rPr>
      </w:pPr>
    </w:p>
    <w:p>
      <w:pPr>
        <w:jc w:val="center"/>
        <w:rPr>
          <w:sz w:val="72"/>
          <w:szCs w:val="72"/>
        </w:rPr>
      </w:pPr>
    </w:p>
    <w:p>
      <w:pPr>
        <w:jc w:val="center"/>
        <w:rPr>
          <w:sz w:val="72"/>
          <w:szCs w:val="72"/>
        </w:rPr>
      </w:pPr>
    </w:p>
    <w:p>
      <w:pPr>
        <w:jc w:val="center"/>
        <w:rPr>
          <w:sz w:val="72"/>
          <w:szCs w:val="72"/>
        </w:rPr>
      </w:pPr>
    </w:p>
    <w:p>
      <w:pPr>
        <w:jc w:val="center"/>
        <w:rPr>
          <w:sz w:val="72"/>
          <w:szCs w:val="72"/>
        </w:rPr>
      </w:pPr>
    </w:p>
    <w:p>
      <w:pPr>
        <w:rPr>
          <w:rFonts w:hint="eastAsia" w:ascii="方正小标宋_GBK" w:hAnsi="方正小标宋_GBK" w:eastAsia="方正小标宋_GBK" w:cs="方正小标宋_GBK"/>
          <w:sz w:val="72"/>
          <w:szCs w:val="72"/>
        </w:rPr>
      </w:pPr>
    </w:p>
    <w:p>
      <w:pPr>
        <w:pStyle w:val="2"/>
        <w:rPr>
          <w:rFonts w:hint="eastAsia" w:ascii="方正小标宋_GBK" w:hAnsi="方正小标宋_GBK" w:eastAsia="方正小标宋_GBK" w:cs="方正小标宋_GBK"/>
          <w:sz w:val="72"/>
          <w:szCs w:val="72"/>
        </w:rPr>
      </w:pPr>
    </w:p>
    <w:p>
      <w:pPr>
        <w:pStyle w:val="2"/>
        <w:rPr>
          <w:rFonts w:hint="eastAsia" w:ascii="方正小标宋_GBK" w:hAnsi="方正小标宋_GBK" w:eastAsia="方正小标宋_GBK" w:cs="方正小标宋_GBK"/>
          <w:sz w:val="72"/>
          <w:szCs w:val="72"/>
        </w:rPr>
      </w:pPr>
    </w:p>
    <w:p>
      <w:pPr>
        <w:pStyle w:val="2"/>
        <w:rPr>
          <w:rFonts w:hint="eastAsia" w:ascii="方正小标宋_GBK" w:hAnsi="方正小标宋_GBK" w:eastAsia="方正小标宋_GBK" w:cs="方正小标宋_GBK"/>
          <w:sz w:val="72"/>
          <w:szCs w:val="72"/>
        </w:rPr>
      </w:pPr>
    </w:p>
    <w:p>
      <w:pPr>
        <w:pStyle w:val="2"/>
        <w:rPr>
          <w:rFonts w:hint="eastAsia" w:ascii="方正小标宋_GBK" w:hAnsi="方正小标宋_GBK" w:eastAsia="方正小标宋_GBK" w:cs="方正小标宋_GBK"/>
          <w:sz w:val="72"/>
          <w:szCs w:val="72"/>
        </w:rPr>
      </w:pPr>
    </w:p>
    <w:p>
      <w:pPr>
        <w:pStyle w:val="2"/>
        <w:rPr>
          <w:rFonts w:hint="eastAsia" w:ascii="方正小标宋_GBK" w:hAnsi="方正小标宋_GBK" w:eastAsia="方正小标宋_GBK" w:cs="方正小标宋_GBK"/>
          <w:sz w:val="72"/>
          <w:szCs w:val="72"/>
        </w:rPr>
      </w:pPr>
    </w:p>
    <w:p>
      <w:pPr>
        <w:pStyle w:val="2"/>
        <w:rPr>
          <w:rFonts w:hint="eastAsia" w:ascii="方正小标宋_GBK" w:hAnsi="方正小标宋_GBK" w:eastAsia="方正小标宋_GBK" w:cs="方正小标宋_GBK"/>
          <w:sz w:val="72"/>
          <w:szCs w:val="72"/>
        </w:rPr>
      </w:pPr>
    </w:p>
    <w:p>
      <w:pPr>
        <w:pStyle w:val="2"/>
        <w:rPr>
          <w:rFonts w:hint="eastAsia" w:ascii="方正小标宋_GBK" w:hAnsi="方正小标宋_GBK" w:eastAsia="方正小标宋_GBK" w:cs="方正小标宋_GBK"/>
          <w:sz w:val="72"/>
          <w:szCs w:val="72"/>
        </w:rPr>
      </w:pPr>
    </w:p>
    <w:p>
      <w:pPr>
        <w:pStyle w:val="2"/>
        <w:rPr>
          <w:rFonts w:hint="eastAsia" w:ascii="方正小标宋_GBK" w:hAnsi="方正小标宋_GBK" w:eastAsia="方正小标宋_GBK" w:cs="方正小标宋_GBK"/>
          <w:sz w:val="72"/>
          <w:szCs w:val="72"/>
        </w:rPr>
      </w:pPr>
    </w:p>
    <w:p>
      <w:pPr>
        <w:pStyle w:val="2"/>
        <w:rPr>
          <w:rFonts w:hint="eastAsia" w:ascii="方正小标宋_GBK" w:hAnsi="方正小标宋_GBK" w:eastAsia="方正小标宋_GBK" w:cs="方正小标宋_GBK"/>
          <w:sz w:val="72"/>
          <w:szCs w:val="72"/>
        </w:rPr>
      </w:pPr>
    </w:p>
    <w:p>
      <w:pPr>
        <w:pStyle w:val="2"/>
        <w:rPr>
          <w:rFonts w:hint="eastAsia" w:ascii="方正小标宋_GBK" w:hAnsi="方正小标宋_GBK" w:eastAsia="方正小标宋_GBK" w:cs="方正小标宋_GBK"/>
          <w:sz w:val="72"/>
          <w:szCs w:val="72"/>
        </w:rPr>
      </w:pPr>
    </w:p>
    <w:p>
      <w:pPr>
        <w:pStyle w:val="14"/>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 xml:space="preserve">第一部分 </w:t>
      </w:r>
    </w:p>
    <w:p>
      <w:pPr>
        <w:pStyle w:val="14"/>
        <w:jc w:val="center"/>
        <w:rPr>
          <w:rFonts w:hint="eastAsia" w:ascii="方正小标宋_GBK" w:hAnsi="方正小标宋_GBK" w:eastAsia="方正小标宋_GBK" w:cs="方正小标宋_GBK"/>
          <w:sz w:val="84"/>
          <w:szCs w:val="84"/>
        </w:rPr>
      </w:pPr>
    </w:p>
    <w:p>
      <w:pPr>
        <w:pStyle w:val="14"/>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怀化市红十字会概况</w:t>
      </w:r>
    </w:p>
    <w:p>
      <w:pPr>
        <w:jc w:val="center"/>
        <w:rPr>
          <w:rFonts w:hint="eastAsia" w:ascii="方正小标宋_GBK" w:hAnsi="方正小标宋_GBK" w:eastAsia="方正小标宋_GBK" w:cs="方正小标宋_GBK"/>
          <w:sz w:val="72"/>
          <w:szCs w:val="72"/>
        </w:rPr>
      </w:pPr>
    </w:p>
    <w:p>
      <w:pPr>
        <w:jc w:val="center"/>
        <w:rPr>
          <w:rFonts w:hint="eastAsia" w:ascii="方正小标宋_GBK" w:hAnsi="方正小标宋_GBK" w:eastAsia="方正小标宋_GBK" w:cs="方正小标宋_GBK"/>
          <w:sz w:val="72"/>
          <w:szCs w:val="72"/>
        </w:rPr>
      </w:pPr>
    </w:p>
    <w:p>
      <w:pPr>
        <w:jc w:val="center"/>
        <w:rPr>
          <w:sz w:val="72"/>
          <w:szCs w:val="72"/>
        </w:rPr>
      </w:pPr>
    </w:p>
    <w:p>
      <w:pPr>
        <w:jc w:val="center"/>
        <w:rPr>
          <w:sz w:val="72"/>
          <w:szCs w:val="72"/>
        </w:rPr>
      </w:pPr>
    </w:p>
    <w:p>
      <w:pPr>
        <w:jc w:val="center"/>
        <w:rPr>
          <w:sz w:val="72"/>
          <w:szCs w:val="72"/>
        </w:rPr>
      </w:pPr>
    </w:p>
    <w:p>
      <w:pPr>
        <w:pStyle w:val="15"/>
        <w:numPr>
          <w:ilvl w:val="0"/>
          <w:numId w:val="1"/>
        </w:numPr>
        <w:ind w:firstLineChars="0"/>
        <w:jc w:val="left"/>
        <w:rPr>
          <w:rFonts w:hint="eastAsia" w:ascii="黑体" w:hAnsi="黑体" w:eastAsia="黑体" w:cs="黑体"/>
          <w:b w:val="0"/>
          <w:bCs w:val="0"/>
          <w:sz w:val="32"/>
          <w:szCs w:val="32"/>
        </w:rPr>
      </w:pPr>
      <w:r>
        <w:rPr>
          <w:rFonts w:hint="eastAsia" w:ascii="黑体" w:hAnsi="黑体" w:eastAsia="黑体" w:cs="黑体"/>
          <w:b w:val="0"/>
          <w:bCs w:val="0"/>
          <w:sz w:val="32"/>
          <w:szCs w:val="32"/>
        </w:rPr>
        <w:t>部门职责</w:t>
      </w:r>
    </w:p>
    <w:p>
      <w:pPr>
        <w:widowControl/>
        <w:numPr>
          <w:ilvl w:val="0"/>
          <w:numId w:val="2"/>
        </w:numPr>
        <w:spacing w:line="600" w:lineRule="exact"/>
        <w:ind w:firstLine="640" w:firstLineChars="200"/>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宣传、执行《中华人民共和国红十字会法》等相关法律法规以及国际红十字和红新月运动的基本原则和日内瓦公约及其附加议定书，并依照有关规定开展工作，传播红十字运动基本知识；</w:t>
      </w:r>
    </w:p>
    <w:p>
      <w:pPr>
        <w:widowControl/>
        <w:numPr>
          <w:ilvl w:val="0"/>
          <w:numId w:val="2"/>
        </w:numPr>
        <w:spacing w:line="600" w:lineRule="exact"/>
        <w:ind w:firstLine="640" w:firstLineChars="200"/>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指导全市各级红十字会开展工作，加强对冠名红十字医疗机构、红十字会员单位的组织管理和服务，组织开展红十字志愿服务、红十字青少年工作；</w:t>
      </w:r>
    </w:p>
    <w:p>
      <w:pPr>
        <w:widowControl/>
        <w:numPr>
          <w:ilvl w:val="0"/>
          <w:numId w:val="2"/>
        </w:numPr>
        <w:spacing w:line="600" w:lineRule="exact"/>
        <w:ind w:firstLine="640" w:firstLineChars="200"/>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开展救援、救灾的相关工作，建立红十字应急救援体系。在战争、武装冲突和自然灾害、事故灾难、公共卫生事件等突发事件中，对伤病人员和其他受害者提供紧急救援和人道救助；</w:t>
      </w:r>
    </w:p>
    <w:p>
      <w:pPr>
        <w:widowControl/>
        <w:numPr>
          <w:ilvl w:val="0"/>
          <w:numId w:val="2"/>
        </w:numPr>
        <w:spacing w:line="600" w:lineRule="exact"/>
        <w:ind w:firstLine="640" w:firstLineChars="200"/>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开展应急救护培训，普及应急救护、防灾避险和卫生健康知识，组织志愿者参与现场救护；</w:t>
      </w:r>
    </w:p>
    <w:p>
      <w:pPr>
        <w:widowControl/>
        <w:numPr>
          <w:ilvl w:val="0"/>
          <w:numId w:val="2"/>
        </w:numPr>
        <w:spacing w:line="600" w:lineRule="exact"/>
        <w:ind w:firstLine="640" w:firstLineChars="200"/>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参与、推动无偿献血、遗体和人体器官捐献工作，组织开展造血干细胞捐献的相关工作，协助政府部门开展无偿献血的宣传和表彰工作；</w:t>
      </w:r>
    </w:p>
    <w:p>
      <w:pPr>
        <w:widowControl/>
        <w:numPr>
          <w:ilvl w:val="0"/>
          <w:numId w:val="2"/>
        </w:numPr>
        <w:spacing w:line="600" w:lineRule="exact"/>
        <w:ind w:firstLine="640" w:firstLineChars="200"/>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依法募集物资和款项，接受、处理境内外组织和个人的捐赠。加强对捐赠款物管理和使用的监督。开展网上红十字工作，严格执行信息公开制度；</w:t>
      </w:r>
    </w:p>
    <w:p>
      <w:pPr>
        <w:widowControl/>
        <w:numPr>
          <w:ilvl w:val="0"/>
          <w:numId w:val="2"/>
        </w:numPr>
        <w:spacing w:line="600" w:lineRule="exact"/>
        <w:ind w:firstLine="640" w:firstLineChars="200"/>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兴办符合红十字会宗旨的社会福利事业、健康产业和经济实体，并直接进行管理；</w:t>
      </w:r>
    </w:p>
    <w:p>
      <w:pPr>
        <w:widowControl/>
        <w:numPr>
          <w:ilvl w:val="0"/>
          <w:numId w:val="2"/>
        </w:numPr>
        <w:spacing w:line="600" w:lineRule="exact"/>
        <w:ind w:firstLine="640" w:firstLineChars="200"/>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依照国际红十字运动原则，发展与港澳台地区红十字组织、境外红十字会、红新月会的合作和交流活动；</w:t>
      </w:r>
    </w:p>
    <w:p>
      <w:pPr>
        <w:widowControl/>
        <w:numPr>
          <w:ilvl w:val="0"/>
          <w:numId w:val="0"/>
        </w:numPr>
        <w:spacing w:line="600" w:lineRule="exact"/>
        <w:ind w:firstLine="640" w:firstLineChars="200"/>
        <w:rPr>
          <w:rFonts w:hint="eastAsia" w:ascii="仿宋_GB2312" w:hAnsi="仿宋_GB2312" w:eastAsia="仿宋_GB2312" w:cs="仿宋_GB2312"/>
          <w:sz w:val="28"/>
          <w:szCs w:val="32"/>
        </w:rPr>
      </w:pPr>
      <w:r>
        <w:rPr>
          <w:rFonts w:hint="eastAsia" w:ascii="仿宋_GB2312" w:hAnsi="仿宋_GB2312" w:eastAsia="仿宋_GB2312" w:cs="仿宋_GB2312"/>
          <w:bCs/>
          <w:kern w:val="0"/>
          <w:sz w:val="32"/>
          <w:szCs w:val="32"/>
          <w:lang w:eastAsia="zh-CN"/>
        </w:rPr>
        <w:t>（</w:t>
      </w:r>
      <w:r>
        <w:rPr>
          <w:rFonts w:hint="eastAsia" w:ascii="仿宋_GB2312" w:hAnsi="仿宋_GB2312" w:eastAsia="仿宋_GB2312" w:cs="仿宋_GB2312"/>
          <w:bCs/>
          <w:kern w:val="0"/>
          <w:sz w:val="32"/>
          <w:szCs w:val="32"/>
          <w:lang w:val="en-US" w:eastAsia="zh-CN"/>
        </w:rPr>
        <w:t>九</w:t>
      </w:r>
      <w:r>
        <w:rPr>
          <w:rFonts w:hint="eastAsia" w:ascii="仿宋_GB2312" w:hAnsi="仿宋_GB2312" w:eastAsia="仿宋_GB2312" w:cs="仿宋_GB2312"/>
          <w:bCs/>
          <w:kern w:val="0"/>
          <w:sz w:val="32"/>
          <w:szCs w:val="32"/>
          <w:lang w:eastAsia="zh-CN"/>
        </w:rPr>
        <w:t>）</w:t>
      </w:r>
      <w:r>
        <w:rPr>
          <w:rFonts w:hint="eastAsia" w:ascii="仿宋_GB2312" w:hAnsi="仿宋_GB2312" w:eastAsia="仿宋_GB2312" w:cs="仿宋_GB2312"/>
          <w:bCs/>
          <w:kern w:val="0"/>
          <w:sz w:val="32"/>
          <w:szCs w:val="32"/>
        </w:rPr>
        <w:t>完成市委和市政府交办的其他任务。</w:t>
      </w:r>
    </w:p>
    <w:p>
      <w:pPr>
        <w:widowControl/>
        <w:spacing w:line="600" w:lineRule="exact"/>
        <w:rPr>
          <w:rFonts w:hint="eastAsia" w:ascii="黑体" w:hAnsi="黑体" w:eastAsia="黑体" w:cs="黑体"/>
          <w:b w:val="0"/>
          <w:bCs/>
          <w:kern w:val="0"/>
          <w:sz w:val="32"/>
          <w:szCs w:val="32"/>
        </w:rPr>
      </w:pPr>
      <w:r>
        <w:rPr>
          <w:rFonts w:hint="eastAsia" w:ascii="黑体" w:hAnsi="黑体" w:eastAsia="黑体" w:cs="黑体"/>
          <w:b w:val="0"/>
          <w:bCs/>
          <w:kern w:val="0"/>
          <w:sz w:val="32"/>
          <w:szCs w:val="32"/>
        </w:rPr>
        <w:t>二、机构设置及决算单位构成</w:t>
      </w:r>
    </w:p>
    <w:p>
      <w:pPr>
        <w:widowControl/>
        <w:spacing w:line="600" w:lineRule="exact"/>
        <w:ind w:firstLine="640" w:firstLineChars="200"/>
        <w:rPr>
          <w:rFonts w:hint="eastAsia" w:ascii="Times New Roman" w:hAnsi="Times New Roman" w:eastAsia="仿宋_GB2312" w:cs="仿宋_GB2312"/>
          <w:bCs/>
          <w:kern w:val="0"/>
          <w:sz w:val="32"/>
          <w:szCs w:val="32"/>
        </w:rPr>
      </w:pPr>
      <w:r>
        <w:rPr>
          <w:rFonts w:hint="eastAsia" w:ascii="Times New Roman" w:hAnsi="Times New Roman" w:eastAsia="仿宋_GB2312" w:cs="仿宋_GB2312"/>
          <w:bCs/>
          <w:kern w:val="0"/>
          <w:sz w:val="32"/>
          <w:szCs w:val="32"/>
        </w:rPr>
        <w:t>（一）内设机构设置。</w:t>
      </w:r>
      <w:r>
        <w:rPr>
          <w:rFonts w:hint="eastAsia" w:ascii="Times New Roman" w:hAnsi="Times New Roman" w:eastAsia="仿宋_GB2312" w:cs="仿宋_GB2312"/>
          <w:bCs/>
          <w:kern w:val="0"/>
          <w:sz w:val="32"/>
          <w:szCs w:val="32"/>
          <w:lang w:val="en-US" w:eastAsia="zh-CN"/>
        </w:rPr>
        <w:t>怀化市红十字会</w:t>
      </w:r>
      <w:r>
        <w:rPr>
          <w:rFonts w:hint="eastAsia" w:ascii="Times New Roman" w:hAnsi="Times New Roman" w:eastAsia="仿宋_GB2312" w:cs="仿宋_GB2312"/>
          <w:bCs/>
          <w:kern w:val="0"/>
          <w:sz w:val="32"/>
          <w:szCs w:val="32"/>
        </w:rPr>
        <w:t>内设机构包括：</w:t>
      </w:r>
      <w:r>
        <w:rPr>
          <w:rFonts w:hint="eastAsia" w:ascii="Times New Roman" w:hAnsi="Times New Roman" w:eastAsia="仿宋_GB2312" w:cs="仿宋_GB2312"/>
          <w:bCs/>
          <w:kern w:val="0"/>
          <w:sz w:val="32"/>
          <w:szCs w:val="32"/>
          <w:lang w:val="en-US" w:eastAsia="zh-CN"/>
        </w:rPr>
        <w:t>办公室，组织宣传部，筹资与财务部，赈济救护部</w:t>
      </w:r>
      <w:r>
        <w:rPr>
          <w:rFonts w:hint="eastAsia" w:ascii="Times New Roman" w:hAnsi="Times New Roman" w:eastAsia="仿宋_GB2312" w:cs="仿宋_GB2312"/>
          <w:bCs/>
          <w:kern w:val="0"/>
          <w:sz w:val="32"/>
          <w:szCs w:val="32"/>
        </w:rPr>
        <w:t>。</w:t>
      </w:r>
    </w:p>
    <w:p>
      <w:pPr>
        <w:widowControl/>
        <w:spacing w:line="600" w:lineRule="exact"/>
        <w:ind w:firstLine="640" w:firstLineChars="200"/>
        <w:rPr>
          <w:rFonts w:hint="eastAsia" w:ascii="Times New Roman" w:hAnsi="Times New Roman" w:eastAsia="仿宋_GB2312" w:cs="仿宋_GB2312"/>
          <w:bCs/>
          <w:kern w:val="0"/>
          <w:sz w:val="32"/>
          <w:szCs w:val="32"/>
          <w:lang w:val="en-US" w:eastAsia="zh-CN"/>
        </w:rPr>
      </w:pPr>
      <w:r>
        <w:rPr>
          <w:rFonts w:hint="eastAsia" w:ascii="Times New Roman" w:hAnsi="Times New Roman" w:eastAsia="仿宋_GB2312" w:cs="仿宋_GB2312"/>
          <w:bCs/>
          <w:kern w:val="0"/>
          <w:sz w:val="32"/>
          <w:szCs w:val="32"/>
        </w:rPr>
        <w:t>（二）决算单位构成。</w:t>
      </w:r>
      <w:r>
        <w:rPr>
          <w:rFonts w:hint="eastAsia" w:ascii="Times New Roman" w:hAnsi="Times New Roman" w:eastAsia="仿宋_GB2312" w:cs="仿宋_GB2312"/>
          <w:bCs/>
          <w:kern w:val="0"/>
          <w:sz w:val="32"/>
          <w:szCs w:val="32"/>
          <w:lang w:val="en-US" w:eastAsia="zh-CN"/>
        </w:rPr>
        <w:t>怀化市红十字会2023年部门决算汇总公开单位构成包括：怀化市红十字会本级。</w:t>
      </w:r>
    </w:p>
    <w:p>
      <w:pPr>
        <w:jc w:val="left"/>
        <w:rPr>
          <w:rFonts w:ascii="仿宋_GB2312" w:eastAsia="仿宋_GB2312" w:hAnsiTheme="minorEastAsia"/>
          <w:sz w:val="28"/>
          <w:szCs w:val="32"/>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sz w:val="72"/>
          <w:szCs w:val="72"/>
        </w:rPr>
      </w:pPr>
    </w:p>
    <w:p>
      <w:pPr>
        <w:jc w:val="center"/>
        <w:rPr>
          <w:sz w:val="72"/>
          <w:szCs w:val="72"/>
        </w:rPr>
      </w:pPr>
    </w:p>
    <w:p>
      <w:pPr>
        <w:jc w:val="center"/>
        <w:rPr>
          <w:sz w:val="72"/>
          <w:szCs w:val="72"/>
        </w:rPr>
      </w:pPr>
    </w:p>
    <w:p>
      <w:pPr>
        <w:jc w:val="center"/>
        <w:rPr>
          <w:sz w:val="72"/>
          <w:szCs w:val="72"/>
        </w:rPr>
      </w:pPr>
    </w:p>
    <w:p>
      <w:pPr>
        <w:pStyle w:val="14"/>
        <w:jc w:val="center"/>
        <w:rPr>
          <w:rFonts w:hint="eastAsia" w:ascii="方正小标宋_GBK" w:hAnsi="方正小标宋_GBK" w:eastAsia="方正小标宋_GBK" w:cs="方正小标宋_GBK"/>
          <w:sz w:val="84"/>
          <w:szCs w:val="84"/>
        </w:rPr>
      </w:pPr>
    </w:p>
    <w:p>
      <w:pPr>
        <w:pStyle w:val="14"/>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第二部分</w:t>
      </w:r>
    </w:p>
    <w:p>
      <w:pPr>
        <w:pStyle w:val="14"/>
        <w:jc w:val="center"/>
        <w:rPr>
          <w:rFonts w:hint="eastAsia" w:ascii="方正小标宋_GBK" w:hAnsi="方正小标宋_GBK" w:eastAsia="方正小标宋_GBK" w:cs="方正小标宋_GBK"/>
          <w:sz w:val="84"/>
          <w:szCs w:val="84"/>
        </w:rPr>
      </w:pPr>
    </w:p>
    <w:p>
      <w:pPr>
        <w:pStyle w:val="14"/>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部门决算表</w:t>
      </w:r>
    </w:p>
    <w:p>
      <w:pPr>
        <w:jc w:val="center"/>
        <w:rPr>
          <w:sz w:val="72"/>
          <w:szCs w:val="72"/>
        </w:rPr>
      </w:pPr>
    </w:p>
    <w:p>
      <w:pPr>
        <w:jc w:val="center"/>
        <w:rPr>
          <w:sz w:val="72"/>
          <w:szCs w:val="72"/>
        </w:rPr>
      </w:pPr>
      <w:r>
        <w:rPr>
          <w:rFonts w:hint="eastAsia" w:ascii="仿宋_GB2312" w:hAnsi="仿宋_GB2312" w:eastAsia="仿宋_GB2312" w:cs="仿宋_GB2312"/>
          <w:sz w:val="44"/>
          <w:szCs w:val="44"/>
          <w:lang w:eastAsia="zh-CN"/>
        </w:rPr>
        <w:t>见附件</w:t>
      </w:r>
    </w:p>
    <w:p>
      <w:pPr>
        <w:jc w:val="center"/>
        <w:rPr>
          <w:sz w:val="72"/>
          <w:szCs w:val="72"/>
        </w:rPr>
      </w:pPr>
    </w:p>
    <w:p>
      <w:pPr>
        <w:jc w:val="center"/>
        <w:rPr>
          <w:sz w:val="72"/>
          <w:szCs w:val="72"/>
        </w:rPr>
      </w:pPr>
    </w:p>
    <w:p>
      <w:pPr>
        <w:jc w:val="center"/>
        <w:rPr>
          <w:sz w:val="72"/>
          <w:szCs w:val="72"/>
        </w:rPr>
      </w:pPr>
    </w:p>
    <w:p>
      <w:pPr>
        <w:jc w:val="center"/>
        <w:rPr>
          <w:sz w:val="72"/>
          <w:szCs w:val="72"/>
        </w:rPr>
      </w:pPr>
    </w:p>
    <w:p>
      <w:pPr>
        <w:jc w:val="left"/>
        <w:rPr>
          <w:sz w:val="32"/>
          <w:szCs w:val="32"/>
        </w:rPr>
      </w:pPr>
    </w:p>
    <w:p>
      <w:pPr>
        <w:jc w:val="left"/>
        <w:rPr>
          <w:rFonts w:asciiTheme="minorEastAsia" w:hAnsiTheme="minorEastAsia"/>
          <w:sz w:val="32"/>
          <w:szCs w:val="32"/>
        </w:rPr>
        <w:sectPr>
          <w:pgSz w:w="11906" w:h="16838"/>
          <w:pgMar w:top="720" w:right="720" w:bottom="720" w:left="720" w:header="851" w:footer="992" w:gutter="0"/>
          <w:cols w:space="425" w:num="1"/>
          <w:docGrid w:type="lines" w:linePitch="312" w:charSpace="0"/>
        </w:sectPr>
      </w:pPr>
    </w:p>
    <w:p>
      <w:pPr>
        <w:pStyle w:val="14"/>
        <w:rPr>
          <w:sz w:val="72"/>
          <w:szCs w:val="72"/>
        </w:rPr>
      </w:pPr>
    </w:p>
    <w:p>
      <w:pPr>
        <w:pStyle w:val="14"/>
        <w:rPr>
          <w:sz w:val="72"/>
          <w:szCs w:val="72"/>
        </w:rPr>
      </w:pPr>
    </w:p>
    <w:p>
      <w:pPr>
        <w:pStyle w:val="14"/>
        <w:rPr>
          <w:sz w:val="72"/>
          <w:szCs w:val="72"/>
        </w:rPr>
      </w:pPr>
    </w:p>
    <w:p>
      <w:pPr>
        <w:pStyle w:val="14"/>
        <w:jc w:val="both"/>
        <w:rPr>
          <w:sz w:val="72"/>
          <w:szCs w:val="72"/>
        </w:rPr>
      </w:pPr>
    </w:p>
    <w:p>
      <w:pPr>
        <w:pStyle w:val="14"/>
        <w:jc w:val="center"/>
        <w:rPr>
          <w:rFonts w:hint="eastAsia" w:ascii="方正小标宋_GBK" w:hAnsi="方正小标宋_GBK" w:eastAsia="方正小标宋_GBK" w:cs="方正小标宋_GBK"/>
          <w:sz w:val="72"/>
          <w:szCs w:val="72"/>
        </w:rPr>
      </w:pPr>
    </w:p>
    <w:p>
      <w:pPr>
        <w:pStyle w:val="14"/>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第三部分</w:t>
      </w:r>
    </w:p>
    <w:p>
      <w:pPr>
        <w:pStyle w:val="14"/>
        <w:jc w:val="center"/>
        <w:rPr>
          <w:rFonts w:hint="eastAsia" w:ascii="方正小标宋_GBK" w:hAnsi="方正小标宋_GBK" w:eastAsia="方正小标宋_GBK" w:cs="方正小标宋_GBK"/>
          <w:sz w:val="70"/>
          <w:szCs w:val="70"/>
        </w:rPr>
      </w:pPr>
    </w:p>
    <w:p>
      <w:pPr>
        <w:pStyle w:val="14"/>
        <w:jc w:val="center"/>
        <w:rPr>
          <w:rFonts w:hint="eastAsia" w:ascii="方正小标宋_GBK" w:hAnsi="方正小标宋_GBK" w:eastAsia="方正小标宋_GBK" w:cs="方正小标宋_GBK"/>
          <w:sz w:val="70"/>
          <w:szCs w:val="70"/>
        </w:rPr>
      </w:pPr>
      <w:r>
        <w:rPr>
          <w:rFonts w:hint="eastAsia" w:ascii="方正小标宋_GBK" w:hAnsi="方正小标宋_GBK" w:eastAsia="方正小标宋_GBK" w:cs="方正小标宋_GBK"/>
          <w:sz w:val="70"/>
          <w:szCs w:val="70"/>
        </w:rPr>
        <w:t>202</w:t>
      </w:r>
      <w:r>
        <w:rPr>
          <w:rFonts w:hint="eastAsia" w:ascii="方正小标宋_GBK" w:hAnsi="方正小标宋_GBK" w:eastAsia="方正小标宋_GBK" w:cs="方正小标宋_GBK"/>
          <w:sz w:val="70"/>
          <w:szCs w:val="70"/>
          <w:lang w:val="en-US" w:eastAsia="zh-CN"/>
        </w:rPr>
        <w:t>3</w:t>
      </w:r>
      <w:r>
        <w:rPr>
          <w:rFonts w:hint="eastAsia" w:ascii="方正小标宋_GBK" w:hAnsi="方正小标宋_GBK" w:eastAsia="方正小标宋_GBK" w:cs="方正小标宋_GBK"/>
          <w:sz w:val="70"/>
          <w:szCs w:val="70"/>
        </w:rPr>
        <w:t>年度部门决算情况说明</w:t>
      </w:r>
    </w:p>
    <w:p>
      <w:pPr>
        <w:widowControl/>
        <w:jc w:val="left"/>
        <w:rPr>
          <w:rFonts w:asciiTheme="minorEastAsia" w:hAnsiTheme="minorEastAsia" w:eastAsiaTheme="minorEastAsia"/>
          <w:sz w:val="32"/>
          <w:szCs w:val="32"/>
        </w:rPr>
      </w:pPr>
      <w:r>
        <w:rPr>
          <w:rFonts w:hint="eastAsia" w:ascii="方正小标宋_GBK" w:hAnsi="方正小标宋_GBK" w:eastAsia="方正小标宋_GBK" w:cs="方正小标宋_GBK"/>
          <w:sz w:val="70"/>
          <w:szCs w:val="70"/>
        </w:rPr>
        <w:br w:type="page"/>
      </w:r>
    </w:p>
    <w:p>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一、收入支出决算总体情况说明</w:t>
      </w:r>
    </w:p>
    <w:p>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年度收、支总计</w:t>
      </w:r>
      <w:r>
        <w:rPr>
          <w:rFonts w:hint="eastAsia" w:ascii="Times New Roman" w:hAnsi="Times New Roman" w:eastAsia="仿宋_GB2312"/>
          <w:sz w:val="32"/>
          <w:szCs w:val="32"/>
          <w:lang w:val="en-US" w:eastAsia="zh-CN"/>
        </w:rPr>
        <w:t>173.91</w:t>
      </w:r>
      <w:r>
        <w:rPr>
          <w:rFonts w:hint="eastAsia" w:ascii="Times New Roman" w:hAnsi="Times New Roman" w:eastAsia="仿宋_GB2312"/>
          <w:sz w:val="32"/>
          <w:szCs w:val="32"/>
        </w:rPr>
        <w:t>万元。与上年相比，增加</w:t>
      </w:r>
      <w:r>
        <w:rPr>
          <w:rFonts w:hint="eastAsia" w:ascii="Times New Roman" w:hAnsi="Times New Roman" w:eastAsia="仿宋_GB2312"/>
          <w:sz w:val="32"/>
          <w:szCs w:val="32"/>
          <w:lang w:val="en-US" w:eastAsia="zh-CN"/>
        </w:rPr>
        <w:t>8.34</w:t>
      </w:r>
      <w:r>
        <w:rPr>
          <w:rFonts w:hint="eastAsia" w:ascii="Times New Roman" w:hAnsi="Times New Roman" w:eastAsia="仿宋_GB2312"/>
          <w:sz w:val="32"/>
          <w:szCs w:val="32"/>
        </w:rPr>
        <w:t>万元，增长</w:t>
      </w:r>
      <w:r>
        <w:rPr>
          <w:rFonts w:hint="eastAsia" w:ascii="Times New Roman" w:hAnsi="Times New Roman" w:eastAsia="仿宋_GB2312"/>
          <w:sz w:val="32"/>
          <w:szCs w:val="32"/>
          <w:lang w:val="en-US" w:eastAsia="zh-CN"/>
        </w:rPr>
        <w:t>5.04</w:t>
      </w:r>
      <w:r>
        <w:rPr>
          <w:rFonts w:hint="eastAsia" w:ascii="Times New Roman" w:hAnsi="Times New Roman" w:eastAsia="仿宋_GB2312"/>
          <w:sz w:val="32"/>
          <w:szCs w:val="32"/>
        </w:rPr>
        <w:t>%，主要是因为</w:t>
      </w:r>
      <w:r>
        <w:rPr>
          <w:rFonts w:hint="eastAsia" w:ascii="仿宋_GB2312" w:hAnsi="仿宋" w:eastAsia="仿宋_GB2312" w:cs="仿宋"/>
          <w:color w:val="000000"/>
          <w:sz w:val="32"/>
          <w:szCs w:val="32"/>
        </w:rPr>
        <w:t>增加</w:t>
      </w:r>
      <w:r>
        <w:rPr>
          <w:rFonts w:hint="eastAsia" w:ascii="Times New Roman" w:hAnsi="Times New Roman" w:eastAsia="仿宋_GB2312"/>
          <w:sz w:val="32"/>
          <w:szCs w:val="32"/>
          <w:lang w:val="en-US" w:eastAsia="zh-CN"/>
        </w:rPr>
        <w:t>人员相应增加办公经费及人员经费。</w:t>
      </w:r>
    </w:p>
    <w:p>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二、收入决算情况说明</w:t>
      </w:r>
    </w:p>
    <w:p>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年度收入合计</w:t>
      </w:r>
      <w:r>
        <w:rPr>
          <w:rFonts w:hint="eastAsia" w:ascii="Times New Roman" w:hAnsi="Times New Roman" w:eastAsia="仿宋_GB2312"/>
          <w:sz w:val="32"/>
          <w:szCs w:val="32"/>
          <w:lang w:val="en-US" w:eastAsia="zh-CN"/>
        </w:rPr>
        <w:t>173.91</w:t>
      </w:r>
      <w:r>
        <w:rPr>
          <w:rFonts w:hint="eastAsia" w:ascii="Times New Roman" w:hAnsi="Times New Roman" w:eastAsia="仿宋_GB2312"/>
          <w:sz w:val="32"/>
          <w:szCs w:val="32"/>
        </w:rPr>
        <w:t>万元，其中：财政拨款收入173.84万元，占</w:t>
      </w:r>
      <w:r>
        <w:rPr>
          <w:rFonts w:hint="eastAsia" w:ascii="Times New Roman" w:hAnsi="Times New Roman" w:eastAsia="仿宋_GB2312"/>
          <w:sz w:val="32"/>
          <w:szCs w:val="32"/>
          <w:lang w:val="en-US" w:eastAsia="zh-CN"/>
        </w:rPr>
        <w:t>99.96</w:t>
      </w:r>
      <w:r>
        <w:rPr>
          <w:rFonts w:hint="eastAsia" w:ascii="Times New Roman" w:hAnsi="Times New Roman" w:eastAsia="仿宋_GB2312"/>
          <w:sz w:val="32"/>
          <w:szCs w:val="32"/>
        </w:rPr>
        <w:t>%；上级补助收入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%；事业收入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%；经营收入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%；附属单位上缴收入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%；其他收入</w:t>
      </w:r>
      <w:r>
        <w:rPr>
          <w:rFonts w:hint="eastAsia" w:ascii="Times New Roman" w:hAnsi="Times New Roman" w:eastAsia="仿宋_GB2312"/>
          <w:sz w:val="32"/>
          <w:szCs w:val="32"/>
          <w:lang w:val="en-US" w:eastAsia="zh-CN"/>
        </w:rPr>
        <w:t>0.08</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0.04</w:t>
      </w:r>
      <w:r>
        <w:rPr>
          <w:rFonts w:hint="eastAsia" w:ascii="Times New Roman" w:hAnsi="Times New Roman" w:eastAsia="仿宋_GB2312"/>
          <w:sz w:val="32"/>
          <w:szCs w:val="32"/>
        </w:rPr>
        <w:t>%。</w:t>
      </w:r>
    </w:p>
    <w:p>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三、支出决算情况说明</w:t>
      </w:r>
    </w:p>
    <w:p>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年度支出合计</w:t>
      </w:r>
      <w:r>
        <w:rPr>
          <w:rFonts w:hint="eastAsia" w:ascii="Times New Roman" w:hAnsi="Times New Roman" w:eastAsia="仿宋_GB2312"/>
          <w:sz w:val="32"/>
          <w:szCs w:val="32"/>
          <w:lang w:val="en-US" w:eastAsia="zh-CN"/>
        </w:rPr>
        <w:t>173.91</w:t>
      </w:r>
      <w:r>
        <w:rPr>
          <w:rFonts w:hint="eastAsia" w:ascii="Times New Roman" w:hAnsi="Times New Roman" w:eastAsia="仿宋_GB2312"/>
          <w:sz w:val="32"/>
          <w:szCs w:val="32"/>
        </w:rPr>
        <w:t>万元，其中：基本支出</w:t>
      </w:r>
      <w:r>
        <w:rPr>
          <w:rFonts w:hint="eastAsia" w:ascii="Times New Roman" w:hAnsi="Times New Roman" w:eastAsia="仿宋_GB2312"/>
          <w:sz w:val="32"/>
          <w:szCs w:val="32"/>
          <w:lang w:val="en-US" w:eastAsia="zh-CN"/>
        </w:rPr>
        <w:t>143.91</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82.75</w:t>
      </w:r>
      <w:r>
        <w:rPr>
          <w:rFonts w:hint="eastAsia" w:ascii="Times New Roman" w:hAnsi="Times New Roman" w:eastAsia="仿宋_GB2312"/>
          <w:sz w:val="32"/>
          <w:szCs w:val="32"/>
        </w:rPr>
        <w:t>%；项目支出</w:t>
      </w:r>
      <w:r>
        <w:rPr>
          <w:rFonts w:hint="eastAsia" w:ascii="Times New Roman" w:hAnsi="Times New Roman" w:eastAsia="仿宋_GB2312"/>
          <w:sz w:val="32"/>
          <w:szCs w:val="32"/>
          <w:lang w:val="en-US" w:eastAsia="zh-CN"/>
        </w:rPr>
        <w:t>30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17.25</w:t>
      </w:r>
      <w:r>
        <w:rPr>
          <w:rFonts w:hint="eastAsia" w:ascii="Times New Roman" w:hAnsi="Times New Roman" w:eastAsia="仿宋_GB2312"/>
          <w:sz w:val="32"/>
          <w:szCs w:val="32"/>
        </w:rPr>
        <w:t>%；上缴上级支出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%；经营支出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%；对附属单位补助支出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四、财政拨款收入支出决算总体情况说明</w:t>
      </w:r>
    </w:p>
    <w:p>
      <w:pPr>
        <w:pStyle w:val="14"/>
        <w:keepNext w:val="0"/>
        <w:keepLines w:val="0"/>
        <w:pageBreakBefore w:val="0"/>
        <w:widowControl w:val="0"/>
        <w:kinsoku/>
        <w:wordWrap/>
        <w:overflowPunct/>
        <w:topLinePunct w:val="0"/>
        <w:bidi w:val="0"/>
        <w:snapToGrid/>
        <w:spacing w:line="600" w:lineRule="exact"/>
        <w:textAlignment w:val="auto"/>
        <w:rPr>
          <w:rFonts w:ascii="Times New Roman" w:hAnsi="Times New Roman" w:eastAsia="仿宋_GB2312"/>
          <w:sz w:val="32"/>
          <w:szCs w:val="32"/>
        </w:rPr>
      </w:pPr>
      <w:r>
        <w:rPr>
          <w:rFonts w:hint="eastAsia" w:ascii="Times New Roman" w:hAnsi="Times New Roman" w:eastAsia="仿宋_GB2312"/>
          <w:sz w:val="32"/>
          <w:szCs w:val="32"/>
        </w:rPr>
        <w:t xml:space="preserve">    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年度财政拨款收、支总计173.84万元，与上年相比，增加</w:t>
      </w:r>
      <w:r>
        <w:rPr>
          <w:rFonts w:hint="eastAsia" w:ascii="Times New Roman" w:hAnsi="Times New Roman" w:eastAsia="仿宋_GB2312"/>
          <w:sz w:val="32"/>
          <w:szCs w:val="32"/>
          <w:lang w:val="en-US" w:eastAsia="zh-CN"/>
        </w:rPr>
        <w:t>13.22</w:t>
      </w:r>
      <w:r>
        <w:rPr>
          <w:rFonts w:hint="eastAsia" w:ascii="Times New Roman" w:hAnsi="Times New Roman" w:eastAsia="仿宋_GB2312"/>
          <w:sz w:val="32"/>
          <w:szCs w:val="32"/>
        </w:rPr>
        <w:t>万元,增长</w:t>
      </w:r>
      <w:r>
        <w:rPr>
          <w:rFonts w:hint="eastAsia" w:ascii="Times New Roman" w:hAnsi="Times New Roman" w:eastAsia="仿宋_GB2312"/>
          <w:sz w:val="32"/>
          <w:szCs w:val="32"/>
          <w:lang w:val="en-US" w:eastAsia="zh-CN"/>
        </w:rPr>
        <w:t>8.23</w:t>
      </w:r>
      <w:r>
        <w:rPr>
          <w:rFonts w:hint="eastAsia" w:ascii="Times New Roman" w:hAnsi="Times New Roman" w:eastAsia="仿宋_GB2312"/>
          <w:sz w:val="32"/>
          <w:szCs w:val="32"/>
        </w:rPr>
        <w:t>%，主要是因为</w:t>
      </w:r>
      <w:r>
        <w:rPr>
          <w:rFonts w:hint="eastAsia" w:ascii="仿宋_GB2312" w:hAnsi="仿宋" w:eastAsia="仿宋_GB2312" w:cs="仿宋"/>
          <w:color w:val="000000"/>
          <w:sz w:val="32"/>
          <w:szCs w:val="32"/>
        </w:rPr>
        <w:t>增加</w:t>
      </w:r>
      <w:r>
        <w:rPr>
          <w:rFonts w:hint="eastAsia" w:ascii="Times New Roman" w:hAnsi="Times New Roman" w:eastAsia="仿宋_GB2312"/>
          <w:sz w:val="32"/>
          <w:szCs w:val="32"/>
          <w:lang w:val="en-US" w:eastAsia="zh-CN"/>
        </w:rPr>
        <w:t>人员相应增加办公经费及人员经费。</w:t>
      </w:r>
    </w:p>
    <w:p>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五、一般公共预算财政拨款支出决算情况说明</w:t>
      </w:r>
    </w:p>
    <w:p>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（一）一般公共预算财政拨款支出决算总体情况</w:t>
      </w:r>
    </w:p>
    <w:p>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年度财政拨款支出173.84万元，占本年支出合计的</w:t>
      </w:r>
      <w:r>
        <w:rPr>
          <w:rFonts w:hint="eastAsia" w:ascii="Times New Roman" w:hAnsi="Times New Roman" w:eastAsia="仿宋_GB2312"/>
          <w:sz w:val="32"/>
          <w:szCs w:val="32"/>
          <w:lang w:val="en-US" w:eastAsia="zh-CN"/>
        </w:rPr>
        <w:t>99.96</w:t>
      </w:r>
      <w:r>
        <w:rPr>
          <w:rFonts w:hint="eastAsia" w:ascii="Times New Roman" w:hAnsi="Times New Roman" w:eastAsia="仿宋_GB2312"/>
          <w:sz w:val="32"/>
          <w:szCs w:val="32"/>
        </w:rPr>
        <w:t>%，与上年相比，财政拨款支出增加</w:t>
      </w:r>
      <w:r>
        <w:rPr>
          <w:rFonts w:hint="eastAsia" w:ascii="Times New Roman" w:hAnsi="Times New Roman" w:eastAsia="仿宋_GB2312"/>
          <w:sz w:val="32"/>
          <w:szCs w:val="32"/>
          <w:lang w:val="en-US" w:eastAsia="zh-CN"/>
        </w:rPr>
        <w:t>13.22</w:t>
      </w:r>
      <w:r>
        <w:rPr>
          <w:rFonts w:hint="eastAsia" w:ascii="Times New Roman" w:hAnsi="Times New Roman" w:eastAsia="仿宋_GB2312"/>
          <w:sz w:val="32"/>
          <w:szCs w:val="32"/>
        </w:rPr>
        <w:t>万元，增长</w:t>
      </w:r>
      <w:r>
        <w:rPr>
          <w:rFonts w:hint="eastAsia" w:ascii="Times New Roman" w:hAnsi="Times New Roman" w:eastAsia="仿宋_GB2312"/>
          <w:sz w:val="32"/>
          <w:szCs w:val="32"/>
          <w:lang w:val="en-US" w:eastAsia="zh-CN"/>
        </w:rPr>
        <w:t>8.23</w:t>
      </w:r>
      <w:r>
        <w:rPr>
          <w:rFonts w:hint="eastAsia" w:ascii="Times New Roman" w:hAnsi="Times New Roman" w:eastAsia="仿宋_GB2312"/>
          <w:sz w:val="32"/>
          <w:szCs w:val="32"/>
        </w:rPr>
        <w:t>%，主要是因为</w:t>
      </w:r>
      <w:r>
        <w:rPr>
          <w:rFonts w:hint="eastAsia" w:ascii="仿宋_GB2312" w:hAnsi="仿宋" w:eastAsia="仿宋_GB2312" w:cs="仿宋"/>
          <w:color w:val="000000"/>
          <w:sz w:val="32"/>
          <w:szCs w:val="32"/>
        </w:rPr>
        <w:t>增加</w:t>
      </w:r>
      <w:r>
        <w:rPr>
          <w:rFonts w:hint="eastAsia" w:ascii="Times New Roman" w:hAnsi="Times New Roman" w:eastAsia="仿宋_GB2312"/>
          <w:sz w:val="32"/>
          <w:szCs w:val="32"/>
          <w:lang w:val="en-US" w:eastAsia="zh-CN"/>
        </w:rPr>
        <w:t>人员相应增加办公经费及人员经费。</w:t>
      </w:r>
    </w:p>
    <w:p>
      <w:pPr>
        <w:pStyle w:val="14"/>
        <w:keepNext w:val="0"/>
        <w:keepLines w:val="0"/>
        <w:pageBreakBefore w:val="0"/>
        <w:widowControl w:val="0"/>
        <w:kinsoku/>
        <w:wordWrap/>
        <w:overflowPunct/>
        <w:topLinePunct w:val="0"/>
        <w:bidi w:val="0"/>
        <w:snapToGrid/>
        <w:spacing w:line="600" w:lineRule="exact"/>
        <w:ind w:firstLine="480" w:firstLineChars="15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（二）一般公共预算财政拨款支出决算结构情况</w:t>
      </w:r>
    </w:p>
    <w:p>
      <w:pPr>
        <w:pStyle w:val="14"/>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年度财政拨款支出173.84万元，主要用于以下方面：社会保障和就业（类）支出</w:t>
      </w:r>
      <w:r>
        <w:rPr>
          <w:rFonts w:hint="eastAsia" w:ascii="Times New Roman" w:hAnsi="Times New Roman" w:eastAsia="仿宋_GB2312"/>
          <w:sz w:val="32"/>
          <w:szCs w:val="32"/>
          <w:lang w:val="en-US" w:eastAsia="zh-CN"/>
        </w:rPr>
        <w:t>169.19</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97.33</w:t>
      </w:r>
      <w:r>
        <w:rPr>
          <w:rFonts w:hint="eastAsia" w:ascii="Times New Roman" w:hAnsi="Times New Roman" w:eastAsia="仿宋_GB2312"/>
          <w:sz w:val="32"/>
          <w:szCs w:val="32"/>
        </w:rPr>
        <w:t>%；卫生健康（类）支出</w:t>
      </w:r>
      <w:r>
        <w:rPr>
          <w:rFonts w:hint="eastAsia" w:ascii="Times New Roman" w:hAnsi="Times New Roman" w:eastAsia="仿宋_GB2312"/>
          <w:sz w:val="32"/>
          <w:szCs w:val="32"/>
          <w:lang w:val="en-US" w:eastAsia="zh-CN"/>
        </w:rPr>
        <w:t>4.64</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2.67</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p>
    <w:p>
      <w:pPr>
        <w:pStyle w:val="14"/>
        <w:keepNext w:val="0"/>
        <w:keepLines w:val="0"/>
        <w:pageBreakBefore w:val="0"/>
        <w:widowControl w:val="0"/>
        <w:kinsoku/>
        <w:wordWrap/>
        <w:overflowPunct/>
        <w:topLinePunct w:val="0"/>
        <w:bidi w:val="0"/>
        <w:snapToGrid/>
        <w:spacing w:line="600" w:lineRule="exact"/>
        <w:ind w:left="0" w:leftChars="0" w:firstLine="640" w:firstLineChars="20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（三）一般公共预算财政拨款支出决算具体情况</w:t>
      </w:r>
    </w:p>
    <w:p>
      <w:pPr>
        <w:pStyle w:val="14"/>
        <w:keepNext w:val="0"/>
        <w:keepLines w:val="0"/>
        <w:pageBreakBefore w:val="0"/>
        <w:widowControl w:val="0"/>
        <w:kinsoku/>
        <w:wordWrap/>
        <w:overflowPunct/>
        <w:topLinePunct w:val="0"/>
        <w:bidi w:val="0"/>
        <w:snapToGrid/>
        <w:spacing w:line="600" w:lineRule="exact"/>
        <w:ind w:left="0" w:leftChars="0"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年度财政拨款支出年初预算数为</w:t>
      </w:r>
      <w:r>
        <w:rPr>
          <w:rFonts w:hint="eastAsia" w:ascii="Times New Roman" w:hAnsi="Times New Roman" w:eastAsia="仿宋_GB2312"/>
          <w:sz w:val="32"/>
          <w:szCs w:val="32"/>
          <w:lang w:val="en-US" w:eastAsia="zh-CN"/>
        </w:rPr>
        <w:t>184.33</w:t>
      </w:r>
      <w:r>
        <w:rPr>
          <w:rFonts w:hint="eastAsia" w:ascii="Times New Roman" w:hAnsi="Times New Roman" w:eastAsia="仿宋_GB2312"/>
          <w:sz w:val="32"/>
          <w:szCs w:val="32"/>
        </w:rPr>
        <w:t>万元，支出决算数为173.84万元，完成年初预算的</w:t>
      </w:r>
      <w:r>
        <w:rPr>
          <w:rFonts w:hint="eastAsia" w:ascii="Times New Roman" w:hAnsi="Times New Roman" w:eastAsia="仿宋_GB2312"/>
          <w:sz w:val="32"/>
          <w:szCs w:val="32"/>
          <w:lang w:val="en-US" w:eastAsia="zh-CN"/>
        </w:rPr>
        <w:t>94.31</w:t>
      </w:r>
      <w:r>
        <w:rPr>
          <w:rFonts w:hint="eastAsia" w:ascii="Times New Roman" w:hAnsi="Times New Roman" w:eastAsia="仿宋_GB2312"/>
          <w:sz w:val="32"/>
          <w:szCs w:val="32"/>
        </w:rPr>
        <w:t>%，其中：</w:t>
      </w:r>
    </w:p>
    <w:p>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1、社会保障和就业支出（类）行政事业单位养老支出（款）机关事业单位基本养老保险缴费支出（项）。</w:t>
      </w:r>
    </w:p>
    <w:p>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hint="default" w:ascii="Times New Roman" w:hAnsi="Times New Roman" w:eastAsia="仿宋_GB2312"/>
          <w:color w:val="000000" w:themeColor="text1"/>
          <w:sz w:val="32"/>
          <w:szCs w:val="32"/>
          <w:lang w:val="en-US" w:eastAsia="zh-CN"/>
          <w14:textFill>
            <w14:solidFill>
              <w14:schemeClr w14:val="tx1"/>
            </w14:solidFill>
          </w14:textFill>
        </w:rPr>
      </w:pPr>
      <w:r>
        <w:rPr>
          <w:rFonts w:hint="eastAsia" w:ascii="Times New Roman" w:hAnsi="Times New Roman" w:eastAsia="仿宋_GB2312"/>
          <w:color w:val="000000" w:themeColor="text1"/>
          <w:sz w:val="32"/>
          <w:szCs w:val="32"/>
          <w14:textFill>
            <w14:solidFill>
              <w14:schemeClr w14:val="tx1"/>
            </w14:solidFill>
          </w14:textFill>
        </w:rPr>
        <w:t>年初预算为</w:t>
      </w:r>
      <w:r>
        <w:rPr>
          <w:rFonts w:hint="eastAsia" w:ascii="Times New Roman" w:hAnsi="Times New Roman" w:eastAsia="仿宋_GB2312"/>
          <w:color w:val="000000" w:themeColor="text1"/>
          <w:sz w:val="32"/>
          <w:szCs w:val="32"/>
          <w:lang w:val="en-US" w:eastAsia="zh-CN"/>
          <w14:textFill>
            <w14:solidFill>
              <w14:schemeClr w14:val="tx1"/>
            </w14:solidFill>
          </w14:textFill>
        </w:rPr>
        <w:t>13.82</w:t>
      </w:r>
      <w:r>
        <w:rPr>
          <w:rFonts w:hint="eastAsia" w:ascii="Times New Roman" w:hAnsi="Times New Roman" w:eastAsia="仿宋_GB2312"/>
          <w:color w:val="000000" w:themeColor="text1"/>
          <w:sz w:val="32"/>
          <w:szCs w:val="32"/>
          <w14:textFill>
            <w14:solidFill>
              <w14:schemeClr w14:val="tx1"/>
            </w14:solidFill>
          </w14:textFill>
        </w:rPr>
        <w:t>万元，支出决算为</w:t>
      </w:r>
      <w:r>
        <w:rPr>
          <w:rFonts w:hint="eastAsia" w:ascii="Times New Roman" w:hAnsi="Times New Roman" w:eastAsia="仿宋_GB2312"/>
          <w:color w:val="000000" w:themeColor="text1"/>
          <w:sz w:val="32"/>
          <w:szCs w:val="32"/>
          <w:lang w:val="en-US" w:eastAsia="zh-CN"/>
          <w14:textFill>
            <w14:solidFill>
              <w14:schemeClr w14:val="tx1"/>
            </w14:solidFill>
          </w14:textFill>
        </w:rPr>
        <w:t>10.86</w:t>
      </w:r>
      <w:r>
        <w:rPr>
          <w:rFonts w:hint="eastAsia" w:ascii="Times New Roman" w:hAnsi="Times New Roman" w:eastAsia="仿宋_GB2312"/>
          <w:color w:val="000000" w:themeColor="text1"/>
          <w:sz w:val="32"/>
          <w:szCs w:val="32"/>
          <w14:textFill>
            <w14:solidFill>
              <w14:schemeClr w14:val="tx1"/>
            </w14:solidFill>
          </w14:textFill>
        </w:rPr>
        <w:t>万元，完成年初预算的</w:t>
      </w:r>
      <w:r>
        <w:rPr>
          <w:rFonts w:hint="eastAsia" w:ascii="Times New Roman" w:hAnsi="Times New Roman" w:eastAsia="仿宋_GB2312"/>
          <w:color w:val="000000" w:themeColor="text1"/>
          <w:sz w:val="32"/>
          <w:szCs w:val="32"/>
          <w:lang w:val="en-US" w:eastAsia="zh-CN"/>
          <w14:textFill>
            <w14:solidFill>
              <w14:schemeClr w14:val="tx1"/>
            </w14:solidFill>
          </w14:textFill>
        </w:rPr>
        <w:t>78.58</w:t>
      </w:r>
      <w:r>
        <w:rPr>
          <w:rFonts w:hint="eastAsia" w:ascii="Times New Roman" w:hAnsi="Times New Roman" w:eastAsia="仿宋_GB2312"/>
          <w:color w:val="000000" w:themeColor="text1"/>
          <w:sz w:val="32"/>
          <w:szCs w:val="32"/>
          <w14:textFill>
            <w14:solidFill>
              <w14:schemeClr w14:val="tx1"/>
            </w14:solidFill>
          </w14:textFill>
        </w:rPr>
        <w:t>%，决算数小于年初预算数的主要原因是：</w:t>
      </w:r>
      <w:r>
        <w:rPr>
          <w:rFonts w:hint="eastAsia" w:ascii="Times New Roman" w:hAnsi="Times New Roman" w:eastAsia="仿宋_GB2312"/>
          <w:color w:val="000000" w:themeColor="text1"/>
          <w:sz w:val="32"/>
          <w:szCs w:val="32"/>
          <w:lang w:val="en-US" w:eastAsia="zh-CN"/>
          <w14:textFill>
            <w14:solidFill>
              <w14:schemeClr w14:val="tx1"/>
            </w14:solidFill>
          </w14:textFill>
        </w:rPr>
        <w:t>人员变动导致养老保险缴费基数变动，缴费金额减少。</w:t>
      </w:r>
    </w:p>
    <w:p>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2、社会保障和就业支出（类）行政事业单位养老支出（款）其他行政事业单位养老支出（项）。</w:t>
      </w:r>
    </w:p>
    <w:p>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4.5</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4.52</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100.44</w:t>
      </w:r>
      <w:r>
        <w:rPr>
          <w:rFonts w:hint="eastAsia" w:ascii="Times New Roman" w:hAnsi="Times New Roman" w:eastAsia="仿宋_GB2312"/>
          <w:sz w:val="32"/>
          <w:szCs w:val="32"/>
        </w:rPr>
        <w:t>%，决算数大于年初预算数的主要原因是：</w:t>
      </w:r>
      <w:r>
        <w:rPr>
          <w:rFonts w:hint="eastAsia" w:ascii="Times New Roman" w:hAnsi="Times New Roman" w:eastAsia="仿宋_GB2312"/>
          <w:sz w:val="32"/>
          <w:szCs w:val="32"/>
          <w:lang w:val="en-US" w:eastAsia="zh-CN"/>
        </w:rPr>
        <w:t>退休人员增加。</w:t>
      </w:r>
    </w:p>
    <w:p>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、社会保障和就业支出（类）红十字事业（款）行政运行（项）。</w:t>
      </w:r>
    </w:p>
    <w:p>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160.21</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137.06</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85.55</w:t>
      </w:r>
      <w:r>
        <w:rPr>
          <w:rFonts w:hint="eastAsia" w:ascii="Times New Roman" w:hAnsi="Times New Roman" w:eastAsia="仿宋_GB2312"/>
          <w:sz w:val="32"/>
          <w:szCs w:val="32"/>
        </w:rPr>
        <w:t>%，决算数</w:t>
      </w:r>
      <w:r>
        <w:rPr>
          <w:rFonts w:hint="eastAsia" w:ascii="Times New Roman" w:hAnsi="Times New Roman" w:eastAsia="仿宋_GB2312"/>
          <w:sz w:val="32"/>
          <w:szCs w:val="32"/>
          <w:lang w:val="en-US" w:eastAsia="zh-CN"/>
        </w:rPr>
        <w:t>小于</w:t>
      </w:r>
      <w:r>
        <w:rPr>
          <w:rFonts w:hint="eastAsia" w:ascii="Times New Roman" w:hAnsi="Times New Roman" w:eastAsia="仿宋_GB2312"/>
          <w:sz w:val="32"/>
          <w:szCs w:val="32"/>
        </w:rPr>
        <w:t>年初预算数的主要原因是：</w:t>
      </w:r>
      <w:r>
        <w:rPr>
          <w:rFonts w:hint="eastAsia" w:ascii="Times New Roman" w:hAnsi="Times New Roman" w:eastAsia="仿宋_GB2312"/>
          <w:sz w:val="32"/>
          <w:szCs w:val="32"/>
          <w:lang w:val="en-US" w:eastAsia="zh-CN"/>
        </w:rPr>
        <w:t>压缩经费，厉行节约。</w:t>
      </w:r>
    </w:p>
    <w:p>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、社会保障和就业支出（类）红十字事业（款）</w:t>
      </w:r>
      <w:r>
        <w:rPr>
          <w:rFonts w:hint="eastAsia" w:ascii="Times New Roman" w:hAnsi="Times New Roman" w:eastAsia="仿宋_GB2312"/>
          <w:sz w:val="32"/>
          <w:szCs w:val="32"/>
          <w:lang w:val="en-US" w:eastAsia="zh-CN"/>
        </w:rPr>
        <w:t>其他红十字事业支出</w:t>
      </w:r>
      <w:r>
        <w:rPr>
          <w:rFonts w:hint="eastAsia" w:ascii="Times New Roman" w:hAnsi="Times New Roman" w:eastAsia="仿宋_GB2312"/>
          <w:sz w:val="32"/>
          <w:szCs w:val="32"/>
        </w:rPr>
        <w:t>（项）。</w:t>
      </w:r>
    </w:p>
    <w:p>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hint="default" w:ascii="Times New Roman" w:hAnsi="Times New Roman" w:eastAsia="仿宋_GB2312"/>
          <w:color w:val="000000" w:themeColor="text1"/>
          <w:sz w:val="32"/>
          <w:szCs w:val="32"/>
          <w:lang w:val="en-US" w:eastAsia="zh-CN"/>
          <w14:textFill>
            <w14:solidFill>
              <w14:schemeClr w14:val="tx1"/>
            </w14:solidFill>
          </w14:textFill>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16.75</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%，决算数大于年初预算数的主要原因是：</w:t>
      </w:r>
      <w:r>
        <w:rPr>
          <w:rFonts w:hint="eastAsia" w:ascii="Times New Roman" w:hAnsi="Times New Roman" w:eastAsia="仿宋_GB2312"/>
          <w:color w:val="000000" w:themeColor="text1"/>
          <w:sz w:val="32"/>
          <w:szCs w:val="32"/>
          <w:lang w:val="en-US" w:eastAsia="zh-CN"/>
          <w14:textFill>
            <w14:solidFill>
              <w14:schemeClr w14:val="tx1"/>
            </w14:solidFill>
          </w14:textFill>
        </w:rPr>
        <w:t>上级拨付的培训经费及本级追加经费等未纳入年初预算。</w:t>
      </w:r>
    </w:p>
    <w:p>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5</w:t>
      </w:r>
      <w:r>
        <w:rPr>
          <w:rFonts w:hint="eastAsia" w:ascii="Times New Roman" w:hAnsi="Times New Roman" w:eastAsia="仿宋_GB2312"/>
          <w:sz w:val="32"/>
          <w:szCs w:val="32"/>
        </w:rPr>
        <w:t>、卫生健康支出（类）行政事业单位医疗（款）行政单位医疗（项）。</w:t>
      </w:r>
    </w:p>
    <w:p>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hint="default" w:ascii="Times New Roman" w:hAnsi="Times New Roman" w:eastAsia="仿宋_GB2312"/>
          <w:color w:val="000000" w:themeColor="text1"/>
          <w:sz w:val="32"/>
          <w:szCs w:val="32"/>
          <w:lang w:val="en-US" w:eastAsia="zh-CN"/>
          <w14:textFill>
            <w14:solidFill>
              <w14:schemeClr w14:val="tx1"/>
            </w14:solidFill>
          </w14:textFill>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5.8</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4.64</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80</w:t>
      </w:r>
      <w:r>
        <w:rPr>
          <w:rFonts w:hint="eastAsia" w:ascii="Times New Roman" w:hAnsi="Times New Roman" w:eastAsia="仿宋_GB2312"/>
          <w:sz w:val="32"/>
          <w:szCs w:val="32"/>
        </w:rPr>
        <w:t>%，决算数</w:t>
      </w:r>
      <w:r>
        <w:rPr>
          <w:rFonts w:hint="eastAsia" w:ascii="Times New Roman" w:hAnsi="Times New Roman" w:eastAsia="仿宋_GB2312"/>
          <w:sz w:val="32"/>
          <w:szCs w:val="32"/>
          <w:lang w:val="en-US" w:eastAsia="zh-CN"/>
        </w:rPr>
        <w:t>小</w:t>
      </w:r>
      <w:r>
        <w:rPr>
          <w:rFonts w:hint="eastAsia" w:ascii="Times New Roman" w:hAnsi="Times New Roman" w:eastAsia="仿宋_GB2312"/>
          <w:sz w:val="32"/>
          <w:szCs w:val="32"/>
        </w:rPr>
        <w:t>于年初预算数的主要原因是：</w:t>
      </w:r>
      <w:r>
        <w:rPr>
          <w:rFonts w:hint="eastAsia" w:ascii="Times New Roman" w:hAnsi="Times New Roman" w:eastAsia="仿宋_GB2312"/>
          <w:color w:val="000000" w:themeColor="text1"/>
          <w:sz w:val="32"/>
          <w:szCs w:val="32"/>
          <w:lang w:val="en-US" w:eastAsia="zh-CN"/>
          <w14:textFill>
            <w14:solidFill>
              <w14:schemeClr w14:val="tx1"/>
            </w14:solidFill>
          </w14:textFill>
        </w:rPr>
        <w:t>人员变动导致医疗保险缴费基数变动，缴费金额减少。</w:t>
      </w:r>
    </w:p>
    <w:p>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val="en-US" w:eastAsia="zh-CN"/>
        </w:rPr>
      </w:pPr>
    </w:p>
    <w:p>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六、一般公共预算财政拨款基本支出决算情况说明</w:t>
      </w:r>
    </w:p>
    <w:p>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年度财政拨款基本支出</w:t>
      </w:r>
      <w:r>
        <w:rPr>
          <w:rFonts w:hint="eastAsia" w:ascii="Times New Roman" w:hAnsi="Times New Roman" w:eastAsia="仿宋_GB2312"/>
          <w:sz w:val="32"/>
          <w:szCs w:val="32"/>
          <w:lang w:val="en-US" w:eastAsia="zh-CN"/>
        </w:rPr>
        <w:t>143.84</w:t>
      </w:r>
      <w:r>
        <w:rPr>
          <w:rFonts w:hint="eastAsia" w:ascii="Times New Roman" w:hAnsi="Times New Roman" w:eastAsia="仿宋_GB2312"/>
          <w:sz w:val="32"/>
          <w:szCs w:val="32"/>
        </w:rPr>
        <w:t>万元，其中：</w:t>
      </w:r>
    </w:p>
    <w:p>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b/>
          <w:bCs/>
          <w:sz w:val="32"/>
          <w:szCs w:val="32"/>
        </w:rPr>
        <w:t>人员经费</w:t>
      </w:r>
      <w:r>
        <w:rPr>
          <w:rFonts w:hint="eastAsia" w:ascii="Times New Roman" w:hAnsi="Times New Roman" w:eastAsia="仿宋_GB2312"/>
          <w:sz w:val="32"/>
          <w:szCs w:val="32"/>
          <w:lang w:val="en-US" w:eastAsia="zh-CN"/>
        </w:rPr>
        <w:t>121.18</w:t>
      </w:r>
      <w:r>
        <w:rPr>
          <w:rFonts w:hint="eastAsia" w:ascii="Times New Roman" w:hAnsi="Times New Roman" w:eastAsia="仿宋_GB2312"/>
          <w:sz w:val="32"/>
          <w:szCs w:val="32"/>
        </w:rPr>
        <w:t>万元，占基本支出的</w:t>
      </w:r>
      <w:r>
        <w:rPr>
          <w:rFonts w:hint="eastAsia" w:ascii="Times New Roman" w:hAnsi="Times New Roman" w:eastAsia="仿宋_GB2312"/>
          <w:sz w:val="32"/>
          <w:szCs w:val="32"/>
          <w:lang w:val="en-US" w:eastAsia="zh-CN"/>
        </w:rPr>
        <w:t>84.25</w:t>
      </w:r>
      <w:r>
        <w:rPr>
          <w:rFonts w:hint="eastAsia" w:ascii="Times New Roman" w:hAnsi="Times New Roman" w:eastAsia="仿宋_GB2312"/>
          <w:sz w:val="32"/>
          <w:szCs w:val="32"/>
        </w:rPr>
        <w:t>%,主要包括基本工资、津贴补贴、奖金、</w:t>
      </w:r>
      <w:r>
        <w:rPr>
          <w:rFonts w:hint="eastAsia" w:ascii="Times New Roman" w:hAnsi="Times New Roman" w:eastAsia="仿宋_GB2312"/>
          <w:sz w:val="32"/>
          <w:szCs w:val="32"/>
          <w:lang w:val="en-US" w:eastAsia="zh-CN"/>
        </w:rPr>
        <w:t>绩效工资、</w:t>
      </w:r>
      <w:r>
        <w:rPr>
          <w:rFonts w:hint="eastAsia" w:ascii="Times New Roman" w:hAnsi="Times New Roman" w:eastAsia="仿宋_GB2312"/>
          <w:sz w:val="32"/>
          <w:szCs w:val="32"/>
        </w:rPr>
        <w:t>机关事业单位基本养老保险缴费、职工基本医疗保险缴费、其他社会保障缴费</w:t>
      </w:r>
      <w:r>
        <w:rPr>
          <w:rFonts w:hint="eastAsia" w:ascii="Times New Roman" w:hAnsi="Times New Roman" w:eastAsia="仿宋_GB2312"/>
          <w:sz w:val="32"/>
          <w:szCs w:val="32"/>
          <w:lang w:val="en-US" w:eastAsia="zh-CN"/>
        </w:rPr>
        <w:t>、退休费、</w:t>
      </w:r>
      <w:r>
        <w:rPr>
          <w:rFonts w:hint="eastAsia" w:ascii="Times New Roman" w:hAnsi="Times New Roman" w:eastAsia="仿宋_GB2312"/>
          <w:sz w:val="32"/>
          <w:szCs w:val="32"/>
        </w:rPr>
        <w:t>其他对个人和家庭的补助等；</w:t>
      </w:r>
    </w:p>
    <w:p>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b/>
          <w:bCs/>
          <w:sz w:val="32"/>
          <w:szCs w:val="32"/>
        </w:rPr>
        <w:t>公用经费</w:t>
      </w:r>
      <w:r>
        <w:rPr>
          <w:rFonts w:hint="eastAsia" w:ascii="Times New Roman" w:hAnsi="Times New Roman" w:eastAsia="仿宋_GB2312"/>
          <w:sz w:val="32"/>
          <w:szCs w:val="32"/>
          <w:lang w:val="en-US" w:eastAsia="zh-CN"/>
        </w:rPr>
        <w:t>22.66</w:t>
      </w:r>
      <w:r>
        <w:rPr>
          <w:rFonts w:hint="eastAsia" w:ascii="Times New Roman" w:hAnsi="Times New Roman" w:eastAsia="仿宋_GB2312"/>
          <w:sz w:val="32"/>
          <w:szCs w:val="32"/>
        </w:rPr>
        <w:t>万元，占基本支出的</w:t>
      </w:r>
      <w:r>
        <w:rPr>
          <w:rFonts w:hint="eastAsia" w:ascii="Times New Roman" w:hAnsi="Times New Roman" w:eastAsia="仿宋_GB2312"/>
          <w:sz w:val="32"/>
          <w:szCs w:val="32"/>
          <w:lang w:val="en-US" w:eastAsia="zh-CN"/>
        </w:rPr>
        <w:t>15.75</w:t>
      </w:r>
      <w:r>
        <w:rPr>
          <w:rFonts w:hint="eastAsia" w:ascii="Times New Roman" w:hAnsi="Times New Roman" w:eastAsia="仿宋_GB2312"/>
          <w:sz w:val="32"/>
          <w:szCs w:val="32"/>
        </w:rPr>
        <w:t>%，主要包括办公费、邮电费、差旅费、培训费、公务接待费、工会经费、福利费、其他交通费用、其他商品和服务支出</w:t>
      </w:r>
      <w:r>
        <w:rPr>
          <w:rFonts w:hint="eastAsia" w:ascii="Times New Roman" w:hAnsi="Times New Roman" w:eastAsia="仿宋_GB2312"/>
          <w:sz w:val="32"/>
          <w:szCs w:val="32"/>
          <w:lang w:eastAsia="zh-CN"/>
        </w:rPr>
        <w:t>。</w:t>
      </w:r>
    </w:p>
    <w:p>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b/>
          <w:sz w:val="32"/>
          <w:szCs w:val="32"/>
        </w:rPr>
      </w:pPr>
      <w:r>
        <w:rPr>
          <w:rFonts w:hint="eastAsia" w:ascii="黑体" w:hAnsi="黑体" w:eastAsia="黑体" w:cs="黑体"/>
          <w:b w:val="0"/>
          <w:bCs/>
          <w:sz w:val="32"/>
          <w:szCs w:val="32"/>
        </w:rPr>
        <w:t>七、财政拨款三公经费支出决算情况说明</w:t>
      </w:r>
      <w:r>
        <w:rPr>
          <w:rFonts w:hint="eastAsia" w:ascii="楷体" w:hAnsi="楷体" w:eastAsia="楷体" w:cs="楷体"/>
          <w:b/>
          <w:bCs/>
          <w:i/>
          <w:color w:val="auto"/>
          <w:sz w:val="32"/>
          <w:szCs w:val="32"/>
          <w:lang w:eastAsia="zh-CN"/>
        </w:rPr>
        <w:t>（注意：三公经费情况说明，往年为一般公共预算财政拨款口径，今年为财政拨款口径）</w:t>
      </w:r>
    </w:p>
    <w:p>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（一）“三公”经费财政拨款支出决算总体情况说明</w:t>
      </w:r>
    </w:p>
    <w:p>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“三公”经费财政拨款支出预算为</w:t>
      </w:r>
      <w:r>
        <w:rPr>
          <w:rFonts w:hint="eastAsia" w:ascii="Times New Roman" w:hAnsi="Times New Roman" w:eastAsia="仿宋_GB2312"/>
          <w:sz w:val="32"/>
          <w:szCs w:val="32"/>
          <w:lang w:val="en-US" w:eastAsia="zh-CN"/>
        </w:rPr>
        <w:t>0.8</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0.5</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62.5</w:t>
      </w:r>
      <w:r>
        <w:rPr>
          <w:rFonts w:hint="eastAsia" w:ascii="Times New Roman" w:hAnsi="Times New Roman" w:eastAsia="仿宋_GB2312"/>
          <w:sz w:val="32"/>
          <w:szCs w:val="32"/>
        </w:rPr>
        <w:t>%，决算数</w:t>
      </w:r>
      <w:r>
        <w:rPr>
          <w:rFonts w:hint="eastAsia" w:ascii="Times New Roman" w:hAnsi="Times New Roman" w:eastAsia="仿宋_GB2312"/>
          <w:sz w:val="32"/>
          <w:szCs w:val="32"/>
          <w:lang w:val="en-US" w:eastAsia="zh-CN"/>
        </w:rPr>
        <w:t>小于</w:t>
      </w:r>
      <w:r>
        <w:rPr>
          <w:rFonts w:hint="eastAsia" w:ascii="Times New Roman" w:hAnsi="Times New Roman" w:eastAsia="仿宋_GB2312"/>
          <w:sz w:val="32"/>
          <w:szCs w:val="32"/>
        </w:rPr>
        <w:t>预算数的主要原因是</w:t>
      </w:r>
      <w:r>
        <w:rPr>
          <w:rFonts w:hint="eastAsia" w:ascii="Times New Roman" w:hAnsi="Times New Roman" w:eastAsia="仿宋_GB2312"/>
          <w:sz w:val="32"/>
          <w:szCs w:val="32"/>
          <w:lang w:val="en-US" w:eastAsia="zh-CN"/>
        </w:rPr>
        <w:t>厉行节约、</w:t>
      </w:r>
      <w:r>
        <w:rPr>
          <w:rFonts w:hint="eastAsia" w:ascii="Times New Roman" w:hAnsi="Times New Roman" w:eastAsia="仿宋_GB2312"/>
          <w:sz w:val="32"/>
          <w:szCs w:val="32"/>
        </w:rPr>
        <w:t>严控“三公”经费</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与上年相比增加</w:t>
      </w:r>
      <w:r>
        <w:rPr>
          <w:rFonts w:hint="eastAsia" w:ascii="Times New Roman" w:hAnsi="Times New Roman" w:eastAsia="仿宋_GB2312"/>
          <w:sz w:val="32"/>
          <w:szCs w:val="32"/>
          <w:lang w:val="en-US" w:eastAsia="zh-CN"/>
        </w:rPr>
        <w:t>0.04</w:t>
      </w:r>
      <w:r>
        <w:rPr>
          <w:rFonts w:hint="eastAsia" w:ascii="Times New Roman" w:hAnsi="Times New Roman" w:eastAsia="仿宋_GB2312"/>
          <w:sz w:val="32"/>
          <w:szCs w:val="32"/>
        </w:rPr>
        <w:t>万元，增长</w:t>
      </w:r>
      <w:r>
        <w:rPr>
          <w:rFonts w:hint="eastAsia" w:ascii="Times New Roman" w:hAnsi="Times New Roman" w:eastAsia="仿宋_GB2312"/>
          <w:sz w:val="32"/>
          <w:szCs w:val="32"/>
          <w:lang w:val="en-US" w:eastAsia="zh-CN"/>
        </w:rPr>
        <w:t>8.70</w:t>
      </w:r>
      <w:r>
        <w:rPr>
          <w:rFonts w:hint="eastAsia" w:ascii="Times New Roman" w:hAnsi="Times New Roman" w:eastAsia="仿宋_GB2312"/>
          <w:sz w:val="32"/>
          <w:szCs w:val="32"/>
        </w:rPr>
        <w:t>%，增长的主要原因是</w:t>
      </w:r>
      <w:r>
        <w:rPr>
          <w:rFonts w:hint="eastAsia" w:ascii="Times New Roman" w:hAnsi="Times New Roman" w:eastAsia="仿宋_GB2312"/>
          <w:sz w:val="32"/>
          <w:szCs w:val="32"/>
          <w:lang w:val="en-US" w:eastAsia="zh-CN"/>
        </w:rPr>
        <w:t>业务活动增加，</w:t>
      </w:r>
      <w:r>
        <w:rPr>
          <w:rFonts w:hint="eastAsia" w:ascii="Times New Roman" w:hAnsi="Times New Roman" w:eastAsia="仿宋_GB2312"/>
          <w:sz w:val="32"/>
          <w:szCs w:val="32"/>
        </w:rPr>
        <w:t>“三公”经费</w:t>
      </w:r>
      <w:r>
        <w:rPr>
          <w:rFonts w:hint="eastAsia" w:ascii="Times New Roman" w:hAnsi="Times New Roman" w:eastAsia="仿宋_GB2312"/>
          <w:sz w:val="32"/>
          <w:szCs w:val="32"/>
          <w:lang w:val="en-US" w:eastAsia="zh-CN"/>
        </w:rPr>
        <w:t>相应增加</w:t>
      </w:r>
      <w:r>
        <w:rPr>
          <w:rFonts w:hint="eastAsia" w:ascii="Times New Roman" w:hAnsi="Times New Roman" w:eastAsia="仿宋_GB2312"/>
          <w:sz w:val="32"/>
          <w:szCs w:val="32"/>
        </w:rPr>
        <w:t>。其中：</w:t>
      </w:r>
    </w:p>
    <w:p>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因公出国（境）费支出预算为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%，决算数与年初预算数持平，与上年决算数持平。</w:t>
      </w:r>
    </w:p>
    <w:p>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公务接待费支出预算为</w:t>
      </w:r>
      <w:r>
        <w:rPr>
          <w:rFonts w:hint="eastAsia" w:ascii="Times New Roman" w:hAnsi="Times New Roman" w:eastAsia="仿宋_GB2312"/>
          <w:sz w:val="32"/>
          <w:szCs w:val="32"/>
          <w:lang w:val="en-US" w:eastAsia="zh-CN"/>
        </w:rPr>
        <w:t>0.8</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0.5</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62.5</w:t>
      </w:r>
      <w:r>
        <w:rPr>
          <w:rFonts w:hint="eastAsia" w:ascii="Times New Roman" w:hAnsi="Times New Roman" w:eastAsia="仿宋_GB2312"/>
          <w:sz w:val="32"/>
          <w:szCs w:val="32"/>
        </w:rPr>
        <w:t>%，决算数小于预算数的主要原因是</w:t>
      </w:r>
      <w:r>
        <w:rPr>
          <w:rFonts w:hint="eastAsia" w:ascii="Times New Roman" w:hAnsi="Times New Roman" w:eastAsia="仿宋_GB2312"/>
          <w:sz w:val="32"/>
          <w:szCs w:val="32"/>
          <w:lang w:val="en-US" w:eastAsia="zh-CN"/>
        </w:rPr>
        <w:t>厉行节约减少接待</w:t>
      </w:r>
      <w:r>
        <w:rPr>
          <w:rFonts w:hint="eastAsia" w:ascii="Times New Roman" w:hAnsi="Times New Roman" w:eastAsia="仿宋_GB2312"/>
          <w:sz w:val="32"/>
          <w:szCs w:val="32"/>
        </w:rPr>
        <w:t>，与上年相比增加</w:t>
      </w:r>
      <w:r>
        <w:rPr>
          <w:rFonts w:hint="eastAsia" w:ascii="Times New Roman" w:hAnsi="Times New Roman" w:eastAsia="仿宋_GB2312"/>
          <w:sz w:val="32"/>
          <w:szCs w:val="32"/>
          <w:lang w:val="en-US" w:eastAsia="zh-CN"/>
        </w:rPr>
        <w:t>0.04</w:t>
      </w:r>
      <w:r>
        <w:rPr>
          <w:rFonts w:hint="eastAsia" w:ascii="Times New Roman" w:hAnsi="Times New Roman" w:eastAsia="仿宋_GB2312"/>
          <w:sz w:val="32"/>
          <w:szCs w:val="32"/>
        </w:rPr>
        <w:t>万元，增长</w:t>
      </w:r>
      <w:r>
        <w:rPr>
          <w:rFonts w:hint="eastAsia" w:ascii="Times New Roman" w:hAnsi="Times New Roman" w:eastAsia="仿宋_GB2312"/>
          <w:sz w:val="32"/>
          <w:szCs w:val="32"/>
          <w:lang w:val="en-US" w:eastAsia="zh-CN"/>
        </w:rPr>
        <w:t>8.70</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增长的主要原因是</w:t>
      </w:r>
      <w:r>
        <w:rPr>
          <w:rFonts w:hint="eastAsia" w:ascii="Times New Roman" w:hAnsi="Times New Roman" w:eastAsia="仿宋_GB2312"/>
          <w:sz w:val="32"/>
          <w:szCs w:val="32"/>
          <w:lang w:val="en-US" w:eastAsia="zh-CN"/>
        </w:rPr>
        <w:t>业务活动增加接待增加</w:t>
      </w:r>
      <w:r>
        <w:rPr>
          <w:rFonts w:hint="eastAsia" w:ascii="Times New Roman" w:hAnsi="Times New Roman" w:eastAsia="仿宋_GB2312"/>
          <w:sz w:val="32"/>
          <w:szCs w:val="32"/>
        </w:rPr>
        <w:t>。</w:t>
      </w:r>
    </w:p>
    <w:p>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公务用车购置费支出预算为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%，决算数与年初预算数持平，与上年决算数持平。</w:t>
      </w:r>
    </w:p>
    <w:p>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公务用车运行维护费支出预算为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%，决算数与年初预算数持平，与上年决算数持平。</w:t>
      </w:r>
    </w:p>
    <w:p>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（二）“三公”经费财政拨款支出决算具体情况说明</w:t>
      </w:r>
    </w:p>
    <w:p>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年度“三公”经费财政拨款支出决算中，公务接待费支出决算</w:t>
      </w:r>
      <w:r>
        <w:rPr>
          <w:rFonts w:hint="eastAsia" w:ascii="Times New Roman" w:hAnsi="Times New Roman" w:eastAsia="仿宋_GB2312"/>
          <w:sz w:val="32"/>
          <w:szCs w:val="32"/>
          <w:lang w:val="en-US" w:eastAsia="zh-CN"/>
        </w:rPr>
        <w:t>0.5</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%，因公出国（境）费支出决算</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%,公务用车购置费及运行维护费支出决算</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%。其中：</w:t>
      </w:r>
    </w:p>
    <w:p>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仿宋_GB2312" w:cs="楷体"/>
          <w:b/>
          <w:bCs/>
          <w:i/>
          <w:color w:val="auto"/>
          <w:sz w:val="32"/>
          <w:szCs w:val="32"/>
          <w:lang w:eastAsia="zh-CN"/>
        </w:rPr>
      </w:pP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因公出国（境）费支出决算为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万元，全年安排因公出国（境）团组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个，累计</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人次</w:t>
      </w:r>
      <w:r>
        <w:rPr>
          <w:rFonts w:hint="eastAsia" w:ascii="Times New Roman" w:hAnsi="Times New Roman" w:eastAsia="仿宋_GB2312"/>
          <w:sz w:val="32"/>
          <w:szCs w:val="32"/>
          <w:lang w:eastAsia="zh-CN"/>
        </w:rPr>
        <w:t>。</w:t>
      </w:r>
    </w:p>
    <w:p>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2、公务接待费支出决算为</w:t>
      </w:r>
      <w:r>
        <w:rPr>
          <w:rFonts w:hint="eastAsia" w:ascii="Times New Roman" w:hAnsi="Times New Roman" w:eastAsia="仿宋_GB2312"/>
          <w:sz w:val="32"/>
          <w:szCs w:val="32"/>
          <w:lang w:val="en-US" w:eastAsia="zh-CN"/>
        </w:rPr>
        <w:t>0.5</w:t>
      </w:r>
      <w:r>
        <w:rPr>
          <w:rFonts w:hint="eastAsia" w:ascii="Times New Roman" w:hAnsi="Times New Roman" w:eastAsia="仿宋_GB2312"/>
          <w:sz w:val="32"/>
          <w:szCs w:val="32"/>
        </w:rPr>
        <w:t>万元，全年共接待来访团组</w:t>
      </w:r>
      <w:r>
        <w:rPr>
          <w:rFonts w:hint="eastAsia" w:ascii="Times New Roman" w:hAnsi="Times New Roman" w:eastAsia="仿宋_GB2312"/>
          <w:sz w:val="32"/>
          <w:szCs w:val="32"/>
          <w:lang w:val="en-US" w:eastAsia="zh-CN"/>
        </w:rPr>
        <w:t>7</w:t>
      </w:r>
      <w:r>
        <w:rPr>
          <w:rFonts w:hint="eastAsia" w:ascii="Times New Roman" w:hAnsi="Times New Roman" w:eastAsia="仿宋_GB2312"/>
          <w:sz w:val="32"/>
          <w:szCs w:val="32"/>
        </w:rPr>
        <w:t>个、来宾</w:t>
      </w:r>
      <w:r>
        <w:rPr>
          <w:rFonts w:hint="eastAsia" w:ascii="Times New Roman" w:hAnsi="Times New Roman" w:eastAsia="仿宋_GB2312"/>
          <w:sz w:val="32"/>
          <w:szCs w:val="32"/>
          <w:lang w:val="en-US" w:eastAsia="zh-CN"/>
        </w:rPr>
        <w:t>33</w:t>
      </w:r>
      <w:r>
        <w:rPr>
          <w:rFonts w:hint="eastAsia" w:ascii="Times New Roman" w:hAnsi="Times New Roman" w:eastAsia="仿宋_GB2312"/>
          <w:sz w:val="32"/>
          <w:szCs w:val="32"/>
        </w:rPr>
        <w:t>人次，主要是开展红十字会事业工作发生的接待支出。</w:t>
      </w:r>
    </w:p>
    <w:p>
      <w:pPr>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楷体" w:cs="楷体"/>
          <w:b/>
          <w:bCs/>
          <w:i/>
          <w:color w:val="auto"/>
          <w:kern w:val="0"/>
          <w:sz w:val="32"/>
          <w:szCs w:val="32"/>
          <w:lang w:val="en-US" w:eastAsia="zh-CN" w:bidi="ar-SA"/>
        </w:rPr>
      </w:pPr>
      <w:r>
        <w:rPr>
          <w:rFonts w:hint="eastAsia" w:ascii="Times New Roman" w:hAnsi="Times New Roman" w:eastAsia="仿宋_GB2312"/>
          <w:sz w:val="32"/>
          <w:szCs w:val="32"/>
        </w:rPr>
        <w:t>3、公务用车购置费及运行维护费支出决算为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万元，其中：公务用车购置费</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万元，公务用车运行维护费</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万元，截止202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年12月31日，我单位开支财政拨款的公务用车保有量为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w:t>
      </w:r>
    </w:p>
    <w:p>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八、政府性基金预算收入支出决算情况</w:t>
      </w:r>
    </w:p>
    <w:p>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 xml:space="preserve"> 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年度政府性基金预算财政拨款收入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万元；年初结转和结余</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万元，其中基本支出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万元，项目支出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万元；年末结转和结余</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万元。本单位无政府性基金收支。</w:t>
      </w:r>
    </w:p>
    <w:p>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九、国有资本经营预算</w:t>
      </w:r>
      <w:r>
        <w:rPr>
          <w:rFonts w:hint="eastAsia" w:hAnsi="黑体" w:cs="黑体"/>
          <w:b w:val="0"/>
          <w:bCs/>
          <w:sz w:val="32"/>
          <w:szCs w:val="32"/>
          <w:lang w:val="en-US" w:eastAsia="zh-CN"/>
        </w:rPr>
        <w:t>收入</w:t>
      </w:r>
      <w:r>
        <w:rPr>
          <w:rFonts w:hint="eastAsia" w:ascii="黑体" w:hAnsi="黑体" w:eastAsia="黑体" w:cs="黑体"/>
          <w:b w:val="0"/>
          <w:bCs/>
          <w:sz w:val="32"/>
          <w:szCs w:val="32"/>
        </w:rPr>
        <w:t>支出决算情况</w:t>
      </w:r>
    </w:p>
    <w:p>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b/>
          <w:color w:val="auto"/>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年度本单位无国有资本经营</w:t>
      </w:r>
      <w:r>
        <w:rPr>
          <w:rFonts w:hint="eastAsia" w:ascii="Times New Roman" w:hAnsi="Times New Roman" w:eastAsia="仿宋_GB2312"/>
          <w:sz w:val="32"/>
          <w:szCs w:val="32"/>
          <w:lang w:val="en-US" w:eastAsia="zh-CN"/>
        </w:rPr>
        <w:t>收支</w:t>
      </w:r>
      <w:r>
        <w:rPr>
          <w:rFonts w:hint="eastAsia" w:ascii="Times New Roman" w:hAnsi="Times New Roman" w:eastAsia="仿宋_GB2312"/>
          <w:sz w:val="32"/>
          <w:szCs w:val="32"/>
        </w:rPr>
        <w:t>。</w:t>
      </w:r>
    </w:p>
    <w:p>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b/>
          <w:color w:val="auto"/>
          <w:sz w:val="32"/>
          <w:szCs w:val="32"/>
        </w:rPr>
      </w:pPr>
      <w:r>
        <w:rPr>
          <w:rFonts w:hint="eastAsia" w:ascii="Times New Roman" w:hAnsi="Times New Roman" w:eastAsia="仿宋_GB2312"/>
          <w:b/>
          <w:color w:val="auto"/>
          <w:sz w:val="32"/>
          <w:szCs w:val="32"/>
          <w:lang w:val="en-US" w:eastAsia="zh-CN"/>
        </w:rPr>
        <w:t>十</w:t>
      </w:r>
      <w:r>
        <w:rPr>
          <w:rFonts w:hint="eastAsia" w:ascii="Times New Roman" w:hAnsi="Times New Roman" w:eastAsia="仿宋_GB2312"/>
          <w:b/>
          <w:color w:val="auto"/>
          <w:sz w:val="32"/>
          <w:szCs w:val="32"/>
        </w:rPr>
        <w:t>、关于机关运行经费支出说明</w:t>
      </w:r>
    </w:p>
    <w:p>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本部门202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年度机关运行经费支出</w:t>
      </w:r>
      <w:r>
        <w:rPr>
          <w:rFonts w:hint="eastAsia" w:ascii="Times New Roman" w:hAnsi="Times New Roman" w:eastAsia="仿宋_GB2312"/>
          <w:sz w:val="32"/>
          <w:szCs w:val="32"/>
          <w:lang w:val="en-US" w:eastAsia="zh-CN"/>
        </w:rPr>
        <w:t>22.66</w:t>
      </w:r>
      <w:r>
        <w:rPr>
          <w:rFonts w:hint="eastAsia" w:ascii="Times New Roman" w:hAnsi="Times New Roman" w:eastAsia="仿宋_GB2312"/>
          <w:sz w:val="32"/>
          <w:szCs w:val="32"/>
        </w:rPr>
        <w:t>万元，比年初预算数增加</w:t>
      </w:r>
      <w:r>
        <w:rPr>
          <w:rFonts w:hint="eastAsia" w:ascii="Times New Roman" w:hAnsi="Times New Roman" w:eastAsia="仿宋_GB2312"/>
          <w:sz w:val="32"/>
          <w:szCs w:val="32"/>
          <w:lang w:val="en-US" w:eastAsia="zh-CN"/>
        </w:rPr>
        <w:t>10.66</w:t>
      </w:r>
      <w:r>
        <w:rPr>
          <w:rFonts w:hint="eastAsia" w:ascii="Times New Roman" w:hAnsi="Times New Roman" w:eastAsia="仿宋_GB2312"/>
          <w:sz w:val="32"/>
          <w:szCs w:val="32"/>
        </w:rPr>
        <w:t>万元，增长</w:t>
      </w:r>
      <w:r>
        <w:rPr>
          <w:rFonts w:hint="eastAsia" w:ascii="Times New Roman" w:hAnsi="Times New Roman" w:eastAsia="仿宋_GB2312"/>
          <w:sz w:val="32"/>
          <w:szCs w:val="32"/>
          <w:lang w:val="en-US" w:eastAsia="zh-CN"/>
        </w:rPr>
        <w:t>47.04</w:t>
      </w:r>
      <w:r>
        <w:rPr>
          <w:rFonts w:hint="eastAsia" w:ascii="Times New Roman" w:hAnsi="Times New Roman" w:eastAsia="仿宋_GB2312"/>
          <w:sz w:val="32"/>
          <w:szCs w:val="32"/>
        </w:rPr>
        <w:t>%。主要原因是：</w:t>
      </w:r>
      <w:r>
        <w:rPr>
          <w:rFonts w:hint="eastAsia" w:ascii="Times New Roman" w:hAnsi="Times New Roman" w:eastAsia="仿宋_GB2312"/>
          <w:sz w:val="32"/>
          <w:szCs w:val="32"/>
          <w:lang w:val="en-US" w:eastAsia="zh-CN"/>
        </w:rPr>
        <w:t>追加部分经费未列入年初预算</w:t>
      </w:r>
      <w:r>
        <w:rPr>
          <w:rFonts w:hint="eastAsia" w:ascii="Times New Roman" w:hAnsi="Times New Roman" w:eastAsia="仿宋_GB2312"/>
          <w:sz w:val="32"/>
          <w:szCs w:val="32"/>
        </w:rPr>
        <w:t>。</w:t>
      </w:r>
    </w:p>
    <w:p>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w:t>
      </w:r>
      <w:r>
        <w:rPr>
          <w:rFonts w:hint="eastAsia" w:hAnsi="黑体" w:cs="黑体"/>
          <w:b w:val="0"/>
          <w:bCs/>
          <w:sz w:val="32"/>
          <w:szCs w:val="32"/>
          <w:lang w:val="en-US" w:eastAsia="zh-CN"/>
        </w:rPr>
        <w:t>一</w:t>
      </w:r>
      <w:r>
        <w:rPr>
          <w:rFonts w:hint="eastAsia" w:ascii="黑体" w:hAnsi="黑体" w:eastAsia="黑体" w:cs="黑体"/>
          <w:b w:val="0"/>
          <w:bCs/>
          <w:sz w:val="32"/>
          <w:szCs w:val="32"/>
        </w:rPr>
        <w:t>、一般性支出情况说明</w:t>
      </w:r>
    </w:p>
    <w:p>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color w:val="000000"/>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年本部门开支会议费</w:t>
      </w:r>
      <w:r>
        <w:rPr>
          <w:rFonts w:hint="eastAsia" w:ascii="Times New Roman" w:hAnsi="Times New Roman" w:eastAsia="仿宋_GB2312"/>
          <w:sz w:val="32"/>
          <w:szCs w:val="32"/>
          <w:lang w:val="en-US" w:eastAsia="zh-CN"/>
        </w:rPr>
        <w:t>1.24</w:t>
      </w:r>
      <w:r>
        <w:rPr>
          <w:rFonts w:hint="eastAsia" w:ascii="Times New Roman" w:hAnsi="Times New Roman" w:eastAsia="仿宋_GB2312"/>
          <w:sz w:val="32"/>
          <w:szCs w:val="32"/>
        </w:rPr>
        <w:t>万元，用于召开</w:t>
      </w:r>
      <w:r>
        <w:rPr>
          <w:rFonts w:hint="eastAsia" w:ascii="Times New Roman" w:hAnsi="Times New Roman" w:eastAsia="仿宋_GB2312"/>
          <w:sz w:val="32"/>
          <w:szCs w:val="32"/>
          <w:lang w:val="en-US" w:eastAsia="zh-CN"/>
        </w:rPr>
        <w:t>1次</w:t>
      </w:r>
      <w:r>
        <w:rPr>
          <w:rFonts w:hint="eastAsia" w:ascii="Times New Roman" w:hAnsi="Times New Roman" w:eastAsia="仿宋_GB2312"/>
          <w:sz w:val="32"/>
          <w:szCs w:val="32"/>
        </w:rPr>
        <w:t>会议，人数</w:t>
      </w:r>
      <w:r>
        <w:rPr>
          <w:rFonts w:hint="eastAsia" w:ascii="Times New Roman" w:hAnsi="Times New Roman" w:eastAsia="仿宋_GB2312"/>
          <w:color w:val="auto"/>
          <w:sz w:val="32"/>
          <w:szCs w:val="32"/>
          <w:lang w:val="en-US" w:eastAsia="zh-CN"/>
        </w:rPr>
        <w:t>40</w:t>
      </w:r>
      <w:r>
        <w:rPr>
          <w:rFonts w:hint="eastAsia" w:ascii="Times New Roman" w:hAnsi="Times New Roman" w:eastAsia="仿宋_GB2312"/>
          <w:sz w:val="32"/>
          <w:szCs w:val="32"/>
        </w:rPr>
        <w:t>人，内容为</w:t>
      </w:r>
      <w:r>
        <w:rPr>
          <w:rFonts w:hint="eastAsia" w:ascii="仿宋_GB2312" w:hAnsi="仿宋_GB2312" w:eastAsia="仿宋_GB2312" w:cs="仿宋_GB2312"/>
          <w:bCs/>
          <w:color w:val="000000"/>
          <w:sz w:val="32"/>
          <w:szCs w:val="32"/>
        </w:rPr>
        <w:t>2023年怀化市红十字会系统工作会议</w:t>
      </w:r>
      <w:r>
        <w:rPr>
          <w:rFonts w:hint="eastAsia" w:ascii="Times New Roman" w:hAnsi="Times New Roman" w:eastAsia="仿宋_GB2312"/>
          <w:sz w:val="32"/>
          <w:szCs w:val="32"/>
        </w:rPr>
        <w:t>；开支培训费</w:t>
      </w:r>
      <w:r>
        <w:rPr>
          <w:rFonts w:hint="eastAsia" w:ascii="Times New Roman" w:hAnsi="Times New Roman" w:eastAsia="仿宋_GB2312"/>
          <w:sz w:val="32"/>
          <w:szCs w:val="32"/>
          <w:lang w:val="en-US" w:eastAsia="zh-CN"/>
        </w:rPr>
        <w:t>9.3</w:t>
      </w:r>
      <w:r>
        <w:rPr>
          <w:rFonts w:hint="eastAsia" w:ascii="Times New Roman" w:hAnsi="Times New Roman" w:eastAsia="仿宋_GB2312"/>
          <w:sz w:val="32"/>
          <w:szCs w:val="32"/>
        </w:rPr>
        <w:t>万元，用于开展</w:t>
      </w:r>
      <w:r>
        <w:rPr>
          <w:rFonts w:hint="eastAsia" w:ascii="Times New Roman" w:hAnsi="Times New Roman" w:eastAsia="仿宋_GB2312"/>
          <w:sz w:val="32"/>
          <w:szCs w:val="32"/>
          <w:lang w:val="en-US" w:eastAsia="zh-CN"/>
        </w:rPr>
        <w:t>救护员及</w:t>
      </w:r>
      <w:r>
        <w:rPr>
          <w:rFonts w:hint="eastAsia" w:ascii="仿宋_GB2312" w:hAnsi="仿宋_GB2312" w:eastAsia="仿宋_GB2312" w:cs="仿宋_GB2312"/>
          <w:color w:val="000000"/>
          <w:sz w:val="32"/>
          <w:szCs w:val="32"/>
        </w:rPr>
        <w:t>应急救护知识普及</w:t>
      </w:r>
      <w:r>
        <w:rPr>
          <w:rFonts w:hint="eastAsia" w:ascii="Times New Roman" w:hAnsi="Times New Roman" w:eastAsia="仿宋_GB2312"/>
          <w:sz w:val="32"/>
          <w:szCs w:val="32"/>
        </w:rPr>
        <w:t>培训，</w:t>
      </w:r>
      <w:r>
        <w:rPr>
          <w:rFonts w:hint="eastAsia" w:ascii="仿宋_GB2312" w:hAnsi="仿宋_GB2312" w:eastAsia="仿宋_GB2312" w:cs="仿宋_GB2312"/>
          <w:color w:val="000000"/>
          <w:sz w:val="32"/>
          <w:szCs w:val="32"/>
        </w:rPr>
        <w:t>共举办43期应急避险救护员培训班，新增红十字救护员</w:t>
      </w:r>
      <w:r>
        <w:rPr>
          <w:rFonts w:hint="eastAsia" w:ascii="仿宋_GB2312" w:hAnsi="仿宋_GB2312" w:eastAsia="仿宋_GB2312" w:cs="仿宋_GB2312"/>
          <w:kern w:val="0"/>
          <w:sz w:val="32"/>
          <w:szCs w:val="32"/>
          <w:shd w:val="clear" w:color="auto" w:fill="FFFFFF"/>
          <w:lang w:bidi="ar"/>
        </w:rPr>
        <w:t>2008</w:t>
      </w:r>
      <w:r>
        <w:rPr>
          <w:rFonts w:hint="eastAsia" w:ascii="仿宋_GB2312" w:hAnsi="仿宋_GB2312" w:eastAsia="仿宋_GB2312" w:cs="仿宋_GB2312"/>
          <w:color w:val="000000"/>
          <w:sz w:val="32"/>
          <w:szCs w:val="32"/>
        </w:rPr>
        <w:t>名</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开展应急救护知识普及宣传活动45场，普及群众3.5万人次。</w:t>
      </w:r>
    </w:p>
    <w:p>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w:t>
      </w:r>
      <w:r>
        <w:rPr>
          <w:rFonts w:hint="eastAsia" w:hAnsi="黑体" w:cs="黑体"/>
          <w:b w:val="0"/>
          <w:bCs/>
          <w:sz w:val="32"/>
          <w:szCs w:val="32"/>
          <w:lang w:val="en-US" w:eastAsia="zh-CN"/>
        </w:rPr>
        <w:t>二</w:t>
      </w:r>
      <w:r>
        <w:rPr>
          <w:rFonts w:hint="eastAsia" w:ascii="黑体" w:hAnsi="黑体" w:eastAsia="黑体" w:cs="黑体"/>
          <w:b w:val="0"/>
          <w:bCs/>
          <w:sz w:val="32"/>
          <w:szCs w:val="32"/>
        </w:rPr>
        <w:t>、关于政府采购支出说明</w:t>
      </w:r>
    </w:p>
    <w:p>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Times New Roman" w:hAnsi="Times New Roman" w:eastAsia="仿宋_GB2312"/>
          <w:color w:val="auto"/>
          <w:sz w:val="32"/>
          <w:szCs w:val="32"/>
        </w:rPr>
      </w:pPr>
      <w:r>
        <w:rPr>
          <w:rFonts w:hint="eastAsia" w:ascii="Times New Roman" w:hAnsi="Times New Roman" w:eastAsia="仿宋_GB2312"/>
          <w:sz w:val="32"/>
          <w:szCs w:val="32"/>
        </w:rPr>
        <w:t>本部门202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年度政府采购支出总额</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万元，其中：政府采购货物支出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万元、政府采购工程支出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万元、政府采购服务支出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万元。授予中小企业合同金额</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万元，占政府采购支出总额的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%，其中：授予小微企业合同金额</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color w:val="auto"/>
          <w:sz w:val="32"/>
          <w:szCs w:val="32"/>
        </w:rPr>
        <w:t>占</w:t>
      </w:r>
      <w:r>
        <w:rPr>
          <w:rFonts w:hint="eastAsia" w:ascii="Times New Roman" w:hAnsi="Times New Roman" w:eastAsia="仿宋_GB2312"/>
          <w:color w:val="auto"/>
          <w:sz w:val="32"/>
          <w:szCs w:val="32"/>
          <w:lang w:eastAsia="zh-CN"/>
        </w:rPr>
        <w:t>授予中小企业合同金额</w:t>
      </w:r>
      <w:r>
        <w:rPr>
          <w:rFonts w:hint="eastAsia" w:ascii="Times New Roman" w:hAnsi="Times New Roman" w:eastAsia="仿宋_GB2312"/>
          <w:color w:val="auto"/>
          <w:sz w:val="32"/>
          <w:szCs w:val="32"/>
        </w:rPr>
        <w:t>的</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%。货物采购授予中小企业合同金额占货物支出金额的</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%，工程采购授予中小企业合同金额占工程支出金额的</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%，服务采购授予中小企业合同金额占服务支出金额的</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w:t>
      </w:r>
    </w:p>
    <w:p>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十</w:t>
      </w:r>
      <w:r>
        <w:rPr>
          <w:rFonts w:hint="eastAsia" w:hAnsi="黑体" w:cs="黑体"/>
          <w:b w:val="0"/>
          <w:bCs/>
          <w:color w:val="auto"/>
          <w:sz w:val="32"/>
          <w:szCs w:val="32"/>
          <w:lang w:val="en-US" w:eastAsia="zh-CN"/>
        </w:rPr>
        <w:t>三</w:t>
      </w:r>
      <w:r>
        <w:rPr>
          <w:rFonts w:hint="eastAsia" w:ascii="黑体" w:hAnsi="黑体" w:eastAsia="黑体" w:cs="黑体"/>
          <w:b w:val="0"/>
          <w:bCs/>
          <w:color w:val="auto"/>
          <w:sz w:val="32"/>
          <w:szCs w:val="32"/>
        </w:rPr>
        <w:t>、关于国有资产占用情况说明</w:t>
      </w:r>
    </w:p>
    <w:p>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ascii="Times New Roman" w:hAnsi="Times New Roman" w:eastAsia="仿宋_GB2312"/>
          <w:color w:val="auto"/>
          <w:sz w:val="32"/>
          <w:szCs w:val="32"/>
        </w:rPr>
      </w:pPr>
      <w:r>
        <w:rPr>
          <w:rFonts w:hint="eastAsia" w:ascii="Times New Roman" w:hAnsi="Times New Roman" w:eastAsia="仿宋_GB2312"/>
          <w:color w:val="auto"/>
          <w:sz w:val="32"/>
          <w:szCs w:val="32"/>
        </w:rPr>
        <w:t>截至202</w:t>
      </w:r>
      <w:r>
        <w:rPr>
          <w:rFonts w:hint="eastAsia" w:ascii="Times New Roman" w:hAnsi="Times New Roman" w:eastAsia="仿宋_GB2312"/>
          <w:color w:val="auto"/>
          <w:sz w:val="32"/>
          <w:szCs w:val="32"/>
          <w:lang w:val="en-US" w:eastAsia="zh-CN"/>
        </w:rPr>
        <w:t>3</w:t>
      </w:r>
      <w:r>
        <w:rPr>
          <w:rFonts w:hint="eastAsia" w:ascii="Times New Roman" w:hAnsi="Times New Roman" w:eastAsia="仿宋_GB2312"/>
          <w:color w:val="auto"/>
          <w:sz w:val="32"/>
          <w:szCs w:val="32"/>
        </w:rPr>
        <w:t>年12月31日，</w:t>
      </w:r>
      <w:r>
        <w:rPr>
          <w:rFonts w:hint="eastAsia" w:ascii="Times New Roman" w:hAnsi="Times New Roman" w:eastAsia="仿宋_GB2312"/>
          <w:color w:val="auto"/>
          <w:sz w:val="32"/>
          <w:szCs w:val="32"/>
          <w:lang w:eastAsia="zh-CN"/>
        </w:rPr>
        <w:t>部门（单位）</w:t>
      </w:r>
      <w:r>
        <w:rPr>
          <w:rFonts w:hint="eastAsia" w:ascii="Times New Roman" w:hAnsi="Times New Roman" w:eastAsia="仿宋_GB2312"/>
          <w:color w:val="auto"/>
          <w:sz w:val="32"/>
          <w:szCs w:val="32"/>
        </w:rPr>
        <w:t>共有车辆</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辆，其中</w:t>
      </w:r>
      <w:r>
        <w:rPr>
          <w:rFonts w:hint="eastAsia" w:ascii="Times New Roman" w:hAnsi="Times New Roman" w:eastAsia="仿宋_GB2312"/>
          <w:color w:val="auto"/>
          <w:sz w:val="32"/>
          <w:szCs w:val="32"/>
          <w:lang w:eastAsia="zh-CN"/>
        </w:rPr>
        <w:t>，副部（省）级及以上领导用车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rPr>
        <w:t>主要</w:t>
      </w:r>
      <w:r>
        <w:rPr>
          <w:rFonts w:hint="eastAsia" w:ascii="Times New Roman" w:hAnsi="Times New Roman" w:eastAsia="仿宋_GB2312"/>
          <w:color w:val="auto"/>
          <w:sz w:val="32"/>
          <w:szCs w:val="32"/>
          <w:lang w:eastAsia="zh-CN"/>
        </w:rPr>
        <w:t>负责人</w:t>
      </w:r>
      <w:r>
        <w:rPr>
          <w:rFonts w:hint="eastAsia" w:ascii="Times New Roman" w:hAnsi="Times New Roman" w:eastAsia="仿宋_GB2312"/>
          <w:color w:val="auto"/>
          <w:sz w:val="32"/>
          <w:szCs w:val="32"/>
        </w:rPr>
        <w:t>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rPr>
        <w:t>机要通信用车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辆、应急保障用车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辆、执法执勤用车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辆、特种专业技术用车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w:t>
      </w:r>
      <w:r>
        <w:rPr>
          <w:rFonts w:hint="eastAsia" w:ascii="Times New Roman" w:hAnsi="Times New Roman" w:eastAsia="仿宋_GB2312"/>
          <w:color w:val="auto"/>
          <w:sz w:val="32"/>
          <w:szCs w:val="32"/>
          <w:lang w:eastAsia="zh-CN"/>
        </w:rPr>
        <w:t>离退休干部服务用车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辆、其他用车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辆；单位价值100万元以上设备</w:t>
      </w:r>
      <w:r>
        <w:rPr>
          <w:rFonts w:hint="eastAsia" w:ascii="Times New Roman" w:hAnsi="Times New Roman" w:eastAsia="仿宋_GB2312"/>
          <w:color w:val="auto"/>
          <w:sz w:val="32"/>
          <w:szCs w:val="32"/>
          <w:lang w:eastAsia="zh-CN"/>
        </w:rPr>
        <w:t>（不含车辆）</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台（套）。</w:t>
      </w:r>
    </w:p>
    <w:p>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十</w:t>
      </w:r>
      <w:r>
        <w:rPr>
          <w:rFonts w:hint="eastAsia" w:hAnsi="黑体" w:cs="黑体"/>
          <w:b w:val="0"/>
          <w:bCs/>
          <w:color w:val="auto"/>
          <w:sz w:val="32"/>
          <w:szCs w:val="32"/>
          <w:lang w:val="en-US" w:eastAsia="zh-CN"/>
        </w:rPr>
        <w:t>四</w:t>
      </w:r>
      <w:r>
        <w:rPr>
          <w:rFonts w:hint="eastAsia" w:ascii="黑体" w:hAnsi="黑体" w:eastAsia="黑体" w:cs="黑体"/>
          <w:b w:val="0"/>
          <w:bCs/>
          <w:color w:val="auto"/>
          <w:sz w:val="32"/>
          <w:szCs w:val="32"/>
        </w:rPr>
        <w:t>、关于</w:t>
      </w:r>
      <w:r>
        <w:rPr>
          <w:rFonts w:hint="eastAsia" w:ascii="Times New Roman" w:hAnsi="Times New Roman" w:eastAsia="仿宋_GB2312"/>
          <w:color w:val="auto"/>
          <w:sz w:val="32"/>
          <w:szCs w:val="32"/>
        </w:rPr>
        <w:t>202</w:t>
      </w:r>
      <w:r>
        <w:rPr>
          <w:rFonts w:hint="eastAsia" w:ascii="Times New Roman" w:hAnsi="Times New Roman" w:eastAsia="仿宋_GB2312"/>
          <w:color w:val="auto"/>
          <w:sz w:val="32"/>
          <w:szCs w:val="32"/>
          <w:lang w:val="en-US" w:eastAsia="zh-CN"/>
        </w:rPr>
        <w:t>3</w:t>
      </w:r>
      <w:r>
        <w:rPr>
          <w:rFonts w:hint="eastAsia" w:ascii="黑体" w:hAnsi="黑体" w:eastAsia="黑体" w:cs="黑体"/>
          <w:b w:val="0"/>
          <w:bCs/>
          <w:color w:val="auto"/>
          <w:sz w:val="32"/>
          <w:szCs w:val="32"/>
        </w:rPr>
        <w:t>年度</w:t>
      </w:r>
      <w:r>
        <w:rPr>
          <w:rFonts w:hint="eastAsia" w:hAnsi="黑体" w:cs="黑体"/>
          <w:b w:val="0"/>
          <w:bCs/>
          <w:color w:val="auto"/>
          <w:sz w:val="32"/>
          <w:szCs w:val="32"/>
          <w:lang w:eastAsia="zh-CN"/>
        </w:rPr>
        <w:t>预算</w:t>
      </w:r>
      <w:r>
        <w:rPr>
          <w:rFonts w:hint="eastAsia" w:ascii="黑体" w:hAnsi="黑体" w:eastAsia="黑体" w:cs="黑体"/>
          <w:b w:val="0"/>
          <w:bCs/>
          <w:color w:val="auto"/>
          <w:sz w:val="32"/>
          <w:szCs w:val="32"/>
        </w:rPr>
        <w:t>绩效情况的说明</w:t>
      </w:r>
    </w:p>
    <w:p>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lang w:eastAsia="zh-CN"/>
        </w:rPr>
      </w:pPr>
      <w:r>
        <w:rPr>
          <w:rFonts w:hint="eastAsia" w:ascii="楷体" w:hAnsi="楷体" w:eastAsia="楷体" w:cs="楷体"/>
          <w:b/>
          <w:bCs/>
          <w:sz w:val="32"/>
          <w:szCs w:val="32"/>
          <w:lang w:eastAsia="zh-CN"/>
        </w:rPr>
        <w:t>（一）绩效管理工作开展情况</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楷体" w:hAnsi="楷体" w:eastAsia="楷体" w:cs="楷体"/>
          <w:b/>
          <w:bCs/>
          <w:sz w:val="32"/>
          <w:szCs w:val="32"/>
          <w:lang w:eastAsia="zh-CN"/>
        </w:rPr>
      </w:pPr>
      <w:r>
        <w:rPr>
          <w:rFonts w:hint="eastAsia" w:ascii="仿宋_GB2312" w:hAnsi="仿宋" w:eastAsia="仿宋_GB2312"/>
          <w:sz w:val="32"/>
          <w:szCs w:val="32"/>
          <w:lang w:val="en-US" w:eastAsia="zh-CN"/>
        </w:rPr>
        <w:t>2023年我单位整体支出</w:t>
      </w:r>
      <w:r>
        <w:rPr>
          <w:rFonts w:hint="default" w:ascii="仿宋_GB2312" w:hAnsi="仿宋" w:eastAsia="仿宋_GB2312"/>
          <w:sz w:val="32"/>
          <w:szCs w:val="32"/>
          <w:lang w:val="en-US" w:eastAsia="zh-CN"/>
        </w:rPr>
        <w:t>173.91</w:t>
      </w:r>
      <w:r>
        <w:rPr>
          <w:rFonts w:hint="eastAsia" w:ascii="仿宋_GB2312" w:hAnsi="仿宋" w:eastAsia="仿宋_GB2312"/>
          <w:sz w:val="32"/>
          <w:szCs w:val="32"/>
          <w:lang w:val="en-US" w:eastAsia="zh-CN"/>
        </w:rPr>
        <w:t>万元，全部实行整体支出绩效目标管理，编报绩效目标的项目2个，涉及项目支出30万元，其中专项业务（工作）经费27.5万元、监事会工作经费2.5万元，全部实行项目支出绩效目标管理。</w:t>
      </w:r>
    </w:p>
    <w:p>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rPr>
      </w:pPr>
      <w:r>
        <w:rPr>
          <w:rFonts w:hint="eastAsia" w:ascii="楷体" w:hAnsi="楷体" w:eastAsia="楷体" w:cs="楷体"/>
          <w:b/>
          <w:bCs/>
          <w:sz w:val="32"/>
          <w:szCs w:val="32"/>
          <w:lang w:eastAsia="zh-CN"/>
        </w:rPr>
        <w:t>（二）</w:t>
      </w:r>
      <w:r>
        <w:rPr>
          <w:rFonts w:hint="eastAsia" w:ascii="楷体" w:hAnsi="楷体" w:eastAsia="楷体" w:cs="楷体"/>
          <w:b/>
          <w:bCs/>
          <w:sz w:val="32"/>
          <w:szCs w:val="32"/>
        </w:rPr>
        <w:t>部门整体支出绩效情况</w:t>
      </w:r>
    </w:p>
    <w:p>
      <w:pPr>
        <w:pStyle w:val="2"/>
        <w:ind w:firstLine="640" w:firstLineChars="200"/>
        <w:jc w:val="left"/>
        <w:rPr>
          <w:rFonts w:hint="default" w:ascii="仿宋_GB2312" w:eastAsia="仿宋_GB2312" w:cs="仿宋_GB2312"/>
          <w:i w:val="0"/>
          <w:iCs w:val="0"/>
          <w:caps w:val="0"/>
          <w:color w:val="auto"/>
          <w:spacing w:val="0"/>
          <w:sz w:val="32"/>
          <w:szCs w:val="32"/>
          <w:shd w:val="clear" w:fill="FFFFFF"/>
        </w:rPr>
      </w:pPr>
      <w:r>
        <w:rPr>
          <w:rFonts w:hint="eastAsia" w:ascii="仿宋_GB2312" w:hAnsi="仿宋" w:eastAsia="仿宋_GB2312" w:cstheme="minorBidi"/>
          <w:b w:val="0"/>
          <w:bCs w:val="0"/>
          <w:color w:val="000000" w:themeColor="text1"/>
          <w:kern w:val="2"/>
          <w:sz w:val="32"/>
          <w:szCs w:val="32"/>
          <w:lang w:val="en-US" w:eastAsia="zh-CN" w:bidi="ar-SA"/>
          <w14:textFill>
            <w14:solidFill>
              <w14:schemeClr w14:val="tx1"/>
            </w14:solidFill>
          </w14:textFill>
        </w:rPr>
        <w:t>我单位结合市委市政府以及财政部门开展部门整体支出绩效目标要求，针对财政拨付资金制定相应的资金拨付目标，逐步夯实本单位整体支出绩效的管理基础。进一步加强对绩效目标编制质量的审核，提高绩效目标与重点工作预算的匹配性，本年度推动无偿献血宣传、救护员培训、造血干细胞血样采集、开展应急避险救护普及</w:t>
      </w:r>
      <w:r>
        <w:rPr>
          <w:rFonts w:hint="eastAsia" w:ascii="仿宋_GB2312" w:hAnsi="仿宋" w:eastAsia="仿宋_GB2312" w:cstheme="minorBidi"/>
          <w:b w:val="0"/>
          <w:bCs w:val="0"/>
          <w:color w:val="auto"/>
          <w:kern w:val="2"/>
          <w:sz w:val="32"/>
          <w:szCs w:val="32"/>
          <w:lang w:val="en-US" w:eastAsia="zh-CN" w:bidi="ar-SA"/>
        </w:rPr>
        <w:t>培训等工作任务整体支出绩效目标均圆满完成。</w:t>
      </w:r>
    </w:p>
    <w:p>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rPr>
      </w:pPr>
      <w:r>
        <w:rPr>
          <w:rFonts w:hint="eastAsia" w:ascii="楷体" w:hAnsi="楷体" w:eastAsia="楷体" w:cs="楷体"/>
          <w:b/>
          <w:bCs/>
          <w:sz w:val="32"/>
          <w:szCs w:val="32"/>
          <w:lang w:eastAsia="zh-CN"/>
        </w:rPr>
        <w:t>（三）</w:t>
      </w:r>
      <w:r>
        <w:rPr>
          <w:rFonts w:hint="eastAsia" w:ascii="楷体" w:hAnsi="楷体" w:eastAsia="楷体" w:cs="楷体"/>
          <w:b/>
          <w:bCs/>
          <w:sz w:val="32"/>
          <w:szCs w:val="32"/>
        </w:rPr>
        <w:t>存在的问题及原因分析</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eastAsia="仿宋_GB2312" w:cs="仿宋_GB2312" w:hAnsiTheme="minorHAnsi"/>
          <w:i w:val="0"/>
          <w:iCs w:val="0"/>
          <w:caps w:val="0"/>
          <w:color w:val="auto"/>
          <w:spacing w:val="0"/>
          <w:kern w:val="0"/>
          <w:sz w:val="32"/>
          <w:szCs w:val="32"/>
          <w:shd w:val="clear" w:fill="FFFFFF"/>
          <w:lang w:val="en-US" w:eastAsia="zh-CN" w:bidi="ar"/>
        </w:rPr>
      </w:pPr>
      <w:r>
        <w:rPr>
          <w:rFonts w:hint="eastAsia" w:ascii="仿宋_GB2312" w:eastAsia="仿宋_GB2312" w:cs="仿宋_GB2312" w:hAnsiTheme="minorHAnsi"/>
          <w:i w:val="0"/>
          <w:iCs w:val="0"/>
          <w:caps w:val="0"/>
          <w:color w:val="auto"/>
          <w:spacing w:val="0"/>
          <w:kern w:val="0"/>
          <w:sz w:val="32"/>
          <w:szCs w:val="32"/>
          <w:shd w:val="clear" w:fill="FFFFFF"/>
          <w:lang w:val="en-US" w:eastAsia="zh-CN" w:bidi="ar"/>
        </w:rPr>
        <w:t>2023年我</w:t>
      </w:r>
      <w:r>
        <w:rPr>
          <w:rFonts w:hint="eastAsia" w:ascii="仿宋_GB2312" w:eastAsia="仿宋_GB2312" w:cs="仿宋_GB2312"/>
          <w:i w:val="0"/>
          <w:iCs w:val="0"/>
          <w:caps w:val="0"/>
          <w:color w:val="auto"/>
          <w:spacing w:val="0"/>
          <w:kern w:val="0"/>
          <w:sz w:val="32"/>
          <w:szCs w:val="32"/>
          <w:shd w:val="clear" w:fill="FFFFFF"/>
          <w:lang w:val="en-US" w:eastAsia="zh-CN" w:bidi="ar"/>
        </w:rPr>
        <w:t>单位</w:t>
      </w:r>
      <w:r>
        <w:rPr>
          <w:rFonts w:hint="eastAsia" w:ascii="仿宋_GB2312" w:eastAsia="仿宋_GB2312" w:cs="仿宋_GB2312" w:hAnsiTheme="minorHAnsi"/>
          <w:i w:val="0"/>
          <w:iCs w:val="0"/>
          <w:caps w:val="0"/>
          <w:color w:val="auto"/>
          <w:spacing w:val="0"/>
          <w:kern w:val="0"/>
          <w:sz w:val="32"/>
          <w:szCs w:val="32"/>
          <w:shd w:val="clear" w:fill="FFFFFF"/>
          <w:lang w:val="en-US" w:eastAsia="zh-CN" w:bidi="ar"/>
        </w:rPr>
        <w:t>的部门整体绩效评价工作还存在一些问题和不足需要进一步完善</w:t>
      </w:r>
      <w:r>
        <w:rPr>
          <w:rFonts w:hint="eastAsia" w:ascii="仿宋_GB2312" w:eastAsia="仿宋_GB2312" w:cs="仿宋_GB2312"/>
          <w:i w:val="0"/>
          <w:iCs w:val="0"/>
          <w:caps w:val="0"/>
          <w:color w:val="auto"/>
          <w:spacing w:val="0"/>
          <w:kern w:val="0"/>
          <w:sz w:val="32"/>
          <w:szCs w:val="32"/>
          <w:shd w:val="clear" w:fill="FFFFFF"/>
          <w:lang w:val="en-US" w:eastAsia="zh-CN" w:bidi="ar"/>
        </w:rPr>
        <w:t>，</w:t>
      </w:r>
      <w:r>
        <w:rPr>
          <w:rFonts w:hint="eastAsia" w:ascii="仿宋_GB2312" w:eastAsia="仿宋_GB2312" w:cs="仿宋_GB2312" w:hAnsiTheme="minorHAnsi"/>
          <w:i w:val="0"/>
          <w:iCs w:val="0"/>
          <w:caps w:val="0"/>
          <w:color w:val="auto"/>
          <w:spacing w:val="0"/>
          <w:kern w:val="0"/>
          <w:sz w:val="32"/>
          <w:szCs w:val="32"/>
          <w:shd w:val="clear" w:fill="FFFFFF"/>
          <w:lang w:val="en-US" w:eastAsia="zh-CN" w:bidi="ar"/>
        </w:rPr>
        <w:t>在资金安排和使用上仍有不可预见性，在科学设置预算绩效指标上还需进一步加强。</w:t>
      </w:r>
    </w:p>
    <w:p>
      <w:pPr>
        <w:pStyle w:val="14"/>
        <w:jc w:val="both"/>
        <w:rPr>
          <w:sz w:val="72"/>
          <w:szCs w:val="72"/>
        </w:rPr>
      </w:pPr>
    </w:p>
    <w:p>
      <w:pPr>
        <w:pStyle w:val="14"/>
        <w:jc w:val="center"/>
        <w:rPr>
          <w:sz w:val="72"/>
          <w:szCs w:val="72"/>
        </w:rPr>
      </w:pPr>
    </w:p>
    <w:p>
      <w:pPr>
        <w:pStyle w:val="14"/>
        <w:jc w:val="center"/>
        <w:rPr>
          <w:sz w:val="72"/>
          <w:szCs w:val="72"/>
        </w:rPr>
      </w:pPr>
    </w:p>
    <w:p>
      <w:pPr>
        <w:pStyle w:val="14"/>
        <w:jc w:val="both"/>
        <w:rPr>
          <w:rFonts w:hint="eastAsia" w:ascii="方正小标宋_GBK" w:hAnsi="方正小标宋_GBK" w:eastAsia="方正小标宋_GBK" w:cs="方正小标宋_GBK"/>
          <w:sz w:val="72"/>
          <w:szCs w:val="72"/>
        </w:rPr>
      </w:pPr>
    </w:p>
    <w:p>
      <w:pPr>
        <w:pStyle w:val="14"/>
        <w:jc w:val="center"/>
        <w:rPr>
          <w:rFonts w:hint="eastAsia" w:ascii="方正小标宋_GBK" w:hAnsi="方正小标宋_GBK" w:eastAsia="方正小标宋_GBK" w:cs="方正小标宋_GBK"/>
          <w:sz w:val="72"/>
          <w:szCs w:val="72"/>
        </w:rPr>
      </w:pPr>
    </w:p>
    <w:p>
      <w:pPr>
        <w:pStyle w:val="14"/>
        <w:jc w:val="center"/>
        <w:rPr>
          <w:rFonts w:hint="eastAsia" w:ascii="方正小标宋_GBK" w:hAnsi="方正小标宋_GBK" w:eastAsia="方正小标宋_GBK" w:cs="方正小标宋_GBK"/>
          <w:sz w:val="72"/>
          <w:szCs w:val="72"/>
        </w:rPr>
      </w:pPr>
    </w:p>
    <w:p>
      <w:pPr>
        <w:pStyle w:val="14"/>
        <w:jc w:val="center"/>
        <w:rPr>
          <w:rFonts w:hint="eastAsia" w:ascii="方正小标宋_GBK" w:hAnsi="方正小标宋_GBK" w:eastAsia="方正小标宋_GBK" w:cs="方正小标宋_GBK"/>
          <w:sz w:val="72"/>
          <w:szCs w:val="72"/>
        </w:rPr>
      </w:pPr>
    </w:p>
    <w:p>
      <w:pPr>
        <w:pStyle w:val="14"/>
        <w:jc w:val="center"/>
        <w:rPr>
          <w:rFonts w:hint="eastAsia" w:ascii="方正小标宋_GBK" w:hAnsi="方正小标宋_GBK" w:eastAsia="方正小标宋_GBK" w:cs="方正小标宋_GBK"/>
          <w:sz w:val="72"/>
          <w:szCs w:val="72"/>
        </w:rPr>
      </w:pPr>
    </w:p>
    <w:p>
      <w:pPr>
        <w:pStyle w:val="14"/>
        <w:jc w:val="center"/>
        <w:rPr>
          <w:rFonts w:hint="eastAsia" w:ascii="方正小标宋_GBK" w:hAnsi="方正小标宋_GBK" w:eastAsia="方正小标宋_GBK" w:cs="方正小标宋_GBK"/>
          <w:sz w:val="72"/>
          <w:szCs w:val="72"/>
        </w:rPr>
      </w:pPr>
    </w:p>
    <w:p>
      <w:pPr>
        <w:pStyle w:val="14"/>
        <w:jc w:val="center"/>
        <w:rPr>
          <w:rFonts w:hint="eastAsia" w:ascii="方正小标宋_GBK" w:hAnsi="方正小标宋_GBK" w:eastAsia="方正小标宋_GBK" w:cs="方正小标宋_GBK"/>
          <w:sz w:val="72"/>
          <w:szCs w:val="72"/>
        </w:rPr>
      </w:pPr>
    </w:p>
    <w:p>
      <w:pPr>
        <w:pStyle w:val="14"/>
        <w:jc w:val="center"/>
        <w:rPr>
          <w:rFonts w:hint="eastAsia" w:ascii="方正小标宋_GBK" w:hAnsi="方正小标宋_GBK" w:eastAsia="方正小标宋_GBK" w:cs="方正小标宋_GBK"/>
          <w:sz w:val="72"/>
          <w:szCs w:val="72"/>
        </w:rPr>
      </w:pPr>
    </w:p>
    <w:p>
      <w:pPr>
        <w:pStyle w:val="14"/>
        <w:jc w:val="center"/>
        <w:rPr>
          <w:rFonts w:hint="eastAsia" w:ascii="方正小标宋_GBK" w:hAnsi="方正小标宋_GBK" w:eastAsia="方正小标宋_GBK" w:cs="方正小标宋_GBK"/>
          <w:sz w:val="72"/>
          <w:szCs w:val="72"/>
        </w:rPr>
      </w:pPr>
    </w:p>
    <w:p>
      <w:pPr>
        <w:pStyle w:val="14"/>
        <w:jc w:val="center"/>
        <w:rPr>
          <w:rFonts w:hint="eastAsia" w:ascii="方正小标宋_GBK" w:hAnsi="方正小标宋_GBK" w:eastAsia="方正小标宋_GBK" w:cs="方正小标宋_GBK"/>
          <w:sz w:val="72"/>
          <w:szCs w:val="72"/>
        </w:rPr>
      </w:pPr>
    </w:p>
    <w:p>
      <w:pPr>
        <w:pStyle w:val="14"/>
        <w:jc w:val="center"/>
        <w:rPr>
          <w:rFonts w:hint="eastAsia" w:ascii="方正小标宋_GBK" w:hAnsi="方正小标宋_GBK" w:eastAsia="方正小标宋_GBK" w:cs="方正小标宋_GBK"/>
          <w:sz w:val="72"/>
          <w:szCs w:val="72"/>
        </w:rPr>
      </w:pPr>
    </w:p>
    <w:p>
      <w:pPr>
        <w:pStyle w:val="14"/>
        <w:jc w:val="center"/>
        <w:rPr>
          <w:rFonts w:hint="eastAsia" w:ascii="方正小标宋_GBK" w:hAnsi="方正小标宋_GBK" w:eastAsia="方正小标宋_GBK" w:cs="方正小标宋_GBK"/>
          <w:sz w:val="72"/>
          <w:szCs w:val="72"/>
        </w:rPr>
      </w:pPr>
    </w:p>
    <w:p>
      <w:pPr>
        <w:pStyle w:val="14"/>
        <w:jc w:val="center"/>
        <w:rPr>
          <w:rFonts w:hint="eastAsia" w:ascii="方正小标宋_GBK" w:hAnsi="方正小标宋_GBK" w:eastAsia="方正小标宋_GBK" w:cs="方正小标宋_GBK"/>
          <w:sz w:val="72"/>
          <w:szCs w:val="72"/>
        </w:rPr>
      </w:pPr>
      <w:bookmarkStart w:id="0" w:name="_GoBack"/>
      <w:bookmarkEnd w:id="0"/>
    </w:p>
    <w:p>
      <w:pPr>
        <w:pStyle w:val="14"/>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第四部分</w:t>
      </w:r>
    </w:p>
    <w:p>
      <w:pPr>
        <w:jc w:val="center"/>
        <w:rPr>
          <w:rFonts w:hint="eastAsia" w:ascii="方正小标宋_GBK" w:hAnsi="方正小标宋_GBK" w:eastAsia="方正小标宋_GBK" w:cs="方正小标宋_GBK"/>
          <w:color w:val="000000"/>
          <w:kern w:val="0"/>
          <w:sz w:val="70"/>
          <w:szCs w:val="70"/>
        </w:rPr>
      </w:pPr>
    </w:p>
    <w:p>
      <w:pPr>
        <w:jc w:val="center"/>
        <w:rPr>
          <w:rFonts w:hint="eastAsia" w:ascii="方正小标宋_GBK" w:hAnsi="方正小标宋_GBK" w:eastAsia="方正小标宋_GBK" w:cs="方正小标宋_GBK"/>
          <w:color w:val="000000"/>
          <w:kern w:val="0"/>
          <w:sz w:val="70"/>
          <w:szCs w:val="70"/>
        </w:rPr>
      </w:pPr>
      <w:r>
        <w:rPr>
          <w:rFonts w:hint="eastAsia" w:ascii="方正小标宋_GBK" w:hAnsi="方正小标宋_GBK" w:eastAsia="方正小标宋_GBK" w:cs="方正小标宋_GBK"/>
          <w:color w:val="000000"/>
          <w:kern w:val="0"/>
          <w:sz w:val="70"/>
          <w:szCs w:val="70"/>
        </w:rPr>
        <w:t>名词解释</w:t>
      </w:r>
    </w:p>
    <w:p>
      <w:pPr>
        <w:widowControl/>
        <w:jc w:val="left"/>
        <w:rPr>
          <w:rFonts w:cs="黑体" w:asciiTheme="minorEastAsia" w:hAnsiTheme="minorEastAsia"/>
          <w:color w:val="000000"/>
          <w:kern w:val="0"/>
          <w:sz w:val="32"/>
          <w:szCs w:val="32"/>
        </w:rPr>
      </w:pPr>
      <w:r>
        <w:rPr>
          <w:rFonts w:hint="eastAsia" w:ascii="方正小标宋_GBK" w:hAnsi="方正小标宋_GBK" w:eastAsia="方正小标宋_GBK" w:cs="方正小标宋_GBK"/>
          <w:color w:val="000000"/>
          <w:kern w:val="0"/>
          <w:sz w:val="70"/>
          <w:szCs w:val="70"/>
        </w:rPr>
        <w:br w:type="page"/>
      </w:r>
    </w:p>
    <w:p>
      <w:pPr>
        <w:ind w:firstLine="640" w:firstLineChars="200"/>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一、机关运行经费：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即为行政单位和参照公务员法管理事业单位一般公共预算财政拨款基本支出中的公用经费支出。</w:t>
      </w:r>
    </w:p>
    <w:p>
      <w:pPr>
        <w:ind w:firstLine="640" w:firstLineChars="200"/>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二、“三公”经费：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pPr>
        <w:pStyle w:val="14"/>
        <w:jc w:val="center"/>
        <w:rPr>
          <w:sz w:val="72"/>
          <w:szCs w:val="72"/>
        </w:rPr>
      </w:pPr>
    </w:p>
    <w:p>
      <w:pPr>
        <w:pStyle w:val="14"/>
        <w:jc w:val="center"/>
        <w:rPr>
          <w:sz w:val="72"/>
          <w:szCs w:val="72"/>
        </w:rPr>
      </w:pPr>
    </w:p>
    <w:p>
      <w:pPr>
        <w:pStyle w:val="14"/>
        <w:jc w:val="center"/>
        <w:rPr>
          <w:sz w:val="72"/>
          <w:szCs w:val="72"/>
        </w:rPr>
      </w:pPr>
    </w:p>
    <w:p>
      <w:pPr>
        <w:pStyle w:val="14"/>
        <w:jc w:val="center"/>
        <w:rPr>
          <w:sz w:val="72"/>
          <w:szCs w:val="72"/>
        </w:rPr>
      </w:pPr>
    </w:p>
    <w:p>
      <w:pPr>
        <w:pStyle w:val="14"/>
        <w:jc w:val="center"/>
        <w:rPr>
          <w:sz w:val="72"/>
          <w:szCs w:val="72"/>
        </w:rPr>
      </w:pPr>
    </w:p>
    <w:p>
      <w:pPr>
        <w:pStyle w:val="14"/>
        <w:jc w:val="center"/>
        <w:rPr>
          <w:sz w:val="72"/>
          <w:szCs w:val="72"/>
        </w:rPr>
      </w:pPr>
    </w:p>
    <w:p>
      <w:pPr>
        <w:pStyle w:val="14"/>
        <w:jc w:val="center"/>
        <w:rPr>
          <w:sz w:val="72"/>
          <w:szCs w:val="72"/>
        </w:rPr>
      </w:pPr>
    </w:p>
    <w:p>
      <w:pPr>
        <w:pStyle w:val="14"/>
        <w:jc w:val="center"/>
        <w:rPr>
          <w:sz w:val="72"/>
          <w:szCs w:val="72"/>
        </w:rPr>
      </w:pPr>
    </w:p>
    <w:p>
      <w:pPr>
        <w:rPr>
          <w:sz w:val="72"/>
          <w:szCs w:val="72"/>
        </w:rPr>
      </w:pPr>
      <w:r>
        <w:rPr>
          <w:sz w:val="72"/>
          <w:szCs w:val="72"/>
        </w:rPr>
        <w:br w:type="page"/>
      </w:r>
    </w:p>
    <w:p>
      <w:pPr>
        <w:pStyle w:val="14"/>
        <w:jc w:val="center"/>
        <w:rPr>
          <w:rFonts w:hint="eastAsia" w:ascii="方正小标宋_GBK" w:hAnsi="方正小标宋_GBK" w:eastAsia="方正小标宋_GBK" w:cs="方正小标宋_GBK"/>
          <w:sz w:val="72"/>
          <w:szCs w:val="72"/>
        </w:rPr>
      </w:pPr>
    </w:p>
    <w:p>
      <w:pPr>
        <w:pStyle w:val="14"/>
        <w:jc w:val="center"/>
        <w:rPr>
          <w:rFonts w:hint="eastAsia" w:ascii="方正小标宋_GBK" w:hAnsi="方正小标宋_GBK" w:eastAsia="方正小标宋_GBK" w:cs="方正小标宋_GBK"/>
          <w:sz w:val="72"/>
          <w:szCs w:val="72"/>
        </w:rPr>
      </w:pPr>
    </w:p>
    <w:p>
      <w:pPr>
        <w:pStyle w:val="14"/>
        <w:jc w:val="center"/>
        <w:rPr>
          <w:rFonts w:hint="eastAsia" w:ascii="方正小标宋_GBK" w:hAnsi="方正小标宋_GBK" w:eastAsia="方正小标宋_GBK" w:cs="方正小标宋_GBK"/>
          <w:sz w:val="72"/>
          <w:szCs w:val="72"/>
        </w:rPr>
      </w:pPr>
    </w:p>
    <w:p>
      <w:pPr>
        <w:pStyle w:val="14"/>
        <w:jc w:val="center"/>
        <w:rPr>
          <w:rFonts w:hint="eastAsia" w:ascii="方正小标宋_GBK" w:hAnsi="方正小标宋_GBK" w:eastAsia="方正小标宋_GBK" w:cs="方正小标宋_GBK"/>
          <w:sz w:val="72"/>
          <w:szCs w:val="72"/>
        </w:rPr>
      </w:pPr>
    </w:p>
    <w:p>
      <w:pPr>
        <w:pStyle w:val="14"/>
        <w:jc w:val="center"/>
        <w:rPr>
          <w:rFonts w:hint="eastAsia" w:ascii="方正小标宋_GBK" w:hAnsi="方正小标宋_GBK" w:eastAsia="方正小标宋_GBK" w:cs="方正小标宋_GBK"/>
          <w:sz w:val="72"/>
          <w:szCs w:val="72"/>
        </w:rPr>
      </w:pPr>
    </w:p>
    <w:p>
      <w:pPr>
        <w:pStyle w:val="14"/>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w:t>
      </w:r>
      <w:r>
        <w:rPr>
          <w:rFonts w:hint="eastAsia" w:ascii="方正小标宋_GBK" w:hAnsi="方正小标宋_GBK" w:eastAsia="方正小标宋_GBK" w:cs="方正小标宋_GBK"/>
          <w:sz w:val="72"/>
          <w:szCs w:val="72"/>
          <w:lang w:eastAsia="zh-CN"/>
        </w:rPr>
        <w:t>五</w:t>
      </w:r>
      <w:r>
        <w:rPr>
          <w:rFonts w:hint="eastAsia" w:ascii="方正小标宋_GBK" w:hAnsi="方正小标宋_GBK" w:eastAsia="方正小标宋_GBK" w:cs="方正小标宋_GBK"/>
          <w:sz w:val="72"/>
          <w:szCs w:val="72"/>
        </w:rPr>
        <w:t>部分</w:t>
      </w:r>
    </w:p>
    <w:p>
      <w:pPr>
        <w:pStyle w:val="14"/>
        <w:jc w:val="center"/>
        <w:rPr>
          <w:rFonts w:hint="eastAsia" w:ascii="方正小标宋_GBK" w:hAnsi="方正小标宋_GBK" w:eastAsia="方正小标宋_GBK" w:cs="方正小标宋_GBK"/>
          <w:sz w:val="70"/>
          <w:szCs w:val="70"/>
        </w:rPr>
      </w:pPr>
    </w:p>
    <w:p>
      <w:pPr>
        <w:pStyle w:val="14"/>
        <w:jc w:val="center"/>
        <w:rPr>
          <w:rFonts w:hint="eastAsia" w:eastAsia="黑体"/>
          <w:sz w:val="72"/>
          <w:szCs w:val="72"/>
          <w:lang w:eastAsia="zh-CN"/>
        </w:rPr>
      </w:pPr>
      <w:r>
        <w:rPr>
          <w:rFonts w:hint="eastAsia" w:ascii="方正小标宋_GBK" w:hAnsi="方正小标宋_GBK" w:eastAsia="方正小标宋_GBK" w:cs="方正小标宋_GBK"/>
          <w:sz w:val="70"/>
          <w:szCs w:val="70"/>
          <w:lang w:eastAsia="zh-CN"/>
        </w:rPr>
        <w:t>附</w:t>
      </w:r>
      <w:r>
        <w:rPr>
          <w:rFonts w:hint="eastAsia" w:ascii="方正小标宋_GBK" w:hAnsi="方正小标宋_GBK" w:eastAsia="方正小标宋_GBK" w:cs="方正小标宋_GBK"/>
          <w:sz w:val="70"/>
          <w:szCs w:val="70"/>
          <w:lang w:val="en-US" w:eastAsia="zh-CN"/>
        </w:rPr>
        <w:t xml:space="preserve"> </w:t>
      </w:r>
      <w:r>
        <w:rPr>
          <w:rFonts w:hint="eastAsia" w:ascii="方正小标宋_GBK" w:hAnsi="方正小标宋_GBK" w:eastAsia="方正小标宋_GBK" w:cs="方正小标宋_GBK"/>
          <w:sz w:val="70"/>
          <w:szCs w:val="70"/>
          <w:lang w:eastAsia="zh-CN"/>
        </w:rPr>
        <w:t>件</w:t>
      </w:r>
    </w:p>
    <w:p>
      <w:pPr>
        <w:rPr>
          <w:sz w:val="72"/>
          <w:szCs w:val="72"/>
        </w:rPr>
      </w:pPr>
      <w:r>
        <w:rPr>
          <w:sz w:val="72"/>
          <w:szCs w:val="72"/>
        </w:rPr>
        <w:br w:type="page"/>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left="0" w:right="0" w:firstLine="0"/>
        <w:jc w:val="center"/>
        <w:textAlignment w:val="auto"/>
        <w:rPr>
          <w:rFonts w:hint="eastAsia" w:ascii="方正小标宋简体" w:hAnsi="方正小标宋简体" w:eastAsia="方正小标宋简体" w:cs="方正小标宋简体"/>
          <w:i w:val="0"/>
          <w:iCs w:val="0"/>
          <w:caps w:val="0"/>
          <w:color w:val="000000"/>
          <w:spacing w:val="0"/>
          <w:sz w:val="44"/>
          <w:szCs w:val="44"/>
          <w:shd w:val="clear" w:fill="FFFFFF"/>
        </w:rPr>
      </w:pP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left="0" w:right="0" w:firstLine="0"/>
        <w:jc w:val="center"/>
        <w:textAlignment w:val="auto"/>
        <w:rPr>
          <w:rFonts w:hint="eastAsia" w:ascii="方正小标宋简体" w:hAnsi="方正小标宋简体" w:eastAsia="方正小标宋简体" w:cs="方正小标宋简体"/>
          <w:i w:val="0"/>
          <w:iCs w:val="0"/>
          <w:caps w:val="0"/>
          <w:color w:val="000000"/>
          <w:spacing w:val="0"/>
          <w:sz w:val="44"/>
          <w:szCs w:val="44"/>
          <w:shd w:val="clear" w:fill="FFFFFF"/>
        </w:rPr>
      </w:pPr>
      <w:r>
        <w:rPr>
          <w:rFonts w:hint="eastAsia" w:ascii="方正小标宋简体" w:hAnsi="方正小标宋简体" w:eastAsia="方正小标宋简体" w:cs="方正小标宋简体"/>
          <w:i w:val="0"/>
          <w:iCs w:val="0"/>
          <w:caps w:val="0"/>
          <w:color w:val="000000"/>
          <w:spacing w:val="0"/>
          <w:sz w:val="44"/>
          <w:szCs w:val="44"/>
          <w:shd w:val="clear" w:fill="FFFFFF"/>
        </w:rPr>
        <w:t>怀化市红十字会</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left="0" w:right="0" w:firstLine="0"/>
        <w:jc w:val="center"/>
        <w:textAlignment w:val="auto"/>
        <w:rPr>
          <w:rFonts w:hint="eastAsia" w:ascii="方正小标宋简体" w:hAnsi="方正小标宋简体" w:eastAsia="方正小标宋简体" w:cs="方正小标宋简体"/>
          <w:i w:val="0"/>
          <w:iCs w:val="0"/>
          <w:caps w:val="0"/>
          <w:color w:val="000000"/>
          <w:spacing w:val="0"/>
          <w:sz w:val="44"/>
          <w:szCs w:val="44"/>
          <w:shd w:val="clear" w:fill="FFFFFF"/>
        </w:rPr>
      </w:pPr>
      <w:r>
        <w:rPr>
          <w:rFonts w:hint="eastAsia" w:ascii="方正小标宋简体" w:hAnsi="方正小标宋简体" w:eastAsia="方正小标宋简体" w:cs="方正小标宋简体"/>
          <w:i w:val="0"/>
          <w:iCs w:val="0"/>
          <w:caps w:val="0"/>
          <w:color w:val="000000"/>
          <w:spacing w:val="0"/>
          <w:sz w:val="44"/>
          <w:szCs w:val="44"/>
          <w:shd w:val="clear" w:fill="FFFFFF"/>
        </w:rPr>
        <w:t>2023年整体支出绩效自评报告</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left="0" w:right="0" w:firstLine="0"/>
        <w:jc w:val="center"/>
        <w:textAlignment w:val="auto"/>
        <w:rPr>
          <w:rFonts w:hint="eastAsia" w:ascii="方正小标宋_GBK" w:hAnsi="方正小标宋_GBK" w:eastAsia="方正小标宋_GBK" w:cs="方正小标宋_GBK"/>
          <w:i w:val="0"/>
          <w:iCs w:val="0"/>
          <w:caps w:val="0"/>
          <w:color w:val="000000"/>
          <w:spacing w:val="0"/>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cs="仿宋_GB2312"/>
          <w:i w:val="0"/>
          <w:iCs w:val="0"/>
          <w:caps w:val="0"/>
          <w:color w:val="000000"/>
          <w:spacing w:val="0"/>
          <w:sz w:val="24"/>
          <w:szCs w:val="24"/>
        </w:rPr>
      </w:pPr>
      <w:r>
        <w:rPr>
          <w:rFonts w:hint="eastAsia" w:ascii="仿宋_GB2312" w:hAnsi="仿宋_GB2312" w:eastAsia="仿宋_GB2312" w:cs="仿宋_GB2312"/>
          <w:color w:val="auto"/>
          <w:sz w:val="32"/>
          <w:szCs w:val="32"/>
          <w:lang w:val="en-US" w:eastAsia="zh-CN"/>
        </w:rPr>
        <w:t>根据《怀化市财政局关于开展2023年度预算支出绩效自评工作的通知》（怀财绩〔2024〕46号）的文件精神，我单位对部门整体支出进行了绩效评价，现报告如下:</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0"/>
        <w:textAlignment w:val="auto"/>
        <w:rPr>
          <w:rFonts w:hint="eastAsia" w:ascii="黑体" w:hAnsi="黑体" w:eastAsia="黑体" w:cs="黑体"/>
          <w:i w:val="0"/>
          <w:iCs w:val="0"/>
          <w:caps w:val="0"/>
          <w:color w:val="000000"/>
          <w:spacing w:val="0"/>
          <w:sz w:val="32"/>
          <w:szCs w:val="32"/>
        </w:rPr>
      </w:pPr>
      <w:r>
        <w:rPr>
          <w:rFonts w:hint="eastAsia" w:ascii="黑体" w:hAnsi="黑体" w:eastAsia="黑体" w:cs="黑体"/>
          <w:i w:val="0"/>
          <w:iCs w:val="0"/>
          <w:caps w:val="0"/>
          <w:color w:val="000000"/>
          <w:spacing w:val="0"/>
          <w:sz w:val="32"/>
          <w:szCs w:val="32"/>
          <w:shd w:val="clear" w:fill="FFFFFF"/>
        </w:rPr>
        <w:t>一、单位基本情况</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0"/>
        <w:textAlignment w:val="auto"/>
        <w:rPr>
          <w:rFonts w:hint="default" w:ascii="楷体_GB2312" w:eastAsia="楷体_GB2312" w:cs="楷体_GB2312"/>
          <w:i w:val="0"/>
          <w:iCs w:val="0"/>
          <w:caps w:val="0"/>
          <w:color w:val="000000"/>
          <w:spacing w:val="0"/>
          <w:sz w:val="32"/>
          <w:szCs w:val="32"/>
          <w:shd w:val="clear" w:fill="FFFFFF"/>
        </w:rPr>
      </w:pPr>
      <w:r>
        <w:rPr>
          <w:rFonts w:hint="default" w:ascii="楷体_GB2312" w:eastAsia="楷体_GB2312" w:cs="楷体_GB2312"/>
          <w:i w:val="0"/>
          <w:iCs w:val="0"/>
          <w:caps w:val="0"/>
          <w:color w:val="000000"/>
          <w:spacing w:val="0"/>
          <w:sz w:val="32"/>
          <w:szCs w:val="32"/>
          <w:shd w:val="clear" w:fill="FFFFFF"/>
        </w:rPr>
        <w:t>（一）机构设置情况</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40" w:firstLineChars="200"/>
        <w:textAlignment w:val="auto"/>
        <w:rPr>
          <w:rFonts w:hint="default"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我单位是财政全额拨款参公管理的事业单位，内设四个部室（副科级）：办公室（对外联络部）、筹资与财务部、赈济救护部、组织宣传部（推动无偿献血办公室）。</w:t>
      </w:r>
    </w:p>
    <w:p>
      <w:pPr>
        <w:pStyle w:val="9"/>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0"/>
        <w:textAlignment w:val="auto"/>
        <w:rPr>
          <w:rFonts w:hint="default" w:ascii="楷体_GB2312" w:eastAsia="楷体_GB2312" w:cs="楷体_GB2312"/>
          <w:i w:val="0"/>
          <w:iCs w:val="0"/>
          <w:caps w:val="0"/>
          <w:color w:val="000000"/>
          <w:spacing w:val="0"/>
          <w:sz w:val="32"/>
          <w:szCs w:val="32"/>
          <w:shd w:val="clear" w:fill="FFFFFF"/>
        </w:rPr>
      </w:pPr>
      <w:r>
        <w:rPr>
          <w:rFonts w:hint="default" w:ascii="楷体_GB2312" w:eastAsia="楷体_GB2312" w:cs="楷体_GB2312"/>
          <w:i w:val="0"/>
          <w:iCs w:val="0"/>
          <w:caps w:val="0"/>
          <w:color w:val="000000"/>
          <w:spacing w:val="0"/>
          <w:sz w:val="32"/>
          <w:szCs w:val="32"/>
          <w:shd w:val="clear" w:fill="FFFFFF"/>
        </w:rPr>
        <w:t>人员编制情况</w:t>
      </w:r>
    </w:p>
    <w:p>
      <w:pPr>
        <w:keepNext w:val="0"/>
        <w:keepLines w:val="0"/>
        <w:pageBreakBefore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 w:eastAsia="仿宋_GB2312"/>
          <w:sz w:val="32"/>
          <w:szCs w:val="32"/>
        </w:rPr>
      </w:pPr>
      <w:r>
        <w:rPr>
          <w:rFonts w:hint="eastAsia" w:ascii="仿宋_GB2312" w:hAnsi="仿宋" w:eastAsia="仿宋_GB2312"/>
          <w:sz w:val="32"/>
          <w:szCs w:val="32"/>
          <w:lang w:val="en-US" w:eastAsia="zh-CN"/>
        </w:rPr>
        <w:t>我单位共有</w:t>
      </w:r>
      <w:r>
        <w:rPr>
          <w:rFonts w:hint="eastAsia" w:ascii="仿宋_GB2312" w:hAnsi="仿宋" w:eastAsia="仿宋_GB2312"/>
          <w:sz w:val="32"/>
          <w:szCs w:val="32"/>
        </w:rPr>
        <w:t>全额拨款事业编制9名，2023年初实有在职人数</w:t>
      </w:r>
      <w:r>
        <w:rPr>
          <w:rFonts w:hint="eastAsia" w:ascii="仿宋_GB2312" w:hAnsi="仿宋" w:eastAsia="仿宋_GB2312"/>
          <w:sz w:val="32"/>
          <w:szCs w:val="32"/>
          <w:lang w:val="en-US" w:eastAsia="zh-CN"/>
        </w:rPr>
        <w:t>8</w:t>
      </w:r>
      <w:r>
        <w:rPr>
          <w:rFonts w:hint="eastAsia" w:ascii="仿宋_GB2312" w:hAnsi="仿宋" w:eastAsia="仿宋_GB2312"/>
          <w:sz w:val="32"/>
          <w:szCs w:val="32"/>
        </w:rPr>
        <w:t>人，</w:t>
      </w:r>
      <w:r>
        <w:rPr>
          <w:rFonts w:hint="eastAsia" w:ascii="仿宋_GB2312" w:hAnsi="仿宋" w:eastAsia="仿宋_GB2312"/>
          <w:sz w:val="32"/>
          <w:szCs w:val="32"/>
          <w:lang w:val="en-US" w:eastAsia="zh-CN"/>
        </w:rPr>
        <w:t>提前退休人数1人，</w:t>
      </w:r>
      <w:r>
        <w:rPr>
          <w:rFonts w:hint="eastAsia" w:ascii="仿宋_GB2312" w:hAnsi="仿宋" w:eastAsia="仿宋_GB2312"/>
          <w:sz w:val="32"/>
          <w:szCs w:val="32"/>
        </w:rPr>
        <w:t>退休人数3人。2023年7月新入职1人，9月份退休1人,10月调入1人，年末实有在职人数</w:t>
      </w:r>
      <w:r>
        <w:rPr>
          <w:rFonts w:hint="eastAsia" w:ascii="仿宋_GB2312" w:hAnsi="仿宋" w:eastAsia="仿宋_GB2312"/>
          <w:sz w:val="32"/>
          <w:szCs w:val="32"/>
          <w:lang w:val="en-US" w:eastAsia="zh-CN"/>
        </w:rPr>
        <w:t>9</w:t>
      </w:r>
      <w:r>
        <w:rPr>
          <w:rFonts w:hint="eastAsia" w:ascii="仿宋_GB2312" w:hAnsi="仿宋" w:eastAsia="仿宋_GB2312"/>
          <w:sz w:val="32"/>
          <w:szCs w:val="32"/>
        </w:rPr>
        <w:t>人，</w:t>
      </w:r>
      <w:r>
        <w:rPr>
          <w:rFonts w:hint="eastAsia" w:ascii="仿宋_GB2312" w:hAnsi="仿宋" w:eastAsia="仿宋_GB2312"/>
          <w:sz w:val="32"/>
          <w:szCs w:val="32"/>
          <w:lang w:val="en-US" w:eastAsia="zh-CN"/>
        </w:rPr>
        <w:t>提前退休人数1人，</w:t>
      </w:r>
      <w:r>
        <w:rPr>
          <w:rFonts w:hint="eastAsia" w:ascii="仿宋_GB2312" w:hAnsi="仿宋" w:eastAsia="仿宋_GB2312"/>
          <w:sz w:val="32"/>
          <w:szCs w:val="32"/>
        </w:rPr>
        <w:t>退休人数 4人。</w:t>
      </w:r>
    </w:p>
    <w:p>
      <w:pPr>
        <w:pStyle w:val="9"/>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left="0" w:leftChars="0" w:right="0" w:firstLine="0" w:firstLineChars="0"/>
        <w:textAlignment w:val="auto"/>
        <w:rPr>
          <w:rFonts w:hint="default" w:ascii="楷体_GB2312" w:eastAsia="楷体_GB2312" w:cs="楷体_GB2312"/>
          <w:i w:val="0"/>
          <w:iCs w:val="0"/>
          <w:caps w:val="0"/>
          <w:color w:val="000000"/>
          <w:spacing w:val="0"/>
          <w:sz w:val="32"/>
          <w:szCs w:val="32"/>
          <w:shd w:val="clear" w:fill="FFFFFF"/>
        </w:rPr>
      </w:pPr>
      <w:r>
        <w:rPr>
          <w:rFonts w:hint="default" w:ascii="楷体_GB2312" w:eastAsia="楷体_GB2312" w:cs="楷体_GB2312"/>
          <w:i w:val="0"/>
          <w:iCs w:val="0"/>
          <w:caps w:val="0"/>
          <w:color w:val="000000"/>
          <w:spacing w:val="0"/>
          <w:sz w:val="32"/>
          <w:szCs w:val="32"/>
          <w:shd w:val="clear" w:fill="FFFFFF"/>
        </w:rPr>
        <w:t>主要职能职责</w:t>
      </w:r>
    </w:p>
    <w:p>
      <w:pPr>
        <w:widowControl/>
        <w:spacing w:line="500" w:lineRule="auto"/>
        <w:ind w:firstLine="627" w:firstLineChars="196"/>
        <w:jc w:val="left"/>
        <w:rPr>
          <w:rFonts w:hint="eastAsia" w:ascii="仿宋_GB2312" w:hAnsi="仿宋" w:eastAsia="仿宋_GB2312"/>
          <w:sz w:val="32"/>
          <w:szCs w:val="32"/>
        </w:rPr>
      </w:pPr>
      <w:r>
        <w:rPr>
          <w:rFonts w:hint="eastAsia" w:ascii="仿宋_GB2312" w:hAnsi="仿宋" w:eastAsia="仿宋_GB2312"/>
          <w:sz w:val="32"/>
          <w:szCs w:val="32"/>
          <w:lang w:val="en-US" w:eastAsia="zh-CN"/>
        </w:rPr>
        <w:t xml:space="preserve">1. </w:t>
      </w:r>
      <w:r>
        <w:rPr>
          <w:rFonts w:hint="eastAsia" w:ascii="仿宋_GB2312" w:hAnsi="仿宋" w:eastAsia="仿宋_GB2312"/>
          <w:sz w:val="32"/>
          <w:szCs w:val="32"/>
        </w:rPr>
        <w:t>开展救援、救灾的相关工作，建立红十字应急救援体系。在战争、武装冲突和自然灾害、事故灾难、公共卫生事件等突发事件中，对伤病人员和其他受害者提供紧急救援和人道救助；</w:t>
      </w:r>
    </w:p>
    <w:p>
      <w:pPr>
        <w:widowControl/>
        <w:spacing w:line="500" w:lineRule="auto"/>
        <w:ind w:firstLine="627" w:firstLineChars="196"/>
        <w:jc w:val="left"/>
        <w:rPr>
          <w:rFonts w:hint="eastAsia" w:ascii="仿宋_GB2312" w:hAnsi="仿宋" w:eastAsia="仿宋_GB2312"/>
          <w:sz w:val="32"/>
          <w:szCs w:val="32"/>
        </w:rPr>
      </w:pPr>
      <w:r>
        <w:rPr>
          <w:rFonts w:hint="eastAsia" w:ascii="仿宋_GB2312" w:hAnsi="仿宋" w:eastAsia="仿宋_GB2312"/>
          <w:sz w:val="32"/>
          <w:szCs w:val="32"/>
          <w:lang w:val="en-US" w:eastAsia="zh-CN"/>
        </w:rPr>
        <w:t>2.</w:t>
      </w:r>
      <w:r>
        <w:rPr>
          <w:rFonts w:hint="eastAsia" w:ascii="仿宋_GB2312" w:hAnsi="仿宋" w:eastAsia="仿宋_GB2312"/>
          <w:sz w:val="32"/>
          <w:szCs w:val="32"/>
        </w:rPr>
        <w:t>开展应急救护培训，普及应急救护、防灾避险和卫生健康知识，组织志愿者参与现场救护；</w:t>
      </w:r>
    </w:p>
    <w:p>
      <w:pPr>
        <w:widowControl/>
        <w:spacing w:line="500" w:lineRule="auto"/>
        <w:ind w:firstLine="627" w:firstLineChars="196"/>
        <w:jc w:val="left"/>
        <w:rPr>
          <w:rFonts w:hint="eastAsia" w:ascii="仿宋_GB2312" w:hAnsi="仿宋" w:eastAsia="仿宋_GB2312"/>
          <w:sz w:val="32"/>
          <w:szCs w:val="32"/>
        </w:rPr>
      </w:pPr>
      <w:r>
        <w:rPr>
          <w:rFonts w:hint="eastAsia" w:ascii="仿宋_GB2312" w:hAnsi="仿宋" w:eastAsia="仿宋_GB2312"/>
          <w:sz w:val="32"/>
          <w:szCs w:val="32"/>
          <w:lang w:val="en-US" w:eastAsia="zh-CN"/>
        </w:rPr>
        <w:t>3.</w:t>
      </w:r>
      <w:r>
        <w:rPr>
          <w:rFonts w:hint="eastAsia" w:ascii="仿宋_GB2312" w:hAnsi="仿宋" w:eastAsia="仿宋_GB2312"/>
          <w:sz w:val="32"/>
          <w:szCs w:val="32"/>
        </w:rPr>
        <w:t>参与、推动无偿献血、遗体和人体器官捐献工作，参与开展造血干细胞捐献的相关工作；</w:t>
      </w:r>
    </w:p>
    <w:p>
      <w:pPr>
        <w:widowControl/>
        <w:spacing w:line="500" w:lineRule="auto"/>
        <w:ind w:firstLine="627" w:firstLineChars="196"/>
        <w:jc w:val="left"/>
        <w:rPr>
          <w:rFonts w:hint="eastAsia" w:ascii="仿宋_GB2312" w:hAnsi="仿宋" w:eastAsia="仿宋_GB2312"/>
          <w:sz w:val="32"/>
          <w:szCs w:val="32"/>
        </w:rPr>
      </w:pPr>
      <w:r>
        <w:rPr>
          <w:rFonts w:hint="eastAsia" w:ascii="仿宋_GB2312" w:hAnsi="仿宋" w:eastAsia="仿宋_GB2312"/>
          <w:sz w:val="32"/>
          <w:szCs w:val="32"/>
          <w:lang w:val="en-US" w:eastAsia="zh-CN"/>
        </w:rPr>
        <w:t>4.</w:t>
      </w:r>
      <w:r>
        <w:rPr>
          <w:rFonts w:hint="eastAsia" w:ascii="仿宋_GB2312" w:hAnsi="仿宋" w:eastAsia="仿宋_GB2312"/>
          <w:sz w:val="32"/>
          <w:szCs w:val="32"/>
        </w:rPr>
        <w:t>组织开展红十字志愿服务、红十字青少年工作；</w:t>
      </w:r>
    </w:p>
    <w:p>
      <w:pPr>
        <w:widowControl/>
        <w:spacing w:line="500" w:lineRule="auto"/>
        <w:ind w:firstLine="627" w:firstLineChars="196"/>
        <w:jc w:val="left"/>
        <w:rPr>
          <w:rFonts w:hint="eastAsia" w:ascii="仿宋_GB2312" w:hAnsi="仿宋" w:eastAsia="仿宋_GB2312"/>
          <w:sz w:val="32"/>
          <w:szCs w:val="32"/>
        </w:rPr>
      </w:pPr>
      <w:r>
        <w:rPr>
          <w:rFonts w:hint="eastAsia" w:ascii="仿宋_GB2312" w:hAnsi="仿宋" w:eastAsia="仿宋_GB2312"/>
          <w:sz w:val="32"/>
          <w:szCs w:val="32"/>
          <w:lang w:val="en-US" w:eastAsia="zh-CN"/>
        </w:rPr>
        <w:t>5.</w:t>
      </w:r>
      <w:r>
        <w:rPr>
          <w:rFonts w:hint="eastAsia" w:ascii="仿宋_GB2312" w:hAnsi="仿宋" w:eastAsia="仿宋_GB2312"/>
          <w:sz w:val="32"/>
          <w:szCs w:val="32"/>
        </w:rPr>
        <w:t>参加国际人道主义救援工作；</w:t>
      </w:r>
    </w:p>
    <w:p>
      <w:pPr>
        <w:widowControl/>
        <w:spacing w:line="500" w:lineRule="auto"/>
        <w:ind w:firstLine="627" w:firstLineChars="196"/>
        <w:jc w:val="left"/>
        <w:rPr>
          <w:rFonts w:hint="eastAsia" w:ascii="仿宋_GB2312" w:hAnsi="仿宋" w:eastAsia="仿宋_GB2312"/>
          <w:sz w:val="32"/>
          <w:szCs w:val="32"/>
        </w:rPr>
      </w:pPr>
      <w:r>
        <w:rPr>
          <w:rFonts w:hint="eastAsia" w:ascii="仿宋_GB2312" w:hAnsi="仿宋" w:eastAsia="仿宋_GB2312"/>
          <w:sz w:val="32"/>
          <w:szCs w:val="32"/>
          <w:lang w:val="en-US" w:eastAsia="zh-CN"/>
        </w:rPr>
        <w:t>6.</w:t>
      </w:r>
      <w:r>
        <w:rPr>
          <w:rFonts w:hint="eastAsia" w:ascii="仿宋_GB2312" w:hAnsi="仿宋" w:eastAsia="仿宋_GB2312"/>
          <w:sz w:val="32"/>
          <w:szCs w:val="32"/>
        </w:rPr>
        <w:t>宣传国际红十字和红新月运动的基本原则和日内瓦公约及其附加议定书；</w:t>
      </w:r>
    </w:p>
    <w:p>
      <w:pPr>
        <w:widowControl/>
        <w:spacing w:line="500" w:lineRule="auto"/>
        <w:ind w:firstLine="627" w:firstLineChars="196"/>
        <w:jc w:val="left"/>
        <w:rPr>
          <w:rFonts w:hint="eastAsia" w:ascii="仿宋_GB2312" w:hAnsi="仿宋" w:eastAsia="仿宋_GB2312"/>
          <w:sz w:val="32"/>
          <w:szCs w:val="32"/>
        </w:rPr>
      </w:pPr>
      <w:r>
        <w:rPr>
          <w:rFonts w:hint="eastAsia" w:ascii="仿宋_GB2312" w:hAnsi="仿宋" w:eastAsia="仿宋_GB2312"/>
          <w:sz w:val="32"/>
          <w:szCs w:val="32"/>
          <w:lang w:val="en-US" w:eastAsia="zh-CN"/>
        </w:rPr>
        <w:t>7.</w:t>
      </w:r>
      <w:r>
        <w:rPr>
          <w:rFonts w:hint="eastAsia" w:ascii="仿宋_GB2312" w:hAnsi="仿宋" w:eastAsia="仿宋_GB2312"/>
          <w:sz w:val="32"/>
          <w:szCs w:val="32"/>
        </w:rPr>
        <w:t>依照国际红十字和红新月运动的基本原则，完成人民政府委托事宜；</w:t>
      </w:r>
    </w:p>
    <w:p>
      <w:pPr>
        <w:widowControl/>
        <w:spacing w:line="500" w:lineRule="auto"/>
        <w:ind w:firstLine="627" w:firstLineChars="196"/>
        <w:jc w:val="left"/>
        <w:rPr>
          <w:rFonts w:hint="eastAsia" w:ascii="仿宋_GB2312" w:hAnsi="仿宋" w:eastAsia="仿宋_GB2312"/>
          <w:sz w:val="32"/>
          <w:szCs w:val="32"/>
        </w:rPr>
      </w:pPr>
      <w:r>
        <w:rPr>
          <w:rFonts w:hint="eastAsia" w:ascii="仿宋_GB2312" w:hAnsi="仿宋" w:eastAsia="仿宋_GB2312"/>
          <w:sz w:val="32"/>
          <w:szCs w:val="32"/>
          <w:lang w:val="en-US" w:eastAsia="zh-CN"/>
        </w:rPr>
        <w:t>8.</w:t>
      </w:r>
      <w:r>
        <w:rPr>
          <w:rFonts w:hint="eastAsia" w:ascii="仿宋_GB2312" w:hAnsi="仿宋" w:eastAsia="仿宋_GB2312"/>
          <w:sz w:val="32"/>
          <w:szCs w:val="32"/>
        </w:rPr>
        <w:t>依照日内瓦公约及其附加议定书的有关规定开展工作；</w:t>
      </w:r>
    </w:p>
    <w:p>
      <w:pPr>
        <w:widowControl/>
        <w:spacing w:line="500" w:lineRule="auto"/>
        <w:ind w:firstLine="627" w:firstLineChars="196"/>
        <w:jc w:val="left"/>
        <w:rPr>
          <w:rFonts w:hint="eastAsia" w:ascii="楷体_GB2312" w:eastAsia="楷体_GB2312" w:cs="楷体_GB2312"/>
          <w:i w:val="0"/>
          <w:iCs w:val="0"/>
          <w:caps w:val="0"/>
          <w:color w:val="000000"/>
          <w:spacing w:val="0"/>
          <w:sz w:val="32"/>
          <w:szCs w:val="32"/>
          <w:shd w:val="clear" w:fill="FFFFFF"/>
          <w:lang w:val="en-US" w:eastAsia="zh-CN"/>
        </w:rPr>
      </w:pPr>
      <w:r>
        <w:rPr>
          <w:rFonts w:hint="eastAsia" w:ascii="仿宋_GB2312" w:hAnsi="仿宋" w:eastAsia="仿宋_GB2312"/>
          <w:sz w:val="32"/>
          <w:szCs w:val="32"/>
          <w:lang w:val="en-US" w:eastAsia="zh-CN"/>
        </w:rPr>
        <w:t>9.</w:t>
      </w:r>
      <w:r>
        <w:rPr>
          <w:rFonts w:hint="eastAsia" w:ascii="仿宋_GB2312" w:hAnsi="仿宋" w:eastAsia="仿宋_GB2312"/>
          <w:sz w:val="32"/>
          <w:szCs w:val="32"/>
        </w:rPr>
        <w:t>协助人民政府开展与其职责相关的其他人道主义服务活动。</w:t>
      </w:r>
    </w:p>
    <w:p>
      <w:pPr>
        <w:pStyle w:val="9"/>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left="0" w:leftChars="0" w:right="0" w:firstLine="0" w:firstLineChars="0"/>
        <w:textAlignment w:val="auto"/>
        <w:rPr>
          <w:rFonts w:hint="default" w:ascii="楷体_GB2312" w:eastAsia="楷体_GB2312" w:cs="楷体_GB2312"/>
          <w:i w:val="0"/>
          <w:iCs w:val="0"/>
          <w:caps w:val="0"/>
          <w:color w:val="000000"/>
          <w:spacing w:val="0"/>
          <w:sz w:val="32"/>
          <w:szCs w:val="32"/>
          <w:shd w:val="clear" w:fill="FFFFFF"/>
        </w:rPr>
      </w:pPr>
      <w:r>
        <w:rPr>
          <w:rFonts w:hint="default" w:ascii="楷体_GB2312" w:eastAsia="楷体_GB2312" w:cs="楷体_GB2312"/>
          <w:i w:val="0"/>
          <w:iCs w:val="0"/>
          <w:caps w:val="0"/>
          <w:color w:val="000000"/>
          <w:spacing w:val="0"/>
          <w:sz w:val="32"/>
          <w:szCs w:val="32"/>
          <w:shd w:val="clear" w:fill="FFFFFF"/>
        </w:rPr>
        <w:t>绩效目标设定情况</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_GB2312" w:hAnsi="仿宋_GB2312" w:eastAsia="仿宋_GB2312" w:cs="仿宋_GB2312"/>
          <w:color w:val="auto"/>
          <w:sz w:val="28"/>
          <w:szCs w:val="28"/>
          <w:lang w:val="en-US" w:eastAsia="zh-CN"/>
        </w:rPr>
      </w:pPr>
      <w:r>
        <w:rPr>
          <w:rFonts w:hint="eastAsia" w:ascii="仿宋_GB2312" w:hAnsi="仿宋" w:eastAsia="仿宋_GB2312"/>
          <w:sz w:val="32"/>
          <w:szCs w:val="32"/>
          <w:lang w:val="en-US" w:eastAsia="zh-CN"/>
        </w:rPr>
        <w:t>2023年我单位整体支出</w:t>
      </w:r>
      <w:r>
        <w:rPr>
          <w:rFonts w:hint="default" w:ascii="仿宋_GB2312" w:hAnsi="仿宋" w:eastAsia="仿宋_GB2312"/>
          <w:sz w:val="32"/>
          <w:szCs w:val="32"/>
          <w:lang w:val="en-US" w:eastAsia="zh-CN"/>
        </w:rPr>
        <w:t>173.91</w:t>
      </w:r>
      <w:r>
        <w:rPr>
          <w:rFonts w:hint="eastAsia" w:ascii="仿宋_GB2312" w:hAnsi="仿宋" w:eastAsia="仿宋_GB2312"/>
          <w:sz w:val="32"/>
          <w:szCs w:val="32"/>
          <w:lang w:val="en-US" w:eastAsia="zh-CN"/>
        </w:rPr>
        <w:t>万元，全部实行整体支出绩效目标管理，编报绩效目标的项目2个，涉及项目支出30万元，其中专项业务（工作）经费27.5万元、监事会工作经费2.5万元，全部实行项目支出绩效目标管理。</w:t>
      </w:r>
    </w:p>
    <w:p>
      <w:pPr>
        <w:keepNext w:val="0"/>
        <w:keepLines w:val="0"/>
        <w:pageBreakBefore w:val="0"/>
        <w:numPr>
          <w:ilvl w:val="0"/>
          <w:numId w:val="0"/>
        </w:numPr>
        <w:kinsoku/>
        <w:wordWrap/>
        <w:overflowPunct/>
        <w:topLinePunct w:val="0"/>
        <w:autoSpaceDE/>
        <w:autoSpaceDN/>
        <w:bidi w:val="0"/>
        <w:adjustRightInd/>
        <w:snapToGrid w:val="0"/>
        <w:spacing w:line="560" w:lineRule="exact"/>
        <w:ind w:firstLine="0"/>
        <w:textAlignment w:val="auto"/>
        <w:rPr>
          <w:rFonts w:hint="eastAsia" w:ascii="黑体" w:hAnsi="黑体" w:eastAsia="黑体" w:cs="黑体"/>
          <w:i w:val="0"/>
          <w:iCs w:val="0"/>
          <w:caps w:val="0"/>
          <w:color w:val="000000"/>
          <w:spacing w:val="0"/>
          <w:kern w:val="0"/>
          <w:sz w:val="32"/>
          <w:szCs w:val="32"/>
          <w:shd w:val="clear" w:fill="FFFFFF"/>
          <w:lang w:val="en-US" w:eastAsia="zh-CN" w:bidi="ar"/>
        </w:rPr>
      </w:pPr>
      <w:r>
        <w:rPr>
          <w:rFonts w:hint="eastAsia" w:ascii="黑体" w:hAnsi="黑体" w:eastAsia="黑体" w:cs="黑体"/>
          <w:i w:val="0"/>
          <w:iCs w:val="0"/>
          <w:caps w:val="0"/>
          <w:color w:val="000000"/>
          <w:spacing w:val="0"/>
          <w:kern w:val="0"/>
          <w:sz w:val="32"/>
          <w:szCs w:val="32"/>
          <w:shd w:val="clear" w:fill="FFFFFF"/>
          <w:lang w:val="en-US" w:eastAsia="zh-CN" w:bidi="ar"/>
        </w:rPr>
        <w:t>二、部门整体支出管理及使用情况</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0"/>
        <w:textAlignment w:val="auto"/>
        <w:rPr>
          <w:rFonts w:hint="eastAsia" w:ascii="楷体_GB2312" w:eastAsia="楷体_GB2312" w:cs="楷体_GB2312"/>
          <w:i w:val="0"/>
          <w:iCs w:val="0"/>
          <w:caps w:val="0"/>
          <w:color w:val="000000"/>
          <w:spacing w:val="0"/>
          <w:sz w:val="32"/>
          <w:szCs w:val="32"/>
          <w:shd w:val="clear" w:fill="FFFFFF"/>
        </w:rPr>
      </w:pPr>
      <w:r>
        <w:rPr>
          <w:rFonts w:hint="default" w:ascii="楷体_GB2312" w:eastAsia="楷体_GB2312" w:cs="楷体_GB2312"/>
          <w:i w:val="0"/>
          <w:iCs w:val="0"/>
          <w:caps w:val="0"/>
          <w:color w:val="000000"/>
          <w:spacing w:val="0"/>
          <w:sz w:val="32"/>
          <w:szCs w:val="32"/>
          <w:shd w:val="clear" w:fill="FFFFFF"/>
        </w:rPr>
        <w:t>（一）</w:t>
      </w:r>
      <w:r>
        <w:rPr>
          <w:rFonts w:hint="eastAsia" w:ascii="楷体_GB2312" w:eastAsia="楷体_GB2312" w:cs="楷体_GB2312"/>
          <w:i w:val="0"/>
          <w:iCs w:val="0"/>
          <w:caps w:val="0"/>
          <w:color w:val="000000"/>
          <w:spacing w:val="0"/>
          <w:sz w:val="32"/>
          <w:szCs w:val="32"/>
          <w:shd w:val="clear" w:fill="FFFFFF"/>
        </w:rPr>
        <w:t>预算执行、使用、管理总体情况。</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 w:eastAsia="仿宋_GB2312"/>
          <w:sz w:val="32"/>
          <w:szCs w:val="32"/>
          <w:lang w:val="en-US" w:eastAsia="zh-CN"/>
        </w:rPr>
      </w:pPr>
      <w:r>
        <w:rPr>
          <w:rFonts w:hint="eastAsia" w:ascii="仿宋_GB2312" w:hAnsi="仿宋" w:eastAsia="仿宋_GB2312"/>
          <w:sz w:val="32"/>
          <w:szCs w:val="32"/>
          <w:lang w:val="en-US" w:eastAsia="zh-CN"/>
        </w:rPr>
        <w:t>1.2023年部门预算情况 </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 w:eastAsia="仿宋_GB2312"/>
          <w:sz w:val="32"/>
          <w:szCs w:val="32"/>
          <w:lang w:val="en-US" w:eastAsia="zh-CN"/>
        </w:rPr>
      </w:pPr>
      <w:r>
        <w:rPr>
          <w:rFonts w:hint="eastAsia" w:ascii="仿宋_GB2312" w:hAnsi="仿宋" w:eastAsia="仿宋_GB2312"/>
          <w:sz w:val="32"/>
          <w:szCs w:val="32"/>
          <w:lang w:val="en-US" w:eastAsia="zh-CN"/>
        </w:rPr>
        <w:t>2023年我单位年初预算数184.33万元，其中，一般公共预算拨款184.33万元</w:t>
      </w:r>
      <w:r>
        <w:rPr>
          <w:rFonts w:hint="default" w:ascii="仿宋_GB2312" w:hAnsi="仿宋" w:eastAsia="仿宋_GB2312"/>
          <w:sz w:val="32"/>
          <w:szCs w:val="32"/>
          <w:lang w:val="en-US" w:eastAsia="zh-CN"/>
        </w:rPr>
        <w:t>。年初支出总预算</w:t>
      </w:r>
      <w:r>
        <w:rPr>
          <w:rFonts w:hint="eastAsia" w:ascii="仿宋_GB2312" w:hAnsi="仿宋" w:eastAsia="仿宋_GB2312"/>
          <w:sz w:val="32"/>
          <w:szCs w:val="32"/>
          <w:lang w:val="en-US" w:eastAsia="zh-CN"/>
        </w:rPr>
        <w:t>184.33</w:t>
      </w:r>
      <w:r>
        <w:rPr>
          <w:rFonts w:hint="default" w:ascii="仿宋_GB2312" w:hAnsi="仿宋" w:eastAsia="仿宋_GB2312"/>
          <w:sz w:val="32"/>
          <w:szCs w:val="32"/>
          <w:lang w:val="en-US" w:eastAsia="zh-CN"/>
        </w:rPr>
        <w:t>万元，</w:t>
      </w:r>
      <w:r>
        <w:rPr>
          <w:rFonts w:hint="eastAsia" w:ascii="仿宋_GB2312" w:hAnsi="仿宋" w:eastAsia="仿宋_GB2312"/>
          <w:sz w:val="32"/>
          <w:szCs w:val="32"/>
          <w:lang w:val="en-US" w:eastAsia="zh-CN"/>
        </w:rPr>
        <w:t>其中，主要是工资福利支出116.62万元、商品和服务支出50.4万元和对个人和家庭的补助17.32万元。</w:t>
      </w:r>
      <w:r>
        <w:rPr>
          <w:rFonts w:hint="default" w:ascii="仿宋_GB2312" w:hAnsi="仿宋" w:eastAsia="仿宋_GB2312"/>
          <w:sz w:val="32"/>
          <w:szCs w:val="32"/>
          <w:lang w:val="en-US" w:eastAsia="zh-CN"/>
        </w:rPr>
        <w:t> </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 w:eastAsia="仿宋_GB2312"/>
          <w:sz w:val="32"/>
          <w:szCs w:val="32"/>
          <w:lang w:val="en-US" w:eastAsia="zh-CN"/>
        </w:rPr>
      </w:pPr>
      <w:r>
        <w:rPr>
          <w:rFonts w:hint="eastAsia" w:ascii="仿宋_GB2312" w:hAnsi="仿宋" w:eastAsia="仿宋_GB2312"/>
          <w:sz w:val="32"/>
          <w:szCs w:val="32"/>
          <w:lang w:val="en-US" w:eastAsia="zh-CN"/>
        </w:rPr>
        <w:t>2023</w:t>
      </w:r>
      <w:r>
        <w:rPr>
          <w:rFonts w:hint="default" w:ascii="仿宋_GB2312" w:hAnsi="仿宋" w:eastAsia="仿宋_GB2312"/>
          <w:sz w:val="32"/>
          <w:szCs w:val="32"/>
          <w:lang w:val="en-US" w:eastAsia="zh-CN"/>
        </w:rPr>
        <w:t>年收入预算调整数</w:t>
      </w:r>
      <w:r>
        <w:rPr>
          <w:rFonts w:hint="eastAsia" w:ascii="仿宋_GB2312" w:hAnsi="仿宋" w:eastAsia="仿宋_GB2312"/>
          <w:sz w:val="32"/>
          <w:szCs w:val="32"/>
          <w:lang w:val="en-US" w:eastAsia="zh-CN"/>
        </w:rPr>
        <w:t>-10.42</w:t>
      </w:r>
      <w:r>
        <w:rPr>
          <w:rFonts w:hint="default" w:ascii="仿宋_GB2312" w:hAnsi="仿宋" w:eastAsia="仿宋_GB2312"/>
          <w:sz w:val="32"/>
          <w:szCs w:val="32"/>
          <w:lang w:val="en-US" w:eastAsia="zh-CN"/>
        </w:rPr>
        <w:t>万元，其中财政拨款收入调整预算数</w:t>
      </w:r>
      <w:r>
        <w:rPr>
          <w:rFonts w:hint="eastAsia" w:ascii="仿宋_GB2312" w:hAnsi="仿宋" w:eastAsia="仿宋_GB2312"/>
          <w:sz w:val="32"/>
          <w:szCs w:val="32"/>
          <w:lang w:val="en-US" w:eastAsia="zh-CN"/>
        </w:rPr>
        <w:t>-10.49</w:t>
      </w:r>
      <w:r>
        <w:rPr>
          <w:rFonts w:hint="default" w:ascii="仿宋_GB2312" w:hAnsi="仿宋" w:eastAsia="仿宋_GB2312"/>
          <w:sz w:val="32"/>
          <w:szCs w:val="32"/>
          <w:lang w:val="en-US" w:eastAsia="zh-CN"/>
        </w:rPr>
        <w:t>万元</w:t>
      </w:r>
      <w:r>
        <w:rPr>
          <w:rFonts w:hint="eastAsia" w:ascii="仿宋_GB2312" w:hAnsi="仿宋" w:eastAsia="仿宋_GB2312"/>
          <w:sz w:val="32"/>
          <w:szCs w:val="32"/>
          <w:lang w:val="en-US" w:eastAsia="zh-CN"/>
        </w:rPr>
        <w:t>；</w:t>
      </w:r>
      <w:r>
        <w:rPr>
          <w:rFonts w:hint="default" w:ascii="仿宋_GB2312" w:hAnsi="仿宋" w:eastAsia="仿宋_GB2312"/>
          <w:sz w:val="32"/>
          <w:szCs w:val="32"/>
          <w:lang w:val="en-US" w:eastAsia="zh-CN"/>
        </w:rPr>
        <w:t>支出预算调整预算数</w:t>
      </w:r>
      <w:r>
        <w:rPr>
          <w:rFonts w:hint="eastAsia" w:ascii="仿宋_GB2312" w:hAnsi="仿宋" w:eastAsia="仿宋_GB2312"/>
          <w:sz w:val="32"/>
          <w:szCs w:val="32"/>
          <w:lang w:val="en-US" w:eastAsia="zh-CN"/>
        </w:rPr>
        <w:t>-10.42</w:t>
      </w:r>
      <w:r>
        <w:rPr>
          <w:rFonts w:hint="default" w:ascii="仿宋_GB2312" w:hAnsi="仿宋" w:eastAsia="仿宋_GB2312"/>
          <w:sz w:val="32"/>
          <w:szCs w:val="32"/>
          <w:lang w:val="en-US" w:eastAsia="zh-CN"/>
        </w:rPr>
        <w:t>万元，与年初预算安排的差额主要是</w:t>
      </w:r>
      <w:r>
        <w:rPr>
          <w:rFonts w:hint="eastAsia" w:ascii="仿宋_GB2312" w:hAnsi="仿宋" w:eastAsia="仿宋_GB2312"/>
          <w:sz w:val="32"/>
          <w:szCs w:val="32"/>
          <w:lang w:val="en-US" w:eastAsia="zh-CN"/>
        </w:rPr>
        <w:t>人员异动后人员经费调整导致预决算差异。</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_GB2312" w:hAnsi="仿宋" w:eastAsia="仿宋_GB2312"/>
          <w:sz w:val="32"/>
          <w:szCs w:val="32"/>
          <w:lang w:val="en-US" w:eastAsia="zh-CN"/>
        </w:rPr>
      </w:pPr>
      <w:r>
        <w:rPr>
          <w:rFonts w:hint="default" w:ascii="仿宋_GB2312" w:hAnsi="仿宋" w:eastAsia="仿宋_GB2312"/>
          <w:sz w:val="32"/>
          <w:szCs w:val="32"/>
          <w:lang w:val="en-US" w:eastAsia="zh-CN"/>
        </w:rPr>
        <w:t>2</w:t>
      </w:r>
      <w:r>
        <w:rPr>
          <w:rFonts w:hint="eastAsia" w:ascii="仿宋_GB2312" w:hAnsi="仿宋" w:eastAsia="仿宋_GB2312"/>
          <w:sz w:val="32"/>
          <w:szCs w:val="32"/>
          <w:lang w:val="en-US" w:eastAsia="zh-CN"/>
        </w:rPr>
        <w:t>.</w:t>
      </w:r>
      <w:r>
        <w:rPr>
          <w:rFonts w:hint="default" w:ascii="仿宋_GB2312" w:hAnsi="仿宋" w:eastAsia="仿宋_GB2312"/>
          <w:sz w:val="32"/>
          <w:szCs w:val="32"/>
          <w:lang w:val="en-US" w:eastAsia="zh-CN"/>
        </w:rPr>
        <w:t>2023年部门决算情况 </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_GB2312" w:hAnsi="仿宋" w:eastAsia="仿宋_GB2312"/>
          <w:sz w:val="32"/>
          <w:szCs w:val="32"/>
          <w:lang w:val="en-US" w:eastAsia="zh-CN"/>
        </w:rPr>
      </w:pPr>
      <w:r>
        <w:rPr>
          <w:rFonts w:hint="default" w:ascii="仿宋_GB2312" w:hAnsi="仿宋" w:eastAsia="仿宋_GB2312"/>
          <w:sz w:val="32"/>
          <w:szCs w:val="32"/>
          <w:lang w:val="en-US" w:eastAsia="zh-CN"/>
        </w:rPr>
        <w:t>2023年度决算总收入173.91万元。2023年度决算总支出173.91万元，其中基本支出1</w:t>
      </w:r>
      <w:r>
        <w:rPr>
          <w:rFonts w:hint="eastAsia" w:ascii="仿宋_GB2312" w:hAnsi="仿宋" w:eastAsia="仿宋_GB2312"/>
          <w:sz w:val="32"/>
          <w:szCs w:val="32"/>
          <w:lang w:val="en-US" w:eastAsia="zh-CN"/>
        </w:rPr>
        <w:t>4</w:t>
      </w:r>
      <w:r>
        <w:rPr>
          <w:rFonts w:hint="default" w:ascii="仿宋_GB2312" w:hAnsi="仿宋" w:eastAsia="仿宋_GB2312"/>
          <w:sz w:val="32"/>
          <w:szCs w:val="32"/>
          <w:lang w:val="en-US" w:eastAsia="zh-CN"/>
        </w:rPr>
        <w:t>3.91万元，项目支出3</w:t>
      </w:r>
      <w:r>
        <w:rPr>
          <w:rFonts w:hint="eastAsia" w:ascii="仿宋_GB2312" w:hAnsi="仿宋" w:eastAsia="仿宋_GB2312"/>
          <w:sz w:val="32"/>
          <w:szCs w:val="32"/>
          <w:lang w:val="en-US" w:eastAsia="zh-CN"/>
        </w:rPr>
        <w:t>0</w:t>
      </w:r>
      <w:r>
        <w:rPr>
          <w:rFonts w:hint="default" w:ascii="仿宋_GB2312" w:hAnsi="仿宋" w:eastAsia="仿宋_GB2312"/>
          <w:sz w:val="32"/>
          <w:szCs w:val="32"/>
          <w:lang w:val="en-US" w:eastAsia="zh-CN"/>
        </w:rPr>
        <w:t>万元。2023年年末无结转和结余。</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0"/>
        <w:textAlignment w:val="auto"/>
        <w:rPr>
          <w:rFonts w:hint="default" w:ascii="楷体_GB2312" w:eastAsia="楷体_GB2312" w:cs="楷体_GB2312"/>
          <w:i w:val="0"/>
          <w:iCs w:val="0"/>
          <w:caps w:val="0"/>
          <w:color w:val="000000"/>
          <w:spacing w:val="0"/>
          <w:sz w:val="32"/>
          <w:szCs w:val="32"/>
        </w:rPr>
      </w:pPr>
      <w:r>
        <w:rPr>
          <w:rFonts w:hint="default" w:ascii="楷体_GB2312" w:eastAsia="楷体_GB2312" w:cs="楷体_GB2312"/>
          <w:i w:val="0"/>
          <w:iCs w:val="0"/>
          <w:caps w:val="0"/>
          <w:color w:val="000000"/>
          <w:spacing w:val="0"/>
          <w:sz w:val="32"/>
          <w:szCs w:val="32"/>
          <w:shd w:val="clear" w:fill="FFFFFF"/>
        </w:rPr>
        <w:t>（二）部门预算执行情况</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left="640" w:right="0" w:firstLine="0"/>
        <w:textAlignment w:val="auto"/>
        <w:rPr>
          <w:rFonts w:hint="default" w:ascii="仿宋_GB2312" w:eastAsia="仿宋_GB2312" w:cs="仿宋_GB2312"/>
          <w:i w:val="0"/>
          <w:iCs w:val="0"/>
          <w:caps w:val="0"/>
          <w:color w:val="000000"/>
          <w:spacing w:val="0"/>
          <w:sz w:val="32"/>
          <w:szCs w:val="32"/>
          <w:shd w:val="clear" w:fill="FFFFFF"/>
        </w:rPr>
      </w:pPr>
      <w:r>
        <w:rPr>
          <w:rFonts w:hint="default" w:ascii="仿宋_GB2312" w:eastAsia="仿宋_GB2312" w:cs="仿宋_GB2312"/>
          <w:i w:val="0"/>
          <w:iCs w:val="0"/>
          <w:caps w:val="0"/>
          <w:color w:val="000000"/>
          <w:spacing w:val="0"/>
          <w:sz w:val="32"/>
          <w:szCs w:val="32"/>
          <w:shd w:val="clear" w:fill="FFFFFF"/>
        </w:rPr>
        <w:t>1.基本支出情况</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 w:eastAsia="仿宋_GB2312"/>
          <w:color w:val="auto"/>
          <w:sz w:val="32"/>
          <w:szCs w:val="32"/>
          <w:lang w:val="en-US" w:eastAsia="zh-CN"/>
        </w:rPr>
      </w:pPr>
      <w:r>
        <w:rPr>
          <w:rFonts w:hint="eastAsia" w:ascii="仿宋_GB2312" w:hAnsi="仿宋" w:eastAsia="仿宋_GB2312"/>
          <w:color w:val="auto"/>
          <w:sz w:val="32"/>
          <w:szCs w:val="32"/>
          <w:lang w:val="en-US" w:eastAsia="zh-CN"/>
        </w:rPr>
        <w:t>2023年基本支出</w:t>
      </w:r>
      <w:r>
        <w:rPr>
          <w:rFonts w:hint="default" w:ascii="仿宋_GB2312" w:hAnsi="仿宋" w:eastAsia="仿宋_GB2312"/>
          <w:color w:val="auto"/>
          <w:sz w:val="32"/>
          <w:szCs w:val="32"/>
          <w:lang w:val="en-US" w:eastAsia="zh-CN"/>
        </w:rPr>
        <w:t>1</w:t>
      </w:r>
      <w:r>
        <w:rPr>
          <w:rFonts w:hint="eastAsia" w:ascii="仿宋_GB2312" w:hAnsi="仿宋" w:eastAsia="仿宋_GB2312"/>
          <w:color w:val="auto"/>
          <w:sz w:val="32"/>
          <w:szCs w:val="32"/>
          <w:lang w:val="en-US" w:eastAsia="zh-CN"/>
        </w:rPr>
        <w:t>4</w:t>
      </w:r>
      <w:r>
        <w:rPr>
          <w:rFonts w:hint="default" w:ascii="仿宋_GB2312" w:hAnsi="仿宋" w:eastAsia="仿宋_GB2312"/>
          <w:color w:val="auto"/>
          <w:sz w:val="32"/>
          <w:szCs w:val="32"/>
          <w:lang w:val="en-US" w:eastAsia="zh-CN"/>
        </w:rPr>
        <w:t>3.91</w:t>
      </w:r>
      <w:r>
        <w:rPr>
          <w:rFonts w:hint="eastAsia" w:ascii="仿宋_GB2312" w:hAnsi="仿宋" w:eastAsia="仿宋_GB2312"/>
          <w:color w:val="auto"/>
          <w:sz w:val="32"/>
          <w:szCs w:val="32"/>
          <w:lang w:val="en-US" w:eastAsia="zh-CN"/>
        </w:rPr>
        <w:t>万元，主要用于保障单位正常运转、完成日常工作任务而发生的支出，具体包括：</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 w:eastAsia="仿宋_GB2312"/>
          <w:color w:val="auto"/>
          <w:sz w:val="32"/>
          <w:szCs w:val="32"/>
          <w:lang w:val="en-US" w:eastAsia="zh-CN"/>
        </w:rPr>
      </w:pPr>
      <w:r>
        <w:rPr>
          <w:rFonts w:hint="eastAsia" w:ascii="仿宋_GB2312" w:hAnsi="仿宋" w:eastAsia="仿宋_GB2312"/>
          <w:color w:val="auto"/>
          <w:sz w:val="32"/>
          <w:szCs w:val="32"/>
          <w:lang w:val="en-US" w:eastAsia="zh-CN"/>
        </w:rPr>
        <w:t>（1）工资福利支出101.36万元。主要包括在职人员工资、政策规定的津贴补贴、奖金、基本养老保险、基本医疗保险、工伤保险等支出，同比上年95.48万元增加6.16%。</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 w:eastAsia="仿宋_GB2312"/>
          <w:color w:val="auto"/>
          <w:sz w:val="32"/>
          <w:szCs w:val="32"/>
          <w:lang w:val="en-US" w:eastAsia="zh-CN"/>
        </w:rPr>
      </w:pPr>
      <w:r>
        <w:rPr>
          <w:rFonts w:hint="eastAsia" w:ascii="仿宋_GB2312" w:hAnsi="仿宋" w:eastAsia="仿宋_GB2312"/>
          <w:color w:val="auto"/>
          <w:sz w:val="32"/>
          <w:szCs w:val="32"/>
          <w:lang w:val="en-US" w:eastAsia="zh-CN"/>
        </w:rPr>
        <w:t>（2）一般商品和服务支出22.74万元。包括日常运行正常办公费、印刷费、差旅费、维修（护）费、“三公经费”、其他商品服务支出等，同比上年9.10万元增加149.89%。</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_GB2312" w:eastAsia="仿宋_GB2312" w:cs="仿宋_GB2312"/>
          <w:i w:val="0"/>
          <w:iCs w:val="0"/>
          <w:caps w:val="0"/>
          <w:color w:val="auto"/>
          <w:spacing w:val="0"/>
          <w:sz w:val="32"/>
          <w:szCs w:val="32"/>
          <w:shd w:val="clear" w:fill="FFFFFF"/>
        </w:rPr>
      </w:pPr>
      <w:r>
        <w:rPr>
          <w:rFonts w:hint="eastAsia" w:ascii="仿宋_GB2312" w:hAnsi="仿宋" w:eastAsia="仿宋_GB2312"/>
          <w:color w:val="auto"/>
          <w:sz w:val="32"/>
          <w:szCs w:val="32"/>
          <w:lang w:val="en-US" w:eastAsia="zh-CN"/>
        </w:rPr>
        <w:t>（3）对个人和家庭补助支出19.81万元。主要包括退休人员春节一次性生活补助等支出，同比上年20.54万元减少3.55%。</w:t>
      </w:r>
    </w:p>
    <w:p>
      <w:pPr>
        <w:pStyle w:val="9"/>
        <w:keepNext w:val="0"/>
        <w:keepLines w:val="0"/>
        <w:pageBreakBefore w:val="0"/>
        <w:widowControl/>
        <w:numPr>
          <w:ilvl w:val="0"/>
          <w:numId w:val="4"/>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left="640" w:right="0" w:firstLine="0"/>
        <w:textAlignment w:val="auto"/>
        <w:rPr>
          <w:rFonts w:hint="default" w:ascii="仿宋_GB2312" w:eastAsia="仿宋_GB2312" w:cs="仿宋_GB2312"/>
          <w:i w:val="0"/>
          <w:iCs w:val="0"/>
          <w:caps w:val="0"/>
          <w:color w:val="000000"/>
          <w:spacing w:val="0"/>
          <w:sz w:val="32"/>
          <w:szCs w:val="32"/>
          <w:shd w:val="clear" w:fill="FFFFFF"/>
        </w:rPr>
      </w:pPr>
      <w:r>
        <w:rPr>
          <w:rFonts w:hint="default" w:ascii="仿宋_GB2312" w:eastAsia="仿宋_GB2312" w:cs="仿宋_GB2312"/>
          <w:i w:val="0"/>
          <w:iCs w:val="0"/>
          <w:caps w:val="0"/>
          <w:color w:val="000000"/>
          <w:spacing w:val="0"/>
          <w:sz w:val="32"/>
          <w:szCs w:val="32"/>
          <w:shd w:val="clear" w:fill="FFFFFF"/>
        </w:rPr>
        <w:t>项目支出情况</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 w:eastAsia="仿宋_GB2312"/>
          <w:color w:val="auto"/>
          <w:sz w:val="32"/>
          <w:szCs w:val="32"/>
          <w:lang w:val="en-US" w:eastAsia="zh-CN"/>
        </w:rPr>
      </w:pPr>
      <w:r>
        <w:rPr>
          <w:rFonts w:hint="eastAsia" w:ascii="仿宋_GB2312" w:hAnsi="仿宋" w:eastAsia="仿宋_GB2312"/>
          <w:color w:val="auto"/>
          <w:sz w:val="32"/>
          <w:szCs w:val="32"/>
          <w:lang w:val="en-US" w:eastAsia="zh-CN"/>
        </w:rPr>
        <w:t>（1）专项资金安排落实、总投入等情况分析。</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 w:eastAsia="仿宋_GB2312"/>
          <w:color w:val="auto"/>
          <w:sz w:val="32"/>
          <w:szCs w:val="32"/>
          <w:lang w:val="en-US" w:eastAsia="zh-CN"/>
        </w:rPr>
      </w:pPr>
      <w:r>
        <w:rPr>
          <w:rFonts w:hint="eastAsia" w:ascii="仿宋_GB2312" w:hAnsi="仿宋" w:eastAsia="仿宋_GB2312"/>
          <w:color w:val="auto"/>
          <w:sz w:val="32"/>
          <w:szCs w:val="32"/>
          <w:lang w:val="en-US" w:eastAsia="zh-CN"/>
        </w:rPr>
        <w:t>今年财政投入专项业务（工作）经费27.5万元，监事会工作经费2.5万元，为其他运转类项目支出，已在2023年全部拨付到位。　</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 w:eastAsia="仿宋_GB2312"/>
          <w:color w:val="auto"/>
          <w:sz w:val="32"/>
          <w:szCs w:val="32"/>
          <w:lang w:val="en-US" w:eastAsia="zh-CN"/>
        </w:rPr>
      </w:pPr>
      <w:r>
        <w:rPr>
          <w:rFonts w:hint="eastAsia" w:ascii="仿宋_GB2312" w:hAnsi="仿宋" w:eastAsia="仿宋_GB2312"/>
          <w:color w:val="auto"/>
          <w:sz w:val="32"/>
          <w:szCs w:val="32"/>
          <w:lang w:val="en-US" w:eastAsia="zh-CN"/>
        </w:rPr>
        <w:t>（2）专项资金实际使用情况分析。</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_GB2312" w:eastAsia="仿宋_GB2312" w:cs="仿宋_GB2312"/>
          <w:i w:val="0"/>
          <w:iCs w:val="0"/>
          <w:caps w:val="0"/>
          <w:color w:val="000000"/>
          <w:spacing w:val="0"/>
          <w:sz w:val="32"/>
          <w:szCs w:val="32"/>
          <w:shd w:val="clear" w:fill="FFFFFF"/>
        </w:rPr>
      </w:pPr>
      <w:r>
        <w:rPr>
          <w:rFonts w:hint="eastAsia" w:ascii="仿宋_GB2312" w:hAnsi="仿宋" w:eastAsia="仿宋_GB2312"/>
          <w:color w:val="auto"/>
          <w:sz w:val="32"/>
          <w:szCs w:val="32"/>
          <w:lang w:val="en-US" w:eastAsia="zh-CN"/>
        </w:rPr>
        <w:t>专项资金实际使用30万元，包括专项业务（工作）经费27.5万元，用于开展救援救灾、备灾仓库管理维护、应急救护培训、无偿献血宣传和造血干细胞捐献以及公民逝世后遗体器官捐献等“三救”、“三献”相关工作；监事会工作经费2.5万元，用于监事会依法开展监督、培训、审计等相关费用。</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0"/>
        <w:textAlignment w:val="auto"/>
        <w:rPr>
          <w:rFonts w:hint="default" w:ascii="楷体_GB2312" w:eastAsia="楷体_GB2312" w:cs="楷体_GB2312"/>
          <w:i w:val="0"/>
          <w:iCs w:val="0"/>
          <w:caps w:val="0"/>
          <w:color w:val="000000" w:themeColor="text1"/>
          <w:spacing w:val="0"/>
          <w:sz w:val="32"/>
          <w:szCs w:val="32"/>
          <w:shd w:val="clear" w:fill="FFFFFF"/>
          <w14:textFill>
            <w14:solidFill>
              <w14:schemeClr w14:val="tx1"/>
            </w14:solidFill>
          </w14:textFill>
        </w:rPr>
      </w:pPr>
      <w:r>
        <w:rPr>
          <w:rFonts w:hint="default" w:ascii="楷体_GB2312" w:eastAsia="楷体_GB2312" w:cs="楷体_GB2312"/>
          <w:i w:val="0"/>
          <w:iCs w:val="0"/>
          <w:caps w:val="0"/>
          <w:color w:val="000000" w:themeColor="text1"/>
          <w:spacing w:val="0"/>
          <w:sz w:val="32"/>
          <w:szCs w:val="32"/>
          <w:shd w:val="clear" w:fill="FFFFFF"/>
          <w14:textFill>
            <w14:solidFill>
              <w14:schemeClr w14:val="tx1"/>
            </w14:solidFill>
          </w14:textFill>
        </w:rPr>
        <w:t>（三）"三公"经费使用和管理情况</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楷体_GB2312" w:eastAsia="楷体_GB2312" w:cs="楷体_GB2312"/>
          <w:i w:val="0"/>
          <w:iCs w:val="0"/>
          <w:caps w:val="0"/>
          <w:color w:val="000000" w:themeColor="text1"/>
          <w:spacing w:val="0"/>
          <w:sz w:val="32"/>
          <w:szCs w:val="32"/>
          <w:shd w:val="clear" w:fill="FFFFFF"/>
          <w14:textFill>
            <w14:solidFill>
              <w14:schemeClr w14:val="tx1"/>
            </w14:solidFill>
          </w14:textFill>
        </w:rPr>
      </w:pPr>
      <w:r>
        <w:rPr>
          <w:rFonts w:hint="eastAsia" w:ascii="仿宋_GB2312" w:hAnsi="仿宋" w:eastAsia="仿宋_GB2312"/>
          <w:color w:val="000000" w:themeColor="text1"/>
          <w:sz w:val="32"/>
          <w:szCs w:val="32"/>
          <w:lang w:val="en-US" w:eastAsia="zh-CN"/>
          <w14:textFill>
            <w14:solidFill>
              <w14:schemeClr w14:val="tx1"/>
            </w14:solidFill>
          </w14:textFill>
        </w:rPr>
        <w:t>公务接待费实际开支</w:t>
      </w:r>
      <w:r>
        <w:rPr>
          <w:rFonts w:hint="eastAsia" w:ascii="仿宋_GB2312" w:hAnsi="仿宋" w:eastAsia="仿宋_GB2312" w:cs="仿宋"/>
          <w:color w:val="000000" w:themeColor="text1"/>
          <w:sz w:val="32"/>
          <w:szCs w:val="32"/>
          <w14:textFill>
            <w14:solidFill>
              <w14:schemeClr w14:val="tx1"/>
            </w14:solidFill>
          </w14:textFill>
        </w:rPr>
        <w:t>0.50</w:t>
      </w:r>
      <w:r>
        <w:rPr>
          <w:rFonts w:hint="eastAsia" w:ascii="仿宋_GB2312" w:hAnsi="仿宋" w:eastAsia="仿宋_GB2312"/>
          <w:color w:val="000000" w:themeColor="text1"/>
          <w:sz w:val="32"/>
          <w:szCs w:val="32"/>
          <w:lang w:val="en-US" w:eastAsia="zh-CN"/>
          <w14:textFill>
            <w14:solidFill>
              <w14:schemeClr w14:val="tx1"/>
            </w14:solidFill>
          </w14:textFill>
        </w:rPr>
        <w:t>万元，较上年增加支出0.04万元；公车运行维护费实际开支0万元，与上年持平，原因为公车移交公车办管理，我单位无公车；无任何出国出境开支。</w:t>
      </w:r>
    </w:p>
    <w:p>
      <w:pPr>
        <w:pStyle w:val="9"/>
        <w:keepNext w:val="0"/>
        <w:keepLines w:val="0"/>
        <w:pageBreakBefore w:val="0"/>
        <w:widowControl/>
        <w:numPr>
          <w:ilvl w:val="0"/>
          <w:numId w:val="5"/>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0"/>
        <w:textAlignment w:val="auto"/>
        <w:rPr>
          <w:rFonts w:hint="eastAsia" w:ascii="黑体" w:hAnsi="黑体" w:eastAsia="黑体" w:cs="黑体"/>
          <w:i w:val="0"/>
          <w:iCs w:val="0"/>
          <w:caps w:val="0"/>
          <w:color w:val="000000"/>
          <w:spacing w:val="0"/>
          <w:sz w:val="32"/>
          <w:szCs w:val="32"/>
          <w:shd w:val="clear" w:fill="FFFFFF"/>
        </w:rPr>
      </w:pPr>
      <w:r>
        <w:rPr>
          <w:rFonts w:hint="eastAsia" w:ascii="黑体" w:hAnsi="黑体" w:eastAsia="黑体" w:cs="黑体"/>
          <w:i w:val="0"/>
          <w:iCs w:val="0"/>
          <w:caps w:val="0"/>
          <w:color w:val="000000"/>
          <w:spacing w:val="0"/>
          <w:sz w:val="32"/>
          <w:szCs w:val="32"/>
          <w:shd w:val="clear" w:fill="FFFFFF"/>
        </w:rPr>
        <w:t>政府性基金预算支出情况</w:t>
      </w:r>
    </w:p>
    <w:p>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leftChars="0" w:right="0" w:rightChars="0"/>
        <w:textAlignment w:val="auto"/>
        <w:rPr>
          <w:rFonts w:hint="eastAsia" w:ascii="仿宋_GB2312" w:hAnsi="仿宋" w:eastAsia="仿宋_GB2312" w:cstheme="minorBidi"/>
          <w:color w:val="000000" w:themeColor="text1"/>
          <w:kern w:val="2"/>
          <w:sz w:val="32"/>
          <w:szCs w:val="32"/>
          <w:lang w:val="en-US" w:eastAsia="zh-CN" w:bidi="ar-SA"/>
          <w14:textFill>
            <w14:solidFill>
              <w14:schemeClr w14:val="tx1"/>
            </w14:solidFill>
          </w14:textFill>
        </w:rPr>
      </w:pPr>
      <w:r>
        <w:rPr>
          <w:rFonts w:hint="eastAsia" w:ascii="黑体" w:hAnsi="黑体" w:eastAsia="黑体" w:cs="黑体"/>
          <w:i w:val="0"/>
          <w:iCs w:val="0"/>
          <w:caps w:val="0"/>
          <w:color w:val="000000"/>
          <w:spacing w:val="0"/>
          <w:sz w:val="32"/>
          <w:szCs w:val="32"/>
          <w:shd w:val="clear" w:fill="FFFFFF"/>
          <w:lang w:val="en-US" w:eastAsia="zh-CN"/>
        </w:rPr>
        <w:t xml:space="preserve">    </w:t>
      </w:r>
      <w:r>
        <w:rPr>
          <w:rFonts w:hint="eastAsia" w:ascii="仿宋_GB2312" w:hAnsi="仿宋" w:eastAsia="仿宋_GB2312" w:cstheme="minorBidi"/>
          <w:color w:val="000000" w:themeColor="text1"/>
          <w:kern w:val="2"/>
          <w:sz w:val="32"/>
          <w:szCs w:val="32"/>
          <w:lang w:val="en-US" w:eastAsia="zh-CN" w:bidi="ar-SA"/>
          <w14:textFill>
            <w14:solidFill>
              <w14:schemeClr w14:val="tx1"/>
            </w14:solidFill>
          </w14:textFill>
        </w:rPr>
        <w:t>我单位无政府性基金预算收支。</w:t>
      </w:r>
    </w:p>
    <w:p>
      <w:pPr>
        <w:pStyle w:val="9"/>
        <w:keepNext w:val="0"/>
        <w:keepLines w:val="0"/>
        <w:pageBreakBefore w:val="0"/>
        <w:widowControl/>
        <w:numPr>
          <w:ilvl w:val="0"/>
          <w:numId w:val="5"/>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left="0" w:leftChars="0" w:right="0" w:firstLine="0" w:firstLineChars="0"/>
        <w:textAlignment w:val="auto"/>
        <w:rPr>
          <w:rFonts w:hint="eastAsia" w:ascii="黑体" w:hAnsi="黑体" w:eastAsia="黑体" w:cs="黑体"/>
          <w:i w:val="0"/>
          <w:iCs w:val="0"/>
          <w:caps w:val="0"/>
          <w:color w:val="000000"/>
          <w:spacing w:val="0"/>
          <w:sz w:val="32"/>
          <w:szCs w:val="32"/>
          <w:shd w:val="clear" w:fill="FFFFFF"/>
        </w:rPr>
      </w:pPr>
      <w:r>
        <w:rPr>
          <w:rFonts w:hint="eastAsia" w:ascii="黑体" w:hAnsi="黑体" w:eastAsia="黑体" w:cs="黑体"/>
          <w:i w:val="0"/>
          <w:iCs w:val="0"/>
          <w:caps w:val="0"/>
          <w:color w:val="000000"/>
          <w:spacing w:val="0"/>
          <w:sz w:val="32"/>
          <w:szCs w:val="32"/>
          <w:shd w:val="clear" w:fill="FFFFFF"/>
        </w:rPr>
        <w:t>国有资本经营预算支出情况</w:t>
      </w:r>
    </w:p>
    <w:p>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rightChars="0" w:firstLine="640" w:firstLineChars="200"/>
        <w:textAlignment w:val="auto"/>
        <w:rPr>
          <w:rFonts w:hint="eastAsia" w:ascii="黑体" w:hAnsi="黑体" w:eastAsia="黑体" w:cs="黑体"/>
          <w:i w:val="0"/>
          <w:iCs w:val="0"/>
          <w:caps w:val="0"/>
          <w:color w:val="000000"/>
          <w:spacing w:val="0"/>
          <w:sz w:val="32"/>
          <w:szCs w:val="32"/>
          <w:shd w:val="clear" w:fill="FFFFFF"/>
        </w:rPr>
      </w:pPr>
      <w:r>
        <w:rPr>
          <w:rFonts w:hint="eastAsia" w:ascii="仿宋_GB2312" w:hAnsi="仿宋" w:eastAsia="仿宋_GB2312" w:cstheme="minorBidi"/>
          <w:color w:val="000000" w:themeColor="text1"/>
          <w:kern w:val="2"/>
          <w:sz w:val="32"/>
          <w:szCs w:val="32"/>
          <w:lang w:val="en-US" w:eastAsia="zh-CN" w:bidi="ar-SA"/>
          <w14:textFill>
            <w14:solidFill>
              <w14:schemeClr w14:val="tx1"/>
            </w14:solidFill>
          </w14:textFill>
        </w:rPr>
        <w:t>我单位无国有资本经营预算收支。</w:t>
      </w:r>
    </w:p>
    <w:p>
      <w:pPr>
        <w:pStyle w:val="9"/>
        <w:keepNext w:val="0"/>
        <w:keepLines w:val="0"/>
        <w:pageBreakBefore w:val="0"/>
        <w:widowControl/>
        <w:numPr>
          <w:ilvl w:val="0"/>
          <w:numId w:val="5"/>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left="0" w:leftChars="0" w:right="0" w:firstLine="0" w:firstLineChars="0"/>
        <w:textAlignment w:val="auto"/>
        <w:rPr>
          <w:rFonts w:hint="eastAsia" w:ascii="黑体" w:hAnsi="黑体" w:eastAsia="黑体" w:cs="黑体"/>
          <w:i w:val="0"/>
          <w:iCs w:val="0"/>
          <w:caps w:val="0"/>
          <w:color w:val="000000"/>
          <w:spacing w:val="0"/>
          <w:sz w:val="32"/>
          <w:szCs w:val="32"/>
          <w:shd w:val="clear" w:fill="FFFFFF"/>
        </w:rPr>
      </w:pPr>
      <w:r>
        <w:rPr>
          <w:rFonts w:hint="eastAsia" w:ascii="黑体" w:hAnsi="黑体" w:eastAsia="黑体" w:cs="黑体"/>
          <w:i w:val="0"/>
          <w:iCs w:val="0"/>
          <w:caps w:val="0"/>
          <w:color w:val="000000"/>
          <w:spacing w:val="0"/>
          <w:sz w:val="32"/>
          <w:szCs w:val="32"/>
          <w:shd w:val="clear" w:fill="FFFFFF"/>
        </w:rPr>
        <w:t>社会保险基金预算支出情况</w:t>
      </w:r>
    </w:p>
    <w:p>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rightChars="0" w:firstLine="640" w:firstLineChars="200"/>
        <w:textAlignment w:val="auto"/>
        <w:rPr>
          <w:rFonts w:hint="eastAsia" w:ascii="仿宋_GB2312" w:hAnsi="仿宋" w:eastAsia="仿宋_GB2312" w:cstheme="minorBidi"/>
          <w:color w:val="000000" w:themeColor="text1"/>
          <w:kern w:val="2"/>
          <w:sz w:val="32"/>
          <w:szCs w:val="32"/>
          <w:lang w:val="en-US" w:eastAsia="zh-CN" w:bidi="ar-SA"/>
          <w14:textFill>
            <w14:solidFill>
              <w14:schemeClr w14:val="tx1"/>
            </w14:solidFill>
          </w14:textFill>
        </w:rPr>
      </w:pPr>
      <w:r>
        <w:rPr>
          <w:rFonts w:hint="eastAsia" w:ascii="仿宋_GB2312" w:hAnsi="仿宋" w:eastAsia="仿宋_GB2312" w:cstheme="minorBidi"/>
          <w:color w:val="000000" w:themeColor="text1"/>
          <w:kern w:val="2"/>
          <w:sz w:val="32"/>
          <w:szCs w:val="32"/>
          <w:lang w:val="en-US" w:eastAsia="zh-CN" w:bidi="ar-SA"/>
          <w14:textFill>
            <w14:solidFill>
              <w14:schemeClr w14:val="tx1"/>
            </w14:solidFill>
          </w14:textFill>
        </w:rPr>
        <w:t>我单位无社会保险基金预算收支。</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0"/>
        <w:textAlignment w:val="auto"/>
        <w:rPr>
          <w:rFonts w:hint="eastAsia" w:ascii="黑体" w:hAnsi="黑体" w:eastAsia="黑体" w:cs="黑体"/>
          <w:i w:val="0"/>
          <w:iCs w:val="0"/>
          <w:caps w:val="0"/>
          <w:color w:val="000000"/>
          <w:spacing w:val="0"/>
          <w:sz w:val="32"/>
          <w:szCs w:val="32"/>
        </w:rPr>
      </w:pPr>
      <w:r>
        <w:rPr>
          <w:rFonts w:hint="eastAsia" w:ascii="黑体" w:hAnsi="黑体" w:eastAsia="黑体" w:cs="黑体"/>
          <w:i w:val="0"/>
          <w:iCs w:val="0"/>
          <w:caps w:val="0"/>
          <w:color w:val="000000"/>
          <w:spacing w:val="0"/>
          <w:sz w:val="32"/>
          <w:szCs w:val="32"/>
          <w:shd w:val="clear" w:fill="FFFFFF"/>
        </w:rPr>
        <w:t>六、部门整体支出绩效情况</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0"/>
        <w:textAlignment w:val="auto"/>
        <w:rPr>
          <w:rFonts w:hint="default" w:ascii="仿宋_GB2312" w:eastAsia="仿宋_GB2312" w:cs="仿宋_GB2312"/>
          <w:i w:val="0"/>
          <w:iCs w:val="0"/>
          <w:caps w:val="0"/>
          <w:color w:val="000000"/>
          <w:spacing w:val="0"/>
          <w:sz w:val="32"/>
          <w:szCs w:val="32"/>
          <w:shd w:val="clear" w:fill="FFFFFF"/>
        </w:rPr>
      </w:pPr>
      <w:r>
        <w:rPr>
          <w:rFonts w:hint="default" w:ascii="楷体_GB2312" w:eastAsia="楷体_GB2312" w:cs="楷体_GB2312"/>
          <w:i w:val="0"/>
          <w:iCs w:val="0"/>
          <w:caps w:val="0"/>
          <w:color w:val="000000"/>
          <w:spacing w:val="0"/>
          <w:sz w:val="32"/>
          <w:szCs w:val="32"/>
          <w:shd w:val="clear" w:fill="FFFFFF"/>
        </w:rPr>
        <w:t>（一）综合评价结论。</w:t>
      </w:r>
    </w:p>
    <w:p>
      <w:pPr>
        <w:pStyle w:val="2"/>
        <w:ind w:firstLine="640" w:firstLineChars="200"/>
        <w:jc w:val="left"/>
        <w:rPr>
          <w:rFonts w:hint="default" w:ascii="仿宋_GB2312" w:eastAsia="仿宋_GB2312" w:cs="仿宋_GB2312"/>
          <w:i w:val="0"/>
          <w:iCs w:val="0"/>
          <w:caps w:val="0"/>
          <w:color w:val="auto"/>
          <w:spacing w:val="0"/>
          <w:sz w:val="32"/>
          <w:szCs w:val="32"/>
          <w:shd w:val="clear" w:fill="FFFFFF"/>
        </w:rPr>
      </w:pPr>
      <w:r>
        <w:rPr>
          <w:rFonts w:hint="eastAsia" w:ascii="仿宋_GB2312" w:hAnsi="仿宋" w:eastAsia="仿宋_GB2312" w:cstheme="minorBidi"/>
          <w:b w:val="0"/>
          <w:bCs w:val="0"/>
          <w:color w:val="000000" w:themeColor="text1"/>
          <w:kern w:val="2"/>
          <w:sz w:val="32"/>
          <w:szCs w:val="32"/>
          <w:lang w:val="en-US" w:eastAsia="zh-CN" w:bidi="ar-SA"/>
          <w14:textFill>
            <w14:solidFill>
              <w14:schemeClr w14:val="tx1"/>
            </w14:solidFill>
          </w14:textFill>
        </w:rPr>
        <w:t>我单位结合市委市政府以及财政部门开展部门整体支出绩效目标要求，针对财政拨付资金制定相应的资金拨付目标，逐步夯实本单位整体支出绩效的管理基础。进一步加强对绩效目标编制质量的审核，提高绩效目标与重点工作预算的匹配性，本年度推动无偿献血宣传、救护员培训、造血干细胞血样采集、开展应急避险救护普及</w:t>
      </w:r>
      <w:r>
        <w:rPr>
          <w:rFonts w:hint="eastAsia" w:ascii="仿宋_GB2312" w:hAnsi="仿宋" w:eastAsia="仿宋_GB2312" w:cstheme="minorBidi"/>
          <w:b w:val="0"/>
          <w:bCs w:val="0"/>
          <w:color w:val="auto"/>
          <w:kern w:val="2"/>
          <w:sz w:val="32"/>
          <w:szCs w:val="32"/>
          <w:lang w:val="en-US" w:eastAsia="zh-CN" w:bidi="ar-SA"/>
        </w:rPr>
        <w:t>培训等工作任务整体支出绩效目标均圆满完成。</w:t>
      </w:r>
    </w:p>
    <w:p>
      <w:pPr>
        <w:pStyle w:val="9"/>
        <w:keepNext w:val="0"/>
        <w:keepLines w:val="0"/>
        <w:pageBreakBefore w:val="0"/>
        <w:widowControl/>
        <w:numPr>
          <w:ilvl w:val="0"/>
          <w:numId w:val="6"/>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0"/>
        <w:textAlignment w:val="auto"/>
        <w:rPr>
          <w:rFonts w:hint="default" w:ascii="仿宋_GB2312" w:eastAsia="仿宋_GB2312" w:cs="仿宋_GB2312"/>
          <w:i w:val="0"/>
          <w:iCs w:val="0"/>
          <w:caps w:val="0"/>
          <w:color w:val="auto"/>
          <w:spacing w:val="0"/>
          <w:sz w:val="32"/>
          <w:szCs w:val="32"/>
          <w:shd w:val="clear" w:fill="FFFFFF"/>
        </w:rPr>
      </w:pPr>
      <w:r>
        <w:rPr>
          <w:rFonts w:hint="default" w:ascii="楷体_GB2312" w:eastAsia="楷体_GB2312" w:cs="楷体_GB2312"/>
          <w:i w:val="0"/>
          <w:iCs w:val="0"/>
          <w:caps w:val="0"/>
          <w:color w:val="auto"/>
          <w:spacing w:val="0"/>
          <w:sz w:val="32"/>
          <w:szCs w:val="32"/>
          <w:shd w:val="clear" w:fill="FFFFFF"/>
        </w:rPr>
        <w:t>评价指标分析。</w:t>
      </w:r>
    </w:p>
    <w:p>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leftChars="0" w:right="0" w:rightChars="0" w:firstLine="640" w:firstLineChars="200"/>
        <w:textAlignment w:val="auto"/>
        <w:rPr>
          <w:rFonts w:hint="default" w:ascii="仿宋_GB2312" w:eastAsia="仿宋_GB2312" w:cs="仿宋_GB2312"/>
          <w:i w:val="0"/>
          <w:iCs w:val="0"/>
          <w:caps w:val="0"/>
          <w:color w:val="auto"/>
          <w:spacing w:val="0"/>
          <w:sz w:val="32"/>
          <w:szCs w:val="32"/>
          <w:shd w:val="clear" w:fill="FFFFFF"/>
        </w:rPr>
      </w:pPr>
      <w:r>
        <w:rPr>
          <w:rFonts w:hint="eastAsia" w:ascii="仿宋_GB2312" w:hAnsi="仿宋" w:eastAsia="仿宋_GB2312" w:cstheme="minorBidi"/>
          <w:b w:val="0"/>
          <w:bCs w:val="0"/>
          <w:color w:val="auto"/>
          <w:kern w:val="2"/>
          <w:sz w:val="32"/>
          <w:szCs w:val="32"/>
          <w:lang w:val="en-US" w:eastAsia="zh-CN" w:bidi="ar-SA"/>
        </w:rPr>
        <w:t>对照怀财绩〔2024〕46号文件规定的考核指标，我单位从产出指标、效益指标、满意度指标等方面对2023年部门整体支出绩效开展了评价，自评得分100分</w:t>
      </w:r>
      <w:r>
        <w:rPr>
          <w:rFonts w:hint="default" w:ascii="仿宋_GB2312" w:eastAsia="仿宋_GB2312" w:cs="仿宋_GB2312"/>
          <w:i w:val="0"/>
          <w:iCs w:val="0"/>
          <w:caps w:val="0"/>
          <w:color w:val="auto"/>
          <w:spacing w:val="0"/>
          <w:sz w:val="32"/>
          <w:szCs w:val="32"/>
          <w:shd w:val="clear" w:fill="FFFFFF"/>
        </w:rPr>
        <w:t>，具体情况如下：</w:t>
      </w:r>
    </w:p>
    <w:p>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leftChars="0" w:right="0" w:rightChars="0" w:firstLine="640" w:firstLineChars="200"/>
        <w:textAlignment w:val="auto"/>
        <w:rPr>
          <w:rFonts w:hint="default" w:ascii="仿宋_GB2312" w:eastAsia="仿宋_GB2312" w:cs="仿宋_GB2312"/>
          <w:i w:val="0"/>
          <w:iCs w:val="0"/>
          <w:caps w:val="0"/>
          <w:color w:val="auto"/>
          <w:spacing w:val="0"/>
          <w:sz w:val="32"/>
          <w:szCs w:val="32"/>
          <w:shd w:val="clear" w:fill="FFFFFF"/>
        </w:rPr>
      </w:pPr>
      <w:r>
        <w:rPr>
          <w:rFonts w:hint="eastAsia" w:ascii="仿宋_GB2312" w:eastAsia="仿宋_GB2312" w:cs="仿宋_GB2312"/>
          <w:i w:val="0"/>
          <w:iCs w:val="0"/>
          <w:caps w:val="0"/>
          <w:color w:val="auto"/>
          <w:spacing w:val="0"/>
          <w:sz w:val="32"/>
          <w:szCs w:val="32"/>
          <w:shd w:val="clear" w:fill="FFFFFF"/>
          <w:lang w:val="en-US" w:eastAsia="zh-CN"/>
        </w:rPr>
        <w:t>1.</w:t>
      </w:r>
      <w:r>
        <w:rPr>
          <w:rFonts w:hint="default" w:ascii="仿宋_GB2312" w:eastAsia="仿宋_GB2312" w:cs="仿宋_GB2312"/>
          <w:i w:val="0"/>
          <w:iCs w:val="0"/>
          <w:caps w:val="0"/>
          <w:color w:val="auto"/>
          <w:spacing w:val="0"/>
          <w:sz w:val="32"/>
          <w:szCs w:val="32"/>
          <w:shd w:val="clear" w:fill="FFFFFF"/>
        </w:rPr>
        <w:t>经济性分析</w:t>
      </w:r>
    </w:p>
    <w:p>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leftChars="0" w:right="0" w:rightChars="0"/>
        <w:textAlignment w:val="auto"/>
        <w:rPr>
          <w:rFonts w:hint="default" w:ascii="仿宋_GB2312" w:eastAsia="仿宋_GB2312" w:cs="仿宋_GB2312"/>
          <w:i w:val="0"/>
          <w:iCs w:val="0"/>
          <w:caps w:val="0"/>
          <w:color w:val="auto"/>
          <w:spacing w:val="0"/>
          <w:sz w:val="32"/>
          <w:szCs w:val="32"/>
          <w:shd w:val="clear" w:fill="FFFFFF"/>
        </w:rPr>
      </w:pPr>
      <w:r>
        <w:rPr>
          <w:rFonts w:hint="default" w:ascii="仿宋_GB2312" w:eastAsia="仿宋_GB2312" w:cs="仿宋_GB2312"/>
          <w:i w:val="0"/>
          <w:iCs w:val="0"/>
          <w:caps w:val="0"/>
          <w:color w:val="auto"/>
          <w:spacing w:val="0"/>
          <w:sz w:val="32"/>
          <w:szCs w:val="32"/>
          <w:shd w:val="clear" w:fill="FFFFFF"/>
        </w:rPr>
        <w:t xml:space="preserve">  2023年年初预算</w:t>
      </w:r>
      <w:r>
        <w:rPr>
          <w:rFonts w:hint="eastAsia" w:ascii="仿宋_GB2312" w:hAnsi="仿宋" w:eastAsia="仿宋_GB2312"/>
          <w:color w:val="auto"/>
          <w:sz w:val="32"/>
          <w:szCs w:val="32"/>
          <w:lang w:val="en-US" w:eastAsia="zh-CN"/>
        </w:rPr>
        <w:t>184.33</w:t>
      </w:r>
      <w:r>
        <w:rPr>
          <w:rFonts w:hint="default" w:ascii="仿宋_GB2312" w:eastAsia="仿宋_GB2312" w:cs="仿宋_GB2312"/>
          <w:i w:val="0"/>
          <w:iCs w:val="0"/>
          <w:caps w:val="0"/>
          <w:color w:val="auto"/>
          <w:spacing w:val="0"/>
          <w:sz w:val="32"/>
          <w:szCs w:val="32"/>
          <w:shd w:val="clear" w:fill="FFFFFF"/>
        </w:rPr>
        <w:t>万元，年中</w:t>
      </w:r>
      <w:r>
        <w:rPr>
          <w:rFonts w:hint="default" w:ascii="仿宋_GB2312" w:hAnsi="仿宋" w:eastAsia="仿宋_GB2312"/>
          <w:color w:val="auto"/>
          <w:sz w:val="32"/>
          <w:szCs w:val="32"/>
          <w:lang w:val="en-US" w:eastAsia="zh-CN"/>
        </w:rPr>
        <w:t>调整</w:t>
      </w:r>
      <w:r>
        <w:rPr>
          <w:rFonts w:hint="eastAsia" w:ascii="仿宋_GB2312" w:hAnsi="仿宋" w:eastAsia="仿宋_GB2312"/>
          <w:color w:val="auto"/>
          <w:sz w:val="32"/>
          <w:szCs w:val="32"/>
          <w:lang w:val="en-US" w:eastAsia="zh-CN"/>
        </w:rPr>
        <w:t>预算-10.42</w:t>
      </w:r>
      <w:r>
        <w:rPr>
          <w:rFonts w:hint="default" w:ascii="仿宋_GB2312" w:eastAsia="仿宋_GB2312" w:cs="仿宋_GB2312"/>
          <w:i w:val="0"/>
          <w:iCs w:val="0"/>
          <w:caps w:val="0"/>
          <w:color w:val="auto"/>
          <w:spacing w:val="0"/>
          <w:sz w:val="32"/>
          <w:szCs w:val="32"/>
          <w:shd w:val="clear" w:fill="FFFFFF"/>
        </w:rPr>
        <w:t xml:space="preserve">万元，成本（预算）控制达到预期目标。  </w:t>
      </w:r>
    </w:p>
    <w:p>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leftChars="0" w:right="0" w:rightChars="0" w:firstLine="640" w:firstLineChars="200"/>
        <w:textAlignment w:val="auto"/>
        <w:rPr>
          <w:rFonts w:hint="default" w:ascii="仿宋_GB2312" w:eastAsia="仿宋_GB2312" w:cs="仿宋_GB2312"/>
          <w:i w:val="0"/>
          <w:iCs w:val="0"/>
          <w:caps w:val="0"/>
          <w:color w:val="auto"/>
          <w:spacing w:val="0"/>
          <w:sz w:val="32"/>
          <w:szCs w:val="32"/>
          <w:shd w:val="clear" w:fill="FFFFFF"/>
        </w:rPr>
      </w:pPr>
      <w:r>
        <w:rPr>
          <w:rFonts w:hint="eastAsia" w:ascii="仿宋_GB2312" w:eastAsia="仿宋_GB2312" w:cs="仿宋_GB2312"/>
          <w:i w:val="0"/>
          <w:iCs w:val="0"/>
          <w:caps w:val="0"/>
          <w:color w:val="auto"/>
          <w:spacing w:val="0"/>
          <w:sz w:val="32"/>
          <w:szCs w:val="32"/>
          <w:shd w:val="clear" w:fill="FFFFFF"/>
          <w:lang w:val="en-US" w:eastAsia="zh-CN"/>
        </w:rPr>
        <w:t>2.</w:t>
      </w:r>
      <w:r>
        <w:rPr>
          <w:rFonts w:hint="default" w:ascii="仿宋_GB2312" w:eastAsia="仿宋_GB2312" w:cs="仿宋_GB2312"/>
          <w:i w:val="0"/>
          <w:iCs w:val="0"/>
          <w:caps w:val="0"/>
          <w:color w:val="auto"/>
          <w:spacing w:val="0"/>
          <w:sz w:val="32"/>
          <w:szCs w:val="32"/>
          <w:shd w:val="clear" w:fill="FFFFFF"/>
        </w:rPr>
        <w:t>效率性分析</w:t>
      </w:r>
    </w:p>
    <w:p>
      <w:pPr>
        <w:spacing w:line="60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1</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服务中心工作，助力高质量发展</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一是加大民生项目落实力度，助力乡村振兴。积极推动麻阳和溆浦县的省红十字会“博爱家园”项目落地建设，参加“2023年怀化市文化科技卫生三下乡暨新时代文明实践集中示范活动”，为鹤城区凉亭坳乡困难群众送去价值2万元的大米和食用油。二是扩大应急救护培训范围，助力卫生城市创建。面向电力、教育、民兵、机关单位等群体广泛开展了应急救护培训，着力提升社会大众的应急避险救护意识和技能，为怀化市国家卫生城市创建贡献红十字力量。三是积极开展人道救助，助力兜牢基本民生底线。筹集40余万元的棉衣、大米、食用油、健康防护箱等物资，用于集中开展春节前后的“博爱送万家”活动</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为126户困难家庭申报了省红十字会人道救助金共63万元;为23名白血病患儿申请到小天使基金73万元。</w:t>
      </w:r>
    </w:p>
    <w:p>
      <w:pPr>
        <w:spacing w:line="60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2</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聚焦主责主业，充分发挥助手作用</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一是加强救援队伍演练，提高应急救援综合能力。常态化开展救援队伍应急救护技能培训，提升队员山地救援、水上救援和现场救援救助能力。二是广泛宣传急救知识，增强群众自救互救能力。5月8日，联合会员单位和志愿者队伍举行了全市“5·8”红十字博爱周活动启动仪式。向过往群众宣传《红十字会法》、“三献”知识以及徒手心肺复苏术、AED操作等急救方法；同时组织医护人员对市民进行义诊、免费发放日常药品，科普健康生活方式等。2023年全市共举办43期应急避险救护员培训班，新增红十字救护员2008名；开展应急救护知识普及宣传活动45场，普及群众3.5万人次。三是加强部门协调联动，积极参与推动无偿献血。通过微信公众号、志愿者微信群、纪念日宣传活动以及救护员培训班等，广泛宣传推动无偿献血。四是增强人道关怀意识，依法推动人体器官捐献。2023年，我市遗体和人体器官捐献志愿登记新增1724人，实现公民逝世后器官捐献12例，其中捐献肝脏12个、肾脏24个、眼角膜26个。五是有效结合宣传活动，积极开展造血干细胞捐献。充分利用“5·8”博爱周、“5·12”国家防灾减灾日</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6.14”世界献血者日以及各类急救知识普及活动，广泛进行造血干细胞捐献知识宣传，提高公众的知晓率和参与度。今年，全市新增造血干细胞入库血样262人，已超额完成省红十字会下达的年度任务。</w:t>
      </w:r>
    </w:p>
    <w:p>
      <w:pPr>
        <w:spacing w:line="60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3</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加强宣传引导，扩大红十字影响力</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一是抓好宣传阵地建设。2023年，我会再次荣获“2023年度中国红十字会总会报刊宣传先进集体三等奖”。同时，充分利用“怀化市红十字会”微信公众号平台，坚持量质并举加强宣传报道，讲好红十字故事。二是率先举办红十字知识竞赛。为深入学习宣传贯彻党的二十大会议精神，展现新时期红十字干部队伍的优秀素质和精神面貌，宣传贯彻《湖南省实施&lt;中华人民共和国红十字会法&gt;办法》，怀化市红十字会在全省率先举办“关爱生命 救在身边”红十字知识竞赛，来自全市红十字系统的16支队伍参赛。三是推进公开透明红十字会建设。9月底，上线了怀化市红十字会官方网站，主动接受社会监督,着力提升红十字会社会公信力。四是狠抓《实施办法》贯彻落实。召开协调会议，将我市“获得国家无偿献血奉献奖金奖、无偿捐献造血干细胞奖或者无偿献血志愿服务终身荣誉奖的个人”纳入公交爱心卡受众人群，获奖志愿者可以凭爱心卡免费乘坐怀化市市区内公交车。</w:t>
      </w:r>
    </w:p>
    <w:p>
      <w:pPr>
        <w:spacing w:line="600" w:lineRule="exact"/>
        <w:ind w:firstLine="640" w:firstLineChars="200"/>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4</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加强自身建设，提升人道服务水平</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一是持续推进改革任务落地落实。3月份，怀化市委下文同意设立市红十字会党组，明确了党组书记。二是着力加强内部管理与建设。一方面狠抓干部队伍建设，激发干事创业活力。另一方面加强财务管理，做好审计公开和监督检查。聘请第三方会计事务所对募捐账户2022年账务进行了审计。同时积极组织各县市区红十字会参与“5·8人道公益日”</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lang w:val="en-US" w:eastAsia="zh-CN"/>
        </w:rPr>
        <w:t>99公益日</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互联网筹资活动</w:t>
      </w:r>
      <w:r>
        <w:rPr>
          <w:rFonts w:hint="eastAsia" w:ascii="仿宋_GB2312" w:hAnsi="仿宋_GB2312" w:eastAsia="仿宋_GB2312" w:cs="仿宋_GB2312"/>
          <w:color w:val="000000"/>
          <w:sz w:val="32"/>
          <w:szCs w:val="32"/>
          <w:lang w:eastAsia="zh-CN"/>
        </w:rPr>
        <w:t>。</w:t>
      </w:r>
    </w:p>
    <w:p>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leftChars="0" w:right="0" w:rightChars="0" w:firstLine="640" w:firstLineChars="200"/>
        <w:textAlignment w:val="auto"/>
        <w:rPr>
          <w:rFonts w:hint="default" w:ascii="仿宋_GB2312" w:eastAsia="仿宋_GB2312" w:cs="仿宋_GB2312"/>
          <w:i w:val="0"/>
          <w:iCs w:val="0"/>
          <w:caps w:val="0"/>
          <w:color w:val="auto"/>
          <w:spacing w:val="0"/>
          <w:sz w:val="32"/>
          <w:szCs w:val="32"/>
          <w:shd w:val="clear" w:fill="FFFFFF"/>
        </w:rPr>
      </w:pPr>
      <w:r>
        <w:rPr>
          <w:rFonts w:hint="eastAsia" w:ascii="仿宋_GB2312" w:eastAsia="仿宋_GB2312" w:cs="仿宋_GB2312"/>
          <w:i w:val="0"/>
          <w:iCs w:val="0"/>
          <w:caps w:val="0"/>
          <w:color w:val="auto"/>
          <w:spacing w:val="0"/>
          <w:sz w:val="32"/>
          <w:szCs w:val="32"/>
          <w:shd w:val="clear" w:fill="FFFFFF"/>
          <w:lang w:val="en-US" w:eastAsia="zh-CN"/>
        </w:rPr>
        <w:t>3.</w:t>
      </w:r>
      <w:r>
        <w:rPr>
          <w:rFonts w:hint="default" w:ascii="仿宋_GB2312" w:eastAsia="仿宋_GB2312" w:cs="仿宋_GB2312"/>
          <w:i w:val="0"/>
          <w:iCs w:val="0"/>
          <w:caps w:val="0"/>
          <w:color w:val="auto"/>
          <w:spacing w:val="0"/>
          <w:sz w:val="32"/>
          <w:szCs w:val="32"/>
          <w:shd w:val="clear" w:fill="FFFFFF"/>
        </w:rPr>
        <w:t>有效性分析</w:t>
      </w:r>
    </w:p>
    <w:p>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leftChars="0" w:right="0" w:rightChars="0" w:firstLine="640" w:firstLineChars="200"/>
        <w:textAlignment w:val="auto"/>
        <w:rPr>
          <w:rFonts w:hint="default" w:ascii="仿宋_GB2312" w:eastAsia="仿宋_GB2312" w:cs="仿宋_GB2312"/>
          <w:i w:val="0"/>
          <w:iCs w:val="0"/>
          <w:caps w:val="0"/>
          <w:color w:val="auto"/>
          <w:spacing w:val="0"/>
          <w:sz w:val="32"/>
          <w:szCs w:val="32"/>
          <w:shd w:val="clear" w:fill="FFFFFF"/>
        </w:rPr>
      </w:pPr>
      <w:r>
        <w:rPr>
          <w:rFonts w:hint="eastAsia" w:ascii="仿宋_GB2312" w:eastAsia="仿宋_GB2312" w:cs="仿宋_GB2312"/>
          <w:i w:val="0"/>
          <w:iCs w:val="0"/>
          <w:caps w:val="0"/>
          <w:color w:val="auto"/>
          <w:spacing w:val="0"/>
          <w:sz w:val="32"/>
          <w:szCs w:val="32"/>
          <w:shd w:val="clear" w:fill="FFFFFF"/>
          <w:lang w:eastAsia="zh-CN"/>
        </w:rPr>
        <w:t>（</w:t>
      </w:r>
      <w:r>
        <w:rPr>
          <w:rFonts w:hint="eastAsia" w:ascii="仿宋_GB2312" w:eastAsia="仿宋_GB2312" w:cs="仿宋_GB2312"/>
          <w:i w:val="0"/>
          <w:iCs w:val="0"/>
          <w:caps w:val="0"/>
          <w:color w:val="auto"/>
          <w:spacing w:val="0"/>
          <w:sz w:val="32"/>
          <w:szCs w:val="32"/>
          <w:shd w:val="clear" w:fill="FFFFFF"/>
          <w:lang w:val="en-US" w:eastAsia="zh-CN"/>
        </w:rPr>
        <w:t>1</w:t>
      </w:r>
      <w:r>
        <w:rPr>
          <w:rFonts w:hint="eastAsia" w:ascii="仿宋_GB2312" w:eastAsia="仿宋_GB2312" w:cs="仿宋_GB2312"/>
          <w:i w:val="0"/>
          <w:iCs w:val="0"/>
          <w:caps w:val="0"/>
          <w:color w:val="auto"/>
          <w:spacing w:val="0"/>
          <w:sz w:val="32"/>
          <w:szCs w:val="32"/>
          <w:shd w:val="clear" w:fill="FFFFFF"/>
          <w:lang w:eastAsia="zh-CN"/>
        </w:rPr>
        <w:t>）</w:t>
      </w:r>
      <w:r>
        <w:rPr>
          <w:rFonts w:hint="default" w:ascii="仿宋_GB2312" w:eastAsia="仿宋_GB2312" w:cs="仿宋_GB2312"/>
          <w:i w:val="0"/>
          <w:iCs w:val="0"/>
          <w:caps w:val="0"/>
          <w:color w:val="auto"/>
          <w:spacing w:val="0"/>
          <w:sz w:val="32"/>
          <w:szCs w:val="32"/>
          <w:shd w:val="clear" w:fill="FFFFFF"/>
        </w:rPr>
        <w:t>预算完成率。年初预算</w:t>
      </w:r>
      <w:r>
        <w:rPr>
          <w:rFonts w:hint="eastAsia" w:ascii="仿宋_GB2312" w:hAnsi="仿宋" w:eastAsia="仿宋_GB2312"/>
          <w:color w:val="auto"/>
          <w:sz w:val="32"/>
          <w:szCs w:val="32"/>
          <w:lang w:val="en-US" w:eastAsia="zh-CN"/>
        </w:rPr>
        <w:t>184.33</w:t>
      </w:r>
      <w:r>
        <w:rPr>
          <w:rFonts w:hint="default" w:ascii="仿宋_GB2312" w:eastAsia="仿宋_GB2312" w:cs="仿宋_GB2312"/>
          <w:i w:val="0"/>
          <w:iCs w:val="0"/>
          <w:caps w:val="0"/>
          <w:color w:val="auto"/>
          <w:spacing w:val="0"/>
          <w:sz w:val="32"/>
          <w:szCs w:val="32"/>
          <w:shd w:val="clear" w:fill="FFFFFF"/>
        </w:rPr>
        <w:t>万元，调整预算</w:t>
      </w:r>
      <w:r>
        <w:rPr>
          <w:rFonts w:hint="eastAsia" w:ascii="仿宋_GB2312" w:eastAsia="仿宋_GB2312" w:cs="仿宋_GB2312"/>
          <w:i w:val="0"/>
          <w:iCs w:val="0"/>
          <w:caps w:val="0"/>
          <w:color w:val="auto"/>
          <w:spacing w:val="0"/>
          <w:sz w:val="32"/>
          <w:szCs w:val="32"/>
          <w:shd w:val="clear" w:fill="FFFFFF"/>
          <w:lang w:val="en-US" w:eastAsia="zh-CN"/>
        </w:rPr>
        <w:t>173.91</w:t>
      </w:r>
      <w:r>
        <w:rPr>
          <w:rFonts w:hint="default" w:ascii="仿宋_GB2312" w:eastAsia="仿宋_GB2312" w:cs="仿宋_GB2312"/>
          <w:i w:val="0"/>
          <w:iCs w:val="0"/>
          <w:caps w:val="0"/>
          <w:color w:val="auto"/>
          <w:spacing w:val="0"/>
          <w:sz w:val="32"/>
          <w:szCs w:val="32"/>
          <w:shd w:val="clear" w:fill="FFFFFF"/>
        </w:rPr>
        <w:t>万元，年末结转0万元，预算完成率100%。</w:t>
      </w:r>
    </w:p>
    <w:p>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leftChars="0" w:right="0" w:rightChars="0" w:firstLine="640" w:firstLineChars="200"/>
        <w:textAlignment w:val="auto"/>
        <w:rPr>
          <w:rFonts w:hint="default" w:ascii="仿宋_GB2312" w:eastAsia="仿宋_GB2312" w:cs="仿宋_GB2312"/>
          <w:i w:val="0"/>
          <w:iCs w:val="0"/>
          <w:caps w:val="0"/>
          <w:color w:val="auto"/>
          <w:spacing w:val="0"/>
          <w:sz w:val="32"/>
          <w:szCs w:val="32"/>
          <w:shd w:val="clear" w:fill="FFFFFF"/>
        </w:rPr>
      </w:pPr>
      <w:r>
        <w:rPr>
          <w:rFonts w:hint="eastAsia" w:ascii="仿宋_GB2312" w:eastAsia="仿宋_GB2312" w:cs="仿宋_GB2312"/>
          <w:i w:val="0"/>
          <w:iCs w:val="0"/>
          <w:caps w:val="0"/>
          <w:color w:val="auto"/>
          <w:spacing w:val="0"/>
          <w:sz w:val="32"/>
          <w:szCs w:val="32"/>
          <w:shd w:val="clear" w:fill="FFFFFF"/>
          <w:lang w:eastAsia="zh-CN"/>
        </w:rPr>
        <w:t>（</w:t>
      </w:r>
      <w:r>
        <w:rPr>
          <w:rFonts w:hint="eastAsia" w:ascii="仿宋_GB2312" w:eastAsia="仿宋_GB2312" w:cs="仿宋_GB2312"/>
          <w:i w:val="0"/>
          <w:iCs w:val="0"/>
          <w:caps w:val="0"/>
          <w:color w:val="auto"/>
          <w:spacing w:val="0"/>
          <w:sz w:val="32"/>
          <w:szCs w:val="32"/>
          <w:shd w:val="clear" w:fill="FFFFFF"/>
          <w:lang w:val="en-US" w:eastAsia="zh-CN"/>
        </w:rPr>
        <w:t>2</w:t>
      </w:r>
      <w:r>
        <w:rPr>
          <w:rFonts w:hint="eastAsia" w:ascii="仿宋_GB2312" w:eastAsia="仿宋_GB2312" w:cs="仿宋_GB2312"/>
          <w:i w:val="0"/>
          <w:iCs w:val="0"/>
          <w:caps w:val="0"/>
          <w:color w:val="auto"/>
          <w:spacing w:val="0"/>
          <w:sz w:val="32"/>
          <w:szCs w:val="32"/>
          <w:shd w:val="clear" w:fill="FFFFFF"/>
          <w:lang w:eastAsia="zh-CN"/>
        </w:rPr>
        <w:t>）</w:t>
      </w:r>
      <w:r>
        <w:rPr>
          <w:rFonts w:hint="default" w:ascii="仿宋_GB2312" w:eastAsia="仿宋_GB2312" w:cs="仿宋_GB2312"/>
          <w:i w:val="0"/>
          <w:iCs w:val="0"/>
          <w:caps w:val="0"/>
          <w:color w:val="auto"/>
          <w:spacing w:val="0"/>
          <w:sz w:val="32"/>
          <w:szCs w:val="32"/>
          <w:shd w:val="clear" w:fill="FFFFFF"/>
        </w:rPr>
        <w:t>预算控制率。因</w:t>
      </w:r>
      <w:r>
        <w:rPr>
          <w:rFonts w:hint="eastAsia" w:ascii="仿宋_GB2312" w:eastAsia="仿宋_GB2312" w:cs="仿宋_GB2312"/>
          <w:i w:val="0"/>
          <w:iCs w:val="0"/>
          <w:caps w:val="0"/>
          <w:color w:val="auto"/>
          <w:spacing w:val="0"/>
          <w:sz w:val="32"/>
          <w:szCs w:val="32"/>
          <w:shd w:val="clear" w:fill="FFFFFF"/>
          <w:lang w:val="en-US" w:eastAsia="zh-CN"/>
        </w:rPr>
        <w:t>人员异动</w:t>
      </w:r>
      <w:r>
        <w:rPr>
          <w:rFonts w:hint="default" w:ascii="仿宋_GB2312" w:eastAsia="仿宋_GB2312" w:cs="仿宋_GB2312"/>
          <w:i w:val="0"/>
          <w:iCs w:val="0"/>
          <w:caps w:val="0"/>
          <w:color w:val="auto"/>
          <w:spacing w:val="0"/>
          <w:sz w:val="32"/>
          <w:szCs w:val="32"/>
          <w:shd w:val="clear" w:fill="FFFFFF"/>
        </w:rPr>
        <w:t>等，2023年预算控制率</w:t>
      </w:r>
      <w:r>
        <w:rPr>
          <w:rFonts w:hint="eastAsia" w:ascii="仿宋_GB2312" w:eastAsia="仿宋_GB2312" w:cs="仿宋_GB2312"/>
          <w:i w:val="0"/>
          <w:iCs w:val="0"/>
          <w:caps w:val="0"/>
          <w:color w:val="auto"/>
          <w:spacing w:val="0"/>
          <w:sz w:val="32"/>
          <w:szCs w:val="32"/>
          <w:shd w:val="clear" w:fill="FFFFFF"/>
          <w:lang w:val="en-US" w:eastAsia="zh-CN"/>
        </w:rPr>
        <w:t>-6.00</w:t>
      </w:r>
      <w:r>
        <w:rPr>
          <w:rFonts w:hint="default" w:ascii="仿宋_GB2312" w:eastAsia="仿宋_GB2312" w:cs="仿宋_GB2312"/>
          <w:i w:val="0"/>
          <w:iCs w:val="0"/>
          <w:caps w:val="0"/>
          <w:color w:val="auto"/>
          <w:spacing w:val="0"/>
          <w:sz w:val="32"/>
          <w:szCs w:val="32"/>
          <w:shd w:val="clear" w:fill="FFFFFF"/>
        </w:rPr>
        <w:t>%，预算控制达到预期目标。</w:t>
      </w:r>
    </w:p>
    <w:p>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leftChars="0" w:right="0" w:rightChars="0" w:firstLine="640" w:firstLineChars="200"/>
        <w:textAlignment w:val="auto"/>
        <w:rPr>
          <w:rFonts w:hint="default" w:ascii="仿宋_GB2312" w:eastAsia="仿宋_GB2312" w:cs="仿宋_GB2312"/>
          <w:i w:val="0"/>
          <w:iCs w:val="0"/>
          <w:caps w:val="0"/>
          <w:color w:val="auto"/>
          <w:spacing w:val="0"/>
          <w:sz w:val="32"/>
          <w:szCs w:val="32"/>
          <w:shd w:val="clear" w:fill="FFFFFF"/>
        </w:rPr>
      </w:pPr>
      <w:r>
        <w:rPr>
          <w:rFonts w:hint="eastAsia" w:ascii="仿宋_GB2312" w:eastAsia="仿宋_GB2312" w:cs="仿宋_GB2312"/>
          <w:i w:val="0"/>
          <w:iCs w:val="0"/>
          <w:caps w:val="0"/>
          <w:color w:val="auto"/>
          <w:spacing w:val="0"/>
          <w:sz w:val="32"/>
          <w:szCs w:val="32"/>
          <w:shd w:val="clear" w:fill="FFFFFF"/>
          <w:lang w:eastAsia="zh-CN"/>
        </w:rPr>
        <w:t>（</w:t>
      </w:r>
      <w:r>
        <w:rPr>
          <w:rFonts w:hint="eastAsia" w:ascii="仿宋_GB2312" w:eastAsia="仿宋_GB2312" w:cs="仿宋_GB2312"/>
          <w:i w:val="0"/>
          <w:iCs w:val="0"/>
          <w:caps w:val="0"/>
          <w:color w:val="auto"/>
          <w:spacing w:val="0"/>
          <w:sz w:val="32"/>
          <w:szCs w:val="32"/>
          <w:shd w:val="clear" w:fill="FFFFFF"/>
          <w:lang w:val="en-US" w:eastAsia="zh-CN"/>
        </w:rPr>
        <w:t>3</w:t>
      </w:r>
      <w:r>
        <w:rPr>
          <w:rFonts w:hint="eastAsia" w:ascii="仿宋_GB2312" w:eastAsia="仿宋_GB2312" w:cs="仿宋_GB2312"/>
          <w:i w:val="0"/>
          <w:iCs w:val="0"/>
          <w:caps w:val="0"/>
          <w:color w:val="auto"/>
          <w:spacing w:val="0"/>
          <w:sz w:val="32"/>
          <w:szCs w:val="32"/>
          <w:shd w:val="clear" w:fill="FFFFFF"/>
          <w:lang w:eastAsia="zh-CN"/>
        </w:rPr>
        <w:t>）</w:t>
      </w:r>
      <w:r>
        <w:rPr>
          <w:rFonts w:hint="default" w:ascii="仿宋_GB2312" w:eastAsia="仿宋_GB2312" w:cs="仿宋_GB2312"/>
          <w:i w:val="0"/>
          <w:iCs w:val="0"/>
          <w:caps w:val="0"/>
          <w:color w:val="auto"/>
          <w:spacing w:val="0"/>
          <w:sz w:val="32"/>
          <w:szCs w:val="32"/>
          <w:shd w:val="clear" w:fill="FFFFFF"/>
        </w:rPr>
        <w:t>新建楼堂馆所面积和投资概算控制率。无新建楼堂管所情况。</w:t>
      </w:r>
    </w:p>
    <w:p>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leftChars="0" w:right="0" w:rightChars="0" w:firstLine="640" w:firstLineChars="200"/>
        <w:textAlignment w:val="auto"/>
        <w:rPr>
          <w:rFonts w:hint="default" w:ascii="仿宋_GB2312" w:eastAsia="仿宋_GB2312" w:cs="仿宋_GB2312"/>
          <w:i w:val="0"/>
          <w:iCs w:val="0"/>
          <w:caps w:val="0"/>
          <w:color w:val="auto"/>
          <w:spacing w:val="0"/>
          <w:sz w:val="32"/>
          <w:szCs w:val="32"/>
          <w:shd w:val="clear" w:fill="FFFFFF"/>
        </w:rPr>
      </w:pPr>
      <w:r>
        <w:rPr>
          <w:rFonts w:hint="eastAsia" w:ascii="仿宋_GB2312" w:eastAsia="仿宋_GB2312" w:cs="仿宋_GB2312"/>
          <w:i w:val="0"/>
          <w:iCs w:val="0"/>
          <w:caps w:val="0"/>
          <w:color w:val="auto"/>
          <w:spacing w:val="0"/>
          <w:sz w:val="32"/>
          <w:szCs w:val="32"/>
          <w:shd w:val="clear" w:fill="FFFFFF"/>
          <w:lang w:eastAsia="zh-CN"/>
        </w:rPr>
        <w:t>（</w:t>
      </w:r>
      <w:r>
        <w:rPr>
          <w:rFonts w:hint="eastAsia" w:ascii="仿宋_GB2312" w:eastAsia="仿宋_GB2312" w:cs="仿宋_GB2312"/>
          <w:i w:val="0"/>
          <w:iCs w:val="0"/>
          <w:caps w:val="0"/>
          <w:color w:val="auto"/>
          <w:spacing w:val="0"/>
          <w:sz w:val="32"/>
          <w:szCs w:val="32"/>
          <w:shd w:val="clear" w:fill="FFFFFF"/>
          <w:lang w:val="en-US" w:eastAsia="zh-CN"/>
        </w:rPr>
        <w:t>4</w:t>
      </w:r>
      <w:r>
        <w:rPr>
          <w:rFonts w:hint="eastAsia" w:ascii="仿宋_GB2312" w:eastAsia="仿宋_GB2312" w:cs="仿宋_GB2312"/>
          <w:i w:val="0"/>
          <w:iCs w:val="0"/>
          <w:caps w:val="0"/>
          <w:color w:val="auto"/>
          <w:spacing w:val="0"/>
          <w:sz w:val="32"/>
          <w:szCs w:val="32"/>
          <w:shd w:val="clear" w:fill="FFFFFF"/>
          <w:lang w:eastAsia="zh-CN"/>
        </w:rPr>
        <w:t>）</w:t>
      </w:r>
      <w:r>
        <w:rPr>
          <w:rFonts w:hint="default" w:ascii="仿宋_GB2312" w:eastAsia="仿宋_GB2312" w:cs="仿宋_GB2312"/>
          <w:i w:val="0"/>
          <w:iCs w:val="0"/>
          <w:caps w:val="0"/>
          <w:color w:val="auto"/>
          <w:spacing w:val="0"/>
          <w:sz w:val="32"/>
          <w:szCs w:val="32"/>
          <w:shd w:val="clear" w:fill="FFFFFF"/>
        </w:rPr>
        <w:t>公用经费控制率。2023年我</w:t>
      </w:r>
      <w:r>
        <w:rPr>
          <w:rFonts w:hint="eastAsia" w:ascii="仿宋_GB2312" w:eastAsia="仿宋_GB2312" w:cs="仿宋_GB2312"/>
          <w:i w:val="0"/>
          <w:iCs w:val="0"/>
          <w:caps w:val="0"/>
          <w:color w:val="auto"/>
          <w:spacing w:val="0"/>
          <w:sz w:val="32"/>
          <w:szCs w:val="32"/>
          <w:shd w:val="clear" w:fill="FFFFFF"/>
          <w:lang w:val="en-US" w:eastAsia="zh-CN"/>
        </w:rPr>
        <w:t>单位</w:t>
      </w:r>
      <w:r>
        <w:rPr>
          <w:rFonts w:hint="default" w:ascii="仿宋_GB2312" w:eastAsia="仿宋_GB2312" w:cs="仿宋_GB2312"/>
          <w:i w:val="0"/>
          <w:iCs w:val="0"/>
          <w:caps w:val="0"/>
          <w:color w:val="auto"/>
          <w:spacing w:val="0"/>
          <w:sz w:val="32"/>
          <w:szCs w:val="32"/>
          <w:shd w:val="clear" w:fill="FFFFFF"/>
        </w:rPr>
        <w:t>预算管理（按部门预算经济分类）各项指标控制一般，实际支出公用经费总额</w:t>
      </w:r>
      <w:r>
        <w:rPr>
          <w:rFonts w:hint="eastAsia" w:ascii="仿宋_GB2312" w:eastAsia="仿宋_GB2312" w:cs="仿宋_GB2312"/>
          <w:i w:val="0"/>
          <w:iCs w:val="0"/>
          <w:caps w:val="0"/>
          <w:color w:val="auto"/>
          <w:spacing w:val="0"/>
          <w:sz w:val="32"/>
          <w:szCs w:val="32"/>
          <w:shd w:val="clear" w:fill="FFFFFF"/>
          <w:lang w:val="en-US" w:eastAsia="zh-CN"/>
        </w:rPr>
        <w:t>22.74</w:t>
      </w:r>
      <w:r>
        <w:rPr>
          <w:rFonts w:hint="default" w:ascii="仿宋_GB2312" w:eastAsia="仿宋_GB2312" w:cs="仿宋_GB2312"/>
          <w:i w:val="0"/>
          <w:iCs w:val="0"/>
          <w:caps w:val="0"/>
          <w:color w:val="auto"/>
          <w:spacing w:val="0"/>
          <w:sz w:val="32"/>
          <w:szCs w:val="32"/>
          <w:shd w:val="clear" w:fill="FFFFFF"/>
        </w:rPr>
        <w:t>万元，预算安排公用经费总额</w:t>
      </w:r>
      <w:r>
        <w:rPr>
          <w:rFonts w:hint="eastAsia" w:ascii="仿宋_GB2312" w:eastAsia="仿宋_GB2312" w:cs="仿宋_GB2312"/>
          <w:i w:val="0"/>
          <w:iCs w:val="0"/>
          <w:caps w:val="0"/>
          <w:color w:val="auto"/>
          <w:spacing w:val="0"/>
          <w:sz w:val="32"/>
          <w:szCs w:val="32"/>
          <w:shd w:val="clear" w:fill="FFFFFF"/>
          <w:lang w:val="en-US" w:eastAsia="zh-CN"/>
        </w:rPr>
        <w:t>22</w:t>
      </w:r>
      <w:r>
        <w:rPr>
          <w:rFonts w:hint="default" w:ascii="仿宋_GB2312" w:eastAsia="仿宋_GB2312" w:cs="仿宋_GB2312"/>
          <w:i w:val="0"/>
          <w:iCs w:val="0"/>
          <w:caps w:val="0"/>
          <w:color w:val="auto"/>
          <w:spacing w:val="0"/>
          <w:sz w:val="32"/>
          <w:szCs w:val="32"/>
          <w:shd w:val="clear" w:fill="FFFFFF"/>
        </w:rPr>
        <w:t>万元，公用经费控制率</w:t>
      </w:r>
      <w:r>
        <w:rPr>
          <w:rFonts w:hint="eastAsia" w:ascii="仿宋_GB2312" w:eastAsia="仿宋_GB2312" w:cs="仿宋_GB2312"/>
          <w:i w:val="0"/>
          <w:iCs w:val="0"/>
          <w:caps w:val="0"/>
          <w:color w:val="auto"/>
          <w:spacing w:val="0"/>
          <w:sz w:val="32"/>
          <w:szCs w:val="32"/>
          <w:shd w:val="clear" w:fill="FFFFFF"/>
          <w:lang w:val="en-US" w:eastAsia="zh-CN"/>
        </w:rPr>
        <w:t>103.36</w:t>
      </w:r>
      <w:r>
        <w:rPr>
          <w:rFonts w:hint="default" w:ascii="仿宋_GB2312" w:eastAsia="仿宋_GB2312" w:cs="仿宋_GB2312"/>
          <w:i w:val="0"/>
          <w:iCs w:val="0"/>
          <w:caps w:val="0"/>
          <w:color w:val="auto"/>
          <w:spacing w:val="0"/>
          <w:sz w:val="32"/>
          <w:szCs w:val="32"/>
          <w:shd w:val="clear" w:fill="FFFFFF"/>
        </w:rPr>
        <w:t>%。</w:t>
      </w:r>
    </w:p>
    <w:p>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leftChars="0" w:right="0" w:rightChars="0" w:firstLine="640" w:firstLineChars="200"/>
        <w:textAlignment w:val="auto"/>
        <w:rPr>
          <w:rFonts w:hint="default" w:ascii="仿宋_GB2312" w:eastAsia="仿宋_GB2312" w:cs="仿宋_GB2312"/>
          <w:i w:val="0"/>
          <w:iCs w:val="0"/>
          <w:caps w:val="0"/>
          <w:color w:val="auto"/>
          <w:spacing w:val="0"/>
          <w:sz w:val="32"/>
          <w:szCs w:val="32"/>
          <w:shd w:val="clear" w:fill="FFFFFF"/>
        </w:rPr>
      </w:pPr>
      <w:r>
        <w:rPr>
          <w:rFonts w:hint="eastAsia" w:ascii="仿宋_GB2312" w:eastAsia="仿宋_GB2312" w:cs="仿宋_GB2312"/>
          <w:i w:val="0"/>
          <w:iCs w:val="0"/>
          <w:caps w:val="0"/>
          <w:color w:val="auto"/>
          <w:spacing w:val="0"/>
          <w:sz w:val="32"/>
          <w:szCs w:val="32"/>
          <w:shd w:val="clear" w:fill="FFFFFF"/>
          <w:lang w:eastAsia="zh-CN"/>
        </w:rPr>
        <w:t>（</w:t>
      </w:r>
      <w:r>
        <w:rPr>
          <w:rFonts w:hint="eastAsia" w:ascii="仿宋_GB2312" w:eastAsia="仿宋_GB2312" w:cs="仿宋_GB2312"/>
          <w:i w:val="0"/>
          <w:iCs w:val="0"/>
          <w:caps w:val="0"/>
          <w:color w:val="auto"/>
          <w:spacing w:val="0"/>
          <w:sz w:val="32"/>
          <w:szCs w:val="32"/>
          <w:shd w:val="clear" w:fill="FFFFFF"/>
          <w:lang w:val="en-US" w:eastAsia="zh-CN"/>
        </w:rPr>
        <w:t>5</w:t>
      </w:r>
      <w:r>
        <w:rPr>
          <w:rFonts w:hint="eastAsia" w:ascii="仿宋_GB2312" w:eastAsia="仿宋_GB2312" w:cs="仿宋_GB2312"/>
          <w:i w:val="0"/>
          <w:iCs w:val="0"/>
          <w:caps w:val="0"/>
          <w:color w:val="auto"/>
          <w:spacing w:val="0"/>
          <w:sz w:val="32"/>
          <w:szCs w:val="32"/>
          <w:shd w:val="clear" w:fill="FFFFFF"/>
          <w:lang w:eastAsia="zh-CN"/>
        </w:rPr>
        <w:t>）</w:t>
      </w:r>
      <w:r>
        <w:rPr>
          <w:rFonts w:hint="default" w:ascii="仿宋_GB2312" w:eastAsia="仿宋_GB2312" w:cs="仿宋_GB2312"/>
          <w:i w:val="0"/>
          <w:iCs w:val="0"/>
          <w:caps w:val="0"/>
          <w:color w:val="auto"/>
          <w:spacing w:val="0"/>
          <w:sz w:val="32"/>
          <w:szCs w:val="32"/>
          <w:shd w:val="clear" w:fill="FFFFFF"/>
        </w:rPr>
        <w:t>“三公经费”控制率。2023年度我</w:t>
      </w:r>
      <w:r>
        <w:rPr>
          <w:rFonts w:hint="eastAsia" w:ascii="仿宋_GB2312" w:eastAsia="仿宋_GB2312" w:cs="仿宋_GB2312"/>
          <w:i w:val="0"/>
          <w:iCs w:val="0"/>
          <w:caps w:val="0"/>
          <w:color w:val="auto"/>
          <w:spacing w:val="0"/>
          <w:sz w:val="32"/>
          <w:szCs w:val="32"/>
          <w:shd w:val="clear" w:fill="FFFFFF"/>
          <w:lang w:val="en-US" w:eastAsia="zh-CN"/>
        </w:rPr>
        <w:t>单位</w:t>
      </w:r>
      <w:r>
        <w:rPr>
          <w:rFonts w:hint="default" w:ascii="仿宋_GB2312" w:eastAsia="仿宋_GB2312" w:cs="仿宋_GB2312"/>
          <w:i w:val="0"/>
          <w:iCs w:val="0"/>
          <w:caps w:val="0"/>
          <w:color w:val="auto"/>
          <w:spacing w:val="0"/>
          <w:sz w:val="32"/>
          <w:szCs w:val="32"/>
          <w:shd w:val="clear" w:fill="FFFFFF"/>
        </w:rPr>
        <w:t>严控“三公”经费支出，“三公经费”实际支出数为0.</w:t>
      </w:r>
      <w:r>
        <w:rPr>
          <w:rFonts w:hint="eastAsia" w:ascii="仿宋_GB2312" w:eastAsia="仿宋_GB2312" w:cs="仿宋_GB2312"/>
          <w:i w:val="0"/>
          <w:iCs w:val="0"/>
          <w:caps w:val="0"/>
          <w:color w:val="auto"/>
          <w:spacing w:val="0"/>
          <w:sz w:val="32"/>
          <w:szCs w:val="32"/>
          <w:shd w:val="clear" w:fill="FFFFFF"/>
          <w:lang w:val="en-US" w:eastAsia="zh-CN"/>
        </w:rPr>
        <w:t>50</w:t>
      </w:r>
      <w:r>
        <w:rPr>
          <w:rFonts w:hint="default" w:ascii="仿宋_GB2312" w:eastAsia="仿宋_GB2312" w:cs="仿宋_GB2312"/>
          <w:i w:val="0"/>
          <w:iCs w:val="0"/>
          <w:caps w:val="0"/>
          <w:color w:val="auto"/>
          <w:spacing w:val="0"/>
          <w:sz w:val="32"/>
          <w:szCs w:val="32"/>
          <w:shd w:val="clear" w:fill="FFFFFF"/>
        </w:rPr>
        <w:t>万元，预算安排</w:t>
      </w:r>
      <w:r>
        <w:rPr>
          <w:rFonts w:hint="eastAsia" w:ascii="仿宋_GB2312" w:eastAsia="仿宋_GB2312" w:cs="仿宋_GB2312"/>
          <w:i w:val="0"/>
          <w:iCs w:val="0"/>
          <w:caps w:val="0"/>
          <w:color w:val="auto"/>
          <w:spacing w:val="0"/>
          <w:sz w:val="32"/>
          <w:szCs w:val="32"/>
          <w:shd w:val="clear" w:fill="FFFFFF"/>
          <w:lang w:val="en-US" w:eastAsia="zh-CN"/>
        </w:rPr>
        <w:t>0.8</w:t>
      </w:r>
      <w:r>
        <w:rPr>
          <w:rFonts w:hint="default" w:ascii="仿宋_GB2312" w:eastAsia="仿宋_GB2312" w:cs="仿宋_GB2312"/>
          <w:i w:val="0"/>
          <w:iCs w:val="0"/>
          <w:caps w:val="0"/>
          <w:color w:val="auto"/>
          <w:spacing w:val="0"/>
          <w:sz w:val="32"/>
          <w:szCs w:val="32"/>
          <w:shd w:val="clear" w:fill="FFFFFF"/>
        </w:rPr>
        <w:t>万元，“三公经费”控制率为</w:t>
      </w:r>
      <w:r>
        <w:rPr>
          <w:rFonts w:hint="eastAsia" w:ascii="仿宋_GB2312" w:eastAsia="仿宋_GB2312" w:cs="仿宋_GB2312"/>
          <w:i w:val="0"/>
          <w:iCs w:val="0"/>
          <w:caps w:val="0"/>
          <w:color w:val="auto"/>
          <w:spacing w:val="0"/>
          <w:sz w:val="32"/>
          <w:szCs w:val="32"/>
          <w:shd w:val="clear" w:fill="FFFFFF"/>
          <w:lang w:val="en-US" w:eastAsia="zh-CN"/>
        </w:rPr>
        <w:t>62.5</w:t>
      </w:r>
      <w:r>
        <w:rPr>
          <w:rFonts w:hint="default" w:ascii="仿宋_GB2312" w:eastAsia="仿宋_GB2312" w:cs="仿宋_GB2312"/>
          <w:i w:val="0"/>
          <w:iCs w:val="0"/>
          <w:caps w:val="0"/>
          <w:color w:val="auto"/>
          <w:spacing w:val="0"/>
          <w:sz w:val="32"/>
          <w:szCs w:val="32"/>
          <w:shd w:val="clear" w:fill="FFFFFF"/>
        </w:rPr>
        <w:t>%。</w:t>
      </w:r>
    </w:p>
    <w:p>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leftChars="0" w:right="0" w:rightChars="0" w:firstLine="640" w:firstLineChars="200"/>
        <w:textAlignment w:val="auto"/>
        <w:rPr>
          <w:rFonts w:hint="default" w:ascii="仿宋_GB2312" w:eastAsia="仿宋_GB2312" w:cs="仿宋_GB2312"/>
          <w:i w:val="0"/>
          <w:iCs w:val="0"/>
          <w:caps w:val="0"/>
          <w:color w:val="auto"/>
          <w:spacing w:val="0"/>
          <w:sz w:val="32"/>
          <w:szCs w:val="32"/>
          <w:shd w:val="clear" w:fill="FFFFFF"/>
        </w:rPr>
      </w:pPr>
      <w:r>
        <w:rPr>
          <w:rFonts w:hint="eastAsia" w:ascii="仿宋_GB2312" w:eastAsia="仿宋_GB2312" w:cs="仿宋_GB2312"/>
          <w:i w:val="0"/>
          <w:iCs w:val="0"/>
          <w:caps w:val="0"/>
          <w:color w:val="auto"/>
          <w:spacing w:val="0"/>
          <w:sz w:val="32"/>
          <w:szCs w:val="32"/>
          <w:shd w:val="clear" w:fill="FFFFFF"/>
          <w:lang w:eastAsia="zh-CN"/>
        </w:rPr>
        <w:t>（</w:t>
      </w:r>
      <w:r>
        <w:rPr>
          <w:rFonts w:hint="eastAsia" w:ascii="仿宋_GB2312" w:eastAsia="仿宋_GB2312" w:cs="仿宋_GB2312"/>
          <w:i w:val="0"/>
          <w:iCs w:val="0"/>
          <w:caps w:val="0"/>
          <w:color w:val="auto"/>
          <w:spacing w:val="0"/>
          <w:sz w:val="32"/>
          <w:szCs w:val="32"/>
          <w:shd w:val="clear" w:fill="FFFFFF"/>
          <w:lang w:val="en-US" w:eastAsia="zh-CN"/>
        </w:rPr>
        <w:t>6</w:t>
      </w:r>
      <w:r>
        <w:rPr>
          <w:rFonts w:hint="eastAsia" w:ascii="仿宋_GB2312" w:eastAsia="仿宋_GB2312" w:cs="仿宋_GB2312"/>
          <w:i w:val="0"/>
          <w:iCs w:val="0"/>
          <w:caps w:val="0"/>
          <w:color w:val="auto"/>
          <w:spacing w:val="0"/>
          <w:sz w:val="32"/>
          <w:szCs w:val="32"/>
          <w:shd w:val="clear" w:fill="FFFFFF"/>
          <w:lang w:eastAsia="zh-CN"/>
        </w:rPr>
        <w:t>）</w:t>
      </w:r>
      <w:r>
        <w:rPr>
          <w:rFonts w:hint="default" w:ascii="仿宋_GB2312" w:eastAsia="仿宋_GB2312" w:cs="仿宋_GB2312"/>
          <w:i w:val="0"/>
          <w:iCs w:val="0"/>
          <w:caps w:val="0"/>
          <w:color w:val="auto"/>
          <w:spacing w:val="0"/>
          <w:sz w:val="32"/>
          <w:szCs w:val="32"/>
          <w:shd w:val="clear" w:fill="FFFFFF"/>
        </w:rPr>
        <w:t>政府采购执行率。政府采购预算0万元，实际政府采购金额0万元，预算执行率100%。</w:t>
      </w:r>
    </w:p>
    <w:p>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leftChars="0" w:right="0" w:rightChars="0" w:firstLine="640" w:firstLineChars="200"/>
        <w:textAlignment w:val="auto"/>
        <w:rPr>
          <w:rFonts w:hint="default" w:ascii="仿宋_GB2312" w:eastAsia="仿宋_GB2312" w:cs="仿宋_GB2312"/>
          <w:i w:val="0"/>
          <w:iCs w:val="0"/>
          <w:caps w:val="0"/>
          <w:color w:val="auto"/>
          <w:spacing w:val="0"/>
          <w:sz w:val="32"/>
          <w:szCs w:val="32"/>
          <w:shd w:val="clear" w:fill="FFFFFF"/>
        </w:rPr>
      </w:pPr>
      <w:r>
        <w:rPr>
          <w:rFonts w:hint="eastAsia" w:ascii="仿宋_GB2312" w:eastAsia="仿宋_GB2312" w:cs="仿宋_GB2312"/>
          <w:i w:val="0"/>
          <w:iCs w:val="0"/>
          <w:caps w:val="0"/>
          <w:color w:val="auto"/>
          <w:spacing w:val="0"/>
          <w:sz w:val="32"/>
          <w:szCs w:val="32"/>
          <w:shd w:val="clear" w:fill="FFFFFF"/>
          <w:lang w:eastAsia="zh-CN"/>
        </w:rPr>
        <w:t>（</w:t>
      </w:r>
      <w:r>
        <w:rPr>
          <w:rFonts w:hint="eastAsia" w:ascii="仿宋_GB2312" w:eastAsia="仿宋_GB2312" w:cs="仿宋_GB2312"/>
          <w:i w:val="0"/>
          <w:iCs w:val="0"/>
          <w:caps w:val="0"/>
          <w:color w:val="auto"/>
          <w:spacing w:val="0"/>
          <w:sz w:val="32"/>
          <w:szCs w:val="32"/>
          <w:shd w:val="clear" w:fill="FFFFFF"/>
          <w:lang w:val="en-US" w:eastAsia="zh-CN"/>
        </w:rPr>
        <w:t>7</w:t>
      </w:r>
      <w:r>
        <w:rPr>
          <w:rFonts w:hint="eastAsia" w:ascii="仿宋_GB2312" w:eastAsia="仿宋_GB2312" w:cs="仿宋_GB2312"/>
          <w:i w:val="0"/>
          <w:iCs w:val="0"/>
          <w:caps w:val="0"/>
          <w:color w:val="auto"/>
          <w:spacing w:val="0"/>
          <w:sz w:val="32"/>
          <w:szCs w:val="32"/>
          <w:shd w:val="clear" w:fill="FFFFFF"/>
          <w:lang w:eastAsia="zh-CN"/>
        </w:rPr>
        <w:t>）</w:t>
      </w:r>
      <w:r>
        <w:rPr>
          <w:rFonts w:hint="default" w:ascii="仿宋_GB2312" w:eastAsia="仿宋_GB2312" w:cs="仿宋_GB2312"/>
          <w:i w:val="0"/>
          <w:iCs w:val="0"/>
          <w:caps w:val="0"/>
          <w:color w:val="auto"/>
          <w:spacing w:val="0"/>
          <w:sz w:val="32"/>
          <w:szCs w:val="32"/>
          <w:shd w:val="clear" w:fill="FFFFFF"/>
        </w:rPr>
        <w:t>管理制度健全性。严格落实《财务管理制度》等有关管理制度，规范财务审批程序，推行公务卡结算，严格差旅费和公务接待费支出标准、范围和程序的审核。</w:t>
      </w:r>
    </w:p>
    <w:p>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leftChars="0" w:right="0" w:rightChars="0" w:firstLine="640" w:firstLineChars="200"/>
        <w:textAlignment w:val="auto"/>
        <w:rPr>
          <w:rFonts w:hint="default" w:ascii="仿宋_GB2312" w:eastAsia="仿宋_GB2312" w:cs="仿宋_GB2312"/>
          <w:i w:val="0"/>
          <w:iCs w:val="0"/>
          <w:caps w:val="0"/>
          <w:color w:val="auto"/>
          <w:spacing w:val="0"/>
          <w:sz w:val="32"/>
          <w:szCs w:val="32"/>
          <w:shd w:val="clear" w:fill="FFFFFF"/>
        </w:rPr>
      </w:pPr>
      <w:r>
        <w:rPr>
          <w:rFonts w:hint="eastAsia" w:ascii="仿宋_GB2312" w:eastAsia="仿宋_GB2312" w:cs="仿宋_GB2312"/>
          <w:i w:val="0"/>
          <w:iCs w:val="0"/>
          <w:caps w:val="0"/>
          <w:color w:val="auto"/>
          <w:spacing w:val="0"/>
          <w:sz w:val="32"/>
          <w:szCs w:val="32"/>
          <w:shd w:val="clear" w:fill="FFFFFF"/>
          <w:lang w:eastAsia="zh-CN"/>
        </w:rPr>
        <w:t>（</w:t>
      </w:r>
      <w:r>
        <w:rPr>
          <w:rFonts w:hint="eastAsia" w:ascii="仿宋_GB2312" w:eastAsia="仿宋_GB2312" w:cs="仿宋_GB2312"/>
          <w:i w:val="0"/>
          <w:iCs w:val="0"/>
          <w:caps w:val="0"/>
          <w:color w:val="auto"/>
          <w:spacing w:val="0"/>
          <w:sz w:val="32"/>
          <w:szCs w:val="32"/>
          <w:shd w:val="clear" w:fill="FFFFFF"/>
          <w:lang w:val="en-US" w:eastAsia="zh-CN"/>
        </w:rPr>
        <w:t>8</w:t>
      </w:r>
      <w:r>
        <w:rPr>
          <w:rFonts w:hint="eastAsia" w:ascii="仿宋_GB2312" w:eastAsia="仿宋_GB2312" w:cs="仿宋_GB2312"/>
          <w:i w:val="0"/>
          <w:iCs w:val="0"/>
          <w:caps w:val="0"/>
          <w:color w:val="auto"/>
          <w:spacing w:val="0"/>
          <w:sz w:val="32"/>
          <w:szCs w:val="32"/>
          <w:shd w:val="clear" w:fill="FFFFFF"/>
          <w:lang w:eastAsia="zh-CN"/>
        </w:rPr>
        <w:t>）</w:t>
      </w:r>
      <w:r>
        <w:rPr>
          <w:rFonts w:hint="default" w:ascii="仿宋_GB2312" w:eastAsia="仿宋_GB2312" w:cs="仿宋_GB2312"/>
          <w:i w:val="0"/>
          <w:iCs w:val="0"/>
          <w:caps w:val="0"/>
          <w:color w:val="auto"/>
          <w:spacing w:val="0"/>
          <w:sz w:val="32"/>
          <w:szCs w:val="32"/>
          <w:shd w:val="clear" w:fill="FFFFFF"/>
        </w:rPr>
        <w:t> 资金使用合规性。严格落实中央八项规定和有关公务支出标准。加强经费合法合规性审核和预算控制，严格按制度政策办事，资金使用合法合规，支出手续齐全，程序到位。</w:t>
      </w:r>
    </w:p>
    <w:p>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leftChars="0" w:right="0" w:rightChars="0" w:firstLine="640" w:firstLineChars="200"/>
        <w:textAlignment w:val="auto"/>
        <w:rPr>
          <w:rFonts w:hint="default" w:ascii="仿宋_GB2312" w:eastAsia="仿宋_GB2312" w:cs="仿宋_GB2312"/>
          <w:i w:val="0"/>
          <w:iCs w:val="0"/>
          <w:caps w:val="0"/>
          <w:color w:val="auto"/>
          <w:spacing w:val="0"/>
          <w:sz w:val="32"/>
          <w:szCs w:val="32"/>
          <w:shd w:val="clear" w:fill="FFFFFF"/>
        </w:rPr>
      </w:pPr>
      <w:r>
        <w:rPr>
          <w:rFonts w:hint="eastAsia" w:ascii="仿宋_GB2312" w:eastAsia="仿宋_GB2312" w:cs="仿宋_GB2312"/>
          <w:i w:val="0"/>
          <w:iCs w:val="0"/>
          <w:caps w:val="0"/>
          <w:color w:val="auto"/>
          <w:spacing w:val="0"/>
          <w:sz w:val="32"/>
          <w:szCs w:val="32"/>
          <w:shd w:val="clear" w:fill="FFFFFF"/>
          <w:lang w:eastAsia="zh-CN"/>
        </w:rPr>
        <w:t>（</w:t>
      </w:r>
      <w:r>
        <w:rPr>
          <w:rFonts w:hint="eastAsia" w:ascii="仿宋_GB2312" w:eastAsia="仿宋_GB2312" w:cs="仿宋_GB2312"/>
          <w:i w:val="0"/>
          <w:iCs w:val="0"/>
          <w:caps w:val="0"/>
          <w:color w:val="auto"/>
          <w:spacing w:val="0"/>
          <w:sz w:val="32"/>
          <w:szCs w:val="32"/>
          <w:shd w:val="clear" w:fill="FFFFFF"/>
          <w:lang w:val="en-US" w:eastAsia="zh-CN"/>
        </w:rPr>
        <w:t>9</w:t>
      </w:r>
      <w:r>
        <w:rPr>
          <w:rFonts w:hint="eastAsia" w:ascii="仿宋_GB2312" w:eastAsia="仿宋_GB2312" w:cs="仿宋_GB2312"/>
          <w:i w:val="0"/>
          <w:iCs w:val="0"/>
          <w:caps w:val="0"/>
          <w:color w:val="auto"/>
          <w:spacing w:val="0"/>
          <w:sz w:val="32"/>
          <w:szCs w:val="32"/>
          <w:shd w:val="clear" w:fill="FFFFFF"/>
          <w:lang w:eastAsia="zh-CN"/>
        </w:rPr>
        <w:t>）</w:t>
      </w:r>
      <w:r>
        <w:rPr>
          <w:rFonts w:hint="default" w:ascii="仿宋_GB2312" w:eastAsia="仿宋_GB2312" w:cs="仿宋_GB2312"/>
          <w:i w:val="0"/>
          <w:iCs w:val="0"/>
          <w:caps w:val="0"/>
          <w:color w:val="auto"/>
          <w:spacing w:val="0"/>
          <w:sz w:val="32"/>
          <w:szCs w:val="32"/>
          <w:shd w:val="clear" w:fill="FFFFFF"/>
        </w:rPr>
        <w:t>预决算信息公开性。真实准确编制部门预算和决算，按时上报基础数据资料。对上年度</w:t>
      </w:r>
      <w:r>
        <w:rPr>
          <w:rFonts w:hint="eastAsia" w:ascii="仿宋_GB2312" w:eastAsia="仿宋_GB2312" w:cs="仿宋_GB2312"/>
          <w:i w:val="0"/>
          <w:iCs w:val="0"/>
          <w:caps w:val="0"/>
          <w:color w:val="auto"/>
          <w:spacing w:val="0"/>
          <w:sz w:val="32"/>
          <w:szCs w:val="32"/>
          <w:shd w:val="clear" w:fill="FFFFFF"/>
          <w:lang w:val="en-US" w:eastAsia="zh-CN"/>
        </w:rPr>
        <w:t>预算</w:t>
      </w:r>
      <w:r>
        <w:rPr>
          <w:rFonts w:hint="default" w:ascii="仿宋_GB2312" w:eastAsia="仿宋_GB2312" w:cs="仿宋_GB2312"/>
          <w:i w:val="0"/>
          <w:iCs w:val="0"/>
          <w:caps w:val="0"/>
          <w:color w:val="auto"/>
          <w:spacing w:val="0"/>
          <w:sz w:val="32"/>
          <w:szCs w:val="32"/>
          <w:shd w:val="clear" w:fill="FFFFFF"/>
        </w:rPr>
        <w:t>支出进行了绩效评价，对标找差距。按规定时限和规定内容公开部门预算、部门决算以及绩效自评报告。各项应向社会公开的信息及时、完整、真实，更加细化，部门预决算信息透明度进一步提高。</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0"/>
        <w:textAlignment w:val="auto"/>
        <w:rPr>
          <w:rFonts w:hint="eastAsia" w:ascii="黑体" w:hAnsi="黑体" w:eastAsia="黑体" w:cs="黑体"/>
          <w:i w:val="0"/>
          <w:iCs w:val="0"/>
          <w:caps w:val="0"/>
          <w:color w:val="000000"/>
          <w:spacing w:val="0"/>
          <w:sz w:val="32"/>
          <w:szCs w:val="32"/>
        </w:rPr>
      </w:pPr>
      <w:r>
        <w:rPr>
          <w:rFonts w:hint="eastAsia" w:ascii="黑体" w:hAnsi="黑体" w:eastAsia="黑体" w:cs="黑体"/>
          <w:i w:val="0"/>
          <w:iCs w:val="0"/>
          <w:caps w:val="0"/>
          <w:color w:val="000000"/>
          <w:spacing w:val="0"/>
          <w:sz w:val="32"/>
          <w:szCs w:val="32"/>
          <w:shd w:val="clear" w:fill="FFFFFF"/>
        </w:rPr>
        <w:t>七、存在的问题及原因分析</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eastAsia="仿宋_GB2312" w:cs="仿宋_GB2312" w:hAnsiTheme="minorHAnsi"/>
          <w:i w:val="0"/>
          <w:iCs w:val="0"/>
          <w:caps w:val="0"/>
          <w:color w:val="auto"/>
          <w:spacing w:val="0"/>
          <w:kern w:val="0"/>
          <w:sz w:val="32"/>
          <w:szCs w:val="32"/>
          <w:shd w:val="clear" w:fill="FFFFFF"/>
          <w:lang w:val="en-US" w:eastAsia="zh-CN" w:bidi="ar"/>
        </w:rPr>
      </w:pPr>
      <w:r>
        <w:rPr>
          <w:rFonts w:hint="eastAsia" w:ascii="仿宋_GB2312" w:eastAsia="仿宋_GB2312" w:cs="仿宋_GB2312" w:hAnsiTheme="minorHAnsi"/>
          <w:i w:val="0"/>
          <w:iCs w:val="0"/>
          <w:caps w:val="0"/>
          <w:color w:val="auto"/>
          <w:spacing w:val="0"/>
          <w:kern w:val="0"/>
          <w:sz w:val="32"/>
          <w:szCs w:val="32"/>
          <w:shd w:val="clear" w:fill="FFFFFF"/>
          <w:lang w:val="en-US" w:eastAsia="zh-CN" w:bidi="ar"/>
        </w:rPr>
        <w:t>2023年我</w:t>
      </w:r>
      <w:r>
        <w:rPr>
          <w:rFonts w:hint="eastAsia" w:ascii="仿宋_GB2312" w:eastAsia="仿宋_GB2312" w:cs="仿宋_GB2312"/>
          <w:i w:val="0"/>
          <w:iCs w:val="0"/>
          <w:caps w:val="0"/>
          <w:color w:val="auto"/>
          <w:spacing w:val="0"/>
          <w:kern w:val="0"/>
          <w:sz w:val="32"/>
          <w:szCs w:val="32"/>
          <w:shd w:val="clear" w:fill="FFFFFF"/>
          <w:lang w:val="en-US" w:eastAsia="zh-CN" w:bidi="ar"/>
        </w:rPr>
        <w:t>单位</w:t>
      </w:r>
      <w:r>
        <w:rPr>
          <w:rFonts w:hint="eastAsia" w:ascii="仿宋_GB2312" w:eastAsia="仿宋_GB2312" w:cs="仿宋_GB2312" w:hAnsiTheme="minorHAnsi"/>
          <w:i w:val="0"/>
          <w:iCs w:val="0"/>
          <w:caps w:val="0"/>
          <w:color w:val="auto"/>
          <w:spacing w:val="0"/>
          <w:kern w:val="0"/>
          <w:sz w:val="32"/>
          <w:szCs w:val="32"/>
          <w:shd w:val="clear" w:fill="FFFFFF"/>
          <w:lang w:val="en-US" w:eastAsia="zh-CN" w:bidi="ar"/>
        </w:rPr>
        <w:t>的部门整体绩效评价工作还存在一些问题和不足需要进一步完善</w:t>
      </w:r>
      <w:r>
        <w:rPr>
          <w:rFonts w:hint="eastAsia" w:ascii="仿宋_GB2312" w:eastAsia="仿宋_GB2312" w:cs="仿宋_GB2312"/>
          <w:i w:val="0"/>
          <w:iCs w:val="0"/>
          <w:caps w:val="0"/>
          <w:color w:val="auto"/>
          <w:spacing w:val="0"/>
          <w:kern w:val="0"/>
          <w:sz w:val="32"/>
          <w:szCs w:val="32"/>
          <w:shd w:val="clear" w:fill="FFFFFF"/>
          <w:lang w:val="en-US" w:eastAsia="zh-CN" w:bidi="ar"/>
        </w:rPr>
        <w:t>，</w:t>
      </w:r>
      <w:r>
        <w:rPr>
          <w:rFonts w:hint="eastAsia" w:ascii="仿宋_GB2312" w:eastAsia="仿宋_GB2312" w:cs="仿宋_GB2312" w:hAnsiTheme="minorHAnsi"/>
          <w:i w:val="0"/>
          <w:iCs w:val="0"/>
          <w:caps w:val="0"/>
          <w:color w:val="auto"/>
          <w:spacing w:val="0"/>
          <w:kern w:val="0"/>
          <w:sz w:val="32"/>
          <w:szCs w:val="32"/>
          <w:shd w:val="clear" w:fill="FFFFFF"/>
          <w:lang w:val="en-US" w:eastAsia="zh-CN" w:bidi="ar"/>
        </w:rPr>
        <w:t>在资金安排和使用上仍有不可预见性，在科学设置预算绩效指标上还需进一步加强。</w:t>
      </w:r>
    </w:p>
    <w:p>
      <w:pPr>
        <w:pStyle w:val="9"/>
        <w:keepNext w:val="0"/>
        <w:keepLines w:val="0"/>
        <w:pageBreakBefore w:val="0"/>
        <w:widowControl/>
        <w:numPr>
          <w:ilvl w:val="0"/>
          <w:numId w:val="7"/>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0"/>
        <w:textAlignment w:val="auto"/>
        <w:rPr>
          <w:rFonts w:hint="eastAsia" w:ascii="黑体" w:hAnsi="黑体" w:eastAsia="黑体" w:cs="黑体"/>
          <w:i w:val="0"/>
          <w:iCs w:val="0"/>
          <w:caps w:val="0"/>
          <w:color w:val="000000"/>
          <w:spacing w:val="0"/>
          <w:sz w:val="32"/>
          <w:szCs w:val="32"/>
          <w:shd w:val="clear" w:fill="FFFFFF"/>
        </w:rPr>
      </w:pPr>
      <w:r>
        <w:rPr>
          <w:rFonts w:hint="eastAsia" w:ascii="黑体" w:hAnsi="黑体" w:eastAsia="黑体" w:cs="黑体"/>
          <w:i w:val="0"/>
          <w:iCs w:val="0"/>
          <w:caps w:val="0"/>
          <w:color w:val="000000"/>
          <w:spacing w:val="0"/>
          <w:sz w:val="32"/>
          <w:szCs w:val="32"/>
          <w:shd w:val="clear" w:fill="FFFFFF"/>
        </w:rPr>
        <w:t>下一步改进措施</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eastAsia="仿宋_GB2312" w:cs="仿宋_GB2312" w:hAnsiTheme="minorHAnsi"/>
          <w:i w:val="0"/>
          <w:iCs w:val="0"/>
          <w:caps w:val="0"/>
          <w:color w:val="auto"/>
          <w:spacing w:val="0"/>
          <w:kern w:val="0"/>
          <w:sz w:val="32"/>
          <w:szCs w:val="32"/>
          <w:shd w:val="clear" w:fill="FFFFFF"/>
          <w:lang w:val="en-US" w:eastAsia="zh-CN" w:bidi="ar"/>
        </w:rPr>
      </w:pPr>
      <w:r>
        <w:rPr>
          <w:rFonts w:hint="eastAsia" w:ascii="仿宋_GB2312" w:eastAsia="仿宋_GB2312" w:cs="仿宋_GB2312" w:hAnsiTheme="minorHAnsi"/>
          <w:i w:val="0"/>
          <w:iCs w:val="0"/>
          <w:caps w:val="0"/>
          <w:color w:val="auto"/>
          <w:spacing w:val="0"/>
          <w:kern w:val="0"/>
          <w:sz w:val="32"/>
          <w:szCs w:val="32"/>
          <w:shd w:val="clear" w:fill="FFFFFF"/>
          <w:lang w:val="en-US" w:eastAsia="zh-CN" w:bidi="ar"/>
        </w:rPr>
        <w:t>进一步加强财政资金预算绩效管理，更加科学合理的编制经费预算；进一步完善财务管理制度，加强“三公”经费管理，规范财务核算，有效降低行政成本，提高财政资金使用效率。</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0"/>
        <w:textAlignment w:val="auto"/>
        <w:rPr>
          <w:rFonts w:hint="eastAsia" w:ascii="黑体" w:hAnsi="黑体" w:eastAsia="黑体" w:cs="黑体"/>
          <w:i w:val="0"/>
          <w:iCs w:val="0"/>
          <w:caps w:val="0"/>
          <w:color w:val="000000"/>
          <w:spacing w:val="0"/>
          <w:sz w:val="32"/>
          <w:szCs w:val="32"/>
        </w:rPr>
      </w:pPr>
      <w:r>
        <w:rPr>
          <w:rFonts w:hint="eastAsia" w:ascii="黑体" w:hAnsi="黑体" w:eastAsia="黑体" w:cs="黑体"/>
          <w:i w:val="0"/>
          <w:iCs w:val="0"/>
          <w:caps w:val="0"/>
          <w:color w:val="000000"/>
          <w:spacing w:val="0"/>
          <w:sz w:val="32"/>
          <w:szCs w:val="32"/>
          <w:shd w:val="clear" w:fill="FFFFFF"/>
        </w:rPr>
        <w:t>九、其他需要说明的情况</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left="0" w:right="0" w:firstLine="640" w:firstLineChars="200"/>
        <w:textAlignment w:val="auto"/>
        <w:rPr>
          <w:rFonts w:hint="eastAsia" w:ascii="仿宋_GB2312" w:eastAsia="仿宋_GB2312" w:cs="仿宋_GB2312" w:hAnsiTheme="minorHAnsi"/>
          <w:i w:val="0"/>
          <w:iCs w:val="0"/>
          <w:caps w:val="0"/>
          <w:color w:val="auto"/>
          <w:spacing w:val="0"/>
          <w:kern w:val="0"/>
          <w:sz w:val="32"/>
          <w:szCs w:val="32"/>
          <w:shd w:val="clear" w:fill="FFFFFF"/>
          <w:lang w:val="en-US" w:eastAsia="zh-CN" w:bidi="ar"/>
        </w:rPr>
      </w:pPr>
      <w:r>
        <w:rPr>
          <w:rFonts w:hint="eastAsia" w:ascii="仿宋_GB2312" w:eastAsia="仿宋_GB2312" w:cs="仿宋_GB2312" w:hAnsiTheme="minorHAnsi"/>
          <w:i w:val="0"/>
          <w:iCs w:val="0"/>
          <w:caps w:val="0"/>
          <w:color w:val="auto"/>
          <w:spacing w:val="0"/>
          <w:kern w:val="0"/>
          <w:sz w:val="32"/>
          <w:szCs w:val="32"/>
          <w:shd w:val="clear" w:fill="FFFFFF"/>
          <w:lang w:val="en-US" w:eastAsia="zh-CN" w:bidi="ar"/>
        </w:rPr>
        <w:t>无</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0"/>
        <w:jc w:val="left"/>
        <w:textAlignment w:val="auto"/>
        <w:rPr>
          <w:rFonts w:hint="default" w:ascii="仿宋_GB2312" w:eastAsia="仿宋_GB2312" w:cs="仿宋_GB2312"/>
          <w:i w:val="0"/>
          <w:iCs w:val="0"/>
          <w:caps w:val="0"/>
          <w:color w:val="000000"/>
          <w:spacing w:val="0"/>
          <w:sz w:val="32"/>
          <w:szCs w:val="32"/>
          <w:shd w:val="clear" w:fill="FFFFFF"/>
        </w:rPr>
      </w:pPr>
    </w:p>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p>
    <w:p>
      <w:pPr>
        <w:pStyle w:val="14"/>
        <w:jc w:val="center"/>
        <w:rPr>
          <w:sz w:val="72"/>
          <w:szCs w:val="72"/>
        </w:rPr>
      </w:pPr>
    </w:p>
    <w:p>
      <w:pPr>
        <w:pStyle w:val="14"/>
        <w:jc w:val="center"/>
        <w:rPr>
          <w:sz w:val="72"/>
          <w:szCs w:val="72"/>
        </w:rPr>
      </w:pPr>
    </w:p>
    <w:p>
      <w:pPr>
        <w:jc w:val="left"/>
        <w:rPr>
          <w:rFonts w:cs="黑体" w:asciiTheme="minorEastAsia" w:hAnsiTheme="minorEastAsia"/>
          <w:color w:val="000000"/>
          <w:kern w:val="0"/>
          <w:sz w:val="32"/>
          <w:szCs w:val="32"/>
        </w:rPr>
      </w:pP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 w:name="方正小标宋_GBK">
    <w:altName w:val="微软雅黑"/>
    <w:panose1 w:val="03000509000000000000"/>
    <w:charset w:val="86"/>
    <w:family w:val="script"/>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5DD4058"/>
    <w:multiLevelType w:val="singleLevel"/>
    <w:tmpl w:val="C5DD4058"/>
    <w:lvl w:ilvl="0" w:tentative="0">
      <w:start w:val="1"/>
      <w:numFmt w:val="chineseCounting"/>
      <w:suff w:val="nothing"/>
      <w:lvlText w:val="（%1）"/>
      <w:lvlJc w:val="left"/>
      <w:rPr>
        <w:rFonts w:hint="eastAsia"/>
      </w:rPr>
    </w:lvl>
  </w:abstractNum>
  <w:abstractNum w:abstractNumId="1">
    <w:nsid w:val="EC5A817E"/>
    <w:multiLevelType w:val="singleLevel"/>
    <w:tmpl w:val="EC5A817E"/>
    <w:lvl w:ilvl="0" w:tentative="0">
      <w:start w:val="3"/>
      <w:numFmt w:val="chineseCounting"/>
      <w:suff w:val="nothing"/>
      <w:lvlText w:val="%1、"/>
      <w:lvlJc w:val="left"/>
      <w:rPr>
        <w:rFonts w:hint="eastAsia"/>
      </w:rPr>
    </w:lvl>
  </w:abstractNum>
  <w:abstractNum w:abstractNumId="2">
    <w:nsid w:val="EE0559FF"/>
    <w:multiLevelType w:val="singleLevel"/>
    <w:tmpl w:val="EE0559FF"/>
    <w:lvl w:ilvl="0" w:tentative="0">
      <w:start w:val="2"/>
      <w:numFmt w:val="decimal"/>
      <w:lvlText w:val="%1."/>
      <w:lvlJc w:val="left"/>
      <w:pPr>
        <w:tabs>
          <w:tab w:val="left" w:pos="312"/>
        </w:tabs>
      </w:pPr>
    </w:lvl>
  </w:abstractNum>
  <w:abstractNum w:abstractNumId="3">
    <w:nsid w:val="0250149F"/>
    <w:multiLevelType w:val="singleLevel"/>
    <w:tmpl w:val="0250149F"/>
    <w:lvl w:ilvl="0" w:tentative="0">
      <w:start w:val="2"/>
      <w:numFmt w:val="chineseCounting"/>
      <w:suff w:val="nothing"/>
      <w:lvlText w:val="（%1）"/>
      <w:lvlJc w:val="left"/>
      <w:rPr>
        <w:rFonts w:hint="eastAsia"/>
      </w:rPr>
    </w:lvl>
  </w:abstractNum>
  <w:abstractNum w:abstractNumId="4">
    <w:nsid w:val="2759AE3B"/>
    <w:multiLevelType w:val="singleLevel"/>
    <w:tmpl w:val="2759AE3B"/>
    <w:lvl w:ilvl="0" w:tentative="0">
      <w:start w:val="8"/>
      <w:numFmt w:val="chineseCounting"/>
      <w:suff w:val="nothing"/>
      <w:lvlText w:val="%1、"/>
      <w:lvlJc w:val="left"/>
      <w:rPr>
        <w:rFonts w:hint="eastAsia"/>
      </w:rPr>
    </w:lvl>
  </w:abstractNum>
  <w:abstractNum w:abstractNumId="5">
    <w:nsid w:val="373518C1"/>
    <w:multiLevelType w:val="multilevel"/>
    <w:tmpl w:val="373518C1"/>
    <w:lvl w:ilvl="0" w:tentative="0">
      <w:start w:val="1"/>
      <w:numFmt w:val="none"/>
      <w:lvlText w:val="一、"/>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59BB06C9"/>
    <w:multiLevelType w:val="singleLevel"/>
    <w:tmpl w:val="59BB06C9"/>
    <w:lvl w:ilvl="0" w:tentative="0">
      <w:start w:val="2"/>
      <w:numFmt w:val="chineseCounting"/>
      <w:suff w:val="nothing"/>
      <w:lvlText w:val="（%1）"/>
      <w:lvlJc w:val="left"/>
      <w:rPr>
        <w:rFonts w:hint="eastAsia"/>
      </w:rPr>
    </w:lvl>
  </w:abstractNum>
  <w:num w:numId="1">
    <w:abstractNumId w:val="5"/>
  </w:num>
  <w:num w:numId="2">
    <w:abstractNumId w:val="0"/>
  </w:num>
  <w:num w:numId="3">
    <w:abstractNumId w:val="6"/>
  </w:num>
  <w:num w:numId="4">
    <w:abstractNumId w:val="2"/>
  </w:num>
  <w:num w:numId="5">
    <w:abstractNumId w:val="1"/>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AyYWVhMjhlODM0MzkyNzRkYmMxNjM4YTFkZDFjMTAifQ=="/>
  </w:docVars>
  <w:rsids>
    <w:rsidRoot w:val="004506F9"/>
    <w:rsid w:val="0002229B"/>
    <w:rsid w:val="000273BD"/>
    <w:rsid w:val="00040CBC"/>
    <w:rsid w:val="000415B7"/>
    <w:rsid w:val="00041E3F"/>
    <w:rsid w:val="00055DAA"/>
    <w:rsid w:val="00061F7B"/>
    <w:rsid w:val="000658A3"/>
    <w:rsid w:val="00074155"/>
    <w:rsid w:val="000A3F69"/>
    <w:rsid w:val="00103957"/>
    <w:rsid w:val="00152C6D"/>
    <w:rsid w:val="00162D39"/>
    <w:rsid w:val="001678BD"/>
    <w:rsid w:val="00182373"/>
    <w:rsid w:val="001A67DB"/>
    <w:rsid w:val="001C3C29"/>
    <w:rsid w:val="001D51E5"/>
    <w:rsid w:val="001E080D"/>
    <w:rsid w:val="001E53D0"/>
    <w:rsid w:val="001F0C3B"/>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926B9"/>
    <w:rsid w:val="003C47E6"/>
    <w:rsid w:val="003C4FC2"/>
    <w:rsid w:val="00416E61"/>
    <w:rsid w:val="0042790C"/>
    <w:rsid w:val="004506F9"/>
    <w:rsid w:val="004717A2"/>
    <w:rsid w:val="00473DF3"/>
    <w:rsid w:val="00487911"/>
    <w:rsid w:val="00491741"/>
    <w:rsid w:val="004B0CEE"/>
    <w:rsid w:val="00500E5F"/>
    <w:rsid w:val="005122EF"/>
    <w:rsid w:val="0051441A"/>
    <w:rsid w:val="00517C33"/>
    <w:rsid w:val="00517D5F"/>
    <w:rsid w:val="00523644"/>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51B"/>
    <w:rsid w:val="006B0422"/>
    <w:rsid w:val="006C1B53"/>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4478C"/>
    <w:rsid w:val="0086638C"/>
    <w:rsid w:val="008A3E8D"/>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AB18FF"/>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177D"/>
    <w:rsid w:val="00F74360"/>
    <w:rsid w:val="00FB462F"/>
    <w:rsid w:val="00FE16FA"/>
    <w:rsid w:val="00FE328A"/>
    <w:rsid w:val="00FE6269"/>
    <w:rsid w:val="00FF5CD6"/>
    <w:rsid w:val="0B7030C5"/>
    <w:rsid w:val="0C122745"/>
    <w:rsid w:val="1D97DEFF"/>
    <w:rsid w:val="1DFF72E5"/>
    <w:rsid w:val="1EFC6F07"/>
    <w:rsid w:val="2FDF85B8"/>
    <w:rsid w:val="2FFFEE04"/>
    <w:rsid w:val="30193FAE"/>
    <w:rsid w:val="34DF85B0"/>
    <w:rsid w:val="3B8F36BC"/>
    <w:rsid w:val="491FF225"/>
    <w:rsid w:val="4FFD214C"/>
    <w:rsid w:val="530A4ABB"/>
    <w:rsid w:val="5777D4F5"/>
    <w:rsid w:val="58614EBE"/>
    <w:rsid w:val="59DD8326"/>
    <w:rsid w:val="5DEF592A"/>
    <w:rsid w:val="5FC6BB1E"/>
    <w:rsid w:val="5FF720F1"/>
    <w:rsid w:val="67FF5C0B"/>
    <w:rsid w:val="6EFC0924"/>
    <w:rsid w:val="6FB74722"/>
    <w:rsid w:val="6FEF8B7E"/>
    <w:rsid w:val="71A6591B"/>
    <w:rsid w:val="737D59BA"/>
    <w:rsid w:val="77C37683"/>
    <w:rsid w:val="79FF515B"/>
    <w:rsid w:val="7E9E1962"/>
    <w:rsid w:val="7E9F11B4"/>
    <w:rsid w:val="7F37EC1E"/>
    <w:rsid w:val="7F7DCD9D"/>
    <w:rsid w:val="7F970A6F"/>
    <w:rsid w:val="7FC1FFF3"/>
    <w:rsid w:val="7FC69637"/>
    <w:rsid w:val="7FDF8620"/>
    <w:rsid w:val="7FFB242F"/>
    <w:rsid w:val="7FFDB408"/>
    <w:rsid w:val="7FFE4EEB"/>
    <w:rsid w:val="95FB2B98"/>
    <w:rsid w:val="9A639BC2"/>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pPr>
      <w:jc w:val="center"/>
    </w:pPr>
    <w:rPr>
      <w:rFonts w:ascii="宋体"/>
      <w:b/>
      <w:bCs/>
      <w:sz w:val="44"/>
    </w:rPr>
  </w:style>
  <w:style w:type="paragraph" w:styleId="3">
    <w:name w:val="Body Text Indent"/>
    <w:basedOn w:val="1"/>
    <w:next w:val="4"/>
    <w:autoRedefine/>
    <w:unhideWhenUsed/>
    <w:qFormat/>
    <w:uiPriority w:val="99"/>
    <w:pPr>
      <w:widowControl/>
      <w:spacing w:after="120"/>
      <w:ind w:left="420" w:leftChars="200"/>
      <w:jc w:val="left"/>
    </w:pPr>
    <w:rPr>
      <w:rFonts w:ascii="宋体" w:hAnsi="宋体" w:eastAsia="宋体" w:cs="宋体"/>
      <w:kern w:val="0"/>
      <w:sz w:val="24"/>
    </w:rPr>
  </w:style>
  <w:style w:type="paragraph" w:styleId="4">
    <w:name w:val="Body Text First Indent 2"/>
    <w:basedOn w:val="3"/>
    <w:next w:val="1"/>
    <w:unhideWhenUsed/>
    <w:qFormat/>
    <w:uiPriority w:val="99"/>
    <w:pPr>
      <w:ind w:firstLine="420" w:firstLineChars="200"/>
    </w:pPr>
  </w:style>
  <w:style w:type="paragraph" w:styleId="5">
    <w:name w:val="Balloon Text"/>
    <w:basedOn w:val="1"/>
    <w:link w:val="16"/>
    <w:semiHidden/>
    <w:unhideWhenUsed/>
    <w:qFormat/>
    <w:uiPriority w:val="99"/>
    <w:rPr>
      <w:sz w:val="18"/>
      <w:szCs w:val="18"/>
    </w:rPr>
  </w:style>
  <w:style w:type="paragraph" w:styleId="6">
    <w:name w:val="footer"/>
    <w:basedOn w:val="1"/>
    <w:link w:val="13"/>
    <w:unhideWhenUsed/>
    <w:qFormat/>
    <w:uiPriority w:val="99"/>
    <w:pPr>
      <w:tabs>
        <w:tab w:val="center" w:pos="4153"/>
        <w:tab w:val="right" w:pos="8306"/>
      </w:tabs>
      <w:snapToGrid w:val="0"/>
      <w:jc w:val="left"/>
    </w:pPr>
    <w:rPr>
      <w:sz w:val="18"/>
      <w:szCs w:val="18"/>
    </w:rPr>
  </w:style>
  <w:style w:type="paragraph" w:styleId="7">
    <w:name w:val="header"/>
    <w:basedOn w:val="1"/>
    <w:link w:val="12"/>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footnote text"/>
    <w:basedOn w:val="1"/>
    <w:next w:val="4"/>
    <w:autoRedefine/>
    <w:semiHidden/>
    <w:qFormat/>
    <w:uiPriority w:val="0"/>
    <w:pPr>
      <w:snapToGrid w:val="0"/>
      <w:jc w:val="left"/>
    </w:pPr>
    <w:rPr>
      <w:sz w:val="18"/>
      <w:szCs w:val="18"/>
    </w:rPr>
  </w:style>
  <w:style w:type="paragraph" w:styleId="9">
    <w:name w:val="Normal (Web)"/>
    <w:basedOn w:val="1"/>
    <w:qFormat/>
    <w:uiPriority w:val="0"/>
    <w:pPr>
      <w:spacing w:before="0" w:beforeAutospacing="1" w:after="0" w:afterAutospacing="1"/>
      <w:ind w:left="0" w:right="0"/>
      <w:jc w:val="left"/>
    </w:pPr>
    <w:rPr>
      <w:kern w:val="0"/>
      <w:sz w:val="24"/>
      <w:lang w:val="en-US" w:eastAsia="zh-CN" w:bidi="ar"/>
    </w:rPr>
  </w:style>
  <w:style w:type="character" w:customStyle="1" w:styleId="12">
    <w:name w:val="页眉 Char"/>
    <w:basedOn w:val="11"/>
    <w:link w:val="7"/>
    <w:qFormat/>
    <w:uiPriority w:val="99"/>
    <w:rPr>
      <w:sz w:val="18"/>
      <w:szCs w:val="18"/>
    </w:rPr>
  </w:style>
  <w:style w:type="character" w:customStyle="1" w:styleId="13">
    <w:name w:val="页脚 Char"/>
    <w:basedOn w:val="11"/>
    <w:link w:val="6"/>
    <w:autoRedefine/>
    <w:qFormat/>
    <w:uiPriority w:val="99"/>
    <w:rPr>
      <w:sz w:val="18"/>
      <w:szCs w:val="18"/>
    </w:rPr>
  </w:style>
  <w:style w:type="paragraph" w:customStyle="1" w:styleId="14">
    <w:name w:val="Default"/>
    <w:autoRedefine/>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5">
    <w:name w:val="List Paragraph"/>
    <w:basedOn w:val="1"/>
    <w:autoRedefine/>
    <w:qFormat/>
    <w:uiPriority w:val="34"/>
    <w:pPr>
      <w:ind w:firstLine="420" w:firstLineChars="200"/>
    </w:pPr>
  </w:style>
  <w:style w:type="character" w:customStyle="1" w:styleId="16">
    <w:name w:val="批注框文本 Char"/>
    <w:basedOn w:val="11"/>
    <w:link w:val="5"/>
    <w:autoRedefine/>
    <w:semiHidden/>
    <w:qFormat/>
    <w:uiPriority w:val="99"/>
    <w:rPr>
      <w:sz w:val="18"/>
      <w:szCs w:val="18"/>
    </w:rPr>
  </w:style>
  <w:style w:type="character" w:customStyle="1" w:styleId="17">
    <w:name w:val="font01"/>
    <w:basedOn w:val="11"/>
    <w:autoRedefine/>
    <w:qFormat/>
    <w:uiPriority w:val="0"/>
    <w:rPr>
      <w:rFonts w:hint="eastAsia" w:ascii="宋体" w:hAnsi="宋体" w:eastAsia="宋体" w:cs="宋体"/>
      <w:color w:val="000000"/>
      <w:sz w:val="22"/>
      <w:szCs w:val="22"/>
      <w:u w:val="none"/>
    </w:rPr>
  </w:style>
  <w:style w:type="character" w:customStyle="1" w:styleId="18">
    <w:name w:val="font21"/>
    <w:basedOn w:val="11"/>
    <w:autoRedefine/>
    <w:qFormat/>
    <w:uiPriority w:val="0"/>
    <w:rPr>
      <w:rFonts w:hint="eastAsia" w:ascii="宋体" w:hAnsi="宋体" w:eastAsia="宋体" w:cs="宋体"/>
      <w:color w:val="000000"/>
      <w:sz w:val="24"/>
      <w:szCs w:val="24"/>
      <w:u w:val="none"/>
    </w:rPr>
  </w:style>
  <w:style w:type="character" w:customStyle="1" w:styleId="19">
    <w:name w:val="font11"/>
    <w:basedOn w:val="11"/>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25</Pages>
  <Words>8594</Words>
  <Characters>9280</Characters>
  <Lines>63</Lines>
  <Paragraphs>18</Paragraphs>
  <TotalTime>1</TotalTime>
  <ScaleCrop>false</ScaleCrop>
  <LinksUpToDate>false</LinksUpToDate>
  <CharactersWithSpaces>9308</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2020-07-08T02:32:00Z</dcterms:created>
  <dc:creator>李航 null</dc:creator>
  <cp:lastModifiedBy>Administrator</cp:lastModifiedBy>
  <cp:lastPrinted>2024-09-13T09:18:00Z</cp:lastPrinted>
  <dcterms:modified xsi:type="dcterms:W3CDTF">2024-09-23T03:50:35Z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A458F8CAABAF4AE581C35FFAA439E899_13</vt:lpwstr>
  </property>
</Properties>
</file>