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ind w:firstLine="880" w:firstLineChars="200"/>
        <w:jc w:val="center"/>
        <w:rPr>
          <w:color w:val="auto"/>
          <w:sz w:val="44"/>
          <w:szCs w:val="44"/>
        </w:rPr>
      </w:pPr>
      <w:r>
        <w:rPr>
          <w:rFonts w:hint="eastAsia"/>
          <w:color w:val="auto"/>
          <w:sz w:val="44"/>
          <w:szCs w:val="44"/>
        </w:rPr>
        <w:t>2021年度怀化市计划生育协会部门决算</w:t>
      </w:r>
    </w:p>
    <w:p>
      <w:pPr>
        <w:pStyle w:val="9"/>
        <w:spacing w:line="500" w:lineRule="exact"/>
        <w:jc w:val="center"/>
        <w:rPr>
          <w:b/>
          <w:color w:val="auto"/>
          <w:sz w:val="36"/>
          <w:szCs w:val="28"/>
        </w:rPr>
      </w:pPr>
    </w:p>
    <w:p>
      <w:pPr>
        <w:pStyle w:val="9"/>
        <w:spacing w:line="500" w:lineRule="exact"/>
        <w:ind w:firstLine="723" w:firstLineChars="200"/>
        <w:jc w:val="center"/>
        <w:rPr>
          <w:b/>
          <w:color w:val="auto"/>
          <w:sz w:val="36"/>
          <w:szCs w:val="28"/>
        </w:rPr>
      </w:pPr>
      <w:r>
        <w:rPr>
          <w:rFonts w:hint="eastAsia"/>
          <w:b/>
          <w:color w:val="auto"/>
          <w:sz w:val="36"/>
          <w:szCs w:val="28"/>
        </w:rPr>
        <w:t>目录</w:t>
      </w:r>
    </w:p>
    <w:p>
      <w:pPr>
        <w:pStyle w:val="9"/>
        <w:spacing w:line="500" w:lineRule="exact"/>
        <w:ind w:firstLine="562" w:firstLineChars="200"/>
        <w:rPr>
          <w:rFonts w:ascii="仿宋_GB2312" w:hAnsi="仿宋_GB2312" w:cs="仿宋_GB2312"/>
          <w:b/>
          <w:color w:val="auto"/>
          <w:sz w:val="28"/>
          <w:szCs w:val="28"/>
        </w:rPr>
      </w:pPr>
      <w:r>
        <w:rPr>
          <w:rFonts w:hint="eastAsia"/>
          <w:b/>
          <w:color w:val="auto"/>
          <w:sz w:val="28"/>
          <w:szCs w:val="28"/>
        </w:rPr>
        <w:t>第一部分  单位概况</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一、部门职责</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二、机构设置</w:t>
      </w:r>
    </w:p>
    <w:p>
      <w:pPr>
        <w:pStyle w:val="9"/>
        <w:spacing w:line="500" w:lineRule="exact"/>
        <w:ind w:firstLine="562" w:firstLineChars="200"/>
        <w:rPr>
          <w:rFonts w:ascii="仿宋_GB2312" w:hAnsi="仿宋_GB2312" w:cs="仿宋_GB2312"/>
          <w:b/>
          <w:color w:val="auto"/>
          <w:sz w:val="28"/>
          <w:szCs w:val="28"/>
        </w:rPr>
      </w:pPr>
      <w:r>
        <w:rPr>
          <w:rFonts w:hint="eastAsia" w:hAnsi="仿宋_GB2312"/>
          <w:b/>
          <w:color w:val="auto"/>
          <w:sz w:val="28"/>
          <w:szCs w:val="28"/>
        </w:rPr>
        <w:t xml:space="preserve">第二部分 </w:t>
      </w:r>
      <w:r>
        <w:rPr>
          <w:rFonts w:hAnsi="仿宋_GB2312"/>
          <w:b/>
          <w:color w:val="auto"/>
          <w:sz w:val="28"/>
          <w:szCs w:val="28"/>
        </w:rPr>
        <w:t>20</w:t>
      </w:r>
      <w:r>
        <w:rPr>
          <w:rFonts w:hint="eastAsia" w:hAnsi="仿宋_GB2312"/>
          <w:b/>
          <w:color w:val="auto"/>
          <w:sz w:val="28"/>
          <w:szCs w:val="28"/>
        </w:rPr>
        <w:t>21年度部门决算表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二、收入决算表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三、支出决算表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四、财政拨款收入支出决算总表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五、一般公共预算财政拨款支出决算表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六、一般公共预算财政拨款基本支出决算</w:t>
      </w:r>
      <w:r>
        <w:rPr>
          <w:rFonts w:hint="eastAsia" w:cs="仿宋_GB2312" w:asciiTheme="minorEastAsia" w:hAnsiTheme="minorEastAsia" w:eastAsiaTheme="minorEastAsia"/>
          <w:color w:val="auto"/>
          <w:sz w:val="28"/>
          <w:szCs w:val="28"/>
        </w:rPr>
        <w:t>明细</w:t>
      </w:r>
      <w:r>
        <w:rPr>
          <w:rFonts w:cs="仿宋_GB2312" w:asciiTheme="minorEastAsia" w:hAnsiTheme="minorEastAsia" w:eastAsiaTheme="minorEastAsia"/>
          <w:color w:val="auto"/>
          <w:sz w:val="28"/>
          <w:szCs w:val="28"/>
        </w:rPr>
        <w:t>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七、一般公共预算财政拨款“三公”经费支出决算表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八、政府性基金预算财政拨款收入支出决算表</w:t>
      </w:r>
    </w:p>
    <w:p>
      <w:pPr>
        <w:pStyle w:val="9"/>
        <w:spacing w:line="500" w:lineRule="exact"/>
        <w:ind w:firstLine="560" w:firstLineChars="200"/>
        <w:rPr>
          <w:rFonts w:cs="仿宋_GB2312" w:asciiTheme="minorEastAsia" w:hAnsiTheme="minorEastAsia" w:eastAsiaTheme="minorEastAsia"/>
          <w:color w:val="auto"/>
          <w:sz w:val="28"/>
          <w:szCs w:val="28"/>
        </w:rPr>
      </w:pPr>
      <w:r>
        <w:rPr>
          <w:rFonts w:hint="eastAsia" w:cs="仿宋_GB2312" w:asciiTheme="minorEastAsia" w:hAnsiTheme="minorEastAsia" w:eastAsiaTheme="minorEastAsia"/>
          <w:color w:val="auto"/>
          <w:sz w:val="28"/>
          <w:szCs w:val="28"/>
        </w:rPr>
        <w:t>九、国有资本经营预算财政拨款支出决算表</w:t>
      </w:r>
    </w:p>
    <w:p>
      <w:pPr>
        <w:pStyle w:val="9"/>
        <w:spacing w:line="500" w:lineRule="exact"/>
        <w:ind w:firstLine="562" w:firstLineChars="200"/>
        <w:rPr>
          <w:rFonts w:ascii="仿宋_GB2312" w:hAnsi="仿宋_GB2312" w:cs="仿宋_GB2312"/>
          <w:b/>
          <w:color w:val="auto"/>
          <w:sz w:val="28"/>
          <w:szCs w:val="28"/>
        </w:rPr>
      </w:pPr>
      <w:r>
        <w:rPr>
          <w:rFonts w:hint="eastAsia" w:hAnsi="仿宋_GB2312"/>
          <w:b/>
          <w:color w:val="auto"/>
          <w:sz w:val="28"/>
          <w:szCs w:val="28"/>
        </w:rPr>
        <w:t xml:space="preserve">第三部分 </w:t>
      </w:r>
      <w:r>
        <w:rPr>
          <w:rFonts w:hAnsi="仿宋_GB2312"/>
          <w:b/>
          <w:color w:val="auto"/>
          <w:sz w:val="28"/>
          <w:szCs w:val="28"/>
        </w:rPr>
        <w:t>20</w:t>
      </w:r>
      <w:r>
        <w:rPr>
          <w:rFonts w:hint="eastAsia" w:hAnsi="仿宋_GB2312"/>
          <w:b/>
          <w:color w:val="auto"/>
          <w:sz w:val="28"/>
          <w:szCs w:val="28"/>
        </w:rPr>
        <w:t>21年度部门决算情况说明</w:t>
      </w:r>
    </w:p>
    <w:p>
      <w:pPr>
        <w:pStyle w:val="9"/>
        <w:spacing w:line="500" w:lineRule="exact"/>
        <w:ind w:firstLine="560" w:firstLineChars="20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一、收入支出决算总体情况说明</w:t>
      </w:r>
    </w:p>
    <w:p>
      <w:pPr>
        <w:spacing w:line="500" w:lineRule="exact"/>
        <w:ind w:firstLine="560" w:firstLineChars="200"/>
        <w:jc w:val="left"/>
        <w:rPr>
          <w:rFonts w:ascii="仿宋_GB2312" w:hAnsi="仿宋_GB2312" w:cs="仿宋_GB2312"/>
          <w:color w:val="auto"/>
          <w:sz w:val="28"/>
          <w:szCs w:val="28"/>
        </w:rPr>
      </w:pPr>
      <w:r>
        <w:rPr>
          <w:rFonts w:ascii="仿宋_GB2312" w:hAnsi="仿宋_GB2312" w:cs="仿宋_GB2312"/>
          <w:color w:val="auto"/>
          <w:sz w:val="28"/>
          <w:szCs w:val="28"/>
        </w:rPr>
        <w:t>二、收入决算情况说明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三、支出决算情况说明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四、财政拨款收入支出决算总体情况说明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五、一般公共预算财政拨款支出决算情况说明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六、一般公共预算财政拨款基本支出决算情况说明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七、一般公共预算财政拨款</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三公</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经费支出决算情况说明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八</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政府性基金预算收入支出决算情况</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九、国有资本经营预算财政拨款支出决算情况说明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w:t>
      </w:r>
      <w:r>
        <w:rPr>
          <w:rFonts w:ascii="仿宋_GB2312" w:hAnsi="仿宋_GB2312" w:cs="仿宋_GB2312"/>
          <w:color w:val="auto"/>
          <w:kern w:val="0"/>
          <w:sz w:val="28"/>
          <w:szCs w:val="28"/>
        </w:rPr>
        <w:t>、关于</w:t>
      </w:r>
      <w:r>
        <w:rPr>
          <w:rFonts w:hint="eastAsia" w:ascii="仿宋_GB2312" w:hAnsi="仿宋_GB2312" w:cs="仿宋_GB2312"/>
          <w:color w:val="auto"/>
          <w:kern w:val="0"/>
          <w:sz w:val="28"/>
          <w:szCs w:val="28"/>
        </w:rPr>
        <w:t>机关运行经费支出说明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十一、一般性支出情况说明</w:t>
      </w:r>
    </w:p>
    <w:p>
      <w:pPr>
        <w:autoSpaceDE w:val="0"/>
        <w:autoSpaceDN w:val="0"/>
        <w:adjustRightInd w:val="0"/>
        <w:spacing w:line="500" w:lineRule="exact"/>
        <w:ind w:firstLine="560" w:firstLineChars="20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十二、关于政府采购支出说明</w:t>
      </w:r>
    </w:p>
    <w:p>
      <w:pPr>
        <w:pStyle w:val="9"/>
        <w:spacing w:line="500" w:lineRule="exact"/>
        <w:ind w:firstLine="560" w:firstLineChars="20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十三、关于国有资产占用情况说明</w:t>
      </w:r>
    </w:p>
    <w:p>
      <w:pPr>
        <w:pStyle w:val="9"/>
        <w:spacing w:line="500" w:lineRule="exact"/>
        <w:ind w:firstLine="560" w:firstLineChars="20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十四、关于</w:t>
      </w:r>
      <w:r>
        <w:rPr>
          <w:rFonts w:hint="eastAsia" w:cs="仿宋_GB2312" w:asciiTheme="minorEastAsia" w:hAnsiTheme="minorEastAsia" w:eastAsiaTheme="minorEastAsia"/>
          <w:color w:val="auto"/>
          <w:sz w:val="28"/>
          <w:szCs w:val="28"/>
        </w:rPr>
        <w:t>2021年</w:t>
      </w:r>
      <w:r>
        <w:rPr>
          <w:rFonts w:hint="eastAsia" w:ascii="仿宋_GB2312" w:hAnsi="仿宋_GB2312" w:cs="仿宋_GB2312" w:eastAsiaTheme="minorEastAsia"/>
          <w:color w:val="auto"/>
          <w:sz w:val="28"/>
          <w:szCs w:val="28"/>
        </w:rPr>
        <w:t>度预算绩效情况说明</w:t>
      </w:r>
    </w:p>
    <w:p>
      <w:pPr>
        <w:autoSpaceDE w:val="0"/>
        <w:autoSpaceDN w:val="0"/>
        <w:adjustRightInd w:val="0"/>
        <w:spacing w:line="500" w:lineRule="exact"/>
        <w:ind w:firstLine="562" w:firstLineChars="200"/>
        <w:jc w:val="left"/>
        <w:rPr>
          <w:rFonts w:ascii="黑体" w:hAnsi="黑体" w:eastAsia="黑体" w:cs="黑体"/>
          <w:b/>
          <w:color w:val="auto"/>
          <w:kern w:val="0"/>
          <w:sz w:val="28"/>
          <w:szCs w:val="28"/>
        </w:rPr>
      </w:pPr>
      <w:r>
        <w:rPr>
          <w:rFonts w:ascii="黑体" w:hAnsi="黑体" w:eastAsia="黑体" w:cs="黑体"/>
          <w:b/>
          <w:color w:val="auto"/>
          <w:kern w:val="0"/>
          <w:sz w:val="28"/>
          <w:szCs w:val="28"/>
        </w:rPr>
        <w:t>第四部分名词解释</w:t>
      </w:r>
    </w:p>
    <w:p>
      <w:pPr>
        <w:autoSpaceDE w:val="0"/>
        <w:autoSpaceDN w:val="0"/>
        <w:adjustRightInd w:val="0"/>
        <w:spacing w:line="500" w:lineRule="exact"/>
        <w:ind w:firstLine="562" w:firstLineChars="200"/>
        <w:jc w:val="left"/>
        <w:rPr>
          <w:rFonts w:ascii="黑体" w:hAnsi="黑体" w:eastAsia="黑体" w:cs="仿宋_GB2312"/>
          <w:b/>
          <w:color w:val="auto"/>
          <w:kern w:val="0"/>
          <w:sz w:val="28"/>
          <w:szCs w:val="28"/>
        </w:rPr>
      </w:pPr>
      <w:r>
        <w:rPr>
          <w:rFonts w:hint="eastAsia" w:ascii="黑体" w:hAnsi="黑体" w:eastAsia="黑体" w:cs="黑体"/>
          <w:b/>
          <w:color w:val="auto"/>
          <w:kern w:val="0"/>
          <w:sz w:val="28"/>
          <w:szCs w:val="28"/>
        </w:rPr>
        <w:t>第五部分附件</w:t>
      </w:r>
    </w:p>
    <w:p>
      <w:pPr>
        <w:pStyle w:val="9"/>
        <w:jc w:val="both"/>
        <w:rPr>
          <w:color w:val="auto"/>
          <w:sz w:val="84"/>
          <w:szCs w:val="84"/>
        </w:rPr>
      </w:pPr>
    </w:p>
    <w:p>
      <w:pPr>
        <w:pStyle w:val="9"/>
        <w:ind w:firstLine="880" w:firstLineChars="200"/>
        <w:jc w:val="center"/>
        <w:rPr>
          <w:color w:val="auto"/>
          <w:sz w:val="44"/>
          <w:szCs w:val="44"/>
        </w:rPr>
      </w:pPr>
      <w:r>
        <w:rPr>
          <w:rFonts w:hint="eastAsia"/>
          <w:color w:val="auto"/>
          <w:sz w:val="44"/>
          <w:szCs w:val="44"/>
        </w:rPr>
        <w:t>第一部分</w:t>
      </w:r>
      <w:r>
        <w:rPr>
          <w:color w:val="auto"/>
          <w:sz w:val="44"/>
          <w:szCs w:val="44"/>
        </w:rPr>
        <w:t xml:space="preserve"> </w:t>
      </w:r>
    </w:p>
    <w:p>
      <w:pPr>
        <w:pStyle w:val="9"/>
        <w:ind w:firstLine="880" w:firstLineChars="200"/>
        <w:jc w:val="center"/>
        <w:rPr>
          <w:rFonts w:hAnsi="黑体"/>
          <w:color w:val="auto"/>
          <w:sz w:val="32"/>
          <w:szCs w:val="32"/>
        </w:rPr>
      </w:pPr>
      <w:r>
        <w:rPr>
          <w:rFonts w:hint="eastAsia"/>
          <w:color w:val="auto"/>
          <w:sz w:val="44"/>
          <w:szCs w:val="44"/>
        </w:rPr>
        <w:t>怀化市计划生育协会概况</w:t>
      </w:r>
    </w:p>
    <w:p>
      <w:pPr>
        <w:pStyle w:val="10"/>
        <w:ind w:firstLine="0" w:firstLineChars="0"/>
        <w:jc w:val="left"/>
        <w:rPr>
          <w:rFonts w:ascii="黑体" w:hAnsi="黑体" w:eastAsia="黑体"/>
          <w:color w:val="auto"/>
          <w:sz w:val="32"/>
          <w:szCs w:val="32"/>
        </w:rPr>
      </w:pPr>
    </w:p>
    <w:p>
      <w:pPr>
        <w:pStyle w:val="10"/>
        <w:ind w:firstLine="640" w:firstLineChars="200"/>
        <w:jc w:val="left"/>
        <w:rPr>
          <w:rFonts w:ascii="黑体" w:hAnsi="黑体" w:eastAsia="黑体"/>
          <w:color w:val="auto"/>
          <w:sz w:val="32"/>
          <w:szCs w:val="32"/>
        </w:rPr>
      </w:pPr>
      <w:r>
        <w:rPr>
          <w:rFonts w:hint="eastAsia" w:ascii="黑体" w:hAnsi="黑体" w:eastAsia="黑体"/>
          <w:color w:val="auto"/>
          <w:sz w:val="32"/>
          <w:szCs w:val="32"/>
        </w:rPr>
        <w:t>一、</w:t>
      </w:r>
      <w:r>
        <w:rPr>
          <w:rFonts w:ascii="黑体" w:hAnsi="黑体" w:eastAsia="黑体"/>
          <w:color w:val="auto"/>
          <w:sz w:val="32"/>
          <w:szCs w:val="32"/>
        </w:rPr>
        <w:t>部门职责</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1、贯彻《中华人民共和国人口和计划生育法》、《中国计划生育协会章程》和国家相关法律法规政策，协助政府统筹解决人口问题，促进人口长期均衡发展。</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2、全心全意服务育龄群众和计划生育家庭，发挥带头、宣传、服务、监督、交流作用，动员和组织广大群众参与人口发展、生殖健康、计划生育和家庭保健。</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3、开展群众性宣传工作，普及生殖健康、计划生育等科学知识和信息，倡导科学、文明、健康的婚育观念，提高群众实行计划生育的能力和水平。</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4、拓展服务领域，推进生育关怀行动，为广大育龄群众和计划生育家庭谋福祉。</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5、推进人口计划生育基层群众自治，教育、引导广大群众自觉实行计划生育，反映群众在生殖健康、计划生育等方面的诉求，依法维护群众的合法权益。</w:t>
      </w:r>
    </w:p>
    <w:p>
      <w:pPr>
        <w:spacing w:line="560" w:lineRule="exact"/>
        <w:ind w:firstLine="640" w:firstLineChars="200"/>
        <w:rPr>
          <w:rFonts w:ascii="仿宋_GB2312" w:hAnsi="仿宋_GB2312" w:eastAsia="仿宋_GB2312" w:cs="仿宋_GB2312"/>
          <w:color w:val="auto"/>
          <w:sz w:val="32"/>
        </w:rPr>
      </w:pPr>
      <w:r>
        <w:rPr>
          <w:rFonts w:ascii="仿宋_GB2312" w:hAnsi="仿宋_GB2312" w:eastAsia="仿宋_GB2312" w:cs="仿宋_GB2312"/>
          <w:color w:val="auto"/>
          <w:sz w:val="32"/>
        </w:rPr>
        <w:t>6、完成市委、市政府及市卫生健康委交办的其他事项。</w:t>
      </w:r>
    </w:p>
    <w:p>
      <w:pPr>
        <w:widowControl/>
        <w:spacing w:line="600" w:lineRule="exact"/>
        <w:ind w:firstLine="640" w:firstLineChars="200"/>
        <w:rPr>
          <w:rFonts w:ascii="黑体" w:hAnsi="黑体" w:eastAsia="黑体"/>
          <w:bCs/>
          <w:color w:val="auto"/>
          <w:kern w:val="0"/>
          <w:sz w:val="32"/>
          <w:szCs w:val="32"/>
        </w:rPr>
      </w:pPr>
      <w:r>
        <w:rPr>
          <w:rFonts w:hint="eastAsia" w:ascii="黑体" w:hAnsi="黑体" w:eastAsia="黑体"/>
          <w:bCs/>
          <w:color w:val="auto"/>
          <w:kern w:val="0"/>
          <w:sz w:val="32"/>
          <w:szCs w:val="32"/>
        </w:rPr>
        <w:t>二机构设置及决算单位构成</w:t>
      </w:r>
    </w:p>
    <w:p>
      <w:pPr>
        <w:widowControl/>
        <w:spacing w:line="600" w:lineRule="exact"/>
        <w:ind w:firstLine="640" w:firstLineChars="200"/>
        <w:rPr>
          <w:rFonts w:ascii="仿宋_GB2312" w:hAnsi="仿宋_GB2312" w:eastAsia="仿宋_GB2312" w:cs="仿宋_GB2312"/>
          <w:color w:val="auto"/>
          <w:sz w:val="32"/>
        </w:rPr>
      </w:pPr>
      <w:r>
        <w:rPr>
          <w:rFonts w:hint="eastAsia" w:asciiTheme="minorEastAsia" w:hAnsiTheme="minorEastAsia"/>
          <w:bCs/>
          <w:color w:val="auto"/>
          <w:kern w:val="0"/>
          <w:sz w:val="32"/>
          <w:szCs w:val="32"/>
        </w:rPr>
        <w:t>（一）内设机构设置。</w:t>
      </w:r>
      <w:r>
        <w:rPr>
          <w:rFonts w:hint="eastAsia" w:ascii="仿宋_GB2312" w:hAnsi="仿宋_GB2312" w:eastAsia="仿宋_GB2312" w:cs="仿宋_GB2312"/>
          <w:color w:val="auto"/>
          <w:sz w:val="32"/>
        </w:rPr>
        <w:t>怀化市计划生育协会为一级预算单位，列入群众团体序列管理。设置办公室、业务指导科、生育关怀科3个职能科室。</w:t>
      </w:r>
    </w:p>
    <w:p>
      <w:pPr>
        <w:spacing w:line="560" w:lineRule="exact"/>
        <w:ind w:firstLine="640" w:firstLineChars="200"/>
        <w:rPr>
          <w:rFonts w:ascii="仿宋_GB2312" w:hAnsi="Calibri" w:eastAsia="仿宋_GB2312" w:cs="Calibri"/>
          <w:color w:val="auto"/>
          <w:sz w:val="32"/>
        </w:rPr>
      </w:pPr>
      <w:r>
        <w:rPr>
          <w:rFonts w:hint="eastAsia" w:asciiTheme="minorEastAsia" w:hAnsiTheme="minorEastAsia"/>
          <w:bCs/>
          <w:color w:val="auto"/>
          <w:kern w:val="0"/>
          <w:sz w:val="32"/>
          <w:szCs w:val="32"/>
        </w:rPr>
        <w:t>（二）决算单位构成。</w:t>
      </w:r>
      <w:r>
        <w:rPr>
          <w:rFonts w:hint="eastAsia" w:ascii="仿宋_GB2312" w:hAnsi="仿宋_GB2312" w:eastAsia="仿宋_GB2312" w:cs="仿宋_GB2312"/>
          <w:color w:val="auto"/>
          <w:sz w:val="32"/>
        </w:rPr>
        <w:t>怀化计划生育协会2021年部门决算公开单位为怀化市计划生育协会本级，无二级决算单位。</w:t>
      </w:r>
    </w:p>
    <w:p>
      <w:pPr>
        <w:rPr>
          <w:color w:val="auto"/>
          <w:sz w:val="72"/>
          <w:szCs w:val="72"/>
        </w:rPr>
      </w:pPr>
    </w:p>
    <w:p>
      <w:pPr>
        <w:rPr>
          <w:color w:val="auto"/>
          <w:sz w:val="72"/>
          <w:szCs w:val="72"/>
        </w:rPr>
      </w:pPr>
    </w:p>
    <w:p>
      <w:pPr>
        <w:ind w:firstLine="880" w:firstLineChars="200"/>
        <w:jc w:val="center"/>
        <w:rPr>
          <w:rFonts w:ascii="黑体" w:hAnsi="黑体" w:eastAsia="黑体" w:cs="黑体"/>
          <w:color w:val="auto"/>
          <w:sz w:val="44"/>
          <w:szCs w:val="44"/>
        </w:rPr>
      </w:pPr>
      <w:r>
        <w:rPr>
          <w:rFonts w:hint="eastAsia" w:ascii="黑体" w:hAnsi="黑体" w:eastAsia="黑体" w:cs="黑体"/>
          <w:color w:val="auto"/>
          <w:sz w:val="44"/>
          <w:szCs w:val="44"/>
        </w:rPr>
        <w:t>第二部分</w:t>
      </w:r>
    </w:p>
    <w:p>
      <w:pPr>
        <w:ind w:firstLine="880" w:firstLineChars="200"/>
        <w:jc w:val="center"/>
        <w:rPr>
          <w:color w:val="auto"/>
          <w:sz w:val="72"/>
          <w:szCs w:val="72"/>
        </w:rPr>
      </w:pPr>
      <w:r>
        <w:rPr>
          <w:rFonts w:hint="eastAsia" w:ascii="黑体" w:hAnsi="黑体" w:eastAsia="黑体" w:cs="黑体"/>
          <w:color w:val="auto"/>
          <w:sz w:val="44"/>
          <w:szCs w:val="44"/>
        </w:rPr>
        <w:t>部门决算表</w:t>
      </w:r>
    </w:p>
    <w:p>
      <w:pPr>
        <w:ind w:firstLine="560" w:firstLineChars="200"/>
        <w:jc w:val="center"/>
        <w:rPr>
          <w:rFonts w:hint="default" w:eastAsiaTheme="minorEastAsia"/>
          <w:color w:val="auto"/>
          <w:sz w:val="28"/>
          <w:szCs w:val="28"/>
          <w:lang w:val="en-US" w:eastAsia="zh-CN"/>
        </w:rPr>
      </w:pPr>
      <w:r>
        <w:rPr>
          <w:rFonts w:hint="eastAsia"/>
          <w:color w:val="auto"/>
          <w:sz w:val="28"/>
          <w:szCs w:val="28"/>
          <w:lang w:val="en-US" w:eastAsia="zh-CN"/>
        </w:rPr>
        <w:t>（具体见附件）</w:t>
      </w:r>
    </w:p>
    <w:p>
      <w:pPr>
        <w:jc w:val="center"/>
        <w:rPr>
          <w:color w:val="auto"/>
          <w:sz w:val="72"/>
          <w:szCs w:val="72"/>
        </w:rPr>
      </w:pPr>
    </w:p>
    <w:p>
      <w:pPr>
        <w:jc w:val="left"/>
        <w:rPr>
          <w:color w:val="auto"/>
          <w:sz w:val="32"/>
          <w:szCs w:val="32"/>
        </w:rPr>
      </w:pPr>
    </w:p>
    <w:p>
      <w:pPr>
        <w:jc w:val="left"/>
        <w:rPr>
          <w:rFonts w:asciiTheme="minorEastAsia" w:hAnsiTheme="minorEastAsia"/>
          <w:color w:val="auto"/>
          <w:sz w:val="32"/>
          <w:szCs w:val="32"/>
        </w:rPr>
        <w:sectPr>
          <w:pgSz w:w="11906" w:h="16838"/>
          <w:pgMar w:top="720" w:right="720" w:bottom="720" w:left="720" w:header="851" w:footer="992" w:gutter="0"/>
          <w:cols w:space="425" w:num="1"/>
          <w:docGrid w:type="lines" w:linePitch="312" w:charSpace="0"/>
        </w:sectPr>
      </w:pPr>
    </w:p>
    <w:p>
      <w:pPr>
        <w:autoSpaceDE w:val="0"/>
        <w:autoSpaceDN w:val="0"/>
        <w:adjustRightInd w:val="0"/>
        <w:ind w:left="315" w:leftChars="150"/>
        <w:jc w:val="left"/>
        <w:rPr>
          <w:rFonts w:ascii="宋体" w:eastAsia="宋体" w:cs="宋体"/>
          <w:color w:val="auto"/>
          <w:kern w:val="0"/>
          <w:sz w:val="24"/>
          <w:szCs w:val="24"/>
        </w:rPr>
      </w:pPr>
    </w:p>
    <w:p>
      <w:pPr>
        <w:pStyle w:val="9"/>
        <w:ind w:firstLine="880" w:firstLineChars="200"/>
        <w:jc w:val="center"/>
        <w:rPr>
          <w:color w:val="auto"/>
          <w:sz w:val="44"/>
          <w:szCs w:val="44"/>
        </w:rPr>
      </w:pPr>
      <w:r>
        <w:rPr>
          <w:rFonts w:hint="eastAsia"/>
          <w:color w:val="auto"/>
          <w:sz w:val="44"/>
          <w:szCs w:val="44"/>
        </w:rPr>
        <w:t>第三部分</w:t>
      </w:r>
    </w:p>
    <w:p>
      <w:pPr>
        <w:pStyle w:val="9"/>
        <w:ind w:firstLine="880" w:firstLineChars="200"/>
        <w:jc w:val="center"/>
        <w:rPr>
          <w:color w:val="auto"/>
          <w:sz w:val="72"/>
          <w:szCs w:val="72"/>
        </w:rPr>
      </w:pPr>
      <w:r>
        <w:rPr>
          <w:color w:val="auto"/>
          <w:sz w:val="44"/>
          <w:szCs w:val="44"/>
        </w:rPr>
        <w:t>20</w:t>
      </w:r>
      <w:r>
        <w:rPr>
          <w:rFonts w:hint="eastAsia"/>
          <w:color w:val="auto"/>
          <w:sz w:val="44"/>
          <w:szCs w:val="44"/>
        </w:rPr>
        <w:t>21年度部门决算情况说明</w:t>
      </w:r>
    </w:p>
    <w:p>
      <w:pPr>
        <w:pStyle w:val="9"/>
        <w:rPr>
          <w:rFonts w:asciiTheme="minorEastAsia" w:hAnsiTheme="minorEastAsia" w:eastAsiaTheme="minorEastAsia"/>
          <w:color w:val="auto"/>
          <w:sz w:val="32"/>
          <w:szCs w:val="32"/>
        </w:rPr>
      </w:pPr>
    </w:p>
    <w:p>
      <w:pPr>
        <w:pStyle w:val="9"/>
        <w:ind w:firstLine="640" w:firstLineChars="200"/>
        <w:rPr>
          <w:rFonts w:hAnsi="黑体"/>
          <w:b/>
          <w:color w:val="auto"/>
          <w:sz w:val="32"/>
          <w:szCs w:val="32"/>
        </w:rPr>
      </w:pPr>
      <w:r>
        <w:rPr>
          <w:rFonts w:hint="eastAsia" w:hAnsi="黑体"/>
          <w:b/>
          <w:color w:val="auto"/>
          <w:sz w:val="32"/>
          <w:szCs w:val="32"/>
        </w:rPr>
        <w:t>一、收入支出决算总体情况说明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2021年度收、支总计216.29万元。与上年相比，减少2.93，万元,减少1.34%，主要是因为严格控制预算支出。</w:t>
      </w:r>
    </w:p>
    <w:p>
      <w:pPr>
        <w:pStyle w:val="9"/>
        <w:ind w:firstLine="640" w:firstLineChars="200"/>
        <w:rPr>
          <w:rFonts w:hAnsi="黑体"/>
          <w:b/>
          <w:color w:val="auto"/>
          <w:sz w:val="32"/>
          <w:szCs w:val="32"/>
        </w:rPr>
      </w:pPr>
      <w:r>
        <w:rPr>
          <w:rFonts w:hint="eastAsia" w:hAnsi="黑体"/>
          <w:b/>
          <w:color w:val="auto"/>
          <w:sz w:val="32"/>
          <w:szCs w:val="32"/>
        </w:rPr>
        <w:t>二、收入决算情况说明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2021年度收入合计216.29万元，其中：财政拨款收入216.29万元，占100%；上级补助收入0万元，占0%；事业收0万元，占0%；经营收入0万元，占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%；附属单位上缴收入0万元，占0%；其他收入0万元，占0%。</w:t>
      </w:r>
    </w:p>
    <w:p>
      <w:pPr>
        <w:pStyle w:val="9"/>
        <w:ind w:firstLine="640" w:firstLineChars="200"/>
        <w:rPr>
          <w:rFonts w:hAnsi="黑体"/>
          <w:b/>
          <w:color w:val="auto"/>
          <w:sz w:val="32"/>
          <w:szCs w:val="32"/>
        </w:rPr>
      </w:pPr>
      <w:r>
        <w:rPr>
          <w:rFonts w:hint="eastAsia" w:hAnsi="黑体"/>
          <w:b/>
          <w:color w:val="auto"/>
          <w:sz w:val="32"/>
          <w:szCs w:val="32"/>
        </w:rPr>
        <w:t>三、支出决算情况说明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2021年度支出合计216.29万元，其中：基本支出143.92万元，占66.54%；项目支出72.37万元，占33.46%；上缴上级支出0万元，占0%；经营支出0万元，占0%；对附属单位补助支出0万元，占0%。</w:t>
      </w:r>
    </w:p>
    <w:p>
      <w:pPr>
        <w:pStyle w:val="9"/>
        <w:ind w:firstLine="640" w:firstLineChars="200"/>
        <w:rPr>
          <w:rFonts w:hAnsi="黑体"/>
          <w:b/>
          <w:color w:val="auto"/>
          <w:sz w:val="32"/>
          <w:szCs w:val="32"/>
        </w:rPr>
      </w:pPr>
      <w:r>
        <w:rPr>
          <w:rFonts w:hint="eastAsia" w:hAnsi="黑体"/>
          <w:b/>
          <w:color w:val="auto"/>
          <w:sz w:val="32"/>
          <w:szCs w:val="32"/>
        </w:rPr>
        <w:t>四、财政拨款收入支出决算总体情况说明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2021年度财政拨款收、支总计216.29万元，与上年相比，减少2.93，万元,减少1.34%，主要是因为严格控制预算支出。</w:t>
      </w:r>
    </w:p>
    <w:p>
      <w:pPr>
        <w:pStyle w:val="9"/>
        <w:ind w:firstLine="640" w:firstLineChars="200"/>
        <w:rPr>
          <w:rFonts w:hAnsi="黑体"/>
          <w:b/>
          <w:color w:val="auto"/>
          <w:sz w:val="32"/>
          <w:szCs w:val="32"/>
        </w:rPr>
      </w:pPr>
      <w:r>
        <w:rPr>
          <w:rFonts w:hint="eastAsia" w:hAnsi="黑体"/>
          <w:b/>
          <w:color w:val="auto"/>
          <w:sz w:val="32"/>
          <w:szCs w:val="32"/>
        </w:rPr>
        <w:t>五、一般公共预算财政拨款支出决算情况说明</w:t>
      </w:r>
    </w:p>
    <w:p>
      <w:pPr>
        <w:pStyle w:val="9"/>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（一）财政拨款支出决算总体情况</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2021年度财政拨款支出216.29万元，占本年支出合计的100%，与上年相比，财政拨款支出减少2.93万元，减少1.34%，主要是因为严格控制预算支出。</w:t>
      </w:r>
    </w:p>
    <w:p>
      <w:pPr>
        <w:pStyle w:val="9"/>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2021年度财政拨款支出216.29万元，主要用于以下方面：社会保障和就业支出1</w:t>
      </w:r>
      <w:r>
        <w:rPr>
          <w:rFonts w:hint="eastAsia" w:asciiTheme="minorEastAsia" w:hAnsiTheme="minorEastAsia" w:eastAsiaTheme="minorEastAsia"/>
          <w:color w:val="auto"/>
          <w:sz w:val="32"/>
          <w:szCs w:val="32"/>
          <w:lang w:val="en-US" w:eastAsia="zh-CN"/>
        </w:rPr>
        <w:t>9</w:t>
      </w:r>
      <w:r>
        <w:rPr>
          <w:rFonts w:hint="eastAsia" w:asciiTheme="minorEastAsia" w:hAnsiTheme="minorEastAsia" w:eastAsiaTheme="minorEastAsia"/>
          <w:color w:val="auto"/>
          <w:sz w:val="32"/>
          <w:szCs w:val="32"/>
        </w:rPr>
        <w:t>.30万元，占8.92%；卫生健康支出196.99万元，占91.08%。</w:t>
      </w:r>
    </w:p>
    <w:p>
      <w:pPr>
        <w:pStyle w:val="9"/>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2021年度财政拨款支出年初预算数为164.02万元，支出决算数为216.29万元，完成年初预算的131.87%，其中：</w:t>
      </w:r>
    </w:p>
    <w:p>
      <w:p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1、社会保障和就业支出（类）行政事业单位离退休（款）</w:t>
      </w:r>
      <w:r>
        <w:rPr>
          <w:rFonts w:hint="eastAsia" w:ascii="仿宋_GB2312" w:hAnsi="宋体" w:eastAsia="仿宋_GB2312" w:cs="宋体"/>
          <w:b/>
          <w:color w:val="auto"/>
          <w:sz w:val="32"/>
        </w:rPr>
        <w:t>事业单位离退休</w:t>
      </w:r>
      <w:r>
        <w:rPr>
          <w:rFonts w:hint="eastAsia" w:ascii="仿宋_GB2312" w:hAnsi="黑体" w:eastAsia="仿宋_GB2312" w:cs="黑体"/>
          <w:b/>
          <w:color w:val="auto"/>
          <w:sz w:val="32"/>
        </w:rPr>
        <w:t>（项）</w:t>
      </w:r>
    </w:p>
    <w:p>
      <w:pPr>
        <w:spacing w:line="560" w:lineRule="exact"/>
        <w:ind w:firstLine="640" w:firstLineChars="200"/>
        <w:jc w:val="left"/>
        <w:rPr>
          <w:rFonts w:hint="default" w:ascii="仿宋_GB2312" w:hAnsi="黑体" w:eastAsia="仿宋_GB2312" w:cs="黑体"/>
          <w:color w:val="auto"/>
          <w:sz w:val="32"/>
          <w:lang w:val="en-US" w:eastAsia="zh-CN"/>
        </w:rPr>
      </w:pPr>
      <w:r>
        <w:rPr>
          <w:rFonts w:hint="eastAsia" w:ascii="仿宋_GB2312" w:hAnsi="黑体" w:eastAsia="仿宋_GB2312" w:cs="黑体"/>
          <w:color w:val="auto"/>
          <w:sz w:val="32"/>
        </w:rPr>
        <w:t>年初预算为0.58万元，支出决算为 0.58万元，完成年初预算的100 %，决算数等于年初预算数</w:t>
      </w:r>
      <w:r>
        <w:rPr>
          <w:rFonts w:hint="eastAsia" w:ascii="仿宋_GB2312" w:hAnsi="黑体" w:eastAsia="仿宋_GB2312" w:cs="黑体"/>
          <w:color w:val="auto"/>
          <w:sz w:val="32"/>
          <w:lang w:eastAsia="zh-CN"/>
        </w:rPr>
        <w:t>，</w:t>
      </w:r>
      <w:r>
        <w:rPr>
          <w:rFonts w:hint="eastAsia" w:ascii="仿宋_GB2312" w:hAnsi="黑体" w:eastAsia="仿宋_GB2312" w:cs="黑体"/>
          <w:color w:val="auto"/>
          <w:sz w:val="32"/>
          <w:lang w:val="en-US" w:eastAsia="zh-CN"/>
        </w:rPr>
        <w:t>主要原因按预算执行。</w:t>
      </w:r>
    </w:p>
    <w:p>
      <w:p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2、社会保障和就业支出（类）行政事业单位离退休（款）机关事业单位养老保险缴费支出（项）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年初预算0万元，支出决算为10.72万元，决算数大于年初预算数的主要原因是年初未做该项目预算，为事业单位基本养老保险缴费支出。</w:t>
      </w:r>
    </w:p>
    <w:p>
      <w:pPr>
        <w:numPr>
          <w:ilvl w:val="0"/>
          <w:numId w:val="1"/>
        </w:num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一般公共服务（类）其他社会保障和就业支出（款）其他社会保障和就业支出（项）</w:t>
      </w:r>
    </w:p>
    <w:p>
      <w:p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color w:val="auto"/>
          <w:sz w:val="32"/>
        </w:rPr>
        <w:t>年初预算0万元，支出决算为 8万元，决算数大于年初预算数的主要原因是年初未做该项目预算，为事业单位基本养老保险缴费支出。</w:t>
      </w:r>
    </w:p>
    <w:p>
      <w:pPr>
        <w:pStyle w:val="10"/>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4.卫生健康支出（类）卫生健康管理事务（款）行政运行（项）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年初预算为69.64万元，支出决算为 102.34 万元，完成预算数的146.96%，决算数大于年初预算数的主要原因是发放2020年绩效奖、文明奖等奖金没有纳入预算。</w:t>
      </w:r>
    </w:p>
    <w:p>
      <w:pPr>
        <w:pStyle w:val="10"/>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color w:val="auto"/>
          <w:sz w:val="32"/>
        </w:rPr>
        <w:t>5.</w:t>
      </w:r>
      <w:r>
        <w:rPr>
          <w:rFonts w:hint="eastAsia" w:ascii="仿宋_GB2312" w:hAnsi="黑体" w:eastAsia="仿宋_GB2312" w:cs="黑体"/>
          <w:b/>
          <w:color w:val="auto"/>
          <w:sz w:val="32"/>
        </w:rPr>
        <w:t>卫生健康支出（类）行政事业单位医疗（款）行政单位医疗（项）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年初预算为 0万元，支出决算为5.15万元，决算数小于年初预算数的主要因是年初没有行政单位医疗预算 。</w:t>
      </w:r>
    </w:p>
    <w:p>
      <w:pPr>
        <w:pStyle w:val="10"/>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6.卫生健康支出（类）行政事业单位医疗（款）事业单位医疗（项）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w:t>
      </w:r>
      <w:r>
        <w:rPr>
          <w:rFonts w:hint="eastAsia" w:ascii="仿宋_GB2312" w:hAnsi="黑体" w:eastAsia="仿宋_GB2312" w:cs="黑体"/>
          <w:color w:val="auto"/>
          <w:sz w:val="32"/>
          <w:lang w:val="en-US" w:eastAsia="zh-CN"/>
        </w:rPr>
        <w:t>为</w:t>
      </w:r>
      <w:r>
        <w:rPr>
          <w:rFonts w:hint="eastAsia" w:ascii="仿宋_GB2312" w:hAnsi="黑体" w:eastAsia="仿宋_GB2312" w:cs="黑体"/>
          <w:color w:val="auto"/>
          <w:sz w:val="32"/>
        </w:rPr>
        <w:t>0万元，支出决算为0.15万元，决算数小于年初预算数的主要因是年初没有事业单位医疗预算 。</w:t>
      </w:r>
    </w:p>
    <w:p>
      <w:pPr>
        <w:pStyle w:val="10"/>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color w:val="auto"/>
          <w:sz w:val="32"/>
        </w:rPr>
        <w:t>7.</w:t>
      </w:r>
      <w:r>
        <w:rPr>
          <w:rFonts w:hint="eastAsia" w:ascii="仿宋_GB2312" w:hAnsi="黑体" w:eastAsia="仿宋_GB2312" w:cs="黑体"/>
          <w:b/>
          <w:color w:val="auto"/>
          <w:sz w:val="32"/>
        </w:rPr>
        <w:t>卫生健康支出（类）行政事业单位医疗（款）其他行政事业单位医疗支出（项）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年初预算为 0 万元，支出决算为0.11万元，决算数小于年初预算数的主要因是年初没有其他行政事业单位医疗支出 。</w:t>
      </w:r>
    </w:p>
    <w:p>
      <w:p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8.卫生健康支出（类）计划生育事务（款）计划生育机构（项）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年初预算为 24.44万元，支出决算为16.86万元，完成年初预算68.95%，决算数小于年初预算数的主要因是商品服务类支出的预算都在这个项里。</w:t>
      </w:r>
    </w:p>
    <w:p>
      <w:pPr>
        <w:spacing w:line="560" w:lineRule="exact"/>
        <w:ind w:firstLine="640" w:firstLineChars="200"/>
        <w:jc w:val="left"/>
        <w:rPr>
          <w:rFonts w:ascii="仿宋_GB2312" w:hAnsi="黑体" w:eastAsia="仿宋_GB2312" w:cs="黑体"/>
          <w:b/>
          <w:color w:val="auto"/>
          <w:sz w:val="32"/>
        </w:rPr>
      </w:pPr>
      <w:r>
        <w:rPr>
          <w:rFonts w:hint="eastAsia" w:ascii="仿宋_GB2312" w:hAnsi="黑体" w:eastAsia="仿宋_GB2312" w:cs="黑体"/>
          <w:b/>
          <w:color w:val="auto"/>
          <w:sz w:val="32"/>
        </w:rPr>
        <w:t>9.卫生健康支出（类）计划生育事务（款）计划生育服务（项）</w:t>
      </w:r>
    </w:p>
    <w:p>
      <w:pPr>
        <w:spacing w:line="560" w:lineRule="exact"/>
        <w:ind w:firstLine="640" w:firstLineChars="200"/>
        <w:jc w:val="left"/>
        <w:rPr>
          <w:rFonts w:ascii="仿宋_GB2312" w:hAnsi="黑体" w:eastAsia="仿宋_GB2312" w:cs="黑体"/>
          <w:color w:val="auto"/>
          <w:sz w:val="32"/>
        </w:rPr>
      </w:pPr>
      <w:r>
        <w:rPr>
          <w:rFonts w:hint="eastAsia" w:ascii="仿宋_GB2312" w:hAnsi="黑体" w:eastAsia="仿宋_GB2312" w:cs="黑体"/>
          <w:color w:val="auto"/>
          <w:sz w:val="32"/>
        </w:rPr>
        <w:t>年初预算为 69万元，支出决算为72.37万元，完成年初预算的104.88 %，决算数大于年初预算数的主要原因是省计生协奖励了10万元的能力建设资金。</w:t>
      </w:r>
    </w:p>
    <w:p>
      <w:pPr>
        <w:pStyle w:val="9"/>
        <w:ind w:firstLine="640" w:firstLineChars="200"/>
        <w:rPr>
          <w:rFonts w:hAnsi="黑体"/>
          <w:b/>
          <w:color w:val="auto"/>
          <w:sz w:val="32"/>
          <w:szCs w:val="32"/>
        </w:rPr>
      </w:pPr>
      <w:r>
        <w:rPr>
          <w:rFonts w:hint="eastAsia" w:hAnsi="黑体"/>
          <w:b/>
          <w:color w:val="auto"/>
          <w:sz w:val="32"/>
          <w:szCs w:val="32"/>
        </w:rPr>
        <w:t>六、一般公共预算财政拨款基本支出决算情况说明</w:t>
      </w:r>
    </w:p>
    <w:p>
      <w:pPr>
        <w:pStyle w:val="9"/>
        <w:ind w:firstLine="640" w:firstLineChars="20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2021年度财政拨款基本支出143.92万元，其中：</w:t>
      </w:r>
      <w:r>
        <w:rPr>
          <w:rFonts w:hint="eastAsia" w:asciiTheme="minorEastAsia" w:hAnsiTheme="minorEastAsia" w:eastAsiaTheme="minorEastAsia"/>
          <w:b/>
          <w:bCs/>
          <w:color w:val="auto"/>
          <w:sz w:val="32"/>
          <w:szCs w:val="32"/>
        </w:rPr>
        <w:t>人员经费</w:t>
      </w:r>
      <w:r>
        <w:rPr>
          <w:rFonts w:hint="eastAsia" w:asciiTheme="minorEastAsia" w:hAnsiTheme="minorEastAsia" w:eastAsiaTheme="minorEastAsia"/>
          <w:color w:val="auto"/>
          <w:sz w:val="32"/>
          <w:szCs w:val="32"/>
        </w:rPr>
        <w:t>106.04万元，占基本支出的73.68%,主要包括基本工资23.28万元、津贴补贴19.24万元、奖金35.85万元、机关事业单位基本养老保险缴费16.01万元、其他社会保障缴费1.69万元；</w:t>
      </w:r>
      <w:r>
        <w:rPr>
          <w:rFonts w:hint="eastAsia" w:asciiTheme="minorEastAsia" w:hAnsiTheme="minorEastAsia" w:eastAsiaTheme="minorEastAsia"/>
          <w:b/>
          <w:bCs/>
          <w:color w:val="auto"/>
          <w:sz w:val="32"/>
          <w:szCs w:val="32"/>
        </w:rPr>
        <w:t>公用经费</w:t>
      </w:r>
      <w:r>
        <w:rPr>
          <w:rFonts w:hint="eastAsia" w:asciiTheme="minorEastAsia" w:hAnsiTheme="minorEastAsia" w:eastAsiaTheme="minorEastAsia"/>
          <w:color w:val="auto"/>
          <w:sz w:val="32"/>
          <w:szCs w:val="32"/>
        </w:rPr>
        <w:t>21.05万元，占基本支出的14.62%，主要包括办公费1.98万元、印刷费0.50万元、工会经费5.30万元、福利费3.50万元、公务用车运行维护费1.62万元，其他交通费用6.29万元。</w:t>
      </w:r>
    </w:p>
    <w:p>
      <w:pPr>
        <w:pStyle w:val="9"/>
        <w:ind w:firstLine="640" w:firstLineChars="200"/>
        <w:rPr>
          <w:rFonts w:hAnsi="黑体"/>
          <w:b/>
          <w:color w:val="auto"/>
          <w:sz w:val="32"/>
          <w:szCs w:val="32"/>
        </w:rPr>
      </w:pPr>
      <w:r>
        <w:rPr>
          <w:rFonts w:hint="eastAsia" w:hAnsi="黑体"/>
          <w:b/>
          <w:color w:val="auto"/>
          <w:sz w:val="32"/>
          <w:szCs w:val="32"/>
        </w:rPr>
        <w:t>七、一般公共预算财政拨款“三公”经费支出决算情况说明</w:t>
      </w:r>
    </w:p>
    <w:p>
      <w:pPr>
        <w:pStyle w:val="9"/>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（一）“三公”经费财政拨款支出决算总体情况说明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2021年度“三公”经费财政拨款支出预算为4.95万元，支出决算为2.28万元，完成预算的46.06%，其中：</w:t>
      </w:r>
    </w:p>
    <w:p>
      <w:pPr>
        <w:pStyle w:val="9"/>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因公出国（境）费支出预算为0万元，支出决算为0万元，决算数与年初预算数持平，主要原因按预算执行，与上年数持平，主要原因本年度未安排因公出国（境）。</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接待费支出预算为1.61万元，支出决算为0.66万元，完成预算的40.99%，决算数小于预算数的主要原因严格执行中央八项规定要求，控制接待数量与标准，与上年相比减少0.40万元，减少37.74%,减少的主要原因是严格执行中央八项规定要求，控制接待数量与标准，</w:t>
      </w:r>
    </w:p>
    <w:p>
      <w:pPr>
        <w:pStyle w:val="9"/>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公务用车购置费及运行维护费支出预算为0万元，支出决算为0万元，决算数与年初预算数持平主要原因按预算执行，与上年数持平，主要原因是厉行节约，减少开支。</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运行维护费支出预算为3.34万元，支出决算为1.62万元，完成预算的48.50%，决算数小于预算数的主要原因是完善经费管理，严格控制经费支出，与上年相比减少0.91万元，减少35.97%,减少的主要原因是完善经费管理，严格控制经费支出。</w:t>
      </w:r>
    </w:p>
    <w:p>
      <w:pPr>
        <w:pStyle w:val="9"/>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（二）“三公”经费财政拨款支出决算具体情况说明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2021年度“三公”经费财政拨款支出决算中，公务接待费支出决算0.66万元，占28.95%,因公出国（境）费支出决算0万元，占0%,公务用车购置费及运行维护费支出决算1.62万元，占71.05%。其中：</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1、因公出国（境）费支出决算为0万元，全年安排因公出国（境）团组0个，累计0人次。</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2、公务接待费支出决算为0.66万元，全年共接待来访团组10个、来宾60人次，主要是省计生协领导来怀督查、各县市区来怀汇报工作发生的接待支出。</w:t>
      </w:r>
    </w:p>
    <w:p>
      <w:pPr>
        <w:ind w:firstLine="640" w:firstLineChars="200"/>
        <w:rPr>
          <w:rFonts w:cs="黑体" w:asciiTheme="minorEastAsia" w:hAnsiTheme="minorEastAsia"/>
          <w:color w:val="auto"/>
          <w:kern w:val="0"/>
          <w:sz w:val="32"/>
          <w:szCs w:val="32"/>
        </w:rPr>
      </w:pPr>
      <w:r>
        <w:rPr>
          <w:rFonts w:hint="eastAsia" w:asciiTheme="minorEastAsia" w:hAnsiTheme="minorEastAsia"/>
          <w:color w:val="auto"/>
          <w:sz w:val="32"/>
          <w:szCs w:val="32"/>
        </w:rPr>
        <w:t>3、公务用车购置费及运行维护费支出决算为1.62万元，其中：公务用车购置费0万元。公务用车运行维护费1.62万元，主要是车辆保险、佘亮燃油支出和车辆维修支出，截止2021年12月31日，我单位开支财政拨款的公务用车保有量为1辆。</w:t>
      </w:r>
    </w:p>
    <w:p>
      <w:pPr>
        <w:pStyle w:val="9"/>
        <w:ind w:firstLine="640" w:firstLineChars="200"/>
        <w:rPr>
          <w:rFonts w:hAnsi="黑体"/>
          <w:b/>
          <w:color w:val="auto"/>
          <w:sz w:val="32"/>
          <w:szCs w:val="32"/>
        </w:rPr>
      </w:pPr>
      <w:r>
        <w:rPr>
          <w:rFonts w:hint="eastAsia" w:hAnsi="黑体"/>
          <w:b/>
          <w:color w:val="auto"/>
          <w:sz w:val="32"/>
          <w:szCs w:val="32"/>
        </w:rPr>
        <w:t>八、政府性基金预算收入支出决算情况</w:t>
      </w:r>
    </w:p>
    <w:p>
      <w:pPr>
        <w:pStyle w:val="9"/>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本单位无政府性基金收支</w:t>
      </w:r>
      <w:r>
        <w:rPr>
          <w:rFonts w:hint="eastAsia" w:asciiTheme="minorEastAsia" w:hAnsiTheme="minorEastAsia" w:eastAsiaTheme="minorEastAsia"/>
          <w:color w:val="auto"/>
          <w:sz w:val="32"/>
          <w:szCs w:val="32"/>
          <w:lang w:eastAsia="zh-CN"/>
        </w:rPr>
        <w:t>。</w:t>
      </w:r>
    </w:p>
    <w:p>
      <w:pPr>
        <w:pStyle w:val="9"/>
        <w:ind w:firstLine="640" w:firstLineChars="200"/>
        <w:rPr>
          <w:rFonts w:hAnsi="黑体"/>
          <w:b/>
          <w:color w:val="auto"/>
          <w:sz w:val="32"/>
          <w:szCs w:val="32"/>
        </w:rPr>
      </w:pPr>
      <w:r>
        <w:rPr>
          <w:rFonts w:hint="eastAsia" w:hAnsi="黑体"/>
          <w:b/>
          <w:color w:val="auto"/>
          <w:sz w:val="32"/>
          <w:szCs w:val="32"/>
        </w:rPr>
        <w:t>九、国有资本经营预算财政拨款支出决算情况说明</w:t>
      </w:r>
    </w:p>
    <w:p>
      <w:pPr>
        <w:pStyle w:val="9"/>
        <w:ind w:firstLine="640" w:firstLineChars="200"/>
        <w:rPr>
          <w:rFonts w:hAnsi="黑体"/>
          <w:color w:val="auto"/>
          <w:sz w:val="32"/>
          <w:szCs w:val="32"/>
        </w:rPr>
      </w:pPr>
      <w:r>
        <w:rPr>
          <w:rFonts w:hint="eastAsia" w:asciiTheme="minorEastAsia" w:hAnsiTheme="minorEastAsia" w:eastAsiaTheme="minorEastAsia"/>
          <w:color w:val="auto"/>
          <w:sz w:val="32"/>
          <w:szCs w:val="32"/>
        </w:rPr>
        <w:t>本单位无国有资本经营预算财政拨款支出。</w:t>
      </w:r>
    </w:p>
    <w:p>
      <w:pPr>
        <w:pStyle w:val="9"/>
        <w:ind w:firstLine="640" w:firstLineChars="200"/>
        <w:rPr>
          <w:rFonts w:hAnsi="黑体"/>
          <w:b/>
          <w:color w:val="auto"/>
          <w:sz w:val="32"/>
          <w:szCs w:val="32"/>
        </w:rPr>
      </w:pPr>
      <w:r>
        <w:rPr>
          <w:rFonts w:hint="eastAsia" w:hAnsi="黑体"/>
          <w:b/>
          <w:color w:val="auto"/>
          <w:sz w:val="32"/>
          <w:szCs w:val="32"/>
        </w:rPr>
        <w:t>十、机关运行经费支出说明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本部门2021年度机关运行经费支出21.05万元，比上年决算数减少0.15万元，降低0.71%。主要原因是严格控制经费支出。</w:t>
      </w:r>
    </w:p>
    <w:p>
      <w:pPr>
        <w:pStyle w:val="9"/>
        <w:ind w:firstLine="640" w:firstLineChars="200"/>
        <w:rPr>
          <w:rFonts w:hAnsi="黑体"/>
          <w:b/>
          <w:color w:val="auto"/>
          <w:sz w:val="32"/>
          <w:szCs w:val="32"/>
        </w:rPr>
      </w:pPr>
      <w:r>
        <w:rPr>
          <w:rFonts w:hint="eastAsia" w:hAnsi="黑体"/>
          <w:b/>
          <w:color w:val="auto"/>
          <w:sz w:val="32"/>
          <w:szCs w:val="32"/>
        </w:rPr>
        <w:t>十一、一般性支出情况说明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本部门开支会议费1.45万元，用于召开全市计生协工作会议，人数50人，内容为总结上半年全市计生协工作开展取得的成绩与不足，安排部署下半年计生协工作；开支培训费1.31万元，用于开展全市计生协能力建设培训，人数48人，内容为提升全市计生协干部职工业务能力、开展“小善举大爱心”募捐培训；举办节庆、晚会、论坛、赛事活动，开支0万元。</w:t>
      </w:r>
    </w:p>
    <w:p>
      <w:pPr>
        <w:pStyle w:val="9"/>
        <w:ind w:firstLine="640" w:firstLineChars="200"/>
        <w:rPr>
          <w:rFonts w:hAnsi="黑体"/>
          <w:b/>
          <w:color w:val="auto"/>
          <w:sz w:val="32"/>
          <w:szCs w:val="32"/>
        </w:rPr>
      </w:pPr>
      <w:r>
        <w:rPr>
          <w:rFonts w:hint="eastAsia" w:hAnsi="黑体"/>
          <w:b/>
          <w:color w:val="auto"/>
          <w:sz w:val="32"/>
          <w:szCs w:val="32"/>
        </w:rPr>
        <w:t>十二、政府采购支出说明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政府采购支出总额22.89万元，其中：政府采购货物支出11.54万元、政府采购工程支出0万元、政府采购服务支出11.35万元。授予中小企业合同金额22.89万元，占政府采购支出总额的100%，其中：授予小微企业合同金额22.89万元，占授予中小企业合同金额的100%</w:t>
      </w:r>
      <w:bookmarkStart w:id="0" w:name="_GoBack"/>
      <w:bookmarkEnd w:id="0"/>
      <w:r>
        <w:rPr>
          <w:rFonts w:hint="eastAsia" w:asciiTheme="minorEastAsia" w:hAnsiTheme="minorEastAsia" w:eastAsiaTheme="minorEastAsia"/>
          <w:color w:val="auto"/>
          <w:sz w:val="32"/>
          <w:szCs w:val="32"/>
        </w:rPr>
        <w:t>。</w:t>
      </w:r>
    </w:p>
    <w:p>
      <w:pPr>
        <w:pStyle w:val="9"/>
        <w:ind w:firstLine="640" w:firstLineChars="200"/>
        <w:rPr>
          <w:rFonts w:hAnsi="黑体"/>
          <w:b/>
          <w:color w:val="auto"/>
          <w:sz w:val="32"/>
          <w:szCs w:val="32"/>
        </w:rPr>
      </w:pPr>
      <w:r>
        <w:rPr>
          <w:rFonts w:hint="eastAsia" w:hAnsi="黑体"/>
          <w:b/>
          <w:color w:val="auto"/>
          <w:sz w:val="32"/>
          <w:szCs w:val="32"/>
        </w:rPr>
        <w:t>十三、国有资产占用情况说明</w:t>
      </w:r>
    </w:p>
    <w:p>
      <w:pPr>
        <w:pStyle w:val="9"/>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截至2021年12月31日，部门（单位）共有车辆1辆，其中，主要领导干部用车0辆，机要通信用车0辆、应急保障用车0辆、执法执勤用车0辆、特种专业技术用车0辆、其他用车1辆，其他用车主要是公务用车；单位价值50万元以上通用设备0台（套）；单位价值100万元以上专用设备0台（套）。</w:t>
      </w:r>
    </w:p>
    <w:p>
      <w:pPr>
        <w:pStyle w:val="9"/>
        <w:ind w:firstLine="640" w:firstLineChars="200"/>
        <w:rPr>
          <w:rFonts w:hAnsi="黑体"/>
          <w:b/>
          <w:color w:val="auto"/>
          <w:sz w:val="32"/>
          <w:szCs w:val="32"/>
        </w:rPr>
      </w:pPr>
      <w:r>
        <w:rPr>
          <w:rFonts w:hint="eastAsia" w:hAnsi="黑体"/>
          <w:b/>
          <w:color w:val="auto"/>
          <w:sz w:val="32"/>
          <w:szCs w:val="32"/>
        </w:rPr>
        <w:t>十四、2021年度预算绩效情况说明</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（1）绩效管理评价工作开展情况</w:t>
      </w:r>
      <w:r>
        <w:rPr>
          <w:rFonts w:hint="eastAsia" w:cs="黑体" w:asciiTheme="minorEastAsia" w:hAnsiTheme="minorEastAsia"/>
          <w:color w:val="auto"/>
          <w:kern w:val="0"/>
          <w:sz w:val="32"/>
          <w:szCs w:val="32"/>
        </w:rPr>
        <w:t>。</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根据预算绩效管理要求，我部门组织对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年度一般公共预算项目支出全面开展绩效自评，其中，一级项目0个，二级项目8个，共涉及资金69万元，占一般公共预算项目支出总额的100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年度0个政府性基金预算项目支出开展绩效自评，共涉及资金0万元，占政府性基金预算项目支出总额的0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 xml:space="preserve">2021 </w:t>
      </w:r>
      <w:r>
        <w:rPr>
          <w:rFonts w:hint="eastAsia" w:cs="黑体" w:asciiTheme="minorEastAsia" w:hAnsiTheme="minorEastAsia"/>
          <w:color w:val="auto"/>
          <w:kern w:val="0"/>
          <w:sz w:val="32"/>
          <w:szCs w:val="32"/>
        </w:rPr>
        <w:t>年度等0个国有资本经营预算项目支出开展绩效自评，共涉及资金0万元，占国有资本经营预算项目支出总额的0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组织对“暖心家园、优生优育指导中心、托幼所”“生育关怀”等8个项目开展了部门评价，涉及一般公共预算支出69万元，政府性基金预算支出0万元，国有资本经营预算支出0万元。从评价情况来看，我部门专项资金管理到位，运转良好。</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组织对怀化市计划生育协会本级单位开展整体支出绩效评价，涉及一般公共预算支出216.29万元，政府性基金预算支出0万元。从评价情况来看，我部门对整体资金管理到位、运转良好。</w:t>
      </w:r>
    </w:p>
    <w:p>
      <w:pPr>
        <w:autoSpaceDE w:val="0"/>
        <w:autoSpaceDN w:val="0"/>
        <w:adjustRightInd w:val="0"/>
        <w:ind w:firstLine="640" w:firstLineChars="200"/>
        <w:jc w:val="left"/>
        <w:rPr>
          <w:rFonts w:cs="黑体" w:asciiTheme="minorEastAsia" w:hAnsiTheme="minorEastAsia"/>
          <w:b/>
          <w:color w:val="auto"/>
          <w:kern w:val="0"/>
          <w:sz w:val="32"/>
          <w:szCs w:val="32"/>
        </w:rPr>
      </w:pPr>
      <w:r>
        <w:rPr>
          <w:rFonts w:hint="eastAsia" w:cs="黑体" w:asciiTheme="minorEastAsia" w:hAnsiTheme="minorEastAsia"/>
          <w:b/>
          <w:color w:val="auto"/>
          <w:kern w:val="0"/>
          <w:sz w:val="32"/>
          <w:szCs w:val="32"/>
        </w:rPr>
        <w:t>（2）部门决算中项目绩效自评结果。</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bCs/>
          <w:color w:val="auto"/>
          <w:kern w:val="0"/>
          <w:sz w:val="32"/>
          <w:szCs w:val="32"/>
        </w:rPr>
        <w:t>生育关怀项目</w:t>
      </w:r>
      <w:r>
        <w:rPr>
          <w:rFonts w:hint="eastAsia" w:cs="黑体" w:asciiTheme="minorEastAsia" w:hAnsiTheme="minorEastAsia"/>
          <w:color w:val="auto"/>
          <w:kern w:val="0"/>
          <w:sz w:val="32"/>
          <w:szCs w:val="32"/>
        </w:rPr>
        <w:t>绩效自评综述：根据年初设定的绩效目标，项目绩效自评得分为96</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分。项目全年预算数为18万元，执行数为18</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万元，完成预算的100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。项目绩效目标完成情况：继续实施诚信计生，推进计生基层群众自治，市县乡村“四级”每年组织一次“生育关怀—健康幸福家庭”评选和公开表彰活动。</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bCs/>
          <w:color w:val="auto"/>
          <w:kern w:val="0"/>
          <w:sz w:val="32"/>
          <w:szCs w:val="32"/>
        </w:rPr>
        <w:t>优生优育指导中心、托幼所、暖心家园项目</w:t>
      </w:r>
      <w:r>
        <w:rPr>
          <w:rFonts w:hint="eastAsia" w:cs="黑体" w:asciiTheme="minorEastAsia" w:hAnsiTheme="minorEastAsia"/>
          <w:color w:val="auto"/>
          <w:kern w:val="0"/>
          <w:sz w:val="32"/>
          <w:szCs w:val="32"/>
        </w:rPr>
        <w:t>绩效自评综述：根据年初设定的绩效目标，项目绩效自评得分为96</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分。项目全年预算数为18万元，执行数为18</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万元，完成预算的100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一是实施暖心家园建设。积极争取上级项目资金，组织考察调研、推行项目试点，在全市各县计生特殊家庭相对集中的社区、居委会，依托社区阵地，采取与养老服务机构、志愿者协会、义工队等合作。二是实施优生优育指导服务，开办孕妇学校、家长课堂等线下课程，以及线上直播课、科普小视频等。</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bCs/>
          <w:color w:val="auto"/>
          <w:kern w:val="0"/>
          <w:sz w:val="32"/>
          <w:szCs w:val="32"/>
        </w:rPr>
        <w:t>“5·29”活动经费</w:t>
      </w:r>
      <w:r>
        <w:rPr>
          <w:rFonts w:hint="eastAsia" w:cs="黑体" w:asciiTheme="minorEastAsia" w:hAnsiTheme="minorEastAsia"/>
          <w:color w:val="auto"/>
          <w:kern w:val="0"/>
          <w:sz w:val="32"/>
          <w:szCs w:val="32"/>
        </w:rPr>
        <w:t>绩效自评综述：根据年初设定的绩效目标，项目绩效自评得分为95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分。项目全年预算数为6万元，执行数为4.85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万元，完成预算的80.83</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。项目绩效目标完成情况：利用计生协529协会会员日，督导各县市区计生协举办丰富多彩的文娱活动，同时宣传好国家计生生育政策，为广大计生群众提供咨询服务。</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督导调研工作经费</w:t>
      </w:r>
      <w:r>
        <w:rPr>
          <w:rFonts w:hint="eastAsia" w:cs="黑体" w:asciiTheme="minorEastAsia" w:hAnsiTheme="minorEastAsia"/>
          <w:color w:val="auto"/>
          <w:kern w:val="0"/>
          <w:sz w:val="32"/>
          <w:szCs w:val="32"/>
        </w:rPr>
        <w:t>绩效自评综述：根据年初设定的绩效目标，项目绩效自评得分为95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分。项目全年预算数为6万元，执行数为4.92万元，完成预算的82</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。项目绩效目标完成情况：督导各县市区计生协做好习近平总书记指示的六项工作任务，切实为计生困难家庭、计生特殊家庭谋福利；为计生家庭提供生殖健康咨询等工作。</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会议培训工作经费</w:t>
      </w:r>
      <w:r>
        <w:rPr>
          <w:rFonts w:hint="eastAsia" w:cs="黑体" w:asciiTheme="minorEastAsia" w:hAnsiTheme="minorEastAsia"/>
          <w:color w:val="auto"/>
          <w:kern w:val="0"/>
          <w:sz w:val="32"/>
          <w:szCs w:val="32"/>
        </w:rPr>
        <w:t>绩效自评综述：根据年初设定的绩效目标，项目绩效自评得分为95分。项目全年预算数为6万元，执行数为4.23万元，完成预算的70.50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。项目绩效目标完成情况：2021年，市计生协组织召开了全市计生协工作会议、能力建设培训班、“小善举</w:t>
      </w:r>
      <w:r>
        <w:rPr>
          <w:rFonts w:ascii="Calibri" w:hAnsi="Calibri" w:cs="Calibri"/>
          <w:color w:val="auto"/>
          <w:kern w:val="0"/>
          <w:sz w:val="32"/>
          <w:szCs w:val="32"/>
        </w:rPr>
        <w:t>·</w:t>
      </w:r>
      <w:r>
        <w:rPr>
          <w:rFonts w:hint="eastAsia" w:cs="黑体" w:asciiTheme="minorEastAsia" w:hAnsiTheme="minorEastAsia"/>
          <w:color w:val="auto"/>
          <w:kern w:val="0"/>
          <w:sz w:val="32"/>
          <w:szCs w:val="32"/>
        </w:rPr>
        <w:t>大爱心”募捐工作培训班，对我市计生协工作做整体安排部署，提升全市计生协干部职工业务能力。</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暖心行动工作经费</w:t>
      </w:r>
      <w:r>
        <w:rPr>
          <w:rFonts w:hint="eastAsia" w:cs="黑体" w:asciiTheme="minorEastAsia" w:hAnsiTheme="minorEastAsia"/>
          <w:color w:val="auto"/>
          <w:kern w:val="0"/>
          <w:sz w:val="32"/>
          <w:szCs w:val="32"/>
        </w:rPr>
        <w:t>绩效自评综述：根据年初设定的绩效目标，项目绩效自评得分为95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分。项目全年预算数为3万元，执行数为3万元，完成预算的66.67</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积极落实计生特殊家庭精神慰藉、走访慰问、志愿服务、保险保障“四项制度”。利用“暖心家园”、“会员之家”等阵地在春节、端午、中秋等各个节日对计生特殊家庭、计生困难家庭、独生子女户、两女户、流动人口、留守儿童等进行慰问扶助。</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bCs/>
          <w:color w:val="auto"/>
          <w:kern w:val="0"/>
          <w:sz w:val="32"/>
          <w:szCs w:val="32"/>
        </w:rPr>
        <w:t>青春健康工作经费项目</w:t>
      </w:r>
      <w:r>
        <w:rPr>
          <w:rFonts w:hint="eastAsia" w:cs="黑体" w:asciiTheme="minorEastAsia" w:hAnsiTheme="minorEastAsia"/>
          <w:color w:val="auto"/>
          <w:kern w:val="0"/>
          <w:sz w:val="32"/>
          <w:szCs w:val="32"/>
        </w:rPr>
        <w:t>根据年初设定的绩效目标，项目绩效自评得分为95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分。项目全年预算数为6万元，执行数为4.85万元，完成预算的80.83</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成立由疾控、妇幼、心理健康等专家组成的怀化市级青春健康教育专家师资库，每年深入全市各高等院校开展生殖健康、心理健康教育，创建“青春健康教育”大讲堂，深入小学、初中、高中和村居开展“成长之道”“沟通之道”宣进活动，全年全市举办“青春健康教育”大讲堂活动。</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bCs/>
          <w:color w:val="auto"/>
          <w:kern w:val="0"/>
          <w:sz w:val="32"/>
          <w:szCs w:val="32"/>
        </w:rPr>
        <w:t>宣传教育经费项目</w:t>
      </w:r>
      <w:r>
        <w:rPr>
          <w:rFonts w:hint="eastAsia" w:cs="黑体" w:asciiTheme="minorEastAsia" w:hAnsiTheme="minorEastAsia"/>
          <w:color w:val="auto"/>
          <w:kern w:val="0"/>
          <w:sz w:val="32"/>
          <w:szCs w:val="32"/>
        </w:rPr>
        <w:t>根据年初设定的绩效目标，项目绩效自评得分为95</w:t>
      </w:r>
      <w:r>
        <w:rPr>
          <w:rFonts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分。项目全年预算数为6万元，执行数为5.44万元，完成预算的90.67</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项目绩效目标完成情况：为农村0-6岁儿童提供疾病筛查、功能检测、早期教育和心理健康成长指导。优化市计生协微信公众号，设立“健康家庭促进”专栏，定期推送健康科普、优生优育等知识。筹办怀化市计生协家庭健康知识竞赛网页系统，广泛动员计生群众关注微信公众号并参加竞赛，实行“每日一测，每测十问”连续答题30天，对积分排名靠前的组织及个人进行通报表彰。</w:t>
      </w:r>
    </w:p>
    <w:p>
      <w:pPr>
        <w:numPr>
          <w:ilvl w:val="0"/>
          <w:numId w:val="2"/>
        </w:numPr>
        <w:autoSpaceDE w:val="0"/>
        <w:autoSpaceDN w:val="0"/>
        <w:adjustRightInd w:val="0"/>
        <w:ind w:firstLine="640" w:firstLineChars="200"/>
        <w:jc w:val="left"/>
        <w:rPr>
          <w:rFonts w:cs="黑体" w:asciiTheme="minorEastAsia" w:hAnsiTheme="minorEastAsia"/>
          <w:b/>
          <w:color w:val="auto"/>
          <w:kern w:val="0"/>
          <w:sz w:val="32"/>
          <w:szCs w:val="32"/>
        </w:rPr>
      </w:pPr>
      <w:r>
        <w:rPr>
          <w:rFonts w:hint="eastAsia" w:cs="黑体" w:asciiTheme="minorEastAsia" w:hAnsiTheme="minorEastAsia"/>
          <w:b/>
          <w:color w:val="auto"/>
          <w:kern w:val="0"/>
          <w:sz w:val="32"/>
          <w:szCs w:val="32"/>
        </w:rPr>
        <w:t>部门评价项目绩效评价结果。</w:t>
      </w:r>
    </w:p>
    <w:p>
      <w:pPr>
        <w:autoSpaceDE w:val="0"/>
        <w:autoSpaceDN w:val="0"/>
        <w:adjustRightInd w:val="0"/>
        <w:ind w:firstLine="640" w:firstLineChars="200"/>
        <w:jc w:val="left"/>
        <w:rPr>
          <w:color w:val="auto"/>
          <w:sz w:val="72"/>
          <w:szCs w:val="72"/>
        </w:rPr>
      </w:pPr>
      <w:r>
        <w:rPr>
          <w:rFonts w:hint="eastAsia" w:cs="黑体" w:asciiTheme="minorEastAsia" w:hAnsiTheme="minorEastAsia"/>
          <w:color w:val="auto"/>
          <w:kern w:val="0"/>
          <w:sz w:val="32"/>
          <w:szCs w:val="32"/>
        </w:rPr>
        <w:t>根据《项目支出绩效评价办法》（财预〔</w:t>
      </w:r>
      <w:r>
        <w:rPr>
          <w:rFonts w:cs="黑体" w:asciiTheme="minorEastAsia" w:hAnsiTheme="minorEastAsia"/>
          <w:color w:val="auto"/>
          <w:kern w:val="0"/>
          <w:sz w:val="32"/>
          <w:szCs w:val="32"/>
        </w:rPr>
        <w:t>2020</w:t>
      </w:r>
      <w:r>
        <w:rPr>
          <w:rFonts w:hint="eastAsia" w:cs="黑体" w:asciiTheme="minorEastAsia" w:hAnsiTheme="minorEastAsia"/>
          <w:color w:val="auto"/>
          <w:kern w:val="0"/>
          <w:sz w:val="32"/>
          <w:szCs w:val="32"/>
        </w:rPr>
        <w:t>〕</w:t>
      </w:r>
      <w:r>
        <w:rPr>
          <w:rFonts w:cs="黑体" w:asciiTheme="minorEastAsia" w:hAnsiTheme="minorEastAsia"/>
          <w:color w:val="auto"/>
          <w:kern w:val="0"/>
          <w:sz w:val="32"/>
          <w:szCs w:val="32"/>
        </w:rPr>
        <w:t xml:space="preserve">10 </w:t>
      </w:r>
      <w:r>
        <w:rPr>
          <w:rFonts w:hint="eastAsia" w:cs="黑体" w:asciiTheme="minorEastAsia" w:hAnsiTheme="minorEastAsia"/>
          <w:color w:val="auto"/>
          <w:kern w:val="0"/>
          <w:sz w:val="32"/>
          <w:szCs w:val="32"/>
        </w:rPr>
        <w:t>号）中《项目支出绩效评价报告（参考提纲）》、《湖南省预算支出绩效评价管理办法》（湘财绩〔</w:t>
      </w:r>
      <w:r>
        <w:rPr>
          <w:rFonts w:cs="黑体" w:asciiTheme="minorEastAsia" w:hAnsiTheme="minorEastAsia"/>
          <w:color w:val="auto"/>
          <w:kern w:val="0"/>
          <w:sz w:val="32"/>
          <w:szCs w:val="32"/>
        </w:rPr>
        <w:t>2020</w:t>
      </w:r>
      <w:r>
        <w:rPr>
          <w:rFonts w:hint="eastAsia" w:cs="黑体" w:asciiTheme="minorEastAsia" w:hAnsiTheme="minorEastAsia"/>
          <w:color w:val="auto"/>
          <w:kern w:val="0"/>
          <w:sz w:val="32"/>
          <w:szCs w:val="32"/>
        </w:rPr>
        <w:t>〕7号）文件要求，计生协对我部门整体资金和专项资金进行绩效评价，评价报告已于2022年6月份在怀化市卫生健康委员会官网上进行了公示。</w:t>
      </w:r>
    </w:p>
    <w:p>
      <w:pPr>
        <w:pStyle w:val="9"/>
        <w:jc w:val="center"/>
        <w:rPr>
          <w:color w:val="auto"/>
          <w:sz w:val="44"/>
          <w:szCs w:val="44"/>
        </w:rPr>
      </w:pPr>
    </w:p>
    <w:p>
      <w:pPr>
        <w:pStyle w:val="9"/>
        <w:ind w:firstLine="880" w:firstLineChars="200"/>
        <w:jc w:val="center"/>
        <w:rPr>
          <w:color w:val="auto"/>
          <w:sz w:val="44"/>
          <w:szCs w:val="44"/>
        </w:rPr>
      </w:pPr>
      <w:r>
        <w:rPr>
          <w:rFonts w:hint="eastAsia"/>
          <w:color w:val="auto"/>
          <w:sz w:val="44"/>
          <w:szCs w:val="44"/>
        </w:rPr>
        <w:t>第四部分</w:t>
      </w:r>
    </w:p>
    <w:p>
      <w:pPr>
        <w:ind w:firstLine="880" w:firstLineChars="200"/>
        <w:jc w:val="center"/>
        <w:rPr>
          <w:rFonts w:ascii="黑体" w:eastAsia="黑体" w:cs="黑体"/>
          <w:color w:val="auto"/>
          <w:kern w:val="0"/>
          <w:sz w:val="44"/>
          <w:szCs w:val="44"/>
        </w:rPr>
      </w:pPr>
      <w:r>
        <w:rPr>
          <w:rFonts w:hint="eastAsia" w:ascii="黑体" w:eastAsia="黑体" w:cs="黑体"/>
          <w:color w:val="auto"/>
          <w:kern w:val="0"/>
          <w:sz w:val="44"/>
          <w:szCs w:val="44"/>
        </w:rPr>
        <w:t>名词解释</w:t>
      </w:r>
    </w:p>
    <w:p>
      <w:pPr>
        <w:jc w:val="left"/>
        <w:rPr>
          <w:rFonts w:cs="黑体" w:asciiTheme="minorEastAsia" w:hAnsiTheme="minorEastAsia"/>
          <w:color w:val="auto"/>
          <w:kern w:val="0"/>
          <w:sz w:val="32"/>
          <w:szCs w:val="32"/>
        </w:rPr>
      </w:pPr>
    </w:p>
    <w:p>
      <w:pPr>
        <w:spacing w:before="360" w:after="510" w:line="560" w:lineRule="exact"/>
        <w:ind w:firstLine="640" w:firstLineChars="200"/>
        <w:jc w:val="left"/>
        <w:rPr>
          <w:rFonts w:ascii="Calibri" w:hAnsi="Calibri" w:eastAsia="Calibri" w:cs="Calibri"/>
          <w:color w:val="auto"/>
        </w:rPr>
      </w:pPr>
      <w:r>
        <w:rPr>
          <w:rFonts w:ascii="楷体" w:hAnsi="楷体" w:eastAsia="楷体" w:cs="楷体"/>
          <w:b/>
          <w:color w:val="auto"/>
          <w:sz w:val="32"/>
        </w:rPr>
        <w:t>1.机关运行经费：</w:t>
      </w:r>
      <w:r>
        <w:rPr>
          <w:rFonts w:ascii="仿宋_GB2312" w:hAnsi="仿宋_GB2312" w:eastAsia="仿宋_GB2312" w:cs="仿宋_GB2312"/>
          <w:color w:val="auto"/>
          <w:sz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spacing w:before="360" w:after="510" w:line="560" w:lineRule="exact"/>
        <w:ind w:firstLine="640" w:firstLineChars="200"/>
        <w:jc w:val="left"/>
        <w:rPr>
          <w:color w:val="auto"/>
          <w:sz w:val="72"/>
          <w:szCs w:val="72"/>
        </w:rPr>
      </w:pPr>
      <w:r>
        <w:rPr>
          <w:rFonts w:ascii="楷体" w:hAnsi="楷体" w:eastAsia="楷体" w:cs="楷体"/>
          <w:b/>
          <w:color w:val="auto"/>
          <w:sz w:val="32"/>
        </w:rPr>
        <w:t>2.“三公”经费：</w:t>
      </w:r>
      <w:r>
        <w:rPr>
          <w:rFonts w:ascii="仿宋_GB2312" w:hAnsi="仿宋_GB2312" w:eastAsia="仿宋_GB2312" w:cs="仿宋_GB2312"/>
          <w:color w:val="auto"/>
          <w:sz w:val="32"/>
        </w:rPr>
        <w:t>纳入财政预算管理的</w:t>
      </w:r>
      <w:r>
        <w:rPr>
          <w:rFonts w:ascii="仿宋" w:hAnsi="仿宋" w:eastAsia="仿宋" w:cs="仿宋"/>
          <w:color w:val="auto"/>
          <w:sz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9"/>
        <w:jc w:val="center"/>
        <w:rPr>
          <w:color w:val="auto"/>
          <w:sz w:val="72"/>
          <w:szCs w:val="72"/>
        </w:rPr>
      </w:pPr>
    </w:p>
    <w:p>
      <w:pPr>
        <w:pStyle w:val="9"/>
        <w:ind w:firstLine="880" w:firstLineChars="200"/>
        <w:jc w:val="center"/>
        <w:rPr>
          <w:color w:val="auto"/>
          <w:sz w:val="44"/>
          <w:szCs w:val="44"/>
        </w:rPr>
      </w:pPr>
      <w:r>
        <w:rPr>
          <w:rFonts w:hint="eastAsia"/>
          <w:color w:val="auto"/>
          <w:sz w:val="44"/>
          <w:szCs w:val="44"/>
        </w:rPr>
        <w:t>第五部分</w:t>
      </w:r>
    </w:p>
    <w:p>
      <w:pPr>
        <w:pStyle w:val="9"/>
        <w:ind w:firstLine="880" w:firstLineChars="200"/>
        <w:jc w:val="center"/>
        <w:rPr>
          <w:color w:val="auto"/>
          <w:sz w:val="44"/>
          <w:szCs w:val="44"/>
        </w:rPr>
      </w:pPr>
      <w:r>
        <w:rPr>
          <w:rFonts w:hint="eastAsia"/>
          <w:color w:val="auto"/>
          <w:sz w:val="44"/>
          <w:szCs w:val="44"/>
        </w:rPr>
        <w:t>附件</w:t>
      </w:r>
    </w:p>
    <w:p>
      <w:pPr>
        <w:pStyle w:val="9"/>
        <w:rPr>
          <w:rFonts w:ascii="仿宋" w:hAnsi="仿宋" w:eastAsia="仿宋" w:cs="仿宋"/>
          <w:color w:val="auto"/>
          <w:sz w:val="44"/>
          <w:szCs w:val="44"/>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29AA1"/>
    <w:multiLevelType w:val="singleLevel"/>
    <w:tmpl w:val="C5329AA1"/>
    <w:lvl w:ilvl="0" w:tentative="0">
      <w:start w:val="3"/>
      <w:numFmt w:val="decimal"/>
      <w:suff w:val="nothing"/>
      <w:lvlText w:val="（%1）"/>
      <w:lvlJc w:val="left"/>
    </w:lvl>
  </w:abstractNum>
  <w:abstractNum w:abstractNumId="1">
    <w:nsid w:val="1AF686C8"/>
    <w:multiLevelType w:val="singleLevel"/>
    <w:tmpl w:val="1AF686C8"/>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2A18"/>
    <w:rsid w:val="00055DAA"/>
    <w:rsid w:val="00061F7B"/>
    <w:rsid w:val="000658A3"/>
    <w:rsid w:val="00074155"/>
    <w:rsid w:val="000873EF"/>
    <w:rsid w:val="000A3F69"/>
    <w:rsid w:val="000F1EFB"/>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2F189C"/>
    <w:rsid w:val="003130C4"/>
    <w:rsid w:val="00316C4B"/>
    <w:rsid w:val="0032192B"/>
    <w:rsid w:val="003479BD"/>
    <w:rsid w:val="003527B5"/>
    <w:rsid w:val="0037197D"/>
    <w:rsid w:val="003768D5"/>
    <w:rsid w:val="003C4197"/>
    <w:rsid w:val="003C47E6"/>
    <w:rsid w:val="003C4FC2"/>
    <w:rsid w:val="003E2331"/>
    <w:rsid w:val="00416E61"/>
    <w:rsid w:val="0042790C"/>
    <w:rsid w:val="0043289B"/>
    <w:rsid w:val="004506F9"/>
    <w:rsid w:val="004717A2"/>
    <w:rsid w:val="00473DF3"/>
    <w:rsid w:val="00487911"/>
    <w:rsid w:val="00491741"/>
    <w:rsid w:val="004B0CEE"/>
    <w:rsid w:val="004F5D29"/>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27C89"/>
    <w:rsid w:val="0063646F"/>
    <w:rsid w:val="00641842"/>
    <w:rsid w:val="00651EEC"/>
    <w:rsid w:val="00660F07"/>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606D4"/>
    <w:rsid w:val="00A70249"/>
    <w:rsid w:val="00A70B02"/>
    <w:rsid w:val="00A71D9F"/>
    <w:rsid w:val="00A92E9F"/>
    <w:rsid w:val="00B33BEA"/>
    <w:rsid w:val="00B57C9F"/>
    <w:rsid w:val="00B63572"/>
    <w:rsid w:val="00B845B3"/>
    <w:rsid w:val="00B85D8B"/>
    <w:rsid w:val="00BB4A40"/>
    <w:rsid w:val="00BB6C6A"/>
    <w:rsid w:val="00BD6C3E"/>
    <w:rsid w:val="00BE3674"/>
    <w:rsid w:val="00C10681"/>
    <w:rsid w:val="00C3049A"/>
    <w:rsid w:val="00C31B1E"/>
    <w:rsid w:val="00C77645"/>
    <w:rsid w:val="00C85F20"/>
    <w:rsid w:val="00CE04C3"/>
    <w:rsid w:val="00CE76A0"/>
    <w:rsid w:val="00D148C6"/>
    <w:rsid w:val="00D17A8A"/>
    <w:rsid w:val="00D415BA"/>
    <w:rsid w:val="00D63780"/>
    <w:rsid w:val="00D644EE"/>
    <w:rsid w:val="00D75489"/>
    <w:rsid w:val="00DC178B"/>
    <w:rsid w:val="00DD06FF"/>
    <w:rsid w:val="00DD5FE9"/>
    <w:rsid w:val="00E00C7A"/>
    <w:rsid w:val="00E209CF"/>
    <w:rsid w:val="00E37D6C"/>
    <w:rsid w:val="00E55B68"/>
    <w:rsid w:val="00E67BE6"/>
    <w:rsid w:val="00E80370"/>
    <w:rsid w:val="00E8683C"/>
    <w:rsid w:val="00EA2B72"/>
    <w:rsid w:val="00F74360"/>
    <w:rsid w:val="00FB462F"/>
    <w:rsid w:val="00FE16FA"/>
    <w:rsid w:val="00FE328A"/>
    <w:rsid w:val="00FE6269"/>
    <w:rsid w:val="00FF48D0"/>
    <w:rsid w:val="00FF5CD6"/>
    <w:rsid w:val="011078C7"/>
    <w:rsid w:val="01364831"/>
    <w:rsid w:val="017A4F1D"/>
    <w:rsid w:val="01B97168"/>
    <w:rsid w:val="01E81B15"/>
    <w:rsid w:val="01F210DC"/>
    <w:rsid w:val="023A4BFB"/>
    <w:rsid w:val="034B0B9E"/>
    <w:rsid w:val="037B2175"/>
    <w:rsid w:val="03D270B5"/>
    <w:rsid w:val="03D52DE3"/>
    <w:rsid w:val="04133956"/>
    <w:rsid w:val="04367644"/>
    <w:rsid w:val="04A86794"/>
    <w:rsid w:val="053D4550"/>
    <w:rsid w:val="05BA11C1"/>
    <w:rsid w:val="05BE5B43"/>
    <w:rsid w:val="05ED2D90"/>
    <w:rsid w:val="060122DF"/>
    <w:rsid w:val="06C801C6"/>
    <w:rsid w:val="07683FB9"/>
    <w:rsid w:val="084F6F27"/>
    <w:rsid w:val="085D1280"/>
    <w:rsid w:val="09735085"/>
    <w:rsid w:val="099C619C"/>
    <w:rsid w:val="09C94CBB"/>
    <w:rsid w:val="09DF096D"/>
    <w:rsid w:val="0A597BD3"/>
    <w:rsid w:val="0A7B2255"/>
    <w:rsid w:val="0AEC4F01"/>
    <w:rsid w:val="0B203A44"/>
    <w:rsid w:val="0B21104E"/>
    <w:rsid w:val="0B2F23BC"/>
    <w:rsid w:val="0B516A8B"/>
    <w:rsid w:val="0B64618B"/>
    <w:rsid w:val="0B955598"/>
    <w:rsid w:val="0C231652"/>
    <w:rsid w:val="0C56491B"/>
    <w:rsid w:val="0CFA3A15"/>
    <w:rsid w:val="0D120E9F"/>
    <w:rsid w:val="0D1A118E"/>
    <w:rsid w:val="0DDD4C82"/>
    <w:rsid w:val="0DF00F5D"/>
    <w:rsid w:val="0E011062"/>
    <w:rsid w:val="0EA24279"/>
    <w:rsid w:val="0EAC521C"/>
    <w:rsid w:val="0EE4486D"/>
    <w:rsid w:val="0F334EAC"/>
    <w:rsid w:val="0F3F1AA3"/>
    <w:rsid w:val="0F625791"/>
    <w:rsid w:val="0FA51A63"/>
    <w:rsid w:val="101C74C8"/>
    <w:rsid w:val="102768A6"/>
    <w:rsid w:val="102D5D9F"/>
    <w:rsid w:val="1146687F"/>
    <w:rsid w:val="117E70D6"/>
    <w:rsid w:val="12107A9B"/>
    <w:rsid w:val="128123D2"/>
    <w:rsid w:val="1329716A"/>
    <w:rsid w:val="132A4818"/>
    <w:rsid w:val="13315BA7"/>
    <w:rsid w:val="135C11EE"/>
    <w:rsid w:val="14643D5A"/>
    <w:rsid w:val="147607C7"/>
    <w:rsid w:val="14BA02CD"/>
    <w:rsid w:val="14C12F5A"/>
    <w:rsid w:val="14DF1632"/>
    <w:rsid w:val="153C0833"/>
    <w:rsid w:val="15481BF6"/>
    <w:rsid w:val="15B605E5"/>
    <w:rsid w:val="15F208EE"/>
    <w:rsid w:val="15FB249C"/>
    <w:rsid w:val="160B6B83"/>
    <w:rsid w:val="1629153F"/>
    <w:rsid w:val="165A4B5B"/>
    <w:rsid w:val="16622A16"/>
    <w:rsid w:val="167F3081"/>
    <w:rsid w:val="16C82D63"/>
    <w:rsid w:val="16ED47DB"/>
    <w:rsid w:val="17D26ACD"/>
    <w:rsid w:val="182C1032"/>
    <w:rsid w:val="189B69B8"/>
    <w:rsid w:val="198060B1"/>
    <w:rsid w:val="1981737D"/>
    <w:rsid w:val="19F706A7"/>
    <w:rsid w:val="1A762677"/>
    <w:rsid w:val="1A954C6D"/>
    <w:rsid w:val="1AF851FC"/>
    <w:rsid w:val="1B171B26"/>
    <w:rsid w:val="1B4D5548"/>
    <w:rsid w:val="1B662AAD"/>
    <w:rsid w:val="1C1668BF"/>
    <w:rsid w:val="1CCC78BA"/>
    <w:rsid w:val="1CFE1639"/>
    <w:rsid w:val="1D3544E5"/>
    <w:rsid w:val="1DEB1B8F"/>
    <w:rsid w:val="1E6037E4"/>
    <w:rsid w:val="1EC21DA9"/>
    <w:rsid w:val="1ECE2679"/>
    <w:rsid w:val="1F5E014F"/>
    <w:rsid w:val="1F791B63"/>
    <w:rsid w:val="1F855971"/>
    <w:rsid w:val="1F8D62E2"/>
    <w:rsid w:val="1F941997"/>
    <w:rsid w:val="1F962D1A"/>
    <w:rsid w:val="1FEF311F"/>
    <w:rsid w:val="1FF266BE"/>
    <w:rsid w:val="204239F5"/>
    <w:rsid w:val="207C70A5"/>
    <w:rsid w:val="20D67D8D"/>
    <w:rsid w:val="212A1E87"/>
    <w:rsid w:val="21661111"/>
    <w:rsid w:val="21891469"/>
    <w:rsid w:val="21CB0CBE"/>
    <w:rsid w:val="21E1137E"/>
    <w:rsid w:val="220E3E4B"/>
    <w:rsid w:val="2217240B"/>
    <w:rsid w:val="22752FD6"/>
    <w:rsid w:val="22D6662D"/>
    <w:rsid w:val="23051D18"/>
    <w:rsid w:val="23103A2A"/>
    <w:rsid w:val="232F19D7"/>
    <w:rsid w:val="23576BA0"/>
    <w:rsid w:val="23906919"/>
    <w:rsid w:val="23BF7974"/>
    <w:rsid w:val="23FD25D0"/>
    <w:rsid w:val="240E783E"/>
    <w:rsid w:val="24A106B2"/>
    <w:rsid w:val="24B1297E"/>
    <w:rsid w:val="24B403E6"/>
    <w:rsid w:val="255E0351"/>
    <w:rsid w:val="257066FC"/>
    <w:rsid w:val="26103D41"/>
    <w:rsid w:val="26AF355A"/>
    <w:rsid w:val="272D447F"/>
    <w:rsid w:val="274F2647"/>
    <w:rsid w:val="275814FC"/>
    <w:rsid w:val="27BD5951"/>
    <w:rsid w:val="27C32229"/>
    <w:rsid w:val="27D818BE"/>
    <w:rsid w:val="283A64C1"/>
    <w:rsid w:val="285E597F"/>
    <w:rsid w:val="287F135C"/>
    <w:rsid w:val="28F33BD2"/>
    <w:rsid w:val="294319DA"/>
    <w:rsid w:val="29982084"/>
    <w:rsid w:val="29CB06AB"/>
    <w:rsid w:val="29FB2613"/>
    <w:rsid w:val="2A012824"/>
    <w:rsid w:val="2A1B3A6A"/>
    <w:rsid w:val="2A612621"/>
    <w:rsid w:val="2A6F54DA"/>
    <w:rsid w:val="2A9A1E2C"/>
    <w:rsid w:val="2AB8204A"/>
    <w:rsid w:val="2BDC41A9"/>
    <w:rsid w:val="2C3F2C8B"/>
    <w:rsid w:val="2C5D75B5"/>
    <w:rsid w:val="2CD67415"/>
    <w:rsid w:val="2D0D23B6"/>
    <w:rsid w:val="2D2E719F"/>
    <w:rsid w:val="2DF045F3"/>
    <w:rsid w:val="2E24038A"/>
    <w:rsid w:val="2E7B3D22"/>
    <w:rsid w:val="2E974B34"/>
    <w:rsid w:val="2EB602E8"/>
    <w:rsid w:val="2EC84D60"/>
    <w:rsid w:val="2F1E5FD5"/>
    <w:rsid w:val="2F4F521A"/>
    <w:rsid w:val="2F803CE6"/>
    <w:rsid w:val="2F932426"/>
    <w:rsid w:val="300E30A0"/>
    <w:rsid w:val="304F5466"/>
    <w:rsid w:val="30592574"/>
    <w:rsid w:val="305C2FAF"/>
    <w:rsid w:val="308E6BE3"/>
    <w:rsid w:val="30A46D03"/>
    <w:rsid w:val="315D30FD"/>
    <w:rsid w:val="31737FFF"/>
    <w:rsid w:val="32267718"/>
    <w:rsid w:val="3240150B"/>
    <w:rsid w:val="32431554"/>
    <w:rsid w:val="32456B21"/>
    <w:rsid w:val="32524377"/>
    <w:rsid w:val="325C01D4"/>
    <w:rsid w:val="32892EB1"/>
    <w:rsid w:val="32A3787F"/>
    <w:rsid w:val="32DF69FA"/>
    <w:rsid w:val="32F02E9B"/>
    <w:rsid w:val="3301019E"/>
    <w:rsid w:val="331210F9"/>
    <w:rsid w:val="33357D65"/>
    <w:rsid w:val="33447CB8"/>
    <w:rsid w:val="336F0672"/>
    <w:rsid w:val="33D315EF"/>
    <w:rsid w:val="33EC2138"/>
    <w:rsid w:val="346C4839"/>
    <w:rsid w:val="346D76D0"/>
    <w:rsid w:val="3542559A"/>
    <w:rsid w:val="35DB622E"/>
    <w:rsid w:val="36AF6C5F"/>
    <w:rsid w:val="370D50DE"/>
    <w:rsid w:val="3776777C"/>
    <w:rsid w:val="379B27FA"/>
    <w:rsid w:val="379E56DC"/>
    <w:rsid w:val="39050745"/>
    <w:rsid w:val="395C34D5"/>
    <w:rsid w:val="39710B9A"/>
    <w:rsid w:val="397B72CC"/>
    <w:rsid w:val="39B56FCB"/>
    <w:rsid w:val="39CE1AF2"/>
    <w:rsid w:val="3A9643BE"/>
    <w:rsid w:val="3B0E485F"/>
    <w:rsid w:val="3B841778"/>
    <w:rsid w:val="3BC15D34"/>
    <w:rsid w:val="3BD11425"/>
    <w:rsid w:val="3C6305CB"/>
    <w:rsid w:val="3D9B1CEB"/>
    <w:rsid w:val="3DB707A1"/>
    <w:rsid w:val="3E221FA1"/>
    <w:rsid w:val="3EB76FF8"/>
    <w:rsid w:val="3EC86B10"/>
    <w:rsid w:val="3F255D10"/>
    <w:rsid w:val="3F4843BA"/>
    <w:rsid w:val="3FA56E51"/>
    <w:rsid w:val="3FB6544A"/>
    <w:rsid w:val="4010076E"/>
    <w:rsid w:val="403F1053"/>
    <w:rsid w:val="407F0029"/>
    <w:rsid w:val="41022AB3"/>
    <w:rsid w:val="410858E9"/>
    <w:rsid w:val="41F849DA"/>
    <w:rsid w:val="426E6021"/>
    <w:rsid w:val="42D07F5E"/>
    <w:rsid w:val="43BC29BB"/>
    <w:rsid w:val="43BF2BD7"/>
    <w:rsid w:val="444E3F5B"/>
    <w:rsid w:val="446E0E3D"/>
    <w:rsid w:val="44801C3A"/>
    <w:rsid w:val="44856306"/>
    <w:rsid w:val="44D16614"/>
    <w:rsid w:val="451A208F"/>
    <w:rsid w:val="45605CF4"/>
    <w:rsid w:val="46132D66"/>
    <w:rsid w:val="46BB51AC"/>
    <w:rsid w:val="46C248EF"/>
    <w:rsid w:val="46FD2C99"/>
    <w:rsid w:val="46FF2F49"/>
    <w:rsid w:val="474B0AA9"/>
    <w:rsid w:val="475D15F3"/>
    <w:rsid w:val="47C36A0E"/>
    <w:rsid w:val="483D003B"/>
    <w:rsid w:val="48681028"/>
    <w:rsid w:val="48684EBF"/>
    <w:rsid w:val="487321E2"/>
    <w:rsid w:val="48757CDC"/>
    <w:rsid w:val="488F069E"/>
    <w:rsid w:val="496A3DE1"/>
    <w:rsid w:val="49A10689"/>
    <w:rsid w:val="49AF0FF8"/>
    <w:rsid w:val="4A6D2F7F"/>
    <w:rsid w:val="4AAC5537"/>
    <w:rsid w:val="4AC05DF2"/>
    <w:rsid w:val="4AC37487"/>
    <w:rsid w:val="4ACA589B"/>
    <w:rsid w:val="4AFD2237"/>
    <w:rsid w:val="4B047121"/>
    <w:rsid w:val="4B101876"/>
    <w:rsid w:val="4B2F6C12"/>
    <w:rsid w:val="4BB357C5"/>
    <w:rsid w:val="4BBA3C84"/>
    <w:rsid w:val="4C2440D3"/>
    <w:rsid w:val="4C450783"/>
    <w:rsid w:val="4C967398"/>
    <w:rsid w:val="4CB1438D"/>
    <w:rsid w:val="4CE23492"/>
    <w:rsid w:val="4CF32CD9"/>
    <w:rsid w:val="4D2D4320"/>
    <w:rsid w:val="4DFA4C6C"/>
    <w:rsid w:val="4E281379"/>
    <w:rsid w:val="4EC15329"/>
    <w:rsid w:val="4F4977F9"/>
    <w:rsid w:val="4F4E4E0F"/>
    <w:rsid w:val="4FE42C2B"/>
    <w:rsid w:val="504027FF"/>
    <w:rsid w:val="50A17D8B"/>
    <w:rsid w:val="510D637B"/>
    <w:rsid w:val="51107DE4"/>
    <w:rsid w:val="511D2CEB"/>
    <w:rsid w:val="5173580E"/>
    <w:rsid w:val="51964264"/>
    <w:rsid w:val="51B80C66"/>
    <w:rsid w:val="51DC4954"/>
    <w:rsid w:val="51FB3D9F"/>
    <w:rsid w:val="521940FE"/>
    <w:rsid w:val="52F27431"/>
    <w:rsid w:val="53BB236E"/>
    <w:rsid w:val="54136627"/>
    <w:rsid w:val="54195A43"/>
    <w:rsid w:val="545E0B04"/>
    <w:rsid w:val="548337AD"/>
    <w:rsid w:val="54D133B6"/>
    <w:rsid w:val="550C6732"/>
    <w:rsid w:val="55E95892"/>
    <w:rsid w:val="568455BA"/>
    <w:rsid w:val="56EE21B9"/>
    <w:rsid w:val="57154464"/>
    <w:rsid w:val="576E5583"/>
    <w:rsid w:val="57D06AC5"/>
    <w:rsid w:val="586631C9"/>
    <w:rsid w:val="58DB2E2B"/>
    <w:rsid w:val="58E95BA9"/>
    <w:rsid w:val="59903AD5"/>
    <w:rsid w:val="59A215DB"/>
    <w:rsid w:val="5A0A14ED"/>
    <w:rsid w:val="5A1D5804"/>
    <w:rsid w:val="5A6000EC"/>
    <w:rsid w:val="5A6C30A5"/>
    <w:rsid w:val="5B0C3C5C"/>
    <w:rsid w:val="5B19473B"/>
    <w:rsid w:val="5B3D74EA"/>
    <w:rsid w:val="5B477AA3"/>
    <w:rsid w:val="5B697B03"/>
    <w:rsid w:val="5BA95BDA"/>
    <w:rsid w:val="5C3068A2"/>
    <w:rsid w:val="5C910A31"/>
    <w:rsid w:val="5D012207"/>
    <w:rsid w:val="5D301FF8"/>
    <w:rsid w:val="5D572145"/>
    <w:rsid w:val="5DD417C0"/>
    <w:rsid w:val="5E512226"/>
    <w:rsid w:val="5E8E5228"/>
    <w:rsid w:val="5EB10C7D"/>
    <w:rsid w:val="5EB13934"/>
    <w:rsid w:val="5EDF5A84"/>
    <w:rsid w:val="5F702B80"/>
    <w:rsid w:val="5F8F74AA"/>
    <w:rsid w:val="5FD7296D"/>
    <w:rsid w:val="60343BAD"/>
    <w:rsid w:val="606A12D4"/>
    <w:rsid w:val="60DB04CD"/>
    <w:rsid w:val="61761FA3"/>
    <w:rsid w:val="621F43E9"/>
    <w:rsid w:val="62403354"/>
    <w:rsid w:val="62EE44E7"/>
    <w:rsid w:val="62F13083"/>
    <w:rsid w:val="63027A37"/>
    <w:rsid w:val="634C3904"/>
    <w:rsid w:val="63A46217"/>
    <w:rsid w:val="63C76F2A"/>
    <w:rsid w:val="646E5C74"/>
    <w:rsid w:val="650C6EA7"/>
    <w:rsid w:val="654612D2"/>
    <w:rsid w:val="65496ABB"/>
    <w:rsid w:val="66100C18"/>
    <w:rsid w:val="663C37BC"/>
    <w:rsid w:val="664A6764"/>
    <w:rsid w:val="664C51A5"/>
    <w:rsid w:val="66910655"/>
    <w:rsid w:val="673F239A"/>
    <w:rsid w:val="673F5786"/>
    <w:rsid w:val="675E59B4"/>
    <w:rsid w:val="67763AD8"/>
    <w:rsid w:val="68386FF5"/>
    <w:rsid w:val="683D381B"/>
    <w:rsid w:val="68564221"/>
    <w:rsid w:val="68690AFD"/>
    <w:rsid w:val="686F39C6"/>
    <w:rsid w:val="68944B6F"/>
    <w:rsid w:val="689C7DD5"/>
    <w:rsid w:val="689E4810"/>
    <w:rsid w:val="68A613C0"/>
    <w:rsid w:val="68D27C90"/>
    <w:rsid w:val="68E048D2"/>
    <w:rsid w:val="68F41EF4"/>
    <w:rsid w:val="69486F63"/>
    <w:rsid w:val="699B6A4B"/>
    <w:rsid w:val="69B03525"/>
    <w:rsid w:val="6AA77712"/>
    <w:rsid w:val="6AD50BAE"/>
    <w:rsid w:val="6B3043A1"/>
    <w:rsid w:val="6B97138E"/>
    <w:rsid w:val="6BEA111B"/>
    <w:rsid w:val="6D735B93"/>
    <w:rsid w:val="6DBA3F4C"/>
    <w:rsid w:val="6DD15131"/>
    <w:rsid w:val="6E2F3C06"/>
    <w:rsid w:val="6EDD18B4"/>
    <w:rsid w:val="6EEE61A0"/>
    <w:rsid w:val="6F32456E"/>
    <w:rsid w:val="6F435BBB"/>
    <w:rsid w:val="6F832F16"/>
    <w:rsid w:val="6F92269E"/>
    <w:rsid w:val="6FA27231"/>
    <w:rsid w:val="70187EFA"/>
    <w:rsid w:val="70893AA1"/>
    <w:rsid w:val="71113E5C"/>
    <w:rsid w:val="71237A52"/>
    <w:rsid w:val="71483282"/>
    <w:rsid w:val="71566079"/>
    <w:rsid w:val="71614A1E"/>
    <w:rsid w:val="71C11872"/>
    <w:rsid w:val="71DA78A3"/>
    <w:rsid w:val="721A52B3"/>
    <w:rsid w:val="724F2AC9"/>
    <w:rsid w:val="729F3C85"/>
    <w:rsid w:val="72A06ACF"/>
    <w:rsid w:val="72AF5315"/>
    <w:rsid w:val="72B15531"/>
    <w:rsid w:val="72B648F6"/>
    <w:rsid w:val="72FE14E8"/>
    <w:rsid w:val="731F249B"/>
    <w:rsid w:val="735D7065"/>
    <w:rsid w:val="73932953"/>
    <w:rsid w:val="7416389E"/>
    <w:rsid w:val="74284B23"/>
    <w:rsid w:val="7432037A"/>
    <w:rsid w:val="744D1F2E"/>
    <w:rsid w:val="74B6656E"/>
    <w:rsid w:val="74EC2851"/>
    <w:rsid w:val="752757CB"/>
    <w:rsid w:val="756C3287"/>
    <w:rsid w:val="75EA4FE2"/>
    <w:rsid w:val="77532B25"/>
    <w:rsid w:val="777A27CC"/>
    <w:rsid w:val="77C74EAF"/>
    <w:rsid w:val="78A201EC"/>
    <w:rsid w:val="78CC6C21"/>
    <w:rsid w:val="79432342"/>
    <w:rsid w:val="79766B8D"/>
    <w:rsid w:val="79E23A8C"/>
    <w:rsid w:val="79FF4DF9"/>
    <w:rsid w:val="7A1E525A"/>
    <w:rsid w:val="7A45160A"/>
    <w:rsid w:val="7A5F5873"/>
    <w:rsid w:val="7AA17C39"/>
    <w:rsid w:val="7B522E37"/>
    <w:rsid w:val="7C1D6CFD"/>
    <w:rsid w:val="7C8B2617"/>
    <w:rsid w:val="7CAD58D7"/>
    <w:rsid w:val="7CB023B6"/>
    <w:rsid w:val="7CE87959"/>
    <w:rsid w:val="7CF36E72"/>
    <w:rsid w:val="7D1B3CD3"/>
    <w:rsid w:val="7D295EF1"/>
    <w:rsid w:val="7D386305"/>
    <w:rsid w:val="7DA71030"/>
    <w:rsid w:val="7DD30A52"/>
    <w:rsid w:val="7DE93DD1"/>
    <w:rsid w:val="7E163944"/>
    <w:rsid w:val="7E3D0957"/>
    <w:rsid w:val="7E4159BB"/>
    <w:rsid w:val="7ED6344E"/>
    <w:rsid w:val="7EE8052D"/>
    <w:rsid w:val="7F1A1251"/>
    <w:rsid w:val="7F315CBC"/>
    <w:rsid w:val="7F565496"/>
    <w:rsid w:val="7F684561"/>
    <w:rsid w:val="7F6B53DE"/>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40E7C-9D3C-4E7F-8008-3994A63C1E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6306</Words>
  <Characters>6879</Characters>
  <Lines>95</Lines>
  <Paragraphs>26</Paragraphs>
  <TotalTime>21</TotalTime>
  <ScaleCrop>false</ScaleCrop>
  <LinksUpToDate>false</LinksUpToDate>
  <CharactersWithSpaces>6928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2023-10-06T07:48:16Z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CED85C005C204E00A46B992EE58AD157</vt:lpwstr>
  </property>
</Properties>
</file>