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C39E9">
      <w:pPr>
        <w:pStyle w:val="10"/>
        <w:jc w:val="center"/>
        <w:rPr>
          <w:rFonts w:hint="eastAsia" w:ascii="方正小标宋_GBK" w:hAnsi="方正小标宋_GBK" w:eastAsia="方正小标宋_GBK" w:cs="方正小标宋_GBK"/>
          <w:sz w:val="84"/>
          <w:szCs w:val="84"/>
          <w:highlight w:val="none"/>
        </w:rPr>
      </w:pPr>
    </w:p>
    <w:p w14:paraId="65A85A36">
      <w:pPr>
        <w:pStyle w:val="10"/>
        <w:jc w:val="center"/>
        <w:rPr>
          <w:rFonts w:hint="eastAsia" w:ascii="方正小标宋_GBK" w:hAnsi="方正小标宋_GBK" w:eastAsia="方正小标宋_GBK" w:cs="方正小标宋_GBK"/>
          <w:sz w:val="84"/>
          <w:szCs w:val="84"/>
          <w:highlight w:val="none"/>
        </w:rPr>
      </w:pPr>
    </w:p>
    <w:p w14:paraId="6D4563F1">
      <w:pPr>
        <w:pStyle w:val="10"/>
        <w:jc w:val="center"/>
        <w:rPr>
          <w:rFonts w:hint="eastAsia" w:ascii="方正小标宋_GBK" w:hAnsi="方正小标宋_GBK" w:eastAsia="方正小标宋_GBK" w:cs="方正小标宋_GBK"/>
          <w:sz w:val="84"/>
          <w:szCs w:val="84"/>
          <w:highlight w:val="none"/>
        </w:rPr>
      </w:pPr>
    </w:p>
    <w:p w14:paraId="69F24349">
      <w:pPr>
        <w:pStyle w:val="10"/>
        <w:jc w:val="center"/>
        <w:rPr>
          <w:rFonts w:hint="eastAsia" w:ascii="方正小标宋_GBK" w:hAnsi="方正小标宋_GBK" w:eastAsia="方正小标宋_GBK" w:cs="方正小标宋_GBK"/>
          <w:sz w:val="84"/>
          <w:szCs w:val="84"/>
          <w:highlight w:val="none"/>
        </w:rPr>
      </w:pPr>
    </w:p>
    <w:p w14:paraId="6040729B">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2022年度</w:t>
      </w:r>
    </w:p>
    <w:p w14:paraId="59A01EE2">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怀化市计划生育协会</w:t>
      </w:r>
    </w:p>
    <w:p w14:paraId="142D6372">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w:t>
      </w:r>
    </w:p>
    <w:p w14:paraId="38A59929">
      <w:pPr>
        <w:pStyle w:val="10"/>
        <w:jc w:val="center"/>
        <w:rPr>
          <w:rFonts w:hint="eastAsia" w:ascii="方正小标宋_GBK" w:hAnsi="方正小标宋_GBK" w:eastAsia="方正小标宋_GBK" w:cs="方正小标宋_GBK"/>
          <w:sz w:val="84"/>
          <w:szCs w:val="84"/>
          <w:highlight w:val="none"/>
        </w:rPr>
      </w:pPr>
    </w:p>
    <w:p w14:paraId="67F38BE5">
      <w:pPr>
        <w:pStyle w:val="10"/>
        <w:jc w:val="center"/>
        <w:rPr>
          <w:rFonts w:hint="eastAsia" w:ascii="方正小标宋_GBK" w:hAnsi="方正小标宋_GBK" w:eastAsia="方正小标宋_GBK" w:cs="方正小标宋_GBK"/>
          <w:sz w:val="84"/>
          <w:szCs w:val="84"/>
          <w:highlight w:val="none"/>
        </w:rPr>
      </w:pPr>
    </w:p>
    <w:p w14:paraId="12452A45">
      <w:pPr>
        <w:pStyle w:val="10"/>
        <w:spacing w:line="600" w:lineRule="exact"/>
        <w:jc w:val="center"/>
        <w:rPr>
          <w:rFonts w:ascii="仿宋_GB2312" w:eastAsia="仿宋_GB2312"/>
          <w:sz w:val="32"/>
          <w:szCs w:val="32"/>
          <w:highlight w:val="none"/>
        </w:rPr>
      </w:pPr>
    </w:p>
    <w:p w14:paraId="76260FB3">
      <w:pPr>
        <w:pStyle w:val="10"/>
        <w:spacing w:line="600" w:lineRule="exact"/>
        <w:jc w:val="center"/>
        <w:rPr>
          <w:rFonts w:ascii="仿宋_GB2312" w:eastAsia="仿宋_GB2312"/>
          <w:sz w:val="32"/>
          <w:szCs w:val="32"/>
          <w:highlight w:val="none"/>
        </w:rPr>
      </w:pPr>
      <w:r>
        <w:rPr>
          <w:rFonts w:hint="eastAsia" w:ascii="仿宋_GB2312" w:eastAsia="仿宋_GB2312"/>
          <w:sz w:val="32"/>
          <w:szCs w:val="32"/>
          <w:highlight w:val="none"/>
        </w:rPr>
        <w:t>目录</w:t>
      </w:r>
    </w:p>
    <w:p w14:paraId="31F3A602">
      <w:pPr>
        <w:pStyle w:val="10"/>
        <w:spacing w:line="600" w:lineRule="exact"/>
        <w:rPr>
          <w:rFonts w:ascii="仿宋_GB2312" w:hAnsi="黑体" w:eastAsia="仿宋_GB2312"/>
          <w:bCs/>
          <w:sz w:val="32"/>
          <w:szCs w:val="32"/>
          <w:highlight w:val="none"/>
        </w:rPr>
      </w:pPr>
      <w:r>
        <w:rPr>
          <w:rFonts w:hint="eastAsia" w:ascii="仿宋_GB2312" w:hAnsi="黑体" w:eastAsia="仿宋_GB2312"/>
          <w:bCs/>
          <w:sz w:val="32"/>
          <w:szCs w:val="32"/>
          <w:highlight w:val="none"/>
        </w:rPr>
        <w:t>第一部分 怀化市计划生育协会概况</w:t>
      </w:r>
    </w:p>
    <w:p w14:paraId="491A2E16">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2B21C151">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1B7F41AA">
      <w:pPr>
        <w:pStyle w:val="10"/>
        <w:spacing w:line="600" w:lineRule="exact"/>
        <w:rPr>
          <w:rFonts w:ascii="仿宋_GB2312" w:hAnsi="黑体" w:eastAsia="仿宋_GB2312"/>
          <w:bCs/>
          <w:sz w:val="32"/>
          <w:szCs w:val="32"/>
          <w:highlight w:val="none"/>
        </w:rPr>
      </w:pPr>
      <w:r>
        <w:rPr>
          <w:rFonts w:hint="eastAsia" w:ascii="仿宋_GB2312" w:hAnsi="黑体" w:eastAsia="仿宋_GB2312"/>
          <w:bCs/>
          <w:sz w:val="32"/>
          <w:szCs w:val="32"/>
          <w:highlight w:val="none"/>
        </w:rPr>
        <w:t>第二部分 部门决算表</w:t>
      </w:r>
    </w:p>
    <w:p w14:paraId="249B9C7C">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128228A3">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25E1DA7">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1912E1AD">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2711F10A">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46FC626D">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3E545AC9">
      <w:pPr>
        <w:pStyle w:val="10"/>
        <w:spacing w:line="500" w:lineRule="exact"/>
        <w:ind w:firstLine="840" w:firstLineChars="3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七</w:t>
      </w:r>
      <w:r>
        <w:rPr>
          <w:rFonts w:hint="eastAsia" w:ascii="仿宋_GB2312" w:hAnsi="仿宋_GB2312" w:eastAsia="仿宋_GB2312" w:cs="仿宋_GB2312"/>
          <w:sz w:val="28"/>
          <w:szCs w:val="28"/>
          <w:highlight w:val="none"/>
        </w:rPr>
        <w:t>、财政拨款“三公”经费支出决算表</w:t>
      </w:r>
    </w:p>
    <w:p w14:paraId="62996C7E">
      <w:pPr>
        <w:pStyle w:val="10"/>
        <w:spacing w:line="500" w:lineRule="exact"/>
        <w:ind w:firstLine="840" w:firstLineChars="3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八</w:t>
      </w:r>
      <w:r>
        <w:rPr>
          <w:rFonts w:hint="eastAsia" w:ascii="仿宋_GB2312" w:hAnsi="仿宋_GB2312" w:eastAsia="仿宋_GB2312" w:cs="仿宋_GB2312"/>
          <w:sz w:val="28"/>
          <w:szCs w:val="28"/>
          <w:highlight w:val="none"/>
        </w:rPr>
        <w:t>、政府性基金预算财政拨款收入支出决算表</w:t>
      </w:r>
    </w:p>
    <w:p w14:paraId="4DB7CC32">
      <w:pPr>
        <w:pStyle w:val="10"/>
        <w:spacing w:line="600" w:lineRule="exact"/>
        <w:ind w:firstLine="840" w:firstLineChars="3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九</w:t>
      </w:r>
      <w:r>
        <w:rPr>
          <w:rFonts w:hint="eastAsia" w:ascii="仿宋_GB2312" w:hAnsi="仿宋_GB2312" w:eastAsia="仿宋_GB2312" w:cs="仿宋_GB2312"/>
          <w:sz w:val="28"/>
          <w:szCs w:val="28"/>
          <w:highlight w:val="none"/>
        </w:rPr>
        <w:t>、国有资本经营预算财政拨款支出决算表</w:t>
      </w:r>
    </w:p>
    <w:p w14:paraId="229A91D8">
      <w:pPr>
        <w:pStyle w:val="10"/>
        <w:spacing w:line="600" w:lineRule="exact"/>
        <w:rPr>
          <w:rFonts w:ascii="仿宋_GB2312" w:hAnsi="黑体" w:eastAsia="仿宋_GB2312"/>
          <w:bCs/>
          <w:sz w:val="32"/>
          <w:szCs w:val="32"/>
          <w:highlight w:val="none"/>
        </w:rPr>
      </w:pPr>
      <w:r>
        <w:rPr>
          <w:rFonts w:hint="eastAsia" w:ascii="仿宋_GB2312" w:hAnsi="黑体" w:eastAsia="仿宋_GB2312"/>
          <w:bCs/>
          <w:sz w:val="32"/>
          <w:szCs w:val="32"/>
          <w:highlight w:val="none"/>
        </w:rPr>
        <w:t>第三部分 部门决算情况说明</w:t>
      </w:r>
    </w:p>
    <w:p w14:paraId="2E1D457C">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DCBFB30">
      <w:pPr>
        <w:spacing w:line="600" w:lineRule="exact"/>
        <w:ind w:firstLine="800" w:firstLineChars="25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4D37060A">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4062FD5C">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5321C694">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4EEC596">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6D51C0BF">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4705BA5E">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w:t>
      </w:r>
    </w:p>
    <w:p w14:paraId="20FF6D74">
      <w:pPr>
        <w:autoSpaceDE w:val="0"/>
        <w:autoSpaceDN w:val="0"/>
        <w:adjustRightInd w:val="0"/>
        <w:spacing w:line="600" w:lineRule="exact"/>
        <w:ind w:firstLine="800" w:firstLineChars="250"/>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九、国有资本经营预算财政拨款支出决算情况</w:t>
      </w:r>
    </w:p>
    <w:p w14:paraId="3D970DB7">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7C2D7081">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7AF1229A">
      <w:pPr>
        <w:autoSpaceDE w:val="0"/>
        <w:autoSpaceDN w:val="0"/>
        <w:adjustRightInd w:val="0"/>
        <w:spacing w:line="600" w:lineRule="exact"/>
        <w:ind w:firstLine="800" w:firstLineChars="25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3D5DF254">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十三、关于国有资产占用情况说明</w:t>
      </w:r>
    </w:p>
    <w:p w14:paraId="0A58AFFA">
      <w:pPr>
        <w:pStyle w:val="10"/>
        <w:spacing w:line="600" w:lineRule="exact"/>
        <w:ind w:firstLine="800" w:firstLineChars="25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十四、关于预算绩效情况的说明</w:t>
      </w:r>
    </w:p>
    <w:p w14:paraId="59DCF6A2">
      <w:pPr>
        <w:pStyle w:val="10"/>
        <w:spacing w:line="600" w:lineRule="exact"/>
        <w:rPr>
          <w:rFonts w:hint="eastAsia" w:ascii="仿宋_GB2312" w:hAnsi="黑体" w:eastAsia="仿宋_GB2312"/>
          <w:bCs/>
          <w:sz w:val="32"/>
          <w:szCs w:val="32"/>
          <w:highlight w:val="none"/>
        </w:rPr>
      </w:pPr>
      <w:r>
        <w:rPr>
          <w:rFonts w:hint="eastAsia" w:ascii="仿宋_GB2312" w:hAnsi="黑体" w:eastAsia="仿宋_GB2312"/>
          <w:bCs/>
          <w:sz w:val="32"/>
          <w:szCs w:val="32"/>
          <w:highlight w:val="none"/>
        </w:rPr>
        <w:t>第四部分 名词解释</w:t>
      </w:r>
    </w:p>
    <w:p w14:paraId="020B8ECB">
      <w:pPr>
        <w:pStyle w:val="10"/>
        <w:spacing w:line="600" w:lineRule="exact"/>
        <w:rPr>
          <w:rFonts w:hint="eastAsia" w:ascii="仿宋_GB2312" w:hAnsi="黑体" w:eastAsia="仿宋_GB2312"/>
          <w:bCs/>
          <w:sz w:val="32"/>
          <w:szCs w:val="32"/>
          <w:highlight w:val="none"/>
          <w:lang w:val="en-US" w:eastAsia="zh-CN"/>
        </w:rPr>
      </w:pPr>
      <w:r>
        <w:rPr>
          <w:rFonts w:hint="eastAsia" w:ascii="仿宋_GB2312" w:hAnsi="黑体" w:eastAsia="仿宋_GB2312"/>
          <w:bCs/>
          <w:sz w:val="32"/>
          <w:szCs w:val="32"/>
          <w:highlight w:val="none"/>
          <w:lang w:val="en-US" w:eastAsia="zh-CN"/>
        </w:rPr>
        <w:t>第五部分 附件</w:t>
      </w:r>
    </w:p>
    <w:p w14:paraId="2E3B394B">
      <w:pPr>
        <w:pStyle w:val="10"/>
        <w:spacing w:line="600" w:lineRule="exact"/>
        <w:rPr>
          <w:rFonts w:hint="eastAsia" w:ascii="仿宋_GB2312" w:hAnsi="黑体" w:eastAsia="仿宋_GB2312"/>
          <w:bCs/>
          <w:sz w:val="32"/>
          <w:szCs w:val="32"/>
          <w:highlight w:val="none"/>
          <w:lang w:val="en-US" w:eastAsia="zh-CN"/>
        </w:rPr>
      </w:pPr>
    </w:p>
    <w:p w14:paraId="29BA7964">
      <w:pPr>
        <w:pStyle w:val="10"/>
        <w:spacing w:line="600" w:lineRule="exact"/>
        <w:rPr>
          <w:rFonts w:hint="eastAsia" w:ascii="仿宋_GB2312" w:hAnsi="黑体" w:eastAsia="仿宋_GB2312"/>
          <w:bCs/>
          <w:sz w:val="32"/>
          <w:szCs w:val="32"/>
          <w:highlight w:val="none"/>
          <w:lang w:val="en-US" w:eastAsia="zh-CN"/>
        </w:rPr>
      </w:pPr>
    </w:p>
    <w:p w14:paraId="3D17579E">
      <w:pPr>
        <w:pStyle w:val="10"/>
        <w:spacing w:line="600" w:lineRule="exact"/>
        <w:rPr>
          <w:rFonts w:hint="eastAsia" w:ascii="仿宋_GB2312" w:hAnsi="黑体" w:eastAsia="仿宋_GB2312"/>
          <w:bCs/>
          <w:sz w:val="32"/>
          <w:szCs w:val="32"/>
          <w:highlight w:val="none"/>
          <w:lang w:val="en-US" w:eastAsia="zh-CN"/>
        </w:rPr>
      </w:pPr>
    </w:p>
    <w:p w14:paraId="296CC391">
      <w:pPr>
        <w:pStyle w:val="10"/>
        <w:spacing w:line="600" w:lineRule="exact"/>
        <w:rPr>
          <w:rFonts w:hint="eastAsia" w:ascii="仿宋_GB2312" w:hAnsi="黑体" w:eastAsia="仿宋_GB2312"/>
          <w:bCs/>
          <w:sz w:val="32"/>
          <w:szCs w:val="32"/>
          <w:highlight w:val="none"/>
          <w:lang w:val="en-US" w:eastAsia="zh-CN"/>
        </w:rPr>
      </w:pPr>
    </w:p>
    <w:p w14:paraId="20A68495">
      <w:pPr>
        <w:pStyle w:val="10"/>
        <w:spacing w:line="600" w:lineRule="exact"/>
        <w:rPr>
          <w:rFonts w:hint="eastAsia" w:ascii="仿宋_GB2312" w:hAnsi="黑体" w:eastAsia="仿宋_GB2312"/>
          <w:bCs/>
          <w:sz w:val="32"/>
          <w:szCs w:val="32"/>
          <w:highlight w:val="none"/>
          <w:lang w:val="en-US" w:eastAsia="zh-CN"/>
        </w:rPr>
      </w:pPr>
    </w:p>
    <w:p w14:paraId="6AFE6E41">
      <w:pPr>
        <w:pStyle w:val="10"/>
        <w:spacing w:line="600" w:lineRule="exact"/>
        <w:rPr>
          <w:rFonts w:hint="eastAsia" w:ascii="仿宋_GB2312" w:hAnsi="黑体" w:eastAsia="仿宋_GB2312"/>
          <w:bCs/>
          <w:sz w:val="32"/>
          <w:szCs w:val="32"/>
          <w:highlight w:val="none"/>
          <w:lang w:val="en-US" w:eastAsia="zh-CN"/>
        </w:rPr>
      </w:pPr>
    </w:p>
    <w:p w14:paraId="1C85A353">
      <w:pPr>
        <w:pStyle w:val="10"/>
        <w:spacing w:line="600" w:lineRule="exact"/>
        <w:rPr>
          <w:rFonts w:hint="eastAsia" w:ascii="仿宋_GB2312" w:hAnsi="黑体" w:eastAsia="仿宋_GB2312"/>
          <w:bCs/>
          <w:sz w:val="32"/>
          <w:szCs w:val="32"/>
          <w:highlight w:val="none"/>
          <w:lang w:val="en-US" w:eastAsia="zh-CN"/>
        </w:rPr>
      </w:pPr>
    </w:p>
    <w:p w14:paraId="7F3A7254">
      <w:pPr>
        <w:pStyle w:val="10"/>
        <w:spacing w:line="600" w:lineRule="exact"/>
        <w:rPr>
          <w:rFonts w:hint="eastAsia" w:ascii="仿宋_GB2312" w:hAnsi="黑体" w:eastAsia="仿宋_GB2312"/>
          <w:bCs/>
          <w:sz w:val="32"/>
          <w:szCs w:val="32"/>
          <w:highlight w:val="none"/>
          <w:lang w:val="en-US" w:eastAsia="zh-CN"/>
        </w:rPr>
      </w:pPr>
    </w:p>
    <w:p w14:paraId="678D3200">
      <w:pPr>
        <w:pStyle w:val="10"/>
        <w:spacing w:line="600" w:lineRule="exact"/>
        <w:rPr>
          <w:rFonts w:hint="eastAsia" w:ascii="仿宋_GB2312" w:hAnsi="黑体" w:eastAsia="仿宋_GB2312"/>
          <w:bCs/>
          <w:sz w:val="32"/>
          <w:szCs w:val="32"/>
          <w:highlight w:val="none"/>
          <w:lang w:val="en-US" w:eastAsia="zh-CN"/>
        </w:rPr>
      </w:pPr>
    </w:p>
    <w:p w14:paraId="6838BA3C">
      <w:pPr>
        <w:pStyle w:val="10"/>
        <w:spacing w:line="600" w:lineRule="exact"/>
        <w:rPr>
          <w:rFonts w:hint="eastAsia" w:ascii="仿宋_GB2312" w:hAnsi="黑体" w:eastAsia="仿宋_GB2312"/>
          <w:bCs/>
          <w:sz w:val="32"/>
          <w:szCs w:val="32"/>
          <w:highlight w:val="none"/>
          <w:lang w:val="en-US" w:eastAsia="zh-CN"/>
        </w:rPr>
      </w:pPr>
    </w:p>
    <w:p w14:paraId="4DC25B4C">
      <w:pPr>
        <w:pStyle w:val="10"/>
        <w:spacing w:line="600" w:lineRule="exact"/>
        <w:rPr>
          <w:rFonts w:hint="eastAsia" w:ascii="仿宋_GB2312" w:hAnsi="黑体" w:eastAsia="仿宋_GB2312"/>
          <w:bCs/>
          <w:sz w:val="32"/>
          <w:szCs w:val="32"/>
          <w:highlight w:val="none"/>
          <w:lang w:val="en-US" w:eastAsia="zh-CN"/>
        </w:rPr>
      </w:pPr>
    </w:p>
    <w:p w14:paraId="126DE148">
      <w:pPr>
        <w:pStyle w:val="10"/>
        <w:spacing w:line="600" w:lineRule="exact"/>
        <w:rPr>
          <w:rFonts w:hint="eastAsia" w:ascii="仿宋_GB2312" w:hAnsi="黑体" w:eastAsia="仿宋_GB2312"/>
          <w:bCs/>
          <w:sz w:val="32"/>
          <w:szCs w:val="32"/>
          <w:highlight w:val="none"/>
          <w:lang w:val="en-US" w:eastAsia="zh-CN"/>
        </w:rPr>
      </w:pPr>
    </w:p>
    <w:p w14:paraId="1B3CFA82">
      <w:pPr>
        <w:pStyle w:val="10"/>
        <w:spacing w:line="600" w:lineRule="exact"/>
        <w:rPr>
          <w:rFonts w:hint="eastAsia" w:ascii="仿宋_GB2312" w:hAnsi="黑体" w:eastAsia="仿宋_GB2312"/>
          <w:bCs/>
          <w:sz w:val="32"/>
          <w:szCs w:val="32"/>
          <w:highlight w:val="none"/>
          <w:lang w:val="en-US" w:eastAsia="zh-CN"/>
        </w:rPr>
      </w:pPr>
    </w:p>
    <w:p w14:paraId="22B406D8">
      <w:pPr>
        <w:spacing w:line="600" w:lineRule="exact"/>
        <w:rPr>
          <w:rFonts w:ascii="仿宋_GB2312" w:hAnsi="方正小标宋_GBK" w:eastAsia="仿宋_GB2312" w:cs="方正小标宋_GBK"/>
          <w:sz w:val="32"/>
          <w:szCs w:val="32"/>
          <w:highlight w:val="none"/>
        </w:rPr>
      </w:pPr>
    </w:p>
    <w:p w14:paraId="1E6B7C9B">
      <w:pPr>
        <w:spacing w:line="600" w:lineRule="exact"/>
        <w:rPr>
          <w:rFonts w:ascii="仿宋_GB2312" w:hAnsi="方正小标宋_GBK" w:eastAsia="仿宋_GB2312" w:cs="方正小标宋_GBK"/>
          <w:sz w:val="32"/>
          <w:szCs w:val="32"/>
          <w:highlight w:val="none"/>
        </w:rPr>
      </w:pPr>
    </w:p>
    <w:p w14:paraId="761D57F1">
      <w:pPr>
        <w:spacing w:line="600" w:lineRule="exact"/>
        <w:rPr>
          <w:rFonts w:ascii="仿宋_GB2312" w:hAnsi="方正小标宋_GBK" w:eastAsia="仿宋_GB2312" w:cs="方正小标宋_GBK"/>
          <w:sz w:val="32"/>
          <w:szCs w:val="32"/>
          <w:highlight w:val="none"/>
        </w:rPr>
      </w:pPr>
    </w:p>
    <w:p w14:paraId="111E51A7">
      <w:pPr>
        <w:spacing w:line="600" w:lineRule="exact"/>
        <w:rPr>
          <w:rFonts w:ascii="仿宋_GB2312" w:hAnsi="方正小标宋_GBK" w:eastAsia="仿宋_GB2312" w:cs="方正小标宋_GBK"/>
          <w:sz w:val="32"/>
          <w:szCs w:val="32"/>
          <w:highlight w:val="none"/>
        </w:rPr>
      </w:pPr>
    </w:p>
    <w:p w14:paraId="5AEB097E">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 xml:space="preserve">第一部分 </w:t>
      </w:r>
    </w:p>
    <w:p w14:paraId="21868CE0">
      <w:pPr>
        <w:pStyle w:val="10"/>
        <w:jc w:val="center"/>
        <w:rPr>
          <w:rFonts w:hint="eastAsia" w:ascii="方正小标宋_GBK" w:hAnsi="方正小标宋_GBK" w:eastAsia="方正小标宋_GBK" w:cs="方正小标宋_GBK"/>
          <w:sz w:val="84"/>
          <w:szCs w:val="84"/>
          <w:highlight w:val="none"/>
        </w:rPr>
      </w:pPr>
      <w:r>
        <w:rPr>
          <w:rFonts w:hint="eastAsia" w:ascii="黑体" w:hAnsi="黑体" w:eastAsia="黑体" w:cs="黑体"/>
          <w:sz w:val="44"/>
          <w:szCs w:val="44"/>
          <w:highlight w:val="none"/>
        </w:rPr>
        <w:t>怀化市计划生育协会概况</w:t>
      </w:r>
    </w:p>
    <w:p w14:paraId="2E41110A">
      <w:pPr>
        <w:spacing w:line="600" w:lineRule="exact"/>
        <w:ind w:firstLine="640" w:firstLineChars="200"/>
        <w:jc w:val="left"/>
        <w:rPr>
          <w:rFonts w:hint="eastAsia" w:ascii="仿宋_GB2312" w:hAnsi="黑体" w:eastAsia="仿宋_GB2312" w:cs="黑体"/>
          <w:sz w:val="32"/>
          <w:szCs w:val="32"/>
          <w:highlight w:val="none"/>
        </w:rPr>
      </w:pPr>
    </w:p>
    <w:p w14:paraId="2D7D375C">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一、部门职责</w:t>
      </w:r>
    </w:p>
    <w:p w14:paraId="2DFC918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_GB2312" w:hAnsi="黑体" w:eastAsia="仿宋_GB2312" w:cs="黑体"/>
          <w:sz w:val="32"/>
          <w:szCs w:val="32"/>
          <w:highlight w:val="none"/>
        </w:rPr>
      </w:pPr>
      <w:r>
        <w:rPr>
          <w:rFonts w:hint="eastAsia" w:ascii="仿宋_GB2312" w:hAnsi="Times New Roman" w:eastAsia="仿宋_GB2312" w:cs="仿宋_GB2312"/>
          <w:sz w:val="32"/>
          <w:szCs w:val="32"/>
          <w:highlight w:val="none"/>
        </w:rPr>
        <w:t>（一）贯彻《中华人民共和国人口和计划生育法》、《中国计划生育协会章程》和国家相关法律法规政策，协助政府统筹解决人口问题，促进人口长期均衡发展。</w:t>
      </w:r>
    </w:p>
    <w:p w14:paraId="1B859D5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highlight w:val="none"/>
        </w:rPr>
        <w:t>（二）全心全意服务育龄群众和计划生育家庭，发挥带头、宣传、服务、监督、交流作用，动员和组织广大群众参与人口发展、生殖健康、计划生育和家庭保健。</w:t>
      </w:r>
    </w:p>
    <w:p w14:paraId="4964B52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highlight w:val="none"/>
        </w:rPr>
        <w:t>（三）开展群众性宣传工作，普及生殖健康、计划生育等科学知识和信息，倡导科学、文明、健康的婚育观念，提高群众实行计划生育的能力和水平。</w:t>
      </w:r>
    </w:p>
    <w:p w14:paraId="5E4D1BD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highlight w:val="none"/>
        </w:rPr>
        <w:t>（四）拓展服务领域，推进生育关怀行动，为广大育龄群众和计划生育家庭谋福祉。</w:t>
      </w:r>
    </w:p>
    <w:p w14:paraId="54A095F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highlight w:val="none"/>
        </w:rPr>
        <w:t>（五）推进人口计划生育基层群众自治，教育、引导广大群众自觉实行计划生育，反映群众在生殖健康、计划生育等方面的诉求，依法维护群众的合法权益。</w:t>
      </w:r>
    </w:p>
    <w:p w14:paraId="01C1447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highlight w:val="none"/>
        </w:rPr>
        <w:t>（六）完成市委、市政府及市卫生健康委交办的其他事项。</w:t>
      </w:r>
    </w:p>
    <w:p w14:paraId="10A090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二、机构设置及决算单位构成</w:t>
      </w:r>
    </w:p>
    <w:p w14:paraId="36FC695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bCs/>
          <w:kern w:val="0"/>
          <w:sz w:val="32"/>
          <w:szCs w:val="32"/>
          <w:highlight w:val="none"/>
        </w:rPr>
      </w:pPr>
      <w:r>
        <w:rPr>
          <w:rFonts w:hint="eastAsia" w:ascii="仿宋_GB2312" w:hAnsi="Times New Roman" w:eastAsia="仿宋_GB2312" w:cs="仿宋_GB2312"/>
          <w:bCs/>
          <w:kern w:val="0"/>
          <w:sz w:val="32"/>
          <w:szCs w:val="32"/>
          <w:highlight w:val="none"/>
        </w:rPr>
        <w:t>（一）内设机构设置。怀化市计划生育协会内设机构包括：综合科，家庭服务科，宣传教育科。</w:t>
      </w:r>
    </w:p>
    <w:p w14:paraId="31C5ADB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小标宋_GBK" w:hAnsi="方正小标宋_GBK" w:eastAsia="方正小标宋_GBK" w:cs="方正小标宋_GBK"/>
          <w:sz w:val="84"/>
          <w:szCs w:val="84"/>
          <w:highlight w:val="none"/>
        </w:rPr>
      </w:pPr>
      <w:r>
        <w:rPr>
          <w:rFonts w:hint="eastAsia" w:ascii="仿宋_GB2312" w:hAnsi="Times New Roman" w:eastAsia="仿宋_GB2312" w:cs="仿宋_GB2312"/>
          <w:bCs/>
          <w:kern w:val="0"/>
          <w:sz w:val="32"/>
          <w:szCs w:val="32"/>
          <w:highlight w:val="none"/>
        </w:rPr>
        <w:t>（二）决算单位构成。怀化市计划生育协会2022年部门决算汇总公开单位构成包括：怀化市计划生育协会本级，无二级决算单位。</w:t>
      </w:r>
    </w:p>
    <w:p w14:paraId="22F10148">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第二部分</w:t>
      </w:r>
    </w:p>
    <w:p w14:paraId="3D5A5325">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部门决算表</w:t>
      </w:r>
    </w:p>
    <w:p w14:paraId="692A2BB5">
      <w:pPr>
        <w:pStyle w:val="10"/>
        <w:jc w:val="center"/>
        <w:rPr>
          <w:rFonts w:hint="eastAsia" w:ascii="仿宋_GB2312" w:hAnsi="Times New Roman" w:eastAsia="仿宋_GB2312" w:cs="仿宋_GB2312"/>
          <w:bCs/>
          <w:color w:val="auto"/>
          <w:kern w:val="0"/>
          <w:sz w:val="32"/>
          <w:szCs w:val="32"/>
          <w:highlight w:val="none"/>
          <w:lang w:val="en-US" w:eastAsia="zh-CN" w:bidi="ar-SA"/>
        </w:rPr>
      </w:pPr>
      <w:r>
        <w:rPr>
          <w:rFonts w:hint="eastAsia" w:ascii="仿宋_GB2312" w:hAnsi="Times New Roman" w:eastAsia="仿宋_GB2312" w:cs="仿宋_GB2312"/>
          <w:bCs/>
          <w:color w:val="auto"/>
          <w:kern w:val="0"/>
          <w:sz w:val="32"/>
          <w:szCs w:val="32"/>
          <w:highlight w:val="none"/>
          <w:lang w:val="en-US" w:eastAsia="zh-CN" w:bidi="ar-SA"/>
        </w:rPr>
        <w:t>（详见附件）</w:t>
      </w:r>
    </w:p>
    <w:p w14:paraId="56C0C1E2">
      <w:pPr>
        <w:pStyle w:val="10"/>
        <w:jc w:val="center"/>
        <w:rPr>
          <w:rFonts w:hint="eastAsia" w:ascii="黑体" w:hAnsi="黑体" w:eastAsia="黑体" w:cs="黑体"/>
          <w:sz w:val="44"/>
          <w:szCs w:val="44"/>
          <w:highlight w:val="none"/>
        </w:rPr>
      </w:pPr>
    </w:p>
    <w:p w14:paraId="2437B327">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34090F04">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2022年度部门决算情况说明</w:t>
      </w:r>
    </w:p>
    <w:p w14:paraId="1BE04736">
      <w:pPr>
        <w:pStyle w:val="10"/>
        <w:keepNext w:val="0"/>
        <w:keepLines w:val="0"/>
        <w:pageBreakBefore w:val="0"/>
        <w:kinsoku/>
        <w:wordWrap/>
        <w:topLinePunct w:val="0"/>
        <w:bidi w:val="0"/>
        <w:snapToGrid/>
        <w:spacing w:line="600" w:lineRule="exact"/>
        <w:ind w:firstLine="640" w:firstLineChars="200"/>
        <w:textAlignment w:val="auto"/>
        <w:rPr>
          <w:rFonts w:hint="eastAsia" w:ascii="仿宋_GB2312" w:hAnsi="黑体" w:eastAsia="仿宋_GB2312"/>
          <w:bCs/>
          <w:sz w:val="32"/>
          <w:szCs w:val="32"/>
          <w:highlight w:val="none"/>
        </w:rPr>
      </w:pPr>
    </w:p>
    <w:p w14:paraId="45215788">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720" w:firstLineChars="200"/>
        <w:textAlignment w:val="auto"/>
        <w:rPr>
          <w:rFonts w:hint="eastAsia" w:ascii="黑体" w:hAnsi="黑体" w:eastAsia="黑体" w:cs="黑体"/>
          <w:bCs/>
          <w:sz w:val="36"/>
          <w:szCs w:val="36"/>
          <w:highlight w:val="none"/>
        </w:rPr>
      </w:pPr>
      <w:r>
        <w:rPr>
          <w:rFonts w:hint="eastAsia" w:ascii="黑体" w:hAnsi="黑体" w:eastAsia="黑体" w:cs="黑体"/>
          <w:bCs/>
          <w:sz w:val="36"/>
          <w:szCs w:val="36"/>
          <w:highlight w:val="none"/>
        </w:rPr>
        <w:t>一、收入支出决算总体情况说明</w:t>
      </w:r>
    </w:p>
    <w:p w14:paraId="2A45CE67">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textAlignment w:val="auto"/>
        <w:rPr>
          <w:rFonts w:ascii="仿宋_GB2312" w:hAnsi="Times New Roman" w:eastAsia="仿宋_GB2312"/>
          <w:color w:val="FF0000"/>
          <w:sz w:val="32"/>
          <w:szCs w:val="32"/>
          <w:highlight w:val="none"/>
        </w:rPr>
      </w:pPr>
      <w:r>
        <w:rPr>
          <w:rFonts w:hint="eastAsia" w:ascii="仿宋_GB2312" w:hAnsi="Times New Roman" w:eastAsia="仿宋_GB2312"/>
          <w:sz w:val="32"/>
          <w:szCs w:val="32"/>
          <w:highlight w:val="none"/>
        </w:rPr>
        <w:t>2022年度收、支总计均为238.82万元。与上年相比，增加22.53万元，增长10.42%，</w:t>
      </w:r>
      <w:r>
        <w:rPr>
          <w:rFonts w:hint="eastAsia" w:ascii="仿宋_GB2312" w:hAnsi="Times New Roman" w:eastAsia="仿宋_GB2312"/>
          <w:color w:val="auto"/>
          <w:sz w:val="32"/>
          <w:szCs w:val="32"/>
          <w:highlight w:val="none"/>
        </w:rPr>
        <w:t>主要是因为增加了专项业务支出。</w:t>
      </w:r>
    </w:p>
    <w:p w14:paraId="5F20AF12">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720" w:firstLineChars="200"/>
        <w:textAlignment w:val="auto"/>
        <w:rPr>
          <w:rFonts w:hint="eastAsia" w:ascii="黑体" w:hAnsi="黑体" w:eastAsia="黑体" w:cs="黑体"/>
          <w:bCs/>
          <w:sz w:val="36"/>
          <w:szCs w:val="36"/>
          <w:highlight w:val="none"/>
        </w:rPr>
      </w:pPr>
      <w:r>
        <w:rPr>
          <w:rFonts w:hint="eastAsia" w:ascii="黑体" w:hAnsi="黑体" w:eastAsia="黑体" w:cs="黑体"/>
          <w:bCs/>
          <w:sz w:val="36"/>
          <w:szCs w:val="36"/>
          <w:highlight w:val="none"/>
        </w:rPr>
        <w:t>二、收入决算情况说明</w:t>
      </w:r>
    </w:p>
    <w:p w14:paraId="7468AED6">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2022年度收入合计238.82万元，其中：财政拨款收入226.79万元，占94.96%；其他收入12.03万元，占5.04%。</w:t>
      </w:r>
    </w:p>
    <w:p w14:paraId="0BE98BBE">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720" w:firstLineChars="200"/>
        <w:textAlignment w:val="auto"/>
        <w:rPr>
          <w:rFonts w:hint="eastAsia" w:ascii="黑体" w:hAnsi="黑体" w:eastAsia="黑体" w:cs="黑体"/>
          <w:bCs/>
          <w:sz w:val="36"/>
          <w:szCs w:val="36"/>
          <w:highlight w:val="none"/>
        </w:rPr>
      </w:pPr>
      <w:r>
        <w:rPr>
          <w:rFonts w:hint="eastAsia" w:ascii="黑体" w:hAnsi="黑体" w:eastAsia="黑体" w:cs="黑体"/>
          <w:bCs/>
          <w:sz w:val="36"/>
          <w:szCs w:val="36"/>
          <w:highlight w:val="none"/>
        </w:rPr>
        <w:t>三、支出决算情况说明</w:t>
      </w:r>
    </w:p>
    <w:p w14:paraId="358810B1">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2022年度支出合计238.82万元，其中：基本支出170.82万元，占71.53%；项目支出68万元，占28.47%。</w:t>
      </w:r>
    </w:p>
    <w:p w14:paraId="65F7182C">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720" w:firstLineChars="200"/>
        <w:textAlignment w:val="auto"/>
        <w:rPr>
          <w:rFonts w:hint="eastAsia" w:ascii="黑体" w:hAnsi="黑体" w:eastAsia="黑体" w:cs="黑体"/>
          <w:bCs/>
          <w:sz w:val="36"/>
          <w:szCs w:val="36"/>
          <w:highlight w:val="none"/>
        </w:rPr>
      </w:pPr>
      <w:r>
        <w:rPr>
          <w:rFonts w:hint="eastAsia" w:ascii="黑体" w:hAnsi="黑体" w:eastAsia="黑体" w:cs="黑体"/>
          <w:bCs/>
          <w:sz w:val="36"/>
          <w:szCs w:val="36"/>
          <w:highlight w:val="none"/>
        </w:rPr>
        <w:t>四、财政拨款收入支出决算总体情况说明</w:t>
      </w:r>
    </w:p>
    <w:p w14:paraId="05860F78">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textAlignment w:val="auto"/>
        <w:rPr>
          <w:rFonts w:ascii="仿宋_GB2312" w:hAnsi="Times New Roman" w:eastAsia="仿宋_GB2312"/>
          <w:color w:val="auto"/>
          <w:sz w:val="32"/>
          <w:szCs w:val="32"/>
          <w:highlight w:val="none"/>
        </w:rPr>
      </w:pPr>
      <w:r>
        <w:rPr>
          <w:rFonts w:hint="eastAsia" w:ascii="仿宋_GB2312" w:hAnsi="Times New Roman" w:eastAsia="仿宋_GB2312"/>
          <w:sz w:val="32"/>
          <w:szCs w:val="32"/>
          <w:highlight w:val="none"/>
        </w:rPr>
        <w:t>2022年度财政拨款收、支总计均为226.79万元，与上年相比，增加10.50万元,增长4.85%，</w:t>
      </w:r>
      <w:r>
        <w:rPr>
          <w:rFonts w:hint="eastAsia" w:ascii="仿宋_GB2312" w:hAnsi="Times New Roman" w:eastAsia="仿宋_GB2312"/>
          <w:color w:val="auto"/>
          <w:sz w:val="32"/>
          <w:szCs w:val="32"/>
          <w:highlight w:val="none"/>
        </w:rPr>
        <w:t>主要是因为增加了专项业务支出。</w:t>
      </w:r>
    </w:p>
    <w:p w14:paraId="4F26FEEA">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720" w:firstLineChars="200"/>
        <w:textAlignment w:val="auto"/>
        <w:rPr>
          <w:rFonts w:hint="eastAsia" w:ascii="黑体" w:hAnsi="黑体" w:eastAsia="黑体" w:cs="黑体"/>
          <w:bCs/>
          <w:sz w:val="36"/>
          <w:szCs w:val="36"/>
          <w:highlight w:val="none"/>
        </w:rPr>
      </w:pPr>
      <w:r>
        <w:rPr>
          <w:rFonts w:hint="eastAsia" w:ascii="黑体" w:hAnsi="黑体" w:eastAsia="黑体" w:cs="黑体"/>
          <w:bCs/>
          <w:sz w:val="36"/>
          <w:szCs w:val="36"/>
          <w:highlight w:val="none"/>
        </w:rPr>
        <w:t>五、一般公共预算财政拨款支出决算情况说明</w:t>
      </w:r>
    </w:p>
    <w:p w14:paraId="06015125">
      <w:pPr>
        <w:pStyle w:val="10"/>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textAlignment w:val="auto"/>
        <w:rPr>
          <w:rFonts w:ascii="仿宋_GB2312" w:hAnsi="楷体" w:eastAsia="仿宋_GB2312" w:cs="楷体"/>
          <w:b/>
          <w:bCs w:val="0"/>
          <w:sz w:val="32"/>
          <w:szCs w:val="32"/>
          <w:highlight w:val="none"/>
        </w:rPr>
      </w:pPr>
      <w:r>
        <w:rPr>
          <w:rFonts w:hint="eastAsia" w:ascii="仿宋_GB2312" w:hAnsi="楷体" w:eastAsia="仿宋_GB2312" w:cs="楷体"/>
          <w:b/>
          <w:bCs w:val="0"/>
          <w:sz w:val="32"/>
          <w:szCs w:val="32"/>
          <w:highlight w:val="none"/>
        </w:rPr>
        <w:t>（一）财政拨款支出决算总体情况</w:t>
      </w:r>
    </w:p>
    <w:p w14:paraId="2DE09AF4">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color w:val="auto"/>
          <w:sz w:val="32"/>
          <w:szCs w:val="32"/>
          <w:highlight w:val="none"/>
        </w:rPr>
      </w:pPr>
      <w:r>
        <w:rPr>
          <w:rFonts w:hint="eastAsia" w:ascii="仿宋_GB2312" w:hAnsi="Times New Roman" w:eastAsia="仿宋_GB2312"/>
          <w:sz w:val="32"/>
          <w:szCs w:val="32"/>
          <w:highlight w:val="none"/>
        </w:rPr>
        <w:t>2022年度财政拨款支出226.79万元，占本年支出合计的</w:t>
      </w:r>
      <w:r>
        <w:rPr>
          <w:rFonts w:hint="eastAsia" w:ascii="仿宋_GB2312" w:hAnsi="Times New Roman" w:eastAsia="仿宋_GB2312"/>
          <w:sz w:val="32"/>
          <w:szCs w:val="32"/>
          <w:highlight w:val="none"/>
          <w:lang w:val="en-US" w:eastAsia="zh-CN"/>
        </w:rPr>
        <w:t>94.96</w:t>
      </w:r>
      <w:r>
        <w:rPr>
          <w:rFonts w:hint="eastAsia" w:ascii="仿宋_GB2312" w:hAnsi="Times New Roman" w:eastAsia="仿宋_GB2312"/>
          <w:sz w:val="32"/>
          <w:szCs w:val="32"/>
          <w:highlight w:val="none"/>
        </w:rPr>
        <w:t>%，与上年相比，财政拨款支出增加10.</w:t>
      </w:r>
      <w:r>
        <w:rPr>
          <w:rFonts w:hint="eastAsia" w:ascii="仿宋_GB2312" w:hAnsi="Times New Roman" w:eastAsia="仿宋_GB2312"/>
          <w:sz w:val="32"/>
          <w:szCs w:val="32"/>
          <w:highlight w:val="none"/>
          <w:lang w:val="en-US" w:eastAsia="zh-CN"/>
        </w:rPr>
        <w:t>50</w:t>
      </w:r>
      <w:r>
        <w:rPr>
          <w:rFonts w:hint="eastAsia" w:ascii="仿宋_GB2312" w:hAnsi="Times New Roman" w:eastAsia="仿宋_GB2312"/>
          <w:sz w:val="32"/>
          <w:szCs w:val="32"/>
          <w:highlight w:val="none"/>
        </w:rPr>
        <w:t>万元，增长4.85%，</w:t>
      </w:r>
      <w:r>
        <w:rPr>
          <w:rFonts w:hint="eastAsia" w:ascii="仿宋_GB2312" w:hAnsi="Times New Roman" w:eastAsia="仿宋_GB2312"/>
          <w:color w:val="auto"/>
          <w:sz w:val="32"/>
          <w:szCs w:val="32"/>
          <w:highlight w:val="none"/>
        </w:rPr>
        <w:t>主要是因为加了专项业务支出。</w:t>
      </w:r>
    </w:p>
    <w:p w14:paraId="671A7C82">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
          <w:bCs w:val="0"/>
          <w:sz w:val="32"/>
          <w:szCs w:val="32"/>
          <w:highlight w:val="none"/>
        </w:rPr>
      </w:pPr>
      <w:r>
        <w:rPr>
          <w:rFonts w:hint="eastAsia" w:ascii="仿宋_GB2312" w:hAnsi="楷体" w:eastAsia="仿宋_GB2312" w:cs="楷体"/>
          <w:b/>
          <w:bCs w:val="0"/>
          <w:sz w:val="32"/>
          <w:szCs w:val="32"/>
          <w:highlight w:val="none"/>
        </w:rPr>
        <w:t>（二）财政拨款支出决算结构情况</w:t>
      </w:r>
    </w:p>
    <w:p w14:paraId="203386F3">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2022年度财政拨款支出226.79万元，主要用于以下方面：社会保障和就业支出11.51万元，占5.08%；卫生健康支出215.28万元，占94.92%。</w:t>
      </w:r>
    </w:p>
    <w:p w14:paraId="254DB165">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
          <w:bCs w:val="0"/>
          <w:sz w:val="32"/>
          <w:szCs w:val="32"/>
          <w:highlight w:val="none"/>
        </w:rPr>
      </w:pPr>
      <w:r>
        <w:rPr>
          <w:rFonts w:hint="eastAsia" w:ascii="仿宋_GB2312" w:hAnsi="楷体" w:eastAsia="仿宋_GB2312" w:cs="楷体"/>
          <w:b/>
          <w:bCs w:val="0"/>
          <w:sz w:val="32"/>
          <w:szCs w:val="32"/>
          <w:highlight w:val="none"/>
        </w:rPr>
        <w:t>（三）财政拨款支出决算具体情况</w:t>
      </w:r>
    </w:p>
    <w:p w14:paraId="1BA79B2F">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2022年度财政拨款支出年初预算数为</w:t>
      </w:r>
      <w:r>
        <w:rPr>
          <w:rFonts w:hint="eastAsia" w:ascii="仿宋_GB2312" w:hAnsi="Times New Roman" w:eastAsia="仿宋_GB2312"/>
          <w:sz w:val="32"/>
          <w:szCs w:val="32"/>
          <w:highlight w:val="none"/>
          <w:lang w:val="en-US" w:eastAsia="zh-CN"/>
        </w:rPr>
        <w:t>183.38</w:t>
      </w:r>
      <w:r>
        <w:rPr>
          <w:rFonts w:hint="eastAsia" w:ascii="仿宋_GB2312" w:hAnsi="Times New Roman" w:eastAsia="仿宋_GB2312"/>
          <w:sz w:val="32"/>
          <w:szCs w:val="32"/>
          <w:highlight w:val="none"/>
        </w:rPr>
        <w:t>万元，支出决算数为226.79万元，完成年初预算的</w:t>
      </w:r>
      <w:r>
        <w:rPr>
          <w:rFonts w:hint="eastAsia" w:ascii="仿宋_GB2312" w:hAnsi="Times New Roman" w:eastAsia="仿宋_GB2312"/>
          <w:sz w:val="32"/>
          <w:szCs w:val="32"/>
          <w:highlight w:val="none"/>
          <w:lang w:val="en-US" w:eastAsia="zh-CN"/>
        </w:rPr>
        <w:t>123.67</w:t>
      </w:r>
      <w:r>
        <w:rPr>
          <w:rFonts w:hint="eastAsia" w:ascii="仿宋_GB2312" w:hAnsi="Times New Roman" w:eastAsia="仿宋_GB2312"/>
          <w:sz w:val="32"/>
          <w:szCs w:val="32"/>
          <w:highlight w:val="none"/>
        </w:rPr>
        <w:t>%，其中：</w:t>
      </w:r>
    </w:p>
    <w:p w14:paraId="4F01C176">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14:textFill>
            <w14:solidFill>
              <w14:schemeClr w14:val="tx1"/>
            </w14:solidFill>
          </w14:textFill>
        </w:rPr>
        <w:t>1、社会保障和就业支出（类）行政事业单位养老支出（款）</w:t>
      </w:r>
      <w:r>
        <w:rPr>
          <w:rFonts w:hint="eastAsia" w:ascii="仿宋_GB2312" w:hAnsi="宋体" w:eastAsia="仿宋_GB2312" w:cs="宋体"/>
          <w:color w:val="000000" w:themeColor="text1"/>
          <w:sz w:val="32"/>
          <w:szCs w:val="32"/>
          <w:highlight w:val="none"/>
          <w14:textFill>
            <w14:solidFill>
              <w14:schemeClr w14:val="tx1"/>
            </w14:solidFill>
          </w14:textFill>
        </w:rPr>
        <w:t>事业单位离退休</w:t>
      </w:r>
      <w:r>
        <w:rPr>
          <w:rFonts w:hint="eastAsia" w:ascii="仿宋_GB2312" w:hAnsi="黑体" w:eastAsia="仿宋_GB2312" w:cs="黑体"/>
          <w:color w:val="000000" w:themeColor="text1"/>
          <w:sz w:val="32"/>
          <w:szCs w:val="32"/>
          <w:highlight w:val="none"/>
          <w14:textFill>
            <w14:solidFill>
              <w14:schemeClr w14:val="tx1"/>
            </w14:solidFill>
          </w14:textFill>
        </w:rPr>
        <w:t>（项）</w:t>
      </w:r>
    </w:p>
    <w:p w14:paraId="27401D60">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年初预算为12.51万元，支出决算为0.41万元，</w:t>
      </w:r>
      <w:r>
        <w:rPr>
          <w:rFonts w:hint="eastAsia" w:ascii="仿宋_GB2312" w:hAnsi="黑体" w:eastAsia="仿宋_GB2312" w:cs="黑体"/>
          <w:sz w:val="32"/>
          <w:szCs w:val="32"/>
          <w:highlight w:val="none"/>
        </w:rPr>
        <w:t>完成年初预算的 3.28%，决算数小于年初预算数是因为其他对个人家庭的补助预算计入其中。</w:t>
      </w:r>
    </w:p>
    <w:p w14:paraId="60C8CFB4">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14:textFill>
            <w14:solidFill>
              <w14:schemeClr w14:val="tx1"/>
            </w14:solidFill>
          </w14:textFill>
        </w:rPr>
        <w:t>2、社会保障和就业支出（类）行政事业单位养老支出（款）机关事业单位养老保险缴费支出（项）</w:t>
      </w:r>
    </w:p>
    <w:p w14:paraId="73176E04">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FF0000"/>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年初预算16.17万元，支出决算为9.60万元，完成年初预算的59.37%，</w:t>
      </w:r>
      <w:r>
        <w:rPr>
          <w:rFonts w:hint="eastAsia" w:ascii="仿宋_GB2312" w:hAnsi="黑体" w:eastAsia="仿宋_GB2312" w:cs="黑体"/>
          <w:sz w:val="32"/>
          <w:szCs w:val="32"/>
          <w:highlight w:val="none"/>
        </w:rPr>
        <w:t>决算数小于年初预算数的主要原因是严格落实经费管理。</w:t>
      </w:r>
    </w:p>
    <w:p w14:paraId="5214D8F6">
      <w:pPr>
        <w:keepNext w:val="0"/>
        <w:keepLines w:val="0"/>
        <w:pageBreakBefore w:val="0"/>
        <w:kinsoku/>
        <w:wordWrap/>
        <w:topLinePunct w:val="0"/>
        <w:bidi w:val="0"/>
        <w:snapToGrid/>
        <w:spacing w:line="600" w:lineRule="exact"/>
        <w:ind w:right="0" w:firstLine="640" w:firstLineChars="200"/>
        <w:jc w:val="left"/>
        <w:textAlignment w:val="auto"/>
        <w:rPr>
          <w:rFonts w:hint="eastAsia"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s="黑体"/>
          <w:color w:val="000000" w:themeColor="text1"/>
          <w:sz w:val="32"/>
          <w:szCs w:val="32"/>
          <w:highlight w:val="none"/>
          <w14:textFill>
            <w14:solidFill>
              <w14:schemeClr w14:val="tx1"/>
            </w14:solidFill>
          </w14:textFill>
        </w:rPr>
        <w:t>社会保障和就业支出（类）行政事业单位养老支出（款）其他行政事业单位养老支出（项）</w:t>
      </w:r>
    </w:p>
    <w:p w14:paraId="03C5AE9E">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年初预算0万元，支出决算为 1.50万元，</w:t>
      </w:r>
      <w:r>
        <w:rPr>
          <w:rFonts w:hint="eastAsia" w:ascii="仿宋_GB2312" w:hAnsi="黑体" w:eastAsia="仿宋_GB2312" w:cs="黑体"/>
          <w:sz w:val="32"/>
          <w:szCs w:val="32"/>
          <w:highlight w:val="none"/>
        </w:rPr>
        <w:t>决算数大于年初预算数的主要原因是年初未列入预算项目，实际为其他事业单位基本养老保险缴费支出。</w:t>
      </w:r>
    </w:p>
    <w:p w14:paraId="70BA3E13">
      <w:pPr>
        <w:pStyle w:val="11"/>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14:textFill>
            <w14:solidFill>
              <w14:schemeClr w14:val="tx1"/>
            </w14:solidFill>
          </w14:textFill>
        </w:rPr>
        <w:t>4.卫生健康支出（类）卫生健康管理事务（款）行政运行（项）</w:t>
      </w:r>
    </w:p>
    <w:p w14:paraId="027E4AEF">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FF0000"/>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年初预算为60.24万元，支出决算为 99.17万元</w:t>
      </w:r>
      <w:r>
        <w:rPr>
          <w:rFonts w:hint="eastAsia" w:ascii="仿宋_GB2312" w:hAnsi="黑体" w:eastAsia="仿宋_GB2312" w:cs="黑体"/>
          <w:sz w:val="32"/>
          <w:szCs w:val="32"/>
          <w:highlight w:val="none"/>
        </w:rPr>
        <w:t>，完成预算数的164.62%，决算数大于年初预算数的主要原因是发放2021年绩效奖、文明奖等奖金没有纳入预算。</w:t>
      </w:r>
    </w:p>
    <w:p w14:paraId="0959001C">
      <w:pPr>
        <w:pStyle w:val="11"/>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14:textFill>
            <w14:solidFill>
              <w14:schemeClr w14:val="tx1"/>
            </w14:solidFill>
          </w14:textFill>
        </w:rPr>
        <w:t>5.卫生健康支出（类）行政事业单位医疗（款）行政单位医疗（项）</w:t>
      </w:r>
    </w:p>
    <w:p w14:paraId="17BAFCE8">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FF0000"/>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年初预算为6.25万元，支出决算为5.01万元，完成年初预算的80.16% ，</w:t>
      </w:r>
      <w:r>
        <w:rPr>
          <w:rFonts w:hint="eastAsia" w:ascii="仿宋_GB2312" w:hAnsi="黑体" w:eastAsia="仿宋_GB2312" w:cs="黑体"/>
          <w:sz w:val="32"/>
          <w:szCs w:val="32"/>
          <w:highlight w:val="none"/>
        </w:rPr>
        <w:t>决算数小于年初预算数的主要因是严格落实经费管理。</w:t>
      </w:r>
    </w:p>
    <w:p w14:paraId="49B25C22">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14:textFill>
            <w14:solidFill>
              <w14:schemeClr w14:val="tx1"/>
            </w14:solidFill>
          </w14:textFill>
        </w:rPr>
        <w:t>6.卫生健康支出（类）计划生育事务（款）计划生育机构（项）</w:t>
      </w:r>
    </w:p>
    <w:p w14:paraId="28F39E98">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年初预算为</w:t>
      </w:r>
      <w:r>
        <w:rPr>
          <w:rFonts w:hint="eastAsia" w:ascii="仿宋_GB2312" w:hAnsi="黑体" w:eastAsia="仿宋_GB2312" w:cs="黑体"/>
          <w:color w:val="000000" w:themeColor="text1"/>
          <w:sz w:val="32"/>
          <w:szCs w:val="32"/>
          <w:highlight w:val="none"/>
          <w:lang w:val="en-US" w:eastAsia="zh-CN"/>
          <w14:textFill>
            <w14:solidFill>
              <w14:schemeClr w14:val="tx1"/>
            </w14:solidFill>
          </w14:textFill>
        </w:rPr>
        <w:t>19.20</w:t>
      </w:r>
      <w:r>
        <w:rPr>
          <w:rFonts w:hint="eastAsia" w:ascii="仿宋_GB2312" w:hAnsi="黑体" w:eastAsia="仿宋_GB2312" w:cs="黑体"/>
          <w:color w:val="000000" w:themeColor="text1"/>
          <w:sz w:val="32"/>
          <w:szCs w:val="32"/>
          <w:highlight w:val="none"/>
          <w14:textFill>
            <w14:solidFill>
              <w14:schemeClr w14:val="tx1"/>
            </w14:solidFill>
          </w14:textFill>
        </w:rPr>
        <w:t>万元，支出决算为17.47万元，</w:t>
      </w:r>
      <w:r>
        <w:rPr>
          <w:rFonts w:hint="eastAsia" w:ascii="仿宋_GB2312" w:hAnsi="黑体" w:eastAsia="仿宋_GB2312" w:cs="黑体"/>
          <w:sz w:val="32"/>
          <w:szCs w:val="32"/>
          <w:highlight w:val="none"/>
        </w:rPr>
        <w:t>完成年初预算</w:t>
      </w:r>
      <w:r>
        <w:rPr>
          <w:rFonts w:hint="eastAsia" w:ascii="仿宋_GB2312" w:hAnsi="黑体" w:eastAsia="仿宋_GB2312" w:cs="黑体"/>
          <w:sz w:val="32"/>
          <w:szCs w:val="32"/>
          <w:highlight w:val="none"/>
          <w:lang w:val="en-US" w:eastAsia="zh-CN"/>
        </w:rPr>
        <w:t>90.99</w:t>
      </w:r>
      <w:r>
        <w:rPr>
          <w:rFonts w:hint="eastAsia" w:ascii="仿宋_GB2312" w:hAnsi="黑体" w:eastAsia="仿宋_GB2312" w:cs="黑体"/>
          <w:sz w:val="32"/>
          <w:szCs w:val="32"/>
          <w:highlight w:val="none"/>
        </w:rPr>
        <w:t>%，决算数小于年初预算数的主要因是商品服务类支出的预算都在这个经济科目里。</w:t>
      </w:r>
    </w:p>
    <w:p w14:paraId="07CBE971">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color w:val="000000" w:themeColor="text1"/>
          <w:sz w:val="32"/>
          <w:szCs w:val="32"/>
          <w:highlight w:val="none"/>
          <w14:textFill>
            <w14:solidFill>
              <w14:schemeClr w14:val="tx1"/>
            </w14:solidFill>
          </w14:textFill>
        </w:rPr>
        <w:t>7.卫生健康支出（类）计划生育事务（款）计划生育服务（项）</w:t>
      </w:r>
    </w:p>
    <w:p w14:paraId="23B0B617">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FF0000"/>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年初预算为</w:t>
      </w:r>
      <w:r>
        <w:rPr>
          <w:rFonts w:hint="eastAsia" w:ascii="仿宋_GB2312" w:hAnsi="黑体" w:eastAsia="仿宋_GB2312" w:cs="黑体"/>
          <w:color w:val="000000" w:themeColor="text1"/>
          <w:sz w:val="32"/>
          <w:szCs w:val="32"/>
          <w:highlight w:val="none"/>
          <w:lang w:val="en-US" w:eastAsia="zh-CN"/>
          <w14:textFill>
            <w14:solidFill>
              <w14:schemeClr w14:val="tx1"/>
            </w14:solidFill>
          </w14:textFill>
        </w:rPr>
        <w:t>69</w:t>
      </w:r>
      <w:r>
        <w:rPr>
          <w:rFonts w:hint="eastAsia" w:ascii="仿宋_GB2312" w:hAnsi="黑体" w:eastAsia="仿宋_GB2312" w:cs="黑体"/>
          <w:color w:val="000000" w:themeColor="text1"/>
          <w:sz w:val="32"/>
          <w:szCs w:val="32"/>
          <w:highlight w:val="none"/>
          <w14:textFill>
            <w14:solidFill>
              <w14:schemeClr w14:val="tx1"/>
            </w14:solidFill>
          </w14:textFill>
        </w:rPr>
        <w:t>万元，支出决算为68万元，完</w:t>
      </w:r>
      <w:r>
        <w:rPr>
          <w:rFonts w:hint="eastAsia" w:ascii="仿宋_GB2312" w:hAnsi="黑体" w:eastAsia="仿宋_GB2312" w:cs="黑体"/>
          <w:sz w:val="32"/>
          <w:szCs w:val="32"/>
          <w:highlight w:val="none"/>
        </w:rPr>
        <w:t>成年初预算的</w:t>
      </w:r>
      <w:r>
        <w:rPr>
          <w:rFonts w:hint="eastAsia" w:ascii="仿宋_GB2312" w:hAnsi="黑体" w:eastAsia="仿宋_GB2312" w:cs="黑体"/>
          <w:sz w:val="32"/>
          <w:szCs w:val="32"/>
          <w:highlight w:val="none"/>
          <w:lang w:val="en-US" w:eastAsia="zh-CN"/>
        </w:rPr>
        <w:t>98.55</w:t>
      </w:r>
      <w:r>
        <w:rPr>
          <w:rFonts w:hint="eastAsia" w:ascii="仿宋_GB2312" w:hAnsi="黑体" w:eastAsia="仿宋_GB2312" w:cs="黑体"/>
          <w:sz w:val="32"/>
          <w:szCs w:val="32"/>
          <w:highlight w:val="none"/>
        </w:rPr>
        <w:t xml:space="preserve"> %，决算数</w:t>
      </w:r>
      <w:r>
        <w:rPr>
          <w:rFonts w:hint="eastAsia" w:ascii="仿宋_GB2312" w:hAnsi="黑体" w:eastAsia="仿宋_GB2312" w:cs="黑体"/>
          <w:sz w:val="32"/>
          <w:szCs w:val="32"/>
          <w:highlight w:val="none"/>
          <w:lang w:val="en-US" w:eastAsia="zh-CN"/>
        </w:rPr>
        <w:t>小于</w:t>
      </w:r>
      <w:r>
        <w:rPr>
          <w:rFonts w:hint="eastAsia" w:ascii="仿宋_GB2312" w:hAnsi="黑体" w:eastAsia="仿宋_GB2312" w:cs="黑体"/>
          <w:sz w:val="32"/>
          <w:szCs w:val="32"/>
          <w:highlight w:val="none"/>
        </w:rPr>
        <w:t>年初预算数的主要原因是坚持专款专用，严格按照经费使用管理规定支出。</w:t>
      </w:r>
    </w:p>
    <w:p w14:paraId="499D82BF">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000000" w:themeColor="text1"/>
          <w:sz w:val="32"/>
          <w:szCs w:val="32"/>
          <w:highlight w:val="none"/>
          <w14:textFill>
            <w14:solidFill>
              <w14:schemeClr w14:val="tx1"/>
            </w14:solidFill>
          </w14:textFill>
        </w:rPr>
      </w:pPr>
      <w:r>
        <w:rPr>
          <w:rFonts w:hint="eastAsia" w:ascii="仿宋_GB2312" w:hAnsi="黑体" w:eastAsia="仿宋_GB2312" w:cs="黑体"/>
          <w:sz w:val="32"/>
          <w:szCs w:val="32"/>
          <w:highlight w:val="none"/>
        </w:rPr>
        <w:t>8.</w:t>
      </w:r>
      <w:r>
        <w:rPr>
          <w:rFonts w:hint="eastAsia" w:ascii="仿宋_GB2312" w:hAnsi="黑体" w:eastAsia="仿宋_GB2312" w:cs="黑体"/>
          <w:color w:val="000000" w:themeColor="text1"/>
          <w:sz w:val="32"/>
          <w:szCs w:val="32"/>
          <w:highlight w:val="none"/>
          <w14:textFill>
            <w14:solidFill>
              <w14:schemeClr w14:val="tx1"/>
            </w14:solidFill>
          </w14:textFill>
        </w:rPr>
        <w:t xml:space="preserve"> 卫生健康支出（类）计划生育事务（款）其他计划生育事务支出（项）</w:t>
      </w:r>
    </w:p>
    <w:p w14:paraId="025EC2C6">
      <w:pPr>
        <w:keepNext w:val="0"/>
        <w:keepLines w:val="0"/>
        <w:pageBreakBefore w:val="0"/>
        <w:kinsoku/>
        <w:wordWrap/>
        <w:topLinePunct w:val="0"/>
        <w:bidi w:val="0"/>
        <w:snapToGrid/>
        <w:spacing w:line="600" w:lineRule="exact"/>
        <w:ind w:right="0" w:firstLine="640" w:firstLineChars="200"/>
        <w:jc w:val="left"/>
        <w:textAlignment w:val="auto"/>
        <w:rPr>
          <w:rFonts w:ascii="仿宋_GB2312" w:hAnsi="黑体" w:eastAsia="仿宋_GB2312" w:cs="黑体"/>
          <w:color w:val="FF0000"/>
          <w:sz w:val="32"/>
          <w:szCs w:val="32"/>
          <w:highlight w:val="none"/>
        </w:rPr>
      </w:pPr>
      <w:r>
        <w:rPr>
          <w:rFonts w:hint="eastAsia" w:ascii="仿宋_GB2312" w:hAnsi="黑体" w:eastAsia="仿宋_GB2312" w:cs="黑体"/>
          <w:color w:val="000000" w:themeColor="text1"/>
          <w:sz w:val="32"/>
          <w:szCs w:val="32"/>
          <w:highlight w:val="none"/>
          <w14:textFill>
            <w14:solidFill>
              <w14:schemeClr w14:val="tx1"/>
            </w14:solidFill>
          </w14:textFill>
        </w:rPr>
        <w:t>年初预算为0万元，支出决算为25.64万元，</w:t>
      </w:r>
      <w:r>
        <w:rPr>
          <w:rFonts w:hint="eastAsia" w:ascii="仿宋_GB2312" w:hAnsi="黑体" w:eastAsia="仿宋_GB2312" w:cs="黑体"/>
          <w:sz w:val="32"/>
          <w:szCs w:val="32"/>
          <w:highlight w:val="none"/>
        </w:rPr>
        <w:t>决算数大于年初预算数的主要原因是年初未列入预算项目，实际为发放2021年绩效奖的支出。</w:t>
      </w:r>
    </w:p>
    <w:p w14:paraId="1CADBE97">
      <w:pPr>
        <w:pStyle w:val="10"/>
        <w:keepNext w:val="0"/>
        <w:keepLines w:val="0"/>
        <w:pageBreakBefore w:val="0"/>
        <w:kinsoku/>
        <w:wordWrap/>
        <w:topLinePunct w:val="0"/>
        <w:bidi w:val="0"/>
        <w:snapToGrid/>
        <w:spacing w:line="600" w:lineRule="exact"/>
        <w:ind w:right="0" w:firstLine="720" w:firstLineChars="200"/>
        <w:textAlignment w:val="auto"/>
        <w:rPr>
          <w:rFonts w:hint="eastAsia" w:ascii="黑体" w:hAnsi="黑体" w:eastAsia="黑体" w:cs="黑体"/>
          <w:bCs/>
          <w:sz w:val="36"/>
          <w:szCs w:val="36"/>
          <w:highlight w:val="none"/>
        </w:rPr>
      </w:pPr>
      <w:r>
        <w:rPr>
          <w:rFonts w:hint="eastAsia" w:ascii="黑体" w:hAnsi="黑体" w:eastAsia="黑体" w:cs="黑体"/>
          <w:bCs/>
          <w:sz w:val="36"/>
          <w:szCs w:val="36"/>
          <w:highlight w:val="none"/>
        </w:rPr>
        <w:t>六、一般公共预算财政拨款基本支出决算情况说明</w:t>
      </w:r>
    </w:p>
    <w:p w14:paraId="6495D22B">
      <w:pPr>
        <w:pStyle w:val="10"/>
        <w:keepNext w:val="0"/>
        <w:keepLines w:val="0"/>
        <w:pageBreakBefore w:val="0"/>
        <w:kinsoku/>
        <w:wordWrap/>
        <w:topLinePunct w:val="0"/>
        <w:bidi w:val="0"/>
        <w:snapToGrid/>
        <w:spacing w:line="600" w:lineRule="exact"/>
        <w:ind w:right="0" w:firstLine="640" w:firstLineChars="200"/>
        <w:textAlignment w:val="auto"/>
        <w:rPr>
          <w:rFonts w:hint="eastAsia" w:ascii="仿宋_GB2312" w:hAnsi="Times New Roman" w:eastAsia="仿宋_GB2312"/>
          <w:bCs/>
          <w:sz w:val="32"/>
          <w:szCs w:val="32"/>
          <w:highlight w:val="none"/>
        </w:rPr>
      </w:pPr>
      <w:r>
        <w:rPr>
          <w:rFonts w:hint="eastAsia" w:ascii="仿宋_GB2312" w:hAnsi="Times New Roman" w:eastAsia="仿宋_GB2312"/>
          <w:bCs/>
          <w:sz w:val="32"/>
          <w:szCs w:val="32"/>
          <w:highlight w:val="none"/>
        </w:rPr>
        <w:t>2022年度财政拨款基本支出158.79万元，其中：</w:t>
      </w:r>
    </w:p>
    <w:p w14:paraId="7C7F6CA6">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b/>
          <w:bCs w:val="0"/>
          <w:sz w:val="32"/>
          <w:szCs w:val="32"/>
          <w:highlight w:val="none"/>
        </w:rPr>
        <w:t>人员经费</w:t>
      </w:r>
      <w:r>
        <w:rPr>
          <w:rFonts w:hint="eastAsia" w:ascii="仿宋_GB2312" w:hAnsi="Times New Roman" w:eastAsia="仿宋_GB2312"/>
          <w:sz w:val="32"/>
          <w:szCs w:val="32"/>
          <w:highlight w:val="none"/>
        </w:rPr>
        <w:t>135.20万元，占基本支出的85.14%,主要包括基本工资48.21万元、津贴补贴20.42万元、奖金27.14万元、机关事业单位基本养老保险缴费11.89万元，职工基本医疗保险缴费5.08万元，其他社会保障缴费8.58万元，退休费13.89万元等。</w:t>
      </w:r>
    </w:p>
    <w:p w14:paraId="12433C4F">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b/>
          <w:bCs w:val="0"/>
          <w:sz w:val="32"/>
          <w:szCs w:val="32"/>
          <w:highlight w:val="none"/>
        </w:rPr>
        <w:t>公用经费</w:t>
      </w:r>
      <w:r>
        <w:rPr>
          <w:rFonts w:hint="eastAsia" w:ascii="仿宋_GB2312" w:hAnsi="Times New Roman" w:eastAsia="仿宋_GB2312"/>
          <w:sz w:val="32"/>
          <w:szCs w:val="32"/>
          <w:highlight w:val="none"/>
        </w:rPr>
        <w:t>23.59万元，占基本支出的14.86%，主要包括办公费1.10万元、工会经费4.33万元，福利费9.44万元，其他交通费用6.35万元等。</w:t>
      </w:r>
    </w:p>
    <w:p w14:paraId="3460AFB7">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七、财政拨款三公经费支出决算情况说明</w:t>
      </w:r>
    </w:p>
    <w:p w14:paraId="18677842">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
          <w:bCs/>
          <w:sz w:val="32"/>
          <w:szCs w:val="32"/>
          <w:highlight w:val="none"/>
        </w:rPr>
      </w:pPr>
      <w:r>
        <w:rPr>
          <w:rFonts w:hint="eastAsia" w:ascii="仿宋_GB2312" w:hAnsi="楷体" w:eastAsia="仿宋_GB2312" w:cs="楷体"/>
          <w:b/>
          <w:bCs/>
          <w:sz w:val="32"/>
          <w:szCs w:val="32"/>
          <w:highlight w:val="none"/>
        </w:rPr>
        <w:t>（一）“三公”经费财政拨款支出决算总体情况说明</w:t>
      </w:r>
    </w:p>
    <w:p w14:paraId="21024CA1">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color w:val="FF0000"/>
          <w:sz w:val="32"/>
          <w:szCs w:val="32"/>
          <w:highlight w:val="none"/>
        </w:rPr>
      </w:pPr>
      <w:r>
        <w:rPr>
          <w:rFonts w:hint="eastAsia" w:ascii="仿宋_GB2312" w:hAnsi="Times New Roman" w:eastAsia="仿宋_GB2312"/>
          <w:sz w:val="32"/>
          <w:szCs w:val="32"/>
          <w:highlight w:val="none"/>
        </w:rPr>
        <w:t>“三公”经费财政拨款支出预算为</w:t>
      </w:r>
      <w:r>
        <w:rPr>
          <w:rFonts w:hint="eastAsia" w:ascii="仿宋_GB2312" w:hAnsi="Times New Roman" w:eastAsia="仿宋_GB2312"/>
          <w:sz w:val="32"/>
          <w:szCs w:val="32"/>
          <w:highlight w:val="none"/>
          <w:lang w:val="en-US" w:eastAsia="zh-CN"/>
        </w:rPr>
        <w:t>3.17</w:t>
      </w:r>
      <w:r>
        <w:rPr>
          <w:rFonts w:hint="eastAsia" w:ascii="仿宋_GB2312" w:hAnsi="Times New Roman" w:eastAsia="仿宋_GB2312"/>
          <w:sz w:val="32"/>
          <w:szCs w:val="32"/>
          <w:highlight w:val="none"/>
        </w:rPr>
        <w:t>万元，支出决算为3.17万元，完成预算的</w:t>
      </w:r>
      <w:r>
        <w:rPr>
          <w:rFonts w:hint="eastAsia" w:ascii="仿宋_GB2312" w:hAnsi="Times New Roman" w:eastAsia="仿宋_GB2312"/>
          <w:sz w:val="32"/>
          <w:szCs w:val="32"/>
          <w:highlight w:val="none"/>
          <w:lang w:val="en-US" w:eastAsia="zh-CN"/>
        </w:rPr>
        <w:t>100</w:t>
      </w:r>
      <w:r>
        <w:rPr>
          <w:rFonts w:hint="eastAsia" w:ascii="仿宋_GB2312" w:hAnsi="Times New Roman" w:eastAsia="仿宋_GB2312"/>
          <w:sz w:val="32"/>
          <w:szCs w:val="32"/>
          <w:highlight w:val="none"/>
        </w:rPr>
        <w:t>%，决算数</w:t>
      </w:r>
      <w:r>
        <w:rPr>
          <w:rFonts w:hint="eastAsia" w:ascii="仿宋_GB2312" w:hAnsi="Times New Roman" w:eastAsia="仿宋_GB2312"/>
          <w:sz w:val="32"/>
          <w:szCs w:val="32"/>
          <w:highlight w:val="none"/>
          <w:lang w:val="en-US" w:eastAsia="zh-CN"/>
        </w:rPr>
        <w:t>等于</w:t>
      </w:r>
      <w:r>
        <w:rPr>
          <w:rFonts w:hint="eastAsia" w:ascii="仿宋_GB2312" w:hAnsi="Times New Roman" w:eastAsia="仿宋_GB2312"/>
          <w:sz w:val="32"/>
          <w:szCs w:val="32"/>
          <w:highlight w:val="none"/>
        </w:rPr>
        <w:t>预算数的主要原因是落实过“紧日子”要求，严格执行开支标准，厉行节约</w:t>
      </w:r>
      <w:r>
        <w:rPr>
          <w:rFonts w:hint="eastAsia" w:ascii="仿宋_GB2312" w:hAnsi="Times New Roman" w:eastAsia="仿宋_GB2312"/>
          <w:color w:val="auto"/>
          <w:sz w:val="32"/>
          <w:szCs w:val="32"/>
          <w:highlight w:val="none"/>
        </w:rPr>
        <w:t>；与上年相比增加0.89万元，增长39.04%，增长的主要原因是车辆老化严重，维修费用增加，导致</w:t>
      </w:r>
      <w:r>
        <w:rPr>
          <w:rFonts w:hint="eastAsia" w:ascii="仿宋_GB2312" w:hAnsi="Times New Roman" w:eastAsia="仿宋_GB2312"/>
          <w:sz w:val="32"/>
          <w:szCs w:val="32"/>
          <w:highlight w:val="none"/>
        </w:rPr>
        <w:t>公务用车运行维护费支出增加。其中：</w:t>
      </w:r>
    </w:p>
    <w:p w14:paraId="1DFFCA77">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2E066B3F">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公务接待费支出预算为</w:t>
      </w:r>
      <w:r>
        <w:rPr>
          <w:rFonts w:hint="eastAsia" w:ascii="仿宋_GB2312" w:hAnsi="Times New Roman" w:eastAsia="仿宋_GB2312"/>
          <w:sz w:val="32"/>
          <w:szCs w:val="32"/>
          <w:highlight w:val="none"/>
          <w:lang w:val="en-US" w:eastAsia="zh-CN"/>
        </w:rPr>
        <w:t>0.24</w:t>
      </w:r>
      <w:r>
        <w:rPr>
          <w:rFonts w:hint="eastAsia" w:ascii="仿宋_GB2312" w:hAnsi="Times New Roman" w:eastAsia="仿宋_GB2312"/>
          <w:sz w:val="32"/>
          <w:szCs w:val="32"/>
          <w:highlight w:val="none"/>
        </w:rPr>
        <w:t>万元，支出决算为0.24万元，完成预算的</w:t>
      </w:r>
      <w:r>
        <w:rPr>
          <w:rFonts w:hint="eastAsia" w:ascii="仿宋_GB2312" w:hAnsi="Times New Roman" w:eastAsia="仿宋_GB2312"/>
          <w:sz w:val="32"/>
          <w:szCs w:val="32"/>
          <w:highlight w:val="none"/>
          <w:lang w:val="en-US" w:eastAsia="zh-CN"/>
        </w:rPr>
        <w:t>100</w:t>
      </w:r>
      <w:r>
        <w:rPr>
          <w:rFonts w:hint="eastAsia" w:ascii="仿宋_GB2312" w:hAnsi="Times New Roman" w:eastAsia="仿宋_GB2312"/>
          <w:sz w:val="32"/>
          <w:szCs w:val="32"/>
          <w:highlight w:val="none"/>
        </w:rPr>
        <w:t>%</w:t>
      </w:r>
      <w:r>
        <w:rPr>
          <w:rFonts w:hint="eastAsia" w:ascii="仿宋_GB2312" w:hAnsi="Times New Roman" w:eastAsia="仿宋_GB2312"/>
          <w:color w:val="auto"/>
          <w:sz w:val="32"/>
          <w:szCs w:val="32"/>
          <w:highlight w:val="none"/>
        </w:rPr>
        <w:t>，决算数</w:t>
      </w:r>
      <w:r>
        <w:rPr>
          <w:rFonts w:hint="eastAsia" w:ascii="仿宋_GB2312" w:hAnsi="Times New Roman" w:eastAsia="仿宋_GB2312"/>
          <w:color w:val="auto"/>
          <w:sz w:val="32"/>
          <w:szCs w:val="32"/>
          <w:highlight w:val="none"/>
          <w:lang w:val="en-US" w:eastAsia="zh-CN"/>
        </w:rPr>
        <w:t>等于</w:t>
      </w:r>
      <w:r>
        <w:rPr>
          <w:rFonts w:hint="eastAsia" w:ascii="仿宋_GB2312" w:hAnsi="Times New Roman" w:eastAsia="仿宋_GB2312"/>
          <w:color w:val="auto"/>
          <w:sz w:val="32"/>
          <w:szCs w:val="32"/>
          <w:highlight w:val="none"/>
        </w:rPr>
        <w:t>预算数的主要原因是严格遵守中央八项规定发生公务接待，</w:t>
      </w:r>
      <w:r>
        <w:rPr>
          <w:rFonts w:hint="eastAsia" w:ascii="仿宋_GB2312" w:hAnsi="Times New Roman" w:eastAsia="仿宋_GB2312"/>
          <w:sz w:val="32"/>
          <w:szCs w:val="32"/>
          <w:highlight w:val="none"/>
        </w:rPr>
        <w:t>与上年相比减少0.42万元，减少63.64%,</w:t>
      </w:r>
      <w:r>
        <w:rPr>
          <w:rFonts w:hint="eastAsia" w:ascii="仿宋_GB2312" w:hAnsi="Times New Roman" w:eastAsia="仿宋_GB2312"/>
          <w:color w:val="auto"/>
          <w:sz w:val="32"/>
          <w:szCs w:val="32"/>
          <w:highlight w:val="none"/>
        </w:rPr>
        <w:t>减少的主要原因是新冠肺炎疫情全省各地频发，省领导来怀调研次数减少。</w:t>
      </w:r>
    </w:p>
    <w:p w14:paraId="1652A3CF">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1D28B566">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color w:val="FF0000"/>
          <w:sz w:val="32"/>
          <w:szCs w:val="32"/>
          <w:highlight w:val="none"/>
        </w:rPr>
      </w:pPr>
      <w:r>
        <w:rPr>
          <w:rFonts w:hint="eastAsia" w:ascii="仿宋_GB2312" w:hAnsi="Times New Roman" w:eastAsia="仿宋_GB2312"/>
          <w:sz w:val="32"/>
          <w:szCs w:val="32"/>
          <w:highlight w:val="none"/>
        </w:rPr>
        <w:t>公务用车运行维护费支出预算为</w:t>
      </w:r>
      <w:r>
        <w:rPr>
          <w:rFonts w:hint="eastAsia" w:ascii="仿宋_GB2312" w:hAnsi="Times New Roman" w:eastAsia="仿宋_GB2312"/>
          <w:sz w:val="32"/>
          <w:szCs w:val="32"/>
          <w:highlight w:val="none"/>
          <w:lang w:val="en-US" w:eastAsia="zh-CN"/>
        </w:rPr>
        <w:t>2.93</w:t>
      </w:r>
      <w:r>
        <w:rPr>
          <w:rFonts w:hint="eastAsia" w:ascii="仿宋_GB2312" w:hAnsi="Times New Roman" w:eastAsia="仿宋_GB2312"/>
          <w:sz w:val="32"/>
          <w:szCs w:val="32"/>
          <w:highlight w:val="none"/>
        </w:rPr>
        <w:t>万元，支出决算为2.93万元，完成预算的</w:t>
      </w:r>
      <w:r>
        <w:rPr>
          <w:rFonts w:hint="eastAsia" w:ascii="仿宋_GB2312" w:hAnsi="Times New Roman" w:eastAsia="仿宋_GB2312"/>
          <w:sz w:val="32"/>
          <w:szCs w:val="32"/>
          <w:highlight w:val="none"/>
          <w:lang w:val="en-US" w:eastAsia="zh-CN"/>
        </w:rPr>
        <w:t>100</w:t>
      </w:r>
      <w:r>
        <w:rPr>
          <w:rFonts w:hint="eastAsia" w:ascii="仿宋_GB2312" w:hAnsi="Times New Roman" w:eastAsia="仿宋_GB2312"/>
          <w:sz w:val="32"/>
          <w:szCs w:val="32"/>
          <w:highlight w:val="none"/>
        </w:rPr>
        <w:t>%</w:t>
      </w:r>
      <w:r>
        <w:rPr>
          <w:rFonts w:hint="eastAsia" w:ascii="仿宋_GB2312" w:hAnsi="Times New Roman" w:eastAsia="仿宋_GB2312"/>
          <w:color w:val="FF0000"/>
          <w:sz w:val="32"/>
          <w:szCs w:val="32"/>
          <w:highlight w:val="none"/>
        </w:rPr>
        <w:t>，</w:t>
      </w:r>
      <w:r>
        <w:rPr>
          <w:rFonts w:hint="eastAsia" w:ascii="仿宋_GB2312" w:hAnsi="Times New Roman" w:eastAsia="仿宋_GB2312"/>
          <w:color w:val="auto"/>
          <w:sz w:val="32"/>
          <w:szCs w:val="32"/>
          <w:highlight w:val="none"/>
        </w:rPr>
        <w:t>决算数</w:t>
      </w:r>
      <w:r>
        <w:rPr>
          <w:rFonts w:hint="eastAsia" w:ascii="仿宋_GB2312" w:hAnsi="Times New Roman" w:eastAsia="仿宋_GB2312"/>
          <w:color w:val="auto"/>
          <w:sz w:val="32"/>
          <w:szCs w:val="32"/>
          <w:highlight w:val="none"/>
          <w:lang w:val="en-US" w:eastAsia="zh-CN"/>
        </w:rPr>
        <w:t>等于</w:t>
      </w:r>
      <w:r>
        <w:rPr>
          <w:rFonts w:hint="eastAsia" w:ascii="仿宋_GB2312" w:hAnsi="Times New Roman" w:eastAsia="仿宋_GB2312"/>
          <w:color w:val="auto"/>
          <w:sz w:val="32"/>
          <w:szCs w:val="32"/>
          <w:highlight w:val="none"/>
        </w:rPr>
        <w:t>预算数的主要原因是严格遵守中央八项规定，严格经费管理，与上年相比增加1.31万元，增长80.86%,增长的主要原因是车辆老化严重，维修费用增加。</w:t>
      </w:r>
    </w:p>
    <w:p w14:paraId="1224AD89">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
          <w:bCs/>
          <w:sz w:val="32"/>
          <w:szCs w:val="32"/>
          <w:highlight w:val="none"/>
        </w:rPr>
      </w:pPr>
      <w:r>
        <w:rPr>
          <w:rFonts w:hint="eastAsia" w:ascii="仿宋_GB2312" w:hAnsi="楷体" w:eastAsia="仿宋_GB2312" w:cs="楷体"/>
          <w:b/>
          <w:bCs/>
          <w:sz w:val="32"/>
          <w:szCs w:val="32"/>
          <w:highlight w:val="none"/>
        </w:rPr>
        <w:t>（二）“三公”经费财政拨款支出决算具体情况说明</w:t>
      </w:r>
    </w:p>
    <w:p w14:paraId="3CC0EDA3">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2022年度“三公”经费财政拨款支出决算中，公务接待费支出决算0.24万元，占7.57%,因公出国（境）费支出决算0万元，公务用车购置费及运行维护费支出决算2.93万元，占92.43%。其中：</w:t>
      </w:r>
    </w:p>
    <w:p w14:paraId="7B7CC319">
      <w:pPr>
        <w:pStyle w:val="2"/>
        <w:keepNext w:val="0"/>
        <w:keepLines w:val="0"/>
        <w:pageBreakBefore w:val="0"/>
        <w:tabs>
          <w:tab w:val="left" w:pos="3864"/>
          <w:tab w:val="left" w:pos="6248"/>
          <w:tab w:val="left" w:pos="7386"/>
        </w:tabs>
        <w:kinsoku/>
        <w:wordWrap/>
        <w:overflowPunct w:val="0"/>
        <w:topLinePunct w:val="0"/>
        <w:bidi w:val="0"/>
        <w:snapToGrid/>
        <w:spacing w:line="600" w:lineRule="exact"/>
        <w:ind w:right="0" w:firstLine="640" w:firstLineChars="200"/>
        <w:textAlignment w:val="auto"/>
        <w:rPr>
          <w:rFonts w:ascii="仿宋_GB2312" w:hAnsi="Times New Roman" w:eastAsia="仿宋_GB2312" w:cs="黑体"/>
          <w:color w:val="000000"/>
          <w:kern w:val="0"/>
          <w:highlight w:val="none"/>
        </w:rPr>
      </w:pPr>
      <w:r>
        <w:rPr>
          <w:rFonts w:hint="eastAsia" w:ascii="仿宋_GB2312" w:hAnsi="Times New Roman" w:eastAsia="仿宋_GB2312"/>
          <w:highlight w:val="none"/>
        </w:rPr>
        <w:t>1、</w:t>
      </w:r>
      <w:r>
        <w:rPr>
          <w:rFonts w:hint="eastAsia" w:ascii="仿宋_GB2312" w:hAnsi="Times New Roman" w:eastAsia="仿宋_GB2312" w:cs="黑体"/>
          <w:color w:val="000000"/>
          <w:kern w:val="0"/>
          <w:highlight w:val="none"/>
        </w:rPr>
        <w:t>因公出国（境）费支出决算为0万元，全年安排因公出国（境）团组0个，累计</w:t>
      </w:r>
      <w:bookmarkStart w:id="0" w:name="THERR_YGCGJFY_TZRS"/>
      <w:r>
        <w:rPr>
          <w:rFonts w:hint="eastAsia" w:ascii="仿宋_GB2312" w:hAnsi="Times New Roman" w:eastAsia="仿宋_GB2312" w:cs="黑体"/>
          <w:color w:val="000000"/>
          <w:kern w:val="0"/>
          <w:highlight w:val="none"/>
        </w:rPr>
        <w:t>0</w:t>
      </w:r>
      <w:bookmarkEnd w:id="0"/>
      <w:r>
        <w:rPr>
          <w:rFonts w:hint="eastAsia" w:ascii="仿宋_GB2312" w:hAnsi="Times New Roman" w:eastAsia="仿宋_GB2312" w:cs="黑体"/>
          <w:color w:val="000000"/>
          <w:kern w:val="0"/>
          <w:highlight w:val="none"/>
        </w:rPr>
        <w:t>人次，主要是</w:t>
      </w:r>
      <w:bookmarkStart w:id="1" w:name="THERR_YGCGJFY_ZYYY"/>
      <w:r>
        <w:rPr>
          <w:rFonts w:hint="eastAsia" w:ascii="仿宋_GB2312" w:hAnsi="Times New Roman" w:eastAsia="仿宋_GB2312" w:cs="黑体"/>
          <w:color w:val="000000"/>
          <w:kern w:val="0"/>
          <w:highlight w:val="none"/>
        </w:rPr>
        <w:t>2022年我单位没有因公出国（境）费支出</w:t>
      </w:r>
      <w:bookmarkEnd w:id="1"/>
      <w:bookmarkStart w:id="2" w:name="END_THERR_YGCGJFY_AMT"/>
      <w:bookmarkEnd w:id="2"/>
      <w:r>
        <w:rPr>
          <w:rFonts w:hint="eastAsia" w:ascii="仿宋_GB2312" w:hAnsi="Times New Roman" w:eastAsia="仿宋_GB2312" w:cs="黑体"/>
          <w:color w:val="000000"/>
          <w:kern w:val="0"/>
          <w:highlight w:val="none"/>
        </w:rPr>
        <w:t>。</w:t>
      </w:r>
    </w:p>
    <w:p w14:paraId="02CB9C57">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2、公务接待费支出决算为0.24万元，全年共接待来访团组3个、来宾11人次，主要是省计生协、省人口健康福利基金会领导来怀指导工作发生的接待支出。</w:t>
      </w:r>
    </w:p>
    <w:p w14:paraId="632097EA">
      <w:pPr>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Cs/>
          <w:i/>
          <w:color w:val="FF0000"/>
          <w:kern w:val="0"/>
          <w:sz w:val="32"/>
          <w:szCs w:val="32"/>
          <w:highlight w:val="none"/>
        </w:rPr>
      </w:pPr>
      <w:r>
        <w:rPr>
          <w:rFonts w:hint="eastAsia" w:ascii="仿宋_GB2312" w:hAnsi="Times New Roman" w:eastAsia="仿宋_GB2312"/>
          <w:sz w:val="32"/>
          <w:szCs w:val="32"/>
          <w:highlight w:val="none"/>
        </w:rPr>
        <w:t>3、公务用车购置费及运行维护费支出决算为</w:t>
      </w:r>
      <w:r>
        <w:rPr>
          <w:rFonts w:hint="eastAsia" w:ascii="仿宋_GB2312" w:hAnsi="Times New Roman" w:eastAsia="仿宋_GB2312"/>
          <w:sz w:val="32"/>
          <w:szCs w:val="32"/>
          <w:highlight w:val="none"/>
          <w:lang w:val="en-US" w:eastAsia="zh-CN"/>
        </w:rPr>
        <w:t>2.93</w:t>
      </w:r>
      <w:r>
        <w:rPr>
          <w:rFonts w:hint="eastAsia" w:ascii="仿宋_GB2312" w:hAnsi="Times New Roman" w:eastAsia="仿宋_GB2312"/>
          <w:sz w:val="32"/>
          <w:szCs w:val="32"/>
          <w:highlight w:val="none"/>
        </w:rPr>
        <w:t>万元，其中：公务用车购置费0万元，单位本级更新公务用车0辆</w:t>
      </w:r>
      <w:r>
        <w:rPr>
          <w:rFonts w:hint="eastAsia" w:ascii="仿宋_GB2312" w:hAnsi="Times New Roman" w:eastAsia="仿宋_GB2312"/>
          <w:color w:val="000000" w:themeColor="text1"/>
          <w:sz w:val="32"/>
          <w:szCs w:val="32"/>
          <w:highlight w:val="none"/>
          <w14:textFill>
            <w14:solidFill>
              <w14:schemeClr w14:val="tx1"/>
            </w14:solidFill>
          </w14:textFill>
        </w:rPr>
        <w:t>。</w:t>
      </w:r>
      <w:r>
        <w:rPr>
          <w:rFonts w:hint="eastAsia" w:ascii="仿宋_GB2312" w:hAnsi="Times New Roman" w:eastAsia="仿宋_GB2312"/>
          <w:sz w:val="32"/>
          <w:szCs w:val="32"/>
          <w:highlight w:val="none"/>
        </w:rPr>
        <w:t>公务用车运行维护费2.93万元，主要是车辆燃油、保险、维修支出，截止2022年12月31日，我单位开支财政拨款的公务用车保有量为1辆。</w:t>
      </w:r>
    </w:p>
    <w:p w14:paraId="4152F184">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八、政府性基金预算收入支出决算情况</w:t>
      </w:r>
    </w:p>
    <w:p w14:paraId="5583595F">
      <w:pPr>
        <w:pStyle w:val="10"/>
        <w:keepNext w:val="0"/>
        <w:keepLines w:val="0"/>
        <w:pageBreakBefore w:val="0"/>
        <w:kinsoku/>
        <w:wordWrap/>
        <w:topLinePunct w:val="0"/>
        <w:bidi w:val="0"/>
        <w:snapToGrid/>
        <w:spacing w:line="600" w:lineRule="exact"/>
        <w:ind w:right="0"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2022年度本单位无政府性基金收支。</w:t>
      </w:r>
    </w:p>
    <w:p w14:paraId="6F231033">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九、国有资本经营预算财政拨款支出决算情况</w:t>
      </w:r>
    </w:p>
    <w:p w14:paraId="03F309FD">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仿宋_GB2312" w:eastAsia="仿宋_GB2312" w:cs="仿宋_GB2312"/>
          <w:color w:val="auto"/>
          <w:sz w:val="32"/>
          <w:szCs w:val="32"/>
          <w:highlight w:val="none"/>
        </w:rPr>
      </w:pPr>
      <w:r>
        <w:rPr>
          <w:rFonts w:hint="eastAsia" w:ascii="仿宋" w:hAnsi="仿宋" w:eastAsia="仿宋"/>
          <w:sz w:val="32"/>
          <w:szCs w:val="32"/>
          <w:highlight w:val="none"/>
        </w:rPr>
        <w:t>2022年度本单位无国有资本经营预算</w:t>
      </w:r>
      <w:r>
        <w:rPr>
          <w:rFonts w:hint="eastAsia" w:ascii="仿宋_GB2312" w:hAnsi="仿宋_GB2312" w:eastAsia="仿宋_GB2312" w:cs="仿宋_GB2312"/>
          <w:color w:val="auto"/>
          <w:sz w:val="32"/>
          <w:szCs w:val="32"/>
          <w:highlight w:val="none"/>
        </w:rPr>
        <w:t>财政拨款支出。</w:t>
      </w:r>
    </w:p>
    <w:p w14:paraId="6FB72A52">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十、关于机关运行经费支出说明</w:t>
      </w:r>
    </w:p>
    <w:p w14:paraId="7C8A5380">
      <w:pPr>
        <w:pStyle w:val="10"/>
        <w:keepNext w:val="0"/>
        <w:keepLines w:val="0"/>
        <w:pageBreakBefore w:val="0"/>
        <w:kinsoku/>
        <w:wordWrap/>
        <w:topLinePunct w:val="0"/>
        <w:bidi w:val="0"/>
        <w:snapToGrid/>
        <w:spacing w:line="600" w:lineRule="exact"/>
        <w:ind w:right="0" w:firstLine="640" w:firstLineChars="200"/>
        <w:textAlignment w:val="auto"/>
        <w:rPr>
          <w:rFonts w:ascii="仿宋_GB2312" w:eastAsia="仿宋_GB2312" w:hAnsiTheme="minorEastAsia"/>
          <w:color w:val="auto"/>
          <w:sz w:val="32"/>
          <w:szCs w:val="32"/>
          <w:highlight w:val="none"/>
        </w:rPr>
      </w:pPr>
      <w:r>
        <w:rPr>
          <w:rFonts w:hint="eastAsia" w:ascii="仿宋_GB2312" w:hAnsi="Times New Roman" w:eastAsia="仿宋_GB2312"/>
          <w:sz w:val="32"/>
          <w:szCs w:val="32"/>
          <w:highlight w:val="none"/>
        </w:rPr>
        <w:t>本部门2022年度机关运行经费支出23.59万元，比上年决算数增加2.54万元，增加12.07%。</w:t>
      </w:r>
      <w:r>
        <w:rPr>
          <w:rFonts w:hint="eastAsia" w:ascii="仿宋_GB2312" w:hAnsi="Times New Roman" w:eastAsia="仿宋_GB2312"/>
          <w:color w:val="auto"/>
          <w:sz w:val="32"/>
          <w:szCs w:val="32"/>
          <w:highlight w:val="none"/>
        </w:rPr>
        <w:t>主要原因是：增加了福利费的支出</w:t>
      </w:r>
      <w:r>
        <w:rPr>
          <w:rFonts w:hint="eastAsia" w:ascii="仿宋_GB2312" w:hAnsi="Times New Roman" w:eastAsia="仿宋_GB2312"/>
          <w:sz w:val="32"/>
          <w:szCs w:val="32"/>
          <w:highlight w:val="none"/>
        </w:rPr>
        <w:t>。</w:t>
      </w:r>
    </w:p>
    <w:p w14:paraId="2DF43583">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十一、一般性支出情况说明</w:t>
      </w:r>
    </w:p>
    <w:p w14:paraId="5687C3A3">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Cs/>
          <w:i/>
          <w:color w:val="auto"/>
          <w:sz w:val="32"/>
          <w:szCs w:val="32"/>
          <w:highlight w:val="none"/>
        </w:rPr>
      </w:pPr>
      <w:r>
        <w:rPr>
          <w:rFonts w:hint="eastAsia" w:ascii="仿宋_GB2312" w:hAnsi="Times New Roman" w:eastAsia="仿宋_GB2312"/>
          <w:sz w:val="32"/>
          <w:szCs w:val="32"/>
          <w:highlight w:val="none"/>
        </w:rPr>
        <w:t>2022年本部门共开支会议费2.52万元，年初在专项业务经费中列支预算3万元,3月份召开《南方周末》来怀调研采访座谈会，推广介绍我市计生协改革推进所取得的成绩，支出0.65万元；7月份召开全市计生协理事会，研究部署全市计生协工作，支出0.94万元；9月份召开“小善举</w:t>
      </w:r>
      <w:r>
        <w:rPr>
          <w:rFonts w:hint="eastAsia" w:ascii="仿宋_GB2312" w:hAnsi="仿宋" w:eastAsia="仿宋_GB2312"/>
          <w:sz w:val="32"/>
          <w:szCs w:val="32"/>
          <w:highlight w:val="none"/>
        </w:rPr>
        <w:t>·</w:t>
      </w:r>
      <w:r>
        <w:rPr>
          <w:rFonts w:hint="eastAsia" w:ascii="仿宋_GB2312" w:hAnsi="Times New Roman" w:eastAsia="仿宋_GB2312"/>
          <w:sz w:val="32"/>
          <w:szCs w:val="32"/>
          <w:highlight w:val="none"/>
        </w:rPr>
        <w:t>大爱心”募捐座谈会及培训会，积极发动全市卫健系统干部职工为系统内困难干部职工募捐善款，支出0.93万元；开支培训费0万元；举办节庆、晚会、论坛、赛事活动，开支0万元。</w:t>
      </w:r>
    </w:p>
    <w:p w14:paraId="06B196EA">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十二、关于政府采购支出说明</w:t>
      </w:r>
    </w:p>
    <w:p w14:paraId="04AAF239">
      <w:pPr>
        <w:pStyle w:val="10"/>
        <w:keepNext w:val="0"/>
        <w:keepLines w:val="0"/>
        <w:pageBreakBefore w:val="0"/>
        <w:kinsoku/>
        <w:wordWrap/>
        <w:topLinePunct w:val="0"/>
        <w:bidi w:val="0"/>
        <w:snapToGrid/>
        <w:spacing w:line="600" w:lineRule="exact"/>
        <w:ind w:right="0" w:firstLine="640" w:firstLineChars="200"/>
        <w:textAlignment w:val="auto"/>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本部门2022年度政府采购支出总额9.87万元，其中：政府采购货物支出2.95万元、政府采购工程支出0万元、政府采购服务支出6.92万元。授予中小企业合同金额9.87万元，占政府采购支出总额的100%，其中：授予小微企业合同金额9.87万元，占政府采购支出总额的100%。货物采购授予中小企业合同金额占货物支出金额的</w:t>
      </w:r>
      <w:r>
        <w:rPr>
          <w:rFonts w:hint="eastAsia" w:ascii="仿宋_GB2312" w:hAnsi="Times New Roman" w:eastAsia="仿宋_GB2312"/>
          <w:color w:val="auto"/>
          <w:sz w:val="32"/>
          <w:szCs w:val="32"/>
          <w:highlight w:val="none"/>
          <w:lang w:val="en-US" w:eastAsia="zh-CN"/>
        </w:rPr>
        <w:t>100</w:t>
      </w:r>
      <w:r>
        <w:rPr>
          <w:rFonts w:hint="eastAsia" w:ascii="仿宋_GB2312" w:hAnsi="Times New Roman" w:eastAsia="仿宋_GB2312"/>
          <w:color w:val="auto"/>
          <w:sz w:val="32"/>
          <w:szCs w:val="32"/>
          <w:highlight w:val="none"/>
        </w:rPr>
        <w:t>%，</w:t>
      </w:r>
      <w:r>
        <w:rPr>
          <w:rFonts w:hint="eastAsia" w:ascii="仿宋_GB2312" w:hAnsi="仿宋_GB2312" w:eastAsia="仿宋_GB2312"/>
          <w:sz w:val="32"/>
          <w:szCs w:val="32"/>
          <w:highlight w:val="none"/>
        </w:rPr>
        <w:t>由于工程支出金额为0万元，无法计算工程采购授予中小企业合同金额占工程支出金额的百分比</w:t>
      </w:r>
      <w:r>
        <w:rPr>
          <w:rFonts w:hint="eastAsia" w:ascii="仿宋_GB2312" w:hAnsi="仿宋_GB2312" w:eastAsia="仿宋_GB2312"/>
          <w:sz w:val="32"/>
          <w:szCs w:val="32"/>
          <w:highlight w:val="none"/>
          <w:lang w:eastAsia="zh-CN"/>
        </w:rPr>
        <w:t>；</w:t>
      </w:r>
      <w:r>
        <w:rPr>
          <w:rFonts w:hint="eastAsia" w:ascii="仿宋_GB2312" w:hAnsi="Times New Roman" w:eastAsia="仿宋_GB2312"/>
          <w:color w:val="auto"/>
          <w:sz w:val="32"/>
          <w:szCs w:val="32"/>
          <w:highlight w:val="none"/>
        </w:rPr>
        <w:t>服务采购授予中小企业合同金额占服务支出金额的</w:t>
      </w:r>
      <w:r>
        <w:rPr>
          <w:rFonts w:hint="eastAsia" w:ascii="仿宋_GB2312" w:hAnsi="Times New Roman" w:eastAsia="仿宋_GB2312"/>
          <w:color w:val="auto"/>
          <w:sz w:val="32"/>
          <w:szCs w:val="32"/>
          <w:highlight w:val="none"/>
          <w:lang w:val="en-US" w:eastAsia="zh-CN"/>
        </w:rPr>
        <w:t>100</w:t>
      </w:r>
      <w:bookmarkStart w:id="3" w:name="_GoBack"/>
      <w:bookmarkEnd w:id="3"/>
      <w:r>
        <w:rPr>
          <w:rFonts w:hint="eastAsia" w:ascii="仿宋_GB2312" w:hAnsi="Times New Roman" w:eastAsia="仿宋_GB2312"/>
          <w:color w:val="auto"/>
          <w:sz w:val="32"/>
          <w:szCs w:val="32"/>
          <w:highlight w:val="none"/>
        </w:rPr>
        <w:t>%。</w:t>
      </w:r>
    </w:p>
    <w:p w14:paraId="00F157C2">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黑体" w:eastAsia="仿宋_GB2312"/>
          <w:bCs/>
          <w:sz w:val="32"/>
          <w:szCs w:val="32"/>
          <w:highlight w:val="none"/>
        </w:rPr>
      </w:pPr>
      <w:r>
        <w:rPr>
          <w:rFonts w:hint="eastAsia" w:ascii="黑体" w:hAnsi="黑体" w:eastAsia="黑体" w:cs="黑体"/>
          <w:bCs/>
          <w:sz w:val="32"/>
          <w:szCs w:val="32"/>
          <w:highlight w:val="none"/>
        </w:rPr>
        <w:t>十三、关于国有资产占用情况说明</w:t>
      </w:r>
    </w:p>
    <w:p w14:paraId="546157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ascii="仿宋_GB2312" w:hAnsi="Times New Roman" w:eastAsia="仿宋_GB2312"/>
          <w:sz w:val="32"/>
          <w:szCs w:val="32"/>
          <w:highlight w:val="none"/>
        </w:rPr>
      </w:pPr>
      <w:r>
        <w:rPr>
          <w:rFonts w:hint="eastAsia" w:ascii="仿宋_GB2312" w:hAnsi="Times New Roman" w:eastAsia="仿宋_GB2312"/>
          <w:sz w:val="32"/>
          <w:szCs w:val="32"/>
          <w:highlight w:val="none"/>
        </w:rPr>
        <w:t>截至2022年12月31日，本单位共有车辆1辆，其中，主要领导干部用车0辆，机要通信用车0辆、应急保障用车0辆、执法执勤用车0辆、特种专业技术用车0辆、其他用车1辆，其他用车主要是</w:t>
      </w:r>
      <w:r>
        <w:rPr>
          <w:rFonts w:hint="eastAsia" w:ascii="仿宋_GB2312" w:hAnsi="仿宋_GB2312" w:eastAsia="仿宋_GB2312"/>
          <w:sz w:val="32"/>
          <w:szCs w:val="32"/>
          <w:highlight w:val="none"/>
        </w:rPr>
        <w:t>一般公务用车</w:t>
      </w:r>
      <w:r>
        <w:rPr>
          <w:rFonts w:hint="eastAsia" w:ascii="仿宋_GB2312" w:hAnsi="Times New Roman" w:eastAsia="仿宋_GB2312"/>
          <w:sz w:val="32"/>
          <w:szCs w:val="32"/>
          <w:highlight w:val="none"/>
        </w:rPr>
        <w:t>；单位价值50万元以上通用设备0台（套）；单位价值100万元以上专用设备0台（套）。</w:t>
      </w:r>
    </w:p>
    <w:p w14:paraId="46E5A7F5">
      <w:pPr>
        <w:pStyle w:val="10"/>
        <w:keepNext w:val="0"/>
        <w:keepLines w:val="0"/>
        <w:pageBreakBefore w:val="0"/>
        <w:kinsoku/>
        <w:wordWrap/>
        <w:topLinePunct w:val="0"/>
        <w:bidi w:val="0"/>
        <w:snapToGrid/>
        <w:spacing w:line="600" w:lineRule="exact"/>
        <w:ind w:right="0"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十四、关于</w:t>
      </w:r>
      <w:r>
        <w:rPr>
          <w:rFonts w:hint="eastAsia" w:ascii="黑体" w:hAnsi="黑体" w:eastAsia="黑体" w:cs="黑体"/>
          <w:sz w:val="32"/>
          <w:szCs w:val="32"/>
          <w:highlight w:val="none"/>
        </w:rPr>
        <w:t>2022</w:t>
      </w:r>
      <w:r>
        <w:rPr>
          <w:rFonts w:hint="eastAsia" w:ascii="黑体" w:hAnsi="黑体" w:eastAsia="黑体" w:cs="黑体"/>
          <w:bCs/>
          <w:sz w:val="32"/>
          <w:szCs w:val="32"/>
          <w:highlight w:val="none"/>
        </w:rPr>
        <w:t>年度预算绩效情况的说明</w:t>
      </w:r>
    </w:p>
    <w:p w14:paraId="0AFFD7A6">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
          <w:bCs w:val="0"/>
          <w:sz w:val="32"/>
          <w:szCs w:val="32"/>
          <w:highlight w:val="none"/>
        </w:rPr>
      </w:pPr>
      <w:r>
        <w:rPr>
          <w:rFonts w:hint="eastAsia" w:ascii="仿宋_GB2312" w:hAnsi="楷体" w:eastAsia="仿宋_GB2312" w:cs="楷体"/>
          <w:b/>
          <w:bCs w:val="0"/>
          <w:sz w:val="32"/>
          <w:szCs w:val="32"/>
          <w:highlight w:val="none"/>
        </w:rPr>
        <w:t>（一）部门整体支出绩效情况</w:t>
      </w:r>
    </w:p>
    <w:p w14:paraId="59749FCA">
      <w:pPr>
        <w:keepNext w:val="0"/>
        <w:keepLines w:val="0"/>
        <w:pageBreakBefore w:val="0"/>
        <w:widowControl/>
        <w:shd w:val="clear" w:color="auto" w:fill="FFFFFF"/>
        <w:kinsoku/>
        <w:wordWrap/>
        <w:topLinePunct w:val="0"/>
        <w:bidi w:val="0"/>
        <w:snapToGrid/>
        <w:spacing w:line="600" w:lineRule="exact"/>
        <w:ind w:right="0" w:firstLine="632" w:firstLineChars="200"/>
        <w:textAlignment w:val="auto"/>
        <w:rPr>
          <w:rFonts w:ascii="仿宋_GB2312" w:hAnsi="仿宋" w:eastAsia="仿宋_GB2312"/>
          <w:spacing w:val="-2"/>
          <w:sz w:val="32"/>
          <w:szCs w:val="32"/>
          <w:highlight w:val="none"/>
        </w:rPr>
      </w:pPr>
      <w:r>
        <w:rPr>
          <w:rFonts w:hint="eastAsia" w:ascii="仿宋_GB2312" w:hAnsi="仿宋" w:eastAsia="仿宋_GB2312"/>
          <w:bCs/>
          <w:spacing w:val="-2"/>
          <w:sz w:val="32"/>
          <w:szCs w:val="32"/>
          <w:highlight w:val="none"/>
        </w:rPr>
        <w:t>1、经济性分析。</w:t>
      </w:r>
      <w:r>
        <w:rPr>
          <w:rFonts w:hint="eastAsia" w:ascii="仿宋_GB2312" w:hAnsi="仿宋" w:eastAsia="仿宋_GB2312"/>
          <w:spacing w:val="-2"/>
          <w:sz w:val="32"/>
          <w:szCs w:val="32"/>
          <w:highlight w:val="none"/>
        </w:rPr>
        <w:t>我单位严格响应财政局过“紧日子”的号召，2022年的总支出238.82万元，较上年216.29万元增加了10.42%。2021年我单位三公经费共支出3.17万元，相较于上年度3.94万元，减少了19.54%。</w:t>
      </w:r>
    </w:p>
    <w:p w14:paraId="54FB848B">
      <w:pPr>
        <w:keepNext w:val="0"/>
        <w:keepLines w:val="0"/>
        <w:pageBreakBefore w:val="0"/>
        <w:widowControl/>
        <w:shd w:val="clear" w:color="auto" w:fill="FFFFFF"/>
        <w:kinsoku/>
        <w:wordWrap/>
        <w:topLinePunct w:val="0"/>
        <w:bidi w:val="0"/>
        <w:snapToGrid/>
        <w:spacing w:line="600" w:lineRule="exact"/>
        <w:ind w:right="0" w:firstLine="632" w:firstLineChars="200"/>
        <w:textAlignment w:val="auto"/>
        <w:rPr>
          <w:rFonts w:ascii="仿宋_GB2312" w:hAnsi="仿宋" w:eastAsia="仿宋_GB2312"/>
          <w:spacing w:val="-2"/>
          <w:sz w:val="32"/>
          <w:szCs w:val="32"/>
          <w:highlight w:val="none"/>
        </w:rPr>
      </w:pPr>
      <w:r>
        <w:rPr>
          <w:rFonts w:hint="eastAsia" w:ascii="仿宋_GB2312" w:hAnsi="仿宋" w:eastAsia="仿宋_GB2312"/>
          <w:bCs/>
          <w:spacing w:val="-2"/>
          <w:sz w:val="32"/>
          <w:szCs w:val="32"/>
          <w:highlight w:val="none"/>
        </w:rPr>
        <w:t>2、效率性分析。</w:t>
      </w:r>
      <w:r>
        <w:rPr>
          <w:rFonts w:hint="eastAsia" w:ascii="仿宋_GB2312" w:hAnsi="仿宋" w:eastAsia="仿宋_GB2312"/>
          <w:spacing w:val="-2"/>
          <w:sz w:val="32"/>
          <w:szCs w:val="32"/>
          <w:highlight w:val="none"/>
        </w:rPr>
        <w:t>2022年，全市计生协组织积极围绕中心、服务大局，扎实开展以基层群众自治、计生政策宣传、生育关怀、参与乡村振兴为主要内容的“主题宣传”活动，为推进健康怀化战略，助力乡村振兴、疫情防控营造了良好的工作环境和活动氛围。</w:t>
      </w:r>
    </w:p>
    <w:p w14:paraId="2CB339A1">
      <w:pPr>
        <w:keepNext w:val="0"/>
        <w:keepLines w:val="0"/>
        <w:pageBreakBefore w:val="0"/>
        <w:kinsoku/>
        <w:wordWrap/>
        <w:topLinePunct w:val="0"/>
        <w:bidi w:val="0"/>
        <w:snapToGrid/>
        <w:spacing w:line="600" w:lineRule="exact"/>
        <w:ind w:right="0" w:firstLine="632" w:firstLineChars="200"/>
        <w:textAlignment w:val="auto"/>
        <w:rPr>
          <w:rFonts w:ascii="仿宋_GB2312" w:hAnsi="仿宋" w:eastAsia="仿宋_GB2312"/>
          <w:bCs/>
          <w:spacing w:val="-2"/>
          <w:sz w:val="32"/>
          <w:szCs w:val="32"/>
          <w:highlight w:val="none"/>
        </w:rPr>
      </w:pPr>
      <w:r>
        <w:rPr>
          <w:rFonts w:hint="eastAsia" w:ascii="仿宋_GB2312" w:hAnsi="仿宋" w:eastAsia="仿宋_GB2312"/>
          <w:bCs/>
          <w:spacing w:val="-2"/>
          <w:sz w:val="32"/>
          <w:szCs w:val="32"/>
          <w:highlight w:val="none"/>
        </w:rPr>
        <w:t>3、有效性分析。</w:t>
      </w:r>
    </w:p>
    <w:p w14:paraId="41C331EC">
      <w:pPr>
        <w:keepNext w:val="0"/>
        <w:keepLines w:val="0"/>
        <w:pageBreakBefore w:val="0"/>
        <w:kinsoku/>
        <w:wordWrap/>
        <w:topLinePunct w:val="0"/>
        <w:bidi w:val="0"/>
        <w:snapToGrid/>
        <w:spacing w:line="600" w:lineRule="exact"/>
        <w:ind w:right="0" w:firstLine="640" w:firstLineChars="200"/>
        <w:textAlignment w:val="auto"/>
        <w:rPr>
          <w:rFonts w:ascii="仿宋_GB2312" w:hAnsi="仿宋_GB2312" w:eastAsia="仿宋_GB2312" w:cs="仿宋_GB2312"/>
          <w:sz w:val="32"/>
          <w:szCs w:val="32"/>
          <w:highlight w:val="none"/>
        </w:rPr>
      </w:pPr>
      <w:r>
        <w:rPr>
          <w:rFonts w:hint="eastAsia" w:ascii="仿宋_GB2312" w:hAnsi="楷体_GB2312" w:eastAsia="仿宋_GB2312" w:cs="楷体_GB2312"/>
          <w:bCs/>
          <w:sz w:val="32"/>
          <w:szCs w:val="32"/>
          <w:highlight w:val="none"/>
        </w:rPr>
        <w:t>一是服务三孩生育政策。</w:t>
      </w:r>
      <w:r>
        <w:rPr>
          <w:rFonts w:hint="eastAsia" w:ascii="仿宋_GB2312" w:hAnsi="仿宋_GB2312" w:eastAsia="仿宋_GB2312" w:cs="仿宋_GB2312"/>
          <w:sz w:val="32"/>
          <w:szCs w:val="32"/>
          <w:highlight w:val="none"/>
        </w:rPr>
        <w:t>充分发挥我市计生协“纵向到底、横向到边”的组织网络优势，利用“5.29”“7.11”及传统节假日等，通过宣传橱窗、横幅标语、文化汇演、知识竞答等形式，大力宣传三孩生育政策，做到家喻户晓。充分发挥市优生优育指导中心作用，坚持开办孕妇学校、家长课堂等线下课程，以及线上直播课、科普小视频等，全年开设线上线下课程227节，累计听课1.8万余人次。完成孕产妇免费产前筛查2.2万人次，免费两癌筛查7万人次，积极推行避孕方法知情选择，发放科普宣传资料上千份，“隐形守护包”上百个，助力解决广大育龄家庭“生得出、生得好”。</w:t>
      </w:r>
    </w:p>
    <w:p w14:paraId="40973F07">
      <w:pPr>
        <w:keepNext w:val="0"/>
        <w:keepLines w:val="0"/>
        <w:pageBreakBefore w:val="0"/>
        <w:kinsoku/>
        <w:wordWrap/>
        <w:topLinePunct w:val="0"/>
        <w:bidi w:val="0"/>
        <w:snapToGrid/>
        <w:spacing w:line="600" w:lineRule="exact"/>
        <w:ind w:right="0" w:firstLine="640" w:firstLineChars="200"/>
        <w:textAlignment w:val="auto"/>
        <w:rPr>
          <w:rFonts w:ascii="仿宋_GB2312" w:hAnsi="仿宋_GB2312" w:eastAsia="仿宋_GB2312" w:cs="仿宋_GB2312"/>
          <w:sz w:val="32"/>
          <w:szCs w:val="32"/>
          <w:highlight w:val="none"/>
        </w:rPr>
      </w:pPr>
      <w:r>
        <w:rPr>
          <w:rFonts w:hint="eastAsia" w:ascii="仿宋_GB2312" w:hAnsi="楷体_GB2312" w:eastAsia="仿宋_GB2312" w:cs="楷体_GB2312"/>
          <w:bCs/>
          <w:sz w:val="32"/>
          <w:szCs w:val="32"/>
          <w:highlight w:val="none"/>
        </w:rPr>
        <w:t>二是服务计生特殊家庭。</w:t>
      </w:r>
      <w:r>
        <w:rPr>
          <w:rFonts w:hint="eastAsia" w:ascii="仿宋_GB2312" w:hAnsi="仿宋_GB2312" w:eastAsia="仿宋_GB2312" w:cs="仿宋_GB2312"/>
          <w:sz w:val="32"/>
          <w:szCs w:val="32"/>
          <w:highlight w:val="none"/>
        </w:rPr>
        <w:t>开展计生特殊家庭住院护理补贴930人次，补贴金额102.78万元；为全市计生特殊家庭购买计生健康保险117.28万元，理赔798人次共124.59万元，提升了计生特殊家庭抵御风险的能力。同时，市计生协聚焦计生特殊家庭关爱帮扶，今年在原有11家“暖心家园”的基础上，又在通道、靖州、麻阳、辰溪等县市区新建立“暖心家园”5家，并认真落实精神慰藉、走访慰问、志愿服务、保险保障“四项制度”，组织开展健康知识讲座、健康义诊、暖心谈话、过集体生日等。目前，全市共</w:t>
      </w:r>
      <w:r>
        <w:rPr>
          <w:rFonts w:hint="eastAsia" w:ascii="仿宋_GB2312" w:eastAsia="仿宋_GB2312"/>
          <w:sz w:val="32"/>
          <w:szCs w:val="32"/>
          <w:highlight w:val="none"/>
        </w:rPr>
        <w:t>建成“暖心家园”16家，其中国家级1家、省级4家、市级7家、县级4家，涵盖服务对象467户672人，全年共举办活动64次，累计参与2465人次，</w:t>
      </w:r>
      <w:r>
        <w:rPr>
          <w:rFonts w:hint="eastAsia" w:ascii="仿宋_GB2312" w:hAnsi="仿宋_GB2312" w:eastAsia="仿宋_GB2312" w:cs="仿宋_GB2312"/>
          <w:sz w:val="32"/>
          <w:szCs w:val="32"/>
          <w:highlight w:val="none"/>
        </w:rPr>
        <w:t>做到了“年度有计划、季度有慰问、月月有活动”。今年，</w:t>
      </w:r>
      <w:r>
        <w:rPr>
          <w:rFonts w:hint="eastAsia" w:ascii="仿宋_GB2312" w:eastAsia="仿宋_GB2312"/>
          <w:sz w:val="32"/>
          <w:szCs w:val="32"/>
          <w:highlight w:val="none"/>
        </w:rPr>
        <w:t>市本级计生协为暖心家园项目点定制了一批“暖心被”，为计生特殊家庭送上一份贴心的暖冬礼物。</w:t>
      </w:r>
    </w:p>
    <w:p w14:paraId="756F3043">
      <w:pPr>
        <w:keepNext w:val="0"/>
        <w:keepLines w:val="0"/>
        <w:pageBreakBefore w:val="0"/>
        <w:kinsoku/>
        <w:wordWrap/>
        <w:topLinePunct w:val="0"/>
        <w:bidi w:val="0"/>
        <w:snapToGrid/>
        <w:spacing w:line="600" w:lineRule="exact"/>
        <w:ind w:right="0" w:firstLine="640" w:firstLineChars="200"/>
        <w:textAlignment w:val="auto"/>
        <w:rPr>
          <w:rFonts w:ascii="仿宋_GB2312" w:hAnsi="仿宋_GB2312" w:eastAsia="仿宋_GB2312" w:cs="仿宋_GB2312"/>
          <w:sz w:val="32"/>
          <w:szCs w:val="32"/>
          <w:highlight w:val="none"/>
        </w:rPr>
      </w:pPr>
      <w:r>
        <w:rPr>
          <w:rFonts w:hint="eastAsia" w:ascii="仿宋_GB2312" w:hAnsi="楷体_GB2312" w:eastAsia="仿宋_GB2312" w:cs="楷体_GB2312"/>
          <w:bCs/>
          <w:sz w:val="32"/>
          <w:szCs w:val="32"/>
          <w:highlight w:val="none"/>
        </w:rPr>
        <w:t>三是服务计生困难群众。</w:t>
      </w:r>
      <w:r>
        <w:rPr>
          <w:rFonts w:hint="eastAsia" w:ascii="仿宋_GB2312" w:eastAsia="仿宋_GB2312"/>
          <w:sz w:val="32"/>
          <w:szCs w:val="32"/>
          <w:highlight w:val="none"/>
        </w:rPr>
        <w:t>积极开展走访慰问，争取</w:t>
      </w:r>
      <w:r>
        <w:rPr>
          <w:rFonts w:hint="eastAsia" w:ascii="仿宋_GB2312" w:hAnsi="仿宋_GB2312" w:eastAsia="仿宋_GB2312" w:cs="仿宋_GB2312"/>
          <w:sz w:val="32"/>
          <w:szCs w:val="32"/>
          <w:highlight w:val="none"/>
        </w:rPr>
        <w:t>市委、市政府领导重视，今年春节前夕，市委副书记王建球，市人民政府副市长向秀亮深入鹤城慰问基层计生困难家庭。深入开展生育关怀行动，今年我市计生协积极争取省计生协大力支持，争取省计生协民生项目资金389.77万元，投入市本级项目资金36万元，关怀帮扶计生困难家庭600余户</w:t>
      </w:r>
      <w:r>
        <w:rPr>
          <w:rFonts w:hint="eastAsia" w:ascii="仿宋_GB2312" w:eastAsia="仿宋_GB2312"/>
          <w:sz w:val="32"/>
          <w:szCs w:val="32"/>
          <w:highlight w:val="none"/>
        </w:rPr>
        <w:t>。</w:t>
      </w:r>
      <w:r>
        <w:rPr>
          <w:rFonts w:hint="eastAsia" w:ascii="仿宋_GB2312" w:hAnsi="仿宋_GB2312" w:eastAsia="仿宋_GB2312" w:cs="仿宋_GB2312"/>
          <w:sz w:val="32"/>
          <w:szCs w:val="32"/>
          <w:highlight w:val="none"/>
        </w:rPr>
        <w:t>持续推进“幸福工程”“决胜小康”等项目实施，帮助贫困母亲和计生困难家庭实现家门口就业。今年11月，我市计生协联合上海医大医院开展先天性心脏病免费救治活动，这一项目的实施，将为农村先心病家庭带来实实在在的福音。</w:t>
      </w:r>
    </w:p>
    <w:p w14:paraId="192F375A">
      <w:pPr>
        <w:keepNext w:val="0"/>
        <w:keepLines w:val="0"/>
        <w:pageBreakBefore w:val="0"/>
        <w:widowControl/>
        <w:shd w:val="clear" w:color="auto" w:fill="FFFFFF"/>
        <w:kinsoku/>
        <w:wordWrap/>
        <w:topLinePunct w:val="0"/>
        <w:bidi w:val="0"/>
        <w:snapToGrid/>
        <w:spacing w:line="600" w:lineRule="exact"/>
        <w:ind w:right="0" w:firstLine="632" w:firstLineChars="200"/>
        <w:textAlignment w:val="auto"/>
        <w:rPr>
          <w:rFonts w:ascii="仿宋_GB2312" w:hAnsi="仿宋" w:eastAsia="仿宋_GB2312"/>
          <w:color w:val="0000FF"/>
          <w:spacing w:val="-2"/>
          <w:sz w:val="32"/>
          <w:szCs w:val="32"/>
          <w:highlight w:val="none"/>
        </w:rPr>
      </w:pPr>
      <w:r>
        <w:rPr>
          <w:rFonts w:hint="eastAsia" w:ascii="仿宋_GB2312" w:hAnsi="仿宋" w:eastAsia="仿宋_GB2312"/>
          <w:bCs/>
          <w:spacing w:val="-2"/>
          <w:sz w:val="32"/>
          <w:szCs w:val="32"/>
          <w:highlight w:val="none"/>
        </w:rPr>
        <w:t>4、可持续性分析。</w:t>
      </w:r>
      <w:r>
        <w:rPr>
          <w:rFonts w:hint="eastAsia" w:ascii="仿宋_GB2312" w:hAnsi="仿宋" w:eastAsia="仿宋_GB2312"/>
          <w:spacing w:val="-2"/>
          <w:sz w:val="32"/>
          <w:szCs w:val="32"/>
          <w:highlight w:val="none"/>
        </w:rPr>
        <w:t>通过加强预算收支管理，不断建立健全内部管理制度，梳理内部管理流程。整体支出既严格遵循了上级相关文件要求，又结合了我市的计生工作实际，在资金安排使用上还是比较科学合理的，具有可持续性。</w:t>
      </w:r>
    </w:p>
    <w:p w14:paraId="7F0EAA19">
      <w:pPr>
        <w:pStyle w:val="10"/>
        <w:keepNext w:val="0"/>
        <w:keepLines w:val="0"/>
        <w:pageBreakBefore w:val="0"/>
        <w:kinsoku/>
        <w:wordWrap/>
        <w:topLinePunct w:val="0"/>
        <w:bidi w:val="0"/>
        <w:snapToGrid/>
        <w:spacing w:line="600" w:lineRule="exact"/>
        <w:ind w:right="0" w:firstLine="640" w:firstLineChars="200"/>
        <w:textAlignment w:val="auto"/>
        <w:rPr>
          <w:rFonts w:ascii="仿宋_GB2312" w:hAnsi="楷体" w:eastAsia="仿宋_GB2312" w:cs="楷体"/>
          <w:b/>
          <w:bCs w:val="0"/>
          <w:sz w:val="32"/>
          <w:szCs w:val="32"/>
          <w:highlight w:val="none"/>
        </w:rPr>
      </w:pPr>
      <w:r>
        <w:rPr>
          <w:rFonts w:hint="eastAsia" w:ascii="仿宋_GB2312" w:hAnsi="楷体" w:eastAsia="仿宋_GB2312" w:cs="楷体"/>
          <w:b/>
          <w:bCs w:val="0"/>
          <w:sz w:val="32"/>
          <w:szCs w:val="32"/>
          <w:highlight w:val="none"/>
        </w:rPr>
        <w:t>（二）存在的问题及原因分析</w:t>
      </w:r>
    </w:p>
    <w:p w14:paraId="0F8D10E3">
      <w:pPr>
        <w:pStyle w:val="10"/>
        <w:keepNext w:val="0"/>
        <w:keepLines w:val="0"/>
        <w:pageBreakBefore w:val="0"/>
        <w:kinsoku/>
        <w:wordWrap/>
        <w:topLinePunct w:val="0"/>
        <w:bidi w:val="0"/>
        <w:snapToGrid/>
        <w:spacing w:line="600" w:lineRule="exact"/>
        <w:ind w:right="0" w:firstLine="640" w:firstLineChars="200"/>
        <w:textAlignment w:val="auto"/>
        <w:rPr>
          <w:rFonts w:ascii="仿宋_GB2312" w:eastAsia="仿宋_GB2312"/>
          <w:color w:val="auto"/>
          <w:sz w:val="32"/>
          <w:szCs w:val="32"/>
          <w:highlight w:val="none"/>
        </w:rPr>
      </w:pPr>
      <w:r>
        <w:rPr>
          <w:rFonts w:hint="eastAsia" w:ascii="仿宋_GB2312" w:hAnsi="Times New Roman" w:eastAsia="仿宋_GB2312"/>
          <w:color w:val="auto"/>
          <w:sz w:val="32"/>
          <w:szCs w:val="32"/>
          <w:highlight w:val="none"/>
        </w:rPr>
        <w:t>一是编制预算时，各经济科目金额分配不够精细合理。主要原因是对部门经费支出结构把握不到位。二是预算执行存在支出进度不均衡的情况。主要原因是业务活动主要集中在下半年开展。</w:t>
      </w:r>
    </w:p>
    <w:p w14:paraId="0DEDC7C5">
      <w:pPr>
        <w:pStyle w:val="10"/>
        <w:keepNext w:val="0"/>
        <w:keepLines w:val="0"/>
        <w:pageBreakBefore w:val="0"/>
        <w:kinsoku/>
        <w:wordWrap/>
        <w:topLinePunct w:val="0"/>
        <w:bidi w:val="0"/>
        <w:snapToGrid/>
        <w:spacing w:line="600" w:lineRule="exact"/>
        <w:ind w:firstLine="640" w:firstLineChars="200"/>
        <w:jc w:val="center"/>
        <w:textAlignment w:val="auto"/>
        <w:rPr>
          <w:rFonts w:ascii="仿宋_GB2312" w:hAnsi="方正小标宋_GBK" w:eastAsia="仿宋_GB2312" w:cs="方正小标宋_GBK"/>
          <w:sz w:val="32"/>
          <w:szCs w:val="32"/>
          <w:highlight w:val="none"/>
        </w:rPr>
      </w:pPr>
    </w:p>
    <w:p w14:paraId="2A882A4C">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2D7ABB8B">
      <w:pPr>
        <w:jc w:val="center"/>
        <w:rPr>
          <w:rFonts w:hint="eastAsia" w:ascii="黑体" w:hAnsi="黑体" w:eastAsia="黑体" w:cs="黑体"/>
          <w:color w:val="000000"/>
          <w:kern w:val="0"/>
          <w:sz w:val="44"/>
          <w:szCs w:val="44"/>
          <w:highlight w:val="none"/>
        </w:rPr>
      </w:pPr>
      <w:r>
        <w:rPr>
          <w:rFonts w:hint="eastAsia" w:ascii="黑体" w:hAnsi="黑体" w:eastAsia="黑体" w:cs="黑体"/>
          <w:color w:val="000000"/>
          <w:kern w:val="0"/>
          <w:sz w:val="44"/>
          <w:szCs w:val="44"/>
          <w:highlight w:val="none"/>
        </w:rPr>
        <w:t>名词解释</w:t>
      </w:r>
    </w:p>
    <w:p w14:paraId="17FE1D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 </w:t>
      </w:r>
    </w:p>
    <w:p w14:paraId="318738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一、机关运行经费：</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14:paraId="5CC7BF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二、“三公”经费：</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2C4BC66">
      <w:pPr>
        <w:pStyle w:val="10"/>
        <w:jc w:val="both"/>
        <w:rPr>
          <w:rFonts w:hint="eastAsia" w:ascii="仿宋_GB2312" w:hAnsi="仿宋_GB2312" w:eastAsia="仿宋_GB2312" w:cs="仿宋_GB2312"/>
          <w:i w:val="0"/>
          <w:iCs w:val="0"/>
          <w:caps w:val="0"/>
          <w:color w:val="auto"/>
          <w:spacing w:val="0"/>
          <w:sz w:val="32"/>
          <w:szCs w:val="32"/>
          <w:highlight w:val="none"/>
          <w:shd w:val="clear" w:fill="FFFFFF"/>
        </w:rPr>
      </w:pPr>
    </w:p>
    <w:p w14:paraId="497B2140">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 第五部分</w:t>
      </w:r>
    </w:p>
    <w:p w14:paraId="2D7B2E2F">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附件</w:t>
      </w:r>
    </w:p>
    <w:p w14:paraId="581F16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2022年度部分决算表</w:t>
      </w:r>
    </w:p>
    <w:p w14:paraId="1F1738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2022年度</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整体支出绩效</w:t>
      </w:r>
      <w:r>
        <w:rPr>
          <w:rFonts w:hint="eastAsia" w:ascii="仿宋_GB2312" w:hAnsi="仿宋_GB2312" w:eastAsia="仿宋_GB2312" w:cs="仿宋_GB2312"/>
          <w:color w:val="auto"/>
          <w:sz w:val="32"/>
          <w:szCs w:val="32"/>
          <w:highlight w:val="none"/>
          <w:lang w:val="en-US" w:eastAsia="zh-CN"/>
        </w:rPr>
        <w:t>评价</w:t>
      </w:r>
      <w:r>
        <w:rPr>
          <w:rFonts w:hint="eastAsia" w:ascii="仿宋_GB2312" w:hAnsi="仿宋_GB2312" w:eastAsia="仿宋_GB2312" w:cs="仿宋_GB2312"/>
          <w:color w:val="auto"/>
          <w:sz w:val="32"/>
          <w:szCs w:val="32"/>
          <w:highlight w:val="none"/>
        </w:rPr>
        <w:t>报告</w:t>
      </w:r>
    </w:p>
    <w:p w14:paraId="3A0343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.2022</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rPr>
        <w:t>度</w:t>
      </w:r>
      <w:r>
        <w:rPr>
          <w:rFonts w:hint="eastAsia" w:ascii="仿宋_GB2312" w:hAnsi="仿宋_GB2312" w:eastAsia="仿宋_GB2312" w:cs="仿宋_GB2312"/>
          <w:color w:val="auto"/>
          <w:sz w:val="32"/>
          <w:szCs w:val="32"/>
          <w:highlight w:val="none"/>
          <w:lang w:val="en-US" w:eastAsia="zh-CN"/>
        </w:rPr>
        <w:t>部门专项资金</w:t>
      </w:r>
      <w:r>
        <w:rPr>
          <w:rFonts w:hint="eastAsia" w:ascii="仿宋_GB2312" w:hAnsi="仿宋_GB2312" w:eastAsia="仿宋_GB2312" w:cs="仿宋_GB2312"/>
          <w:color w:val="auto"/>
          <w:sz w:val="32"/>
          <w:szCs w:val="32"/>
          <w:highlight w:val="none"/>
        </w:rPr>
        <w:t>绩效</w:t>
      </w:r>
      <w:r>
        <w:rPr>
          <w:rFonts w:hint="eastAsia" w:ascii="仿宋_GB2312" w:hAnsi="仿宋_GB2312" w:eastAsia="仿宋_GB2312" w:cs="仿宋_GB2312"/>
          <w:color w:val="auto"/>
          <w:sz w:val="32"/>
          <w:szCs w:val="32"/>
          <w:highlight w:val="none"/>
          <w:lang w:val="en-US" w:eastAsia="zh-CN"/>
        </w:rPr>
        <w:t>评价</w:t>
      </w:r>
      <w:r>
        <w:rPr>
          <w:rFonts w:hint="eastAsia" w:ascii="仿宋_GB2312" w:hAnsi="仿宋_GB2312" w:eastAsia="仿宋_GB2312" w:cs="仿宋_GB2312"/>
          <w:color w:val="auto"/>
          <w:sz w:val="32"/>
          <w:szCs w:val="32"/>
          <w:highlight w:val="none"/>
        </w:rPr>
        <w:t>报告</w:t>
      </w:r>
    </w:p>
    <w:p w14:paraId="63B0330B">
      <w:pPr>
        <w:pStyle w:val="10"/>
        <w:spacing w:line="600" w:lineRule="exact"/>
        <w:rPr>
          <w:rFonts w:ascii="仿宋_GB2312" w:eastAsia="仿宋_GB2312"/>
          <w:sz w:val="32"/>
          <w:szCs w:val="32"/>
          <w:highlight w:val="none"/>
        </w:rPr>
      </w:pPr>
    </w:p>
    <w:sectPr>
      <w:footerReference r:id="rId3" w:type="default"/>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0769100"/>
      <w:docPartObj>
        <w:docPartGallery w:val="autotext"/>
      </w:docPartObj>
    </w:sdtPr>
    <w:sdtContent>
      <w:p w14:paraId="34EC2B62">
        <w:pPr>
          <w:pStyle w:val="4"/>
          <w:jc w:val="right"/>
        </w:pPr>
        <w:r>
          <w:fldChar w:fldCharType="begin"/>
        </w:r>
        <w:r>
          <w:instrText xml:space="preserve">PAGE   \* MERGEFORMAT</w:instrText>
        </w:r>
        <w:r>
          <w:fldChar w:fldCharType="separate"/>
        </w:r>
        <w:r>
          <w:rPr>
            <w:lang w:val="zh-CN"/>
          </w:rPr>
          <w:t>6</w:t>
        </w:r>
        <w:r>
          <w:fldChar w:fldCharType="end"/>
        </w:r>
      </w:p>
    </w:sdtContent>
  </w:sdt>
  <w:p w14:paraId="39292E8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3YzhmNzc3NWQ4MGM0ZWRjMzI0ZjdlYWYzNmU2NzMifQ=="/>
  </w:docVars>
  <w:rsids>
    <w:rsidRoot w:val="004506F9"/>
    <w:rsid w:val="0000581E"/>
    <w:rsid w:val="00005A8A"/>
    <w:rsid w:val="0002229B"/>
    <w:rsid w:val="000273BD"/>
    <w:rsid w:val="0003214F"/>
    <w:rsid w:val="000327BA"/>
    <w:rsid w:val="00040CBC"/>
    <w:rsid w:val="000415B7"/>
    <w:rsid w:val="00041E3F"/>
    <w:rsid w:val="00050B79"/>
    <w:rsid w:val="00055DAA"/>
    <w:rsid w:val="00061F7B"/>
    <w:rsid w:val="000623A2"/>
    <w:rsid w:val="00063B89"/>
    <w:rsid w:val="000658A3"/>
    <w:rsid w:val="00074155"/>
    <w:rsid w:val="00080176"/>
    <w:rsid w:val="00087DD6"/>
    <w:rsid w:val="000925E5"/>
    <w:rsid w:val="000A3F69"/>
    <w:rsid w:val="000A4CC9"/>
    <w:rsid w:val="000B452C"/>
    <w:rsid w:val="000C2C79"/>
    <w:rsid w:val="000D7A85"/>
    <w:rsid w:val="000E0C28"/>
    <w:rsid w:val="00103957"/>
    <w:rsid w:val="00113E25"/>
    <w:rsid w:val="001218A0"/>
    <w:rsid w:val="00125694"/>
    <w:rsid w:val="001345CE"/>
    <w:rsid w:val="001431E6"/>
    <w:rsid w:val="0014509E"/>
    <w:rsid w:val="00147BBC"/>
    <w:rsid w:val="00152737"/>
    <w:rsid w:val="00152C6D"/>
    <w:rsid w:val="00162D39"/>
    <w:rsid w:val="00163E8D"/>
    <w:rsid w:val="001678BD"/>
    <w:rsid w:val="00171BEB"/>
    <w:rsid w:val="00182373"/>
    <w:rsid w:val="001A09BA"/>
    <w:rsid w:val="001A67DB"/>
    <w:rsid w:val="001B37A0"/>
    <w:rsid w:val="001C0A73"/>
    <w:rsid w:val="001C3C29"/>
    <w:rsid w:val="001C55EE"/>
    <w:rsid w:val="001D12C3"/>
    <w:rsid w:val="001D37F1"/>
    <w:rsid w:val="001D51E5"/>
    <w:rsid w:val="001E080D"/>
    <w:rsid w:val="001E53D0"/>
    <w:rsid w:val="001F0C3B"/>
    <w:rsid w:val="002013BC"/>
    <w:rsid w:val="00202C82"/>
    <w:rsid w:val="00214427"/>
    <w:rsid w:val="0022008F"/>
    <w:rsid w:val="00226CB7"/>
    <w:rsid w:val="00242470"/>
    <w:rsid w:val="00264552"/>
    <w:rsid w:val="00264EF9"/>
    <w:rsid w:val="00265724"/>
    <w:rsid w:val="0027426B"/>
    <w:rsid w:val="002D06E0"/>
    <w:rsid w:val="002D2D76"/>
    <w:rsid w:val="002D6415"/>
    <w:rsid w:val="002E0A30"/>
    <w:rsid w:val="00302281"/>
    <w:rsid w:val="003130C4"/>
    <w:rsid w:val="00314767"/>
    <w:rsid w:val="00316C4B"/>
    <w:rsid w:val="0032192B"/>
    <w:rsid w:val="003265DA"/>
    <w:rsid w:val="00341854"/>
    <w:rsid w:val="00344543"/>
    <w:rsid w:val="003479BD"/>
    <w:rsid w:val="00355E45"/>
    <w:rsid w:val="00361AB0"/>
    <w:rsid w:val="00362AF1"/>
    <w:rsid w:val="003631E2"/>
    <w:rsid w:val="0036523A"/>
    <w:rsid w:val="0037197D"/>
    <w:rsid w:val="00374E67"/>
    <w:rsid w:val="003768D5"/>
    <w:rsid w:val="003769A7"/>
    <w:rsid w:val="00387A4C"/>
    <w:rsid w:val="003903C8"/>
    <w:rsid w:val="003926B9"/>
    <w:rsid w:val="003B22EF"/>
    <w:rsid w:val="003B4503"/>
    <w:rsid w:val="003B6D59"/>
    <w:rsid w:val="003C47E6"/>
    <w:rsid w:val="003C4FC2"/>
    <w:rsid w:val="00400D42"/>
    <w:rsid w:val="00416E61"/>
    <w:rsid w:val="0042790C"/>
    <w:rsid w:val="00444A6C"/>
    <w:rsid w:val="00445DBF"/>
    <w:rsid w:val="00446B9D"/>
    <w:rsid w:val="004506F9"/>
    <w:rsid w:val="00453AB6"/>
    <w:rsid w:val="004660F2"/>
    <w:rsid w:val="004717A2"/>
    <w:rsid w:val="00472B94"/>
    <w:rsid w:val="00473DF3"/>
    <w:rsid w:val="00486A49"/>
    <w:rsid w:val="00487911"/>
    <w:rsid w:val="00491741"/>
    <w:rsid w:val="004A06E6"/>
    <w:rsid w:val="004A5283"/>
    <w:rsid w:val="004B0CEE"/>
    <w:rsid w:val="004E76E6"/>
    <w:rsid w:val="00500E5F"/>
    <w:rsid w:val="005122EF"/>
    <w:rsid w:val="0051441A"/>
    <w:rsid w:val="00517C33"/>
    <w:rsid w:val="00517D5F"/>
    <w:rsid w:val="00523644"/>
    <w:rsid w:val="0054069E"/>
    <w:rsid w:val="00541F06"/>
    <w:rsid w:val="005436C2"/>
    <w:rsid w:val="00544866"/>
    <w:rsid w:val="00556DF1"/>
    <w:rsid w:val="00557852"/>
    <w:rsid w:val="00565434"/>
    <w:rsid w:val="005767CC"/>
    <w:rsid w:val="00590419"/>
    <w:rsid w:val="00590D9F"/>
    <w:rsid w:val="00595D26"/>
    <w:rsid w:val="00597732"/>
    <w:rsid w:val="005A74E6"/>
    <w:rsid w:val="005B404E"/>
    <w:rsid w:val="005D4D55"/>
    <w:rsid w:val="005E2CFB"/>
    <w:rsid w:val="005F2103"/>
    <w:rsid w:val="005F3D1C"/>
    <w:rsid w:val="006024DE"/>
    <w:rsid w:val="00606BE6"/>
    <w:rsid w:val="0062378F"/>
    <w:rsid w:val="00625440"/>
    <w:rsid w:val="00641842"/>
    <w:rsid w:val="00647C5C"/>
    <w:rsid w:val="00651EEC"/>
    <w:rsid w:val="00655333"/>
    <w:rsid w:val="00655B4F"/>
    <w:rsid w:val="00675E35"/>
    <w:rsid w:val="006822EF"/>
    <w:rsid w:val="00686673"/>
    <w:rsid w:val="00691E8C"/>
    <w:rsid w:val="006A22C4"/>
    <w:rsid w:val="006A351B"/>
    <w:rsid w:val="006A427C"/>
    <w:rsid w:val="006A7685"/>
    <w:rsid w:val="006B0422"/>
    <w:rsid w:val="006B1F03"/>
    <w:rsid w:val="006C1A48"/>
    <w:rsid w:val="006C1B53"/>
    <w:rsid w:val="006C270D"/>
    <w:rsid w:val="006D7730"/>
    <w:rsid w:val="006E5284"/>
    <w:rsid w:val="006F3EB5"/>
    <w:rsid w:val="00700076"/>
    <w:rsid w:val="00702E34"/>
    <w:rsid w:val="00703DF5"/>
    <w:rsid w:val="00704395"/>
    <w:rsid w:val="00710FE7"/>
    <w:rsid w:val="00715963"/>
    <w:rsid w:val="007159BC"/>
    <w:rsid w:val="00717621"/>
    <w:rsid w:val="00720FF1"/>
    <w:rsid w:val="00727A53"/>
    <w:rsid w:val="00757CFB"/>
    <w:rsid w:val="00784AA0"/>
    <w:rsid w:val="00787B42"/>
    <w:rsid w:val="007902A7"/>
    <w:rsid w:val="007A0AC8"/>
    <w:rsid w:val="007A62C2"/>
    <w:rsid w:val="007B5D18"/>
    <w:rsid w:val="007B6175"/>
    <w:rsid w:val="007C2DC2"/>
    <w:rsid w:val="007C4539"/>
    <w:rsid w:val="007C4E42"/>
    <w:rsid w:val="007E0539"/>
    <w:rsid w:val="007E608C"/>
    <w:rsid w:val="007F0163"/>
    <w:rsid w:val="007F3657"/>
    <w:rsid w:val="0080358C"/>
    <w:rsid w:val="0081103F"/>
    <w:rsid w:val="00812ED5"/>
    <w:rsid w:val="008277CA"/>
    <w:rsid w:val="008277D9"/>
    <w:rsid w:val="00831273"/>
    <w:rsid w:val="008333A6"/>
    <w:rsid w:val="0084441E"/>
    <w:rsid w:val="0084478C"/>
    <w:rsid w:val="0085376D"/>
    <w:rsid w:val="00856ABE"/>
    <w:rsid w:val="008653CA"/>
    <w:rsid w:val="0086638C"/>
    <w:rsid w:val="00870304"/>
    <w:rsid w:val="0088498B"/>
    <w:rsid w:val="00890657"/>
    <w:rsid w:val="00894E9C"/>
    <w:rsid w:val="008A3E8D"/>
    <w:rsid w:val="008D420D"/>
    <w:rsid w:val="008E037E"/>
    <w:rsid w:val="008F38AA"/>
    <w:rsid w:val="008F54AC"/>
    <w:rsid w:val="009162CF"/>
    <w:rsid w:val="0092024A"/>
    <w:rsid w:val="009237C4"/>
    <w:rsid w:val="009242B2"/>
    <w:rsid w:val="0092579B"/>
    <w:rsid w:val="00932810"/>
    <w:rsid w:val="00941D7B"/>
    <w:rsid w:val="00944C48"/>
    <w:rsid w:val="00950252"/>
    <w:rsid w:val="00957D73"/>
    <w:rsid w:val="00967F5D"/>
    <w:rsid w:val="00977377"/>
    <w:rsid w:val="009821A9"/>
    <w:rsid w:val="00987943"/>
    <w:rsid w:val="009A0F95"/>
    <w:rsid w:val="009A5B13"/>
    <w:rsid w:val="009B242E"/>
    <w:rsid w:val="009B3ADF"/>
    <w:rsid w:val="009C3B52"/>
    <w:rsid w:val="009D15EE"/>
    <w:rsid w:val="009D1C88"/>
    <w:rsid w:val="009D43F6"/>
    <w:rsid w:val="009E483B"/>
    <w:rsid w:val="009E6817"/>
    <w:rsid w:val="009E6E9A"/>
    <w:rsid w:val="009E71A7"/>
    <w:rsid w:val="00A01D2B"/>
    <w:rsid w:val="00A02ADF"/>
    <w:rsid w:val="00A32178"/>
    <w:rsid w:val="00A3239F"/>
    <w:rsid w:val="00A407EF"/>
    <w:rsid w:val="00A42218"/>
    <w:rsid w:val="00A52862"/>
    <w:rsid w:val="00A60220"/>
    <w:rsid w:val="00A649EF"/>
    <w:rsid w:val="00A65620"/>
    <w:rsid w:val="00A70249"/>
    <w:rsid w:val="00A70B02"/>
    <w:rsid w:val="00A71D9F"/>
    <w:rsid w:val="00A92E9F"/>
    <w:rsid w:val="00A93F5C"/>
    <w:rsid w:val="00A95DEE"/>
    <w:rsid w:val="00AA21CA"/>
    <w:rsid w:val="00AB18FF"/>
    <w:rsid w:val="00AB59DD"/>
    <w:rsid w:val="00AC7C3B"/>
    <w:rsid w:val="00AE2700"/>
    <w:rsid w:val="00AE422F"/>
    <w:rsid w:val="00AF03F6"/>
    <w:rsid w:val="00AF10F3"/>
    <w:rsid w:val="00AF2A54"/>
    <w:rsid w:val="00AF2C55"/>
    <w:rsid w:val="00B009CD"/>
    <w:rsid w:val="00B33BEA"/>
    <w:rsid w:val="00B44B9F"/>
    <w:rsid w:val="00B56107"/>
    <w:rsid w:val="00B57C9F"/>
    <w:rsid w:val="00B63572"/>
    <w:rsid w:val="00B75588"/>
    <w:rsid w:val="00B845B3"/>
    <w:rsid w:val="00B85D8B"/>
    <w:rsid w:val="00BB4A40"/>
    <w:rsid w:val="00BC374A"/>
    <w:rsid w:val="00BC6922"/>
    <w:rsid w:val="00BD1AB1"/>
    <w:rsid w:val="00BD6C3E"/>
    <w:rsid w:val="00BE3674"/>
    <w:rsid w:val="00BE73EC"/>
    <w:rsid w:val="00C06449"/>
    <w:rsid w:val="00C10681"/>
    <w:rsid w:val="00C1456B"/>
    <w:rsid w:val="00C27465"/>
    <w:rsid w:val="00C3049A"/>
    <w:rsid w:val="00C31817"/>
    <w:rsid w:val="00C31B1E"/>
    <w:rsid w:val="00C31D98"/>
    <w:rsid w:val="00C45C70"/>
    <w:rsid w:val="00C466B6"/>
    <w:rsid w:val="00C47DAB"/>
    <w:rsid w:val="00C502C8"/>
    <w:rsid w:val="00C62813"/>
    <w:rsid w:val="00C66FC2"/>
    <w:rsid w:val="00C72ECD"/>
    <w:rsid w:val="00C73317"/>
    <w:rsid w:val="00C77645"/>
    <w:rsid w:val="00C8407B"/>
    <w:rsid w:val="00C85AAA"/>
    <w:rsid w:val="00CA1F59"/>
    <w:rsid w:val="00CB423B"/>
    <w:rsid w:val="00CB538A"/>
    <w:rsid w:val="00CE04C3"/>
    <w:rsid w:val="00CE254E"/>
    <w:rsid w:val="00CE76A0"/>
    <w:rsid w:val="00CF53FB"/>
    <w:rsid w:val="00D0246A"/>
    <w:rsid w:val="00D047B7"/>
    <w:rsid w:val="00D148C6"/>
    <w:rsid w:val="00D163B8"/>
    <w:rsid w:val="00D17A8A"/>
    <w:rsid w:val="00D21443"/>
    <w:rsid w:val="00D33223"/>
    <w:rsid w:val="00D40E30"/>
    <w:rsid w:val="00D415BA"/>
    <w:rsid w:val="00D44645"/>
    <w:rsid w:val="00D45E2F"/>
    <w:rsid w:val="00D52FB2"/>
    <w:rsid w:val="00D575A2"/>
    <w:rsid w:val="00D61450"/>
    <w:rsid w:val="00D63780"/>
    <w:rsid w:val="00D644EE"/>
    <w:rsid w:val="00D80EFA"/>
    <w:rsid w:val="00D844D7"/>
    <w:rsid w:val="00D96A3D"/>
    <w:rsid w:val="00D97CD1"/>
    <w:rsid w:val="00DB13EA"/>
    <w:rsid w:val="00DC5630"/>
    <w:rsid w:val="00DD06FF"/>
    <w:rsid w:val="00DD25E0"/>
    <w:rsid w:val="00DD5FE9"/>
    <w:rsid w:val="00DE507F"/>
    <w:rsid w:val="00DF53C9"/>
    <w:rsid w:val="00DF6D37"/>
    <w:rsid w:val="00E00C7A"/>
    <w:rsid w:val="00E05E4B"/>
    <w:rsid w:val="00E07E8F"/>
    <w:rsid w:val="00E11ED3"/>
    <w:rsid w:val="00E13E83"/>
    <w:rsid w:val="00E177C3"/>
    <w:rsid w:val="00E30AEF"/>
    <w:rsid w:val="00E33F4F"/>
    <w:rsid w:val="00E37D6C"/>
    <w:rsid w:val="00E50CA6"/>
    <w:rsid w:val="00E55B68"/>
    <w:rsid w:val="00E561AE"/>
    <w:rsid w:val="00E6119B"/>
    <w:rsid w:val="00E62C62"/>
    <w:rsid w:val="00E64473"/>
    <w:rsid w:val="00E67BE6"/>
    <w:rsid w:val="00E71DE6"/>
    <w:rsid w:val="00E72313"/>
    <w:rsid w:val="00E8683C"/>
    <w:rsid w:val="00EA2B72"/>
    <w:rsid w:val="00EA2CCB"/>
    <w:rsid w:val="00EA3D44"/>
    <w:rsid w:val="00EB2B03"/>
    <w:rsid w:val="00ED1E20"/>
    <w:rsid w:val="00EF57C1"/>
    <w:rsid w:val="00F07DD5"/>
    <w:rsid w:val="00F32838"/>
    <w:rsid w:val="00F366C2"/>
    <w:rsid w:val="00F543FC"/>
    <w:rsid w:val="00F55E1E"/>
    <w:rsid w:val="00F661B5"/>
    <w:rsid w:val="00F74360"/>
    <w:rsid w:val="00F753D3"/>
    <w:rsid w:val="00F81B28"/>
    <w:rsid w:val="00F8422F"/>
    <w:rsid w:val="00FA7057"/>
    <w:rsid w:val="00FB462F"/>
    <w:rsid w:val="00FD7B56"/>
    <w:rsid w:val="00FE16FA"/>
    <w:rsid w:val="00FE328A"/>
    <w:rsid w:val="00FE6269"/>
    <w:rsid w:val="00FF0039"/>
    <w:rsid w:val="00FF5CD6"/>
    <w:rsid w:val="02F25D34"/>
    <w:rsid w:val="251D4221"/>
    <w:rsid w:val="31B57533"/>
    <w:rsid w:val="34920BDA"/>
    <w:rsid w:val="372C3FFF"/>
    <w:rsid w:val="474121E3"/>
    <w:rsid w:val="53E84523"/>
    <w:rsid w:val="5777D4F5"/>
    <w:rsid w:val="5FC6BB1E"/>
    <w:rsid w:val="5FF720F1"/>
    <w:rsid w:val="67994119"/>
    <w:rsid w:val="6E1B085D"/>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6"/>
    <w:qFormat/>
    <w:uiPriority w:val="1"/>
    <w:rPr>
      <w:rFonts w:ascii="Calibri" w:hAnsi="Calibri" w:eastAsia="宋体"/>
      <w:sz w:val="32"/>
      <w:szCs w:val="32"/>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character" w:customStyle="1" w:styleId="16">
    <w:name w:val="正文文本 Char"/>
    <w:basedOn w:val="7"/>
    <w:link w:val="2"/>
    <w:qFormat/>
    <w:uiPriority w:val="1"/>
    <w:rPr>
      <w:rFonts w:ascii="Calibri" w:hAnsi="Calibri" w:cstheme="minorBidi"/>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6175DC-40E6-41B3-B131-6CA7440DEE0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5632</Words>
  <Characters>6214</Characters>
  <Lines>44</Lines>
  <Paragraphs>12</Paragraphs>
  <TotalTime>2</TotalTime>
  <ScaleCrop>false</ScaleCrop>
  <LinksUpToDate>false</LinksUpToDate>
  <CharactersWithSpaces>6226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chritypest</cp:lastModifiedBy>
  <cp:lastPrinted>2023-09-25T02:22:00Z</cp:lastPrinted>
  <dcterms:modified xsi:type="dcterms:W3CDTF">2024-10-18T06:08:40Z</dcterms:modified>
  <cp:revision>862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9632B0EA4ACA4A16A04D89EADE75024C_12</vt:lpwstr>
  </property>
</Properties>
</file>