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3"/>
        <w:jc w:val="center"/>
        <w:rPr>
          <w:b/>
          <w:color w:val="auto"/>
          <w:sz w:val="36"/>
          <w:szCs w:val="28"/>
        </w:rPr>
      </w:pPr>
      <w:r>
        <w:rPr>
          <w:rFonts w:hint="eastAsia" w:ascii="黑体" w:hAnsi="黑体" w:eastAsia="黑体" w:cs="黑体"/>
          <w:bCs/>
          <w:color w:val="auto"/>
          <w:kern w:val="0"/>
          <w:sz w:val="48"/>
          <w:szCs w:val="48"/>
          <w:lang w:val="en-US" w:eastAsia="zh-CN" w:bidi="ar-SA"/>
        </w:rPr>
        <w:t>2021年度怀化市无线电监测站部门决算</w:t>
      </w:r>
    </w:p>
    <w:p>
      <w:pPr>
        <w:pStyle w:val="13"/>
        <w:spacing w:line="500" w:lineRule="exact"/>
        <w:jc w:val="center"/>
        <w:rPr>
          <w:b/>
          <w:color w:val="auto"/>
          <w:sz w:val="36"/>
          <w:szCs w:val="28"/>
        </w:rPr>
      </w:pPr>
    </w:p>
    <w:p>
      <w:pPr>
        <w:keepNext w:val="0"/>
        <w:keepLines w:val="0"/>
        <w:pageBreakBefore w:val="0"/>
        <w:widowControl/>
        <w:kinsoku/>
        <w:wordWrap/>
        <w:overflowPunct/>
        <w:topLinePunct w:val="0"/>
        <w:bidi w:val="0"/>
        <w:snapToGrid/>
        <w:spacing w:line="600" w:lineRule="exact"/>
        <w:jc w:val="center"/>
        <w:textAlignment w:val="auto"/>
        <w:rPr>
          <w:rFonts w:hint="eastAsia" w:ascii="Times New Roman" w:hAnsi="Times New Roman" w:eastAsia="黑体" w:cs="Times New Roman"/>
          <w:bCs/>
          <w:color w:val="auto"/>
          <w:kern w:val="0"/>
          <w:sz w:val="32"/>
          <w:szCs w:val="32"/>
        </w:rPr>
      </w:pPr>
      <w:r>
        <w:rPr>
          <w:rFonts w:hint="eastAsia" w:ascii="Times New Roman" w:hAnsi="Times New Roman" w:eastAsia="黑体" w:cs="Times New Roman"/>
          <w:bCs/>
          <w:color w:val="auto"/>
          <w:kern w:val="0"/>
          <w:sz w:val="32"/>
          <w:szCs w:val="32"/>
        </w:rPr>
        <w:t>目</w:t>
      </w:r>
      <w:r>
        <w:rPr>
          <w:rFonts w:hint="eastAsia" w:ascii="Times New Roman" w:hAnsi="Times New Roman" w:eastAsia="黑体" w:cs="Times New Roman"/>
          <w:bCs/>
          <w:color w:val="auto"/>
          <w:kern w:val="0"/>
          <w:sz w:val="32"/>
          <w:szCs w:val="32"/>
          <w:lang w:val="en-US" w:eastAsia="zh-CN"/>
        </w:rPr>
        <w:t xml:space="preserve"> </w:t>
      </w:r>
      <w:r>
        <w:rPr>
          <w:rFonts w:hint="eastAsia" w:ascii="Times New Roman" w:hAnsi="Times New Roman" w:eastAsia="黑体" w:cs="Times New Roman"/>
          <w:bCs/>
          <w:color w:val="auto"/>
          <w:kern w:val="0"/>
          <w:sz w:val="32"/>
          <w:szCs w:val="32"/>
        </w:rPr>
        <w:t>录</w:t>
      </w:r>
    </w:p>
    <w:p>
      <w:pPr>
        <w:keepNext w:val="0"/>
        <w:keepLines w:val="0"/>
        <w:pageBreakBefore w:val="0"/>
        <w:widowControl/>
        <w:kinsoku/>
        <w:wordWrap/>
        <w:overflowPunct/>
        <w:topLinePunct w:val="0"/>
        <w:bidi w:val="0"/>
        <w:snapToGrid/>
        <w:spacing w:line="600" w:lineRule="exact"/>
        <w:jc w:val="center"/>
        <w:textAlignment w:val="auto"/>
        <w:rPr>
          <w:rFonts w:hint="eastAsia" w:ascii="Times New Roman" w:hAnsi="Times New Roman" w:eastAsia="黑体" w:cs="Times New Roman"/>
          <w:bCs/>
          <w:color w:val="auto"/>
          <w:kern w:val="0"/>
          <w:sz w:val="32"/>
          <w:szCs w:val="32"/>
        </w:rPr>
      </w:pP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黑体" w:hAnsi="黑体" w:eastAsia="黑体" w:cs="黑体"/>
          <w:b/>
          <w:bCs/>
          <w:color w:val="auto"/>
          <w:kern w:val="0"/>
          <w:sz w:val="32"/>
          <w:szCs w:val="32"/>
        </w:rPr>
      </w:pPr>
      <w:r>
        <w:rPr>
          <w:rFonts w:hint="eastAsia" w:ascii="黑体" w:hAnsi="黑体" w:eastAsia="黑体" w:cs="黑体"/>
          <w:b/>
          <w:bCs/>
          <w:color w:val="auto"/>
          <w:kern w:val="0"/>
          <w:sz w:val="32"/>
          <w:szCs w:val="32"/>
        </w:rPr>
        <w:t>第一部分</w:t>
      </w:r>
      <w:r>
        <w:rPr>
          <w:rFonts w:hint="eastAsia" w:ascii="黑体" w:hAnsi="黑体" w:eastAsia="黑体" w:cs="黑体"/>
          <w:b/>
          <w:bCs/>
          <w:color w:val="auto"/>
          <w:kern w:val="0"/>
          <w:sz w:val="32"/>
          <w:szCs w:val="32"/>
          <w:lang w:val="en-US" w:eastAsia="zh-CN"/>
        </w:rPr>
        <w:t xml:space="preserve"> </w:t>
      </w:r>
      <w:r>
        <w:rPr>
          <w:rFonts w:hint="eastAsia" w:ascii="黑体" w:hAnsi="黑体" w:eastAsia="黑体" w:cs="黑体"/>
          <w:b/>
          <w:bCs/>
          <w:color w:val="auto"/>
          <w:kern w:val="0"/>
          <w:sz w:val="32"/>
          <w:szCs w:val="32"/>
        </w:rPr>
        <w:t>怀化市无线电监测站概况</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一、部门职责</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二、机构设置</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黑体" w:hAnsi="黑体" w:eastAsia="黑体" w:cs="黑体"/>
          <w:b/>
          <w:bCs/>
          <w:color w:val="auto"/>
          <w:kern w:val="0"/>
          <w:sz w:val="32"/>
          <w:szCs w:val="32"/>
        </w:rPr>
      </w:pPr>
      <w:r>
        <w:rPr>
          <w:rFonts w:hint="eastAsia" w:ascii="黑体" w:hAnsi="黑体" w:eastAsia="黑体" w:cs="黑体"/>
          <w:b/>
          <w:bCs/>
          <w:color w:val="auto"/>
          <w:kern w:val="0"/>
          <w:sz w:val="32"/>
          <w:szCs w:val="32"/>
        </w:rPr>
        <w:t>第二部分</w:t>
      </w:r>
      <w:r>
        <w:rPr>
          <w:rFonts w:hint="eastAsia" w:ascii="黑体" w:hAnsi="黑体" w:eastAsia="黑体" w:cs="黑体"/>
          <w:b/>
          <w:bCs/>
          <w:color w:val="auto"/>
          <w:kern w:val="0"/>
          <w:sz w:val="32"/>
          <w:szCs w:val="32"/>
          <w:lang w:val="en-US" w:eastAsia="zh-CN"/>
        </w:rPr>
        <w:t xml:space="preserve"> </w:t>
      </w:r>
      <w:r>
        <w:rPr>
          <w:rFonts w:hint="eastAsia" w:ascii="黑体" w:hAnsi="黑体" w:eastAsia="黑体" w:cs="黑体"/>
          <w:b/>
          <w:bCs/>
          <w:color w:val="auto"/>
          <w:kern w:val="0"/>
          <w:sz w:val="32"/>
          <w:szCs w:val="32"/>
        </w:rPr>
        <w:t>2021年度部门决算表</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一、收入支出决算总表</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二、收入决算表</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三、支出决算表</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四、财政拨款收入支出决算总表</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五、一般公共预算财政拨款支出决算表</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六、一般公共预算财政拨款基本支出决算明细表</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七、一般公共预算财政拨款“三公”经费支出决算表</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八、政府性基金预算财政拨款收入支出决算表</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九、国有资本经营预算财政拨款支出决算表</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黑体" w:hAnsi="黑体" w:eastAsia="黑体" w:cs="黑体"/>
          <w:b/>
          <w:bCs/>
          <w:color w:val="auto"/>
          <w:kern w:val="0"/>
          <w:sz w:val="32"/>
          <w:szCs w:val="32"/>
        </w:rPr>
      </w:pPr>
      <w:r>
        <w:rPr>
          <w:rFonts w:hint="eastAsia" w:ascii="黑体" w:hAnsi="黑体" w:eastAsia="黑体" w:cs="黑体"/>
          <w:b/>
          <w:bCs/>
          <w:color w:val="auto"/>
          <w:kern w:val="0"/>
          <w:sz w:val="32"/>
          <w:szCs w:val="32"/>
        </w:rPr>
        <w:t>第三部分</w:t>
      </w:r>
      <w:r>
        <w:rPr>
          <w:rFonts w:hint="eastAsia" w:ascii="黑体" w:hAnsi="黑体" w:eastAsia="黑体" w:cs="黑体"/>
          <w:b/>
          <w:bCs/>
          <w:color w:val="auto"/>
          <w:kern w:val="0"/>
          <w:sz w:val="32"/>
          <w:szCs w:val="32"/>
          <w:lang w:val="en-US" w:eastAsia="zh-CN"/>
        </w:rPr>
        <w:t xml:space="preserve"> </w:t>
      </w:r>
      <w:r>
        <w:rPr>
          <w:rFonts w:hint="eastAsia" w:ascii="黑体" w:hAnsi="黑体" w:eastAsia="黑体" w:cs="黑体"/>
          <w:b/>
          <w:bCs/>
          <w:color w:val="auto"/>
          <w:kern w:val="0"/>
          <w:sz w:val="32"/>
          <w:szCs w:val="32"/>
        </w:rPr>
        <w:t>2021年度部门决算情况说明</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一、收入支出决算总体情况说明</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二、收入决算情况说明</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三、支出决算情况说明</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四、财政拨款收入支出决算总体情况说明</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五、一般公共预算财政拨款支出决算情况说明</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六、一般公共预算财政拨款基本支出决算情况说明</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七、一般公共预算财政拨款“三公”经费支出决算情况说明</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八、政府性基金预算收入支出决算情况</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lang w:val="en-US" w:eastAsia="zh-CN"/>
        </w:rPr>
        <w:t>九、国有资本经营预算财政拨款支出</w:t>
      </w:r>
      <w:r>
        <w:rPr>
          <w:rFonts w:hint="eastAsia" w:ascii="仿宋" w:hAnsi="仿宋" w:eastAsia="仿宋" w:cs="仿宋"/>
          <w:color w:val="auto"/>
          <w:kern w:val="0"/>
          <w:sz w:val="32"/>
          <w:szCs w:val="32"/>
        </w:rPr>
        <w:t>决算情况</w:t>
      </w:r>
      <w:r>
        <w:rPr>
          <w:rFonts w:hint="eastAsia" w:ascii="仿宋" w:hAnsi="仿宋" w:eastAsia="仿宋" w:cs="仿宋"/>
          <w:color w:val="auto"/>
          <w:kern w:val="0"/>
          <w:sz w:val="32"/>
          <w:szCs w:val="32"/>
          <w:lang w:val="en-US" w:eastAsia="zh-CN"/>
        </w:rPr>
        <w:t>说明</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lang w:val="en-US" w:eastAsia="zh-CN"/>
        </w:rPr>
        <w:t>十</w:t>
      </w:r>
      <w:r>
        <w:rPr>
          <w:rFonts w:hint="eastAsia" w:ascii="仿宋" w:hAnsi="仿宋" w:eastAsia="仿宋" w:cs="仿宋"/>
          <w:color w:val="auto"/>
          <w:kern w:val="0"/>
          <w:sz w:val="32"/>
          <w:szCs w:val="32"/>
        </w:rPr>
        <w:t>、关于机关运行经费支出说明</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lang w:val="en-US" w:eastAsia="zh-CN"/>
        </w:rPr>
      </w:pPr>
      <w:r>
        <w:rPr>
          <w:rFonts w:hint="eastAsia" w:ascii="仿宋" w:hAnsi="仿宋" w:eastAsia="仿宋" w:cs="仿宋"/>
          <w:color w:val="auto"/>
          <w:kern w:val="0"/>
          <w:sz w:val="32"/>
          <w:szCs w:val="32"/>
        </w:rPr>
        <w:t>十</w:t>
      </w:r>
      <w:r>
        <w:rPr>
          <w:rFonts w:hint="eastAsia" w:ascii="仿宋" w:hAnsi="仿宋" w:eastAsia="仿宋" w:cs="仿宋"/>
          <w:color w:val="auto"/>
          <w:kern w:val="0"/>
          <w:sz w:val="32"/>
          <w:szCs w:val="32"/>
          <w:lang w:val="en-US" w:eastAsia="zh-CN"/>
        </w:rPr>
        <w:t>一</w:t>
      </w:r>
      <w:r>
        <w:rPr>
          <w:rFonts w:hint="eastAsia" w:ascii="仿宋" w:hAnsi="仿宋" w:eastAsia="仿宋" w:cs="仿宋"/>
          <w:color w:val="auto"/>
          <w:kern w:val="0"/>
          <w:sz w:val="32"/>
          <w:szCs w:val="32"/>
        </w:rPr>
        <w:t>、一般性支出情况</w:t>
      </w:r>
      <w:r>
        <w:rPr>
          <w:rFonts w:hint="eastAsia" w:ascii="仿宋" w:hAnsi="仿宋" w:eastAsia="仿宋" w:cs="仿宋"/>
          <w:color w:val="auto"/>
          <w:kern w:val="0"/>
          <w:sz w:val="32"/>
          <w:szCs w:val="32"/>
          <w:lang w:val="en-US" w:eastAsia="zh-CN"/>
        </w:rPr>
        <w:t>说明</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十</w:t>
      </w:r>
      <w:r>
        <w:rPr>
          <w:rFonts w:hint="eastAsia" w:ascii="仿宋" w:hAnsi="仿宋" w:eastAsia="仿宋" w:cs="仿宋"/>
          <w:color w:val="auto"/>
          <w:kern w:val="0"/>
          <w:sz w:val="32"/>
          <w:szCs w:val="32"/>
          <w:lang w:val="en-US" w:eastAsia="zh-CN"/>
        </w:rPr>
        <w:t>二</w:t>
      </w:r>
      <w:r>
        <w:rPr>
          <w:rFonts w:hint="eastAsia" w:ascii="仿宋" w:hAnsi="仿宋" w:eastAsia="仿宋" w:cs="仿宋"/>
          <w:color w:val="auto"/>
          <w:kern w:val="0"/>
          <w:sz w:val="32"/>
          <w:szCs w:val="32"/>
        </w:rPr>
        <w:t>、关于政府采购支出说明</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十</w:t>
      </w:r>
      <w:r>
        <w:rPr>
          <w:rFonts w:hint="eastAsia" w:ascii="仿宋" w:hAnsi="仿宋" w:eastAsia="仿宋" w:cs="仿宋"/>
          <w:color w:val="auto"/>
          <w:kern w:val="0"/>
          <w:sz w:val="32"/>
          <w:szCs w:val="32"/>
          <w:lang w:val="en-US" w:eastAsia="zh-CN"/>
        </w:rPr>
        <w:t>三</w:t>
      </w:r>
      <w:r>
        <w:rPr>
          <w:rFonts w:hint="eastAsia" w:ascii="仿宋" w:hAnsi="仿宋" w:eastAsia="仿宋" w:cs="仿宋"/>
          <w:color w:val="auto"/>
          <w:kern w:val="0"/>
          <w:sz w:val="32"/>
          <w:szCs w:val="32"/>
        </w:rPr>
        <w:t>、关于国有资产占用情况说明</w:t>
      </w:r>
    </w:p>
    <w:p>
      <w:pPr>
        <w:pStyle w:val="13"/>
        <w:keepNext w:val="0"/>
        <w:keepLines w:val="0"/>
        <w:pageBreakBefore w:val="0"/>
        <w:kinsoku/>
        <w:wordWrap/>
        <w:overflowPunct/>
        <w:topLinePunct w:val="0"/>
        <w:bidi w:val="0"/>
        <w:snapToGrid/>
        <w:spacing w:line="600" w:lineRule="exact"/>
        <w:ind w:firstLine="800" w:firstLineChars="250"/>
        <w:textAlignment w:val="auto"/>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十</w:t>
      </w:r>
      <w:r>
        <w:rPr>
          <w:rFonts w:hint="eastAsia" w:ascii="仿宋" w:hAnsi="仿宋" w:eastAsia="仿宋" w:cs="仿宋"/>
          <w:color w:val="auto"/>
          <w:kern w:val="0"/>
          <w:sz w:val="32"/>
          <w:szCs w:val="32"/>
          <w:lang w:val="en-US" w:eastAsia="zh-CN"/>
        </w:rPr>
        <w:t>四</w:t>
      </w:r>
      <w:r>
        <w:rPr>
          <w:rFonts w:hint="eastAsia" w:ascii="仿宋" w:hAnsi="仿宋" w:eastAsia="仿宋" w:cs="仿宋"/>
          <w:color w:val="auto"/>
          <w:kern w:val="0"/>
          <w:sz w:val="32"/>
          <w:szCs w:val="32"/>
        </w:rPr>
        <w:t>、关于2021年度预算绩效情况的说明</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黑体" w:hAnsi="黑体" w:eastAsia="黑体" w:cs="黑体"/>
          <w:b/>
          <w:bCs/>
          <w:color w:val="auto"/>
          <w:kern w:val="0"/>
          <w:sz w:val="32"/>
          <w:szCs w:val="32"/>
        </w:rPr>
      </w:pPr>
      <w:r>
        <w:rPr>
          <w:rFonts w:hint="eastAsia" w:ascii="黑体" w:hAnsi="黑体" w:eastAsia="黑体" w:cs="黑体"/>
          <w:b/>
          <w:bCs/>
          <w:color w:val="auto"/>
          <w:kern w:val="0"/>
          <w:sz w:val="32"/>
          <w:szCs w:val="32"/>
        </w:rPr>
        <w:t>第四部分</w:t>
      </w:r>
      <w:r>
        <w:rPr>
          <w:rFonts w:hint="eastAsia" w:ascii="黑体" w:hAnsi="黑体" w:eastAsia="黑体" w:cs="黑体"/>
          <w:b/>
          <w:bCs/>
          <w:color w:val="auto"/>
          <w:kern w:val="0"/>
          <w:sz w:val="32"/>
          <w:szCs w:val="32"/>
          <w:lang w:val="en-US" w:eastAsia="zh-CN"/>
        </w:rPr>
        <w:t xml:space="preserve"> </w:t>
      </w:r>
      <w:r>
        <w:rPr>
          <w:rFonts w:hint="eastAsia" w:ascii="黑体" w:hAnsi="黑体" w:eastAsia="黑体" w:cs="黑体"/>
          <w:b/>
          <w:bCs/>
          <w:color w:val="auto"/>
          <w:kern w:val="0"/>
          <w:sz w:val="32"/>
          <w:szCs w:val="32"/>
        </w:rPr>
        <w:t>名词解释</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黑体" w:hAnsi="黑体" w:eastAsia="黑体" w:cs="黑体"/>
          <w:b/>
          <w:bCs/>
          <w:color w:val="auto"/>
          <w:kern w:val="0"/>
          <w:sz w:val="32"/>
          <w:szCs w:val="32"/>
        </w:rPr>
      </w:pPr>
      <w:r>
        <w:rPr>
          <w:rFonts w:hint="eastAsia" w:ascii="黑体" w:hAnsi="黑体" w:eastAsia="黑体" w:cs="黑体"/>
          <w:b/>
          <w:bCs/>
          <w:color w:val="auto"/>
          <w:kern w:val="0"/>
          <w:sz w:val="32"/>
          <w:szCs w:val="32"/>
        </w:rPr>
        <w:t>第五部分</w:t>
      </w:r>
      <w:r>
        <w:rPr>
          <w:rFonts w:hint="eastAsia" w:ascii="黑体" w:hAnsi="黑体" w:eastAsia="黑体" w:cs="黑体"/>
          <w:b/>
          <w:bCs/>
          <w:color w:val="auto"/>
          <w:kern w:val="0"/>
          <w:sz w:val="32"/>
          <w:szCs w:val="32"/>
          <w:lang w:val="en-US" w:eastAsia="zh-CN"/>
        </w:rPr>
        <w:t xml:space="preserve"> </w:t>
      </w:r>
      <w:r>
        <w:rPr>
          <w:rFonts w:hint="eastAsia" w:ascii="黑体" w:hAnsi="黑体" w:eastAsia="黑体" w:cs="黑体"/>
          <w:b/>
          <w:bCs/>
          <w:color w:val="auto"/>
          <w:kern w:val="0"/>
          <w:sz w:val="32"/>
          <w:szCs w:val="32"/>
        </w:rPr>
        <w:t>附件</w:t>
      </w:r>
    </w:p>
    <w:p>
      <w:pPr>
        <w:rPr>
          <w:color w:val="auto"/>
          <w:sz w:val="72"/>
          <w:szCs w:val="72"/>
        </w:rPr>
      </w:pPr>
    </w:p>
    <w:p>
      <w:pPr>
        <w:keepNext w:val="0"/>
        <w:keepLines w:val="0"/>
        <w:pageBreakBefore w:val="0"/>
        <w:widowControl/>
        <w:numPr>
          <w:ilvl w:val="0"/>
          <w:numId w:val="1"/>
        </w:numPr>
        <w:kinsoku/>
        <w:wordWrap/>
        <w:overflowPunct/>
        <w:topLinePunct w:val="0"/>
        <w:bidi w:val="0"/>
        <w:snapToGrid/>
        <w:spacing w:line="600" w:lineRule="exact"/>
        <w:jc w:val="center"/>
        <w:textAlignment w:val="auto"/>
        <w:rPr>
          <w:rFonts w:hint="eastAsia" w:ascii="黑体" w:hAnsi="黑体" w:eastAsia="黑体" w:cs="黑体"/>
          <w:b/>
          <w:bCs w:val="0"/>
          <w:color w:val="auto"/>
          <w:kern w:val="0"/>
          <w:sz w:val="44"/>
          <w:szCs w:val="44"/>
        </w:rPr>
      </w:pPr>
      <w:r>
        <w:rPr>
          <w:rFonts w:hint="eastAsia" w:ascii="黑体" w:hAnsi="黑体" w:eastAsia="黑体" w:cs="黑体"/>
          <w:b/>
          <w:bCs w:val="0"/>
          <w:color w:val="auto"/>
          <w:kern w:val="0"/>
          <w:sz w:val="44"/>
          <w:szCs w:val="44"/>
        </w:rPr>
        <w:t>怀化市无线电监测站概况</w:t>
      </w:r>
    </w:p>
    <w:p>
      <w:pPr>
        <w:keepNext w:val="0"/>
        <w:keepLines w:val="0"/>
        <w:pageBreakBefore w:val="0"/>
        <w:widowControl/>
        <w:numPr>
          <w:ilvl w:val="0"/>
          <w:numId w:val="0"/>
        </w:numPr>
        <w:kinsoku/>
        <w:wordWrap/>
        <w:overflowPunct/>
        <w:topLinePunct w:val="0"/>
        <w:bidi w:val="0"/>
        <w:snapToGrid/>
        <w:spacing w:line="600" w:lineRule="exact"/>
        <w:jc w:val="both"/>
        <w:textAlignment w:val="auto"/>
        <w:rPr>
          <w:rFonts w:hint="eastAsia" w:ascii="黑体" w:hAnsi="黑体" w:eastAsia="黑体" w:cs="黑体"/>
          <w:b/>
          <w:bCs w:val="0"/>
          <w:color w:val="auto"/>
          <w:kern w:val="0"/>
          <w:sz w:val="44"/>
          <w:szCs w:val="44"/>
        </w:rPr>
      </w:pP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kern w:val="0"/>
          <w:sz w:val="32"/>
          <w:szCs w:val="32"/>
        </w:rPr>
      </w:pPr>
      <w:r>
        <w:rPr>
          <w:rFonts w:hint="eastAsia" w:ascii="黑体" w:hAnsi="黑体" w:eastAsia="黑体" w:cs="黑体"/>
          <w:b w:val="0"/>
          <w:bCs/>
          <w:color w:val="auto"/>
          <w:kern w:val="0"/>
          <w:sz w:val="32"/>
          <w:szCs w:val="32"/>
          <w:lang w:val="en-US" w:eastAsia="zh-CN"/>
        </w:rPr>
        <w:t>一、</w:t>
      </w:r>
      <w:r>
        <w:rPr>
          <w:rFonts w:hint="eastAsia" w:ascii="黑体" w:hAnsi="黑体" w:eastAsia="黑体" w:cs="黑体"/>
          <w:b w:val="0"/>
          <w:bCs/>
          <w:color w:val="auto"/>
          <w:kern w:val="0"/>
          <w:sz w:val="32"/>
          <w:szCs w:val="32"/>
        </w:rPr>
        <w:t>部门职责</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val="0"/>
          <w:bCs/>
          <w:color w:val="auto"/>
          <w:kern w:val="0"/>
          <w:sz w:val="32"/>
          <w:szCs w:val="32"/>
        </w:rPr>
        <w:t>负责无线电监测、干扰查处和涉外无线电管理等工作，协调处理无线电管理相关事宜。</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kern w:val="0"/>
          <w:sz w:val="32"/>
          <w:szCs w:val="32"/>
          <w:lang w:val="en-US" w:eastAsia="zh-CN"/>
        </w:rPr>
      </w:pPr>
      <w:r>
        <w:rPr>
          <w:rFonts w:hint="eastAsia" w:ascii="黑体" w:hAnsi="黑体" w:eastAsia="黑体" w:cs="黑体"/>
          <w:b w:val="0"/>
          <w:bCs/>
          <w:color w:val="auto"/>
          <w:kern w:val="0"/>
          <w:sz w:val="32"/>
          <w:szCs w:val="32"/>
          <w:lang w:val="en-US" w:eastAsia="zh-CN"/>
        </w:rPr>
        <w:t>二、机构设置及决算单位构成</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bCs w:val="0"/>
          <w:color w:val="auto"/>
          <w:kern w:val="0"/>
          <w:sz w:val="32"/>
          <w:szCs w:val="32"/>
        </w:rPr>
        <w:t>（一）内设机构设置。</w:t>
      </w:r>
      <w:r>
        <w:rPr>
          <w:rFonts w:hint="eastAsia" w:ascii="仿宋" w:hAnsi="仿宋" w:eastAsia="仿宋" w:cs="仿宋"/>
          <w:b w:val="0"/>
          <w:bCs/>
          <w:color w:val="auto"/>
          <w:kern w:val="0"/>
          <w:sz w:val="32"/>
          <w:szCs w:val="32"/>
        </w:rPr>
        <w:t>怀化市无线电监测站为二级预算单位。怀化市无线电监测站属怀化市工业和信息化局内设二级机构，无内设科室。</w:t>
      </w:r>
    </w:p>
    <w:p>
      <w:pPr>
        <w:keepNext w:val="0"/>
        <w:keepLines w:val="0"/>
        <w:pageBreakBefore w:val="0"/>
        <w:widowControl/>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rPr>
      </w:pPr>
      <w:r>
        <w:rPr>
          <w:rFonts w:hint="eastAsia" w:ascii="仿宋" w:hAnsi="仿宋" w:eastAsia="仿宋" w:cs="仿宋"/>
          <w:b/>
          <w:bCs w:val="0"/>
          <w:color w:val="auto"/>
          <w:kern w:val="0"/>
          <w:sz w:val="32"/>
          <w:szCs w:val="32"/>
        </w:rPr>
        <w:t>（二）决算单位构成。</w:t>
      </w:r>
      <w:r>
        <w:rPr>
          <w:rFonts w:hint="eastAsia" w:ascii="仿宋" w:hAnsi="仿宋" w:eastAsia="仿宋" w:cs="仿宋"/>
          <w:b w:val="0"/>
          <w:bCs/>
          <w:color w:val="auto"/>
          <w:kern w:val="0"/>
          <w:sz w:val="32"/>
          <w:szCs w:val="32"/>
        </w:rPr>
        <w:t>怀化市无线电监测站202</w:t>
      </w:r>
      <w:r>
        <w:rPr>
          <w:rFonts w:hint="eastAsia" w:ascii="仿宋" w:hAnsi="仿宋" w:eastAsia="仿宋" w:cs="仿宋"/>
          <w:b w:val="0"/>
          <w:bCs/>
          <w:color w:val="auto"/>
          <w:kern w:val="0"/>
          <w:sz w:val="32"/>
          <w:szCs w:val="32"/>
          <w:lang w:val="en-US" w:eastAsia="zh-CN"/>
        </w:rPr>
        <w:t>1</w:t>
      </w:r>
      <w:r>
        <w:rPr>
          <w:rFonts w:hint="eastAsia" w:ascii="仿宋" w:hAnsi="仿宋" w:eastAsia="仿宋" w:cs="仿宋"/>
          <w:b w:val="0"/>
          <w:bCs/>
          <w:color w:val="auto"/>
          <w:kern w:val="0"/>
          <w:sz w:val="32"/>
          <w:szCs w:val="32"/>
        </w:rPr>
        <w:t>年部门决算公开单位构成包括：怀化市无线电监测站本级。</w:t>
      </w:r>
    </w:p>
    <w:p>
      <w:pPr>
        <w:jc w:val="center"/>
        <w:rPr>
          <w:rFonts w:hint="eastAsia" w:ascii="黑体" w:hAnsi="黑体" w:eastAsia="黑体" w:cs="黑体"/>
          <w:color w:val="auto"/>
          <w:sz w:val="36"/>
          <w:szCs w:val="36"/>
        </w:rPr>
      </w:pPr>
    </w:p>
    <w:p>
      <w:pPr>
        <w:pStyle w:val="13"/>
        <w:keepNext w:val="0"/>
        <w:keepLines w:val="0"/>
        <w:pageBreakBefore w:val="0"/>
        <w:kinsoku/>
        <w:wordWrap/>
        <w:overflowPunct/>
        <w:topLinePunct w:val="0"/>
        <w:bidi w:val="0"/>
        <w:snapToGrid/>
        <w:spacing w:line="600" w:lineRule="exact"/>
        <w:jc w:val="center"/>
        <w:textAlignment w:val="auto"/>
        <w:rPr>
          <w:rFonts w:hint="eastAsia" w:ascii="黑体" w:hAnsi="黑体" w:eastAsia="黑体" w:cs="黑体"/>
          <w:b/>
          <w:bCs/>
          <w:color w:val="auto"/>
          <w:kern w:val="0"/>
          <w:sz w:val="44"/>
          <w:szCs w:val="44"/>
        </w:rPr>
      </w:pPr>
      <w:r>
        <w:rPr>
          <w:rFonts w:hint="eastAsia" w:ascii="黑体" w:hAnsi="黑体" w:eastAsia="黑体" w:cs="黑体"/>
          <w:b/>
          <w:bCs/>
          <w:color w:val="auto"/>
          <w:kern w:val="0"/>
          <w:sz w:val="44"/>
          <w:szCs w:val="44"/>
        </w:rPr>
        <w:t>第二部分</w:t>
      </w:r>
      <w:r>
        <w:rPr>
          <w:rFonts w:hint="eastAsia" w:ascii="黑体" w:hAnsi="黑体" w:eastAsia="黑体" w:cs="黑体"/>
          <w:b/>
          <w:bCs/>
          <w:color w:val="auto"/>
          <w:kern w:val="0"/>
          <w:sz w:val="44"/>
          <w:szCs w:val="44"/>
          <w:lang w:val="en-US" w:eastAsia="zh-CN"/>
        </w:rPr>
        <w:t xml:space="preserve"> </w:t>
      </w:r>
      <w:r>
        <w:rPr>
          <w:rFonts w:hint="eastAsia" w:ascii="黑体" w:hAnsi="黑体" w:eastAsia="黑体" w:cs="黑体"/>
          <w:b/>
          <w:bCs/>
          <w:color w:val="auto"/>
          <w:kern w:val="0"/>
          <w:sz w:val="44"/>
          <w:szCs w:val="44"/>
        </w:rPr>
        <w:t>部门决算表</w:t>
      </w:r>
    </w:p>
    <w:p>
      <w:pPr>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20</w:t>
      </w:r>
      <w:r>
        <w:rPr>
          <w:rFonts w:hint="eastAsia" w:ascii="仿宋" w:hAnsi="仿宋" w:eastAsia="仿宋" w:cs="仿宋"/>
          <w:color w:val="auto"/>
          <w:sz w:val="32"/>
          <w:szCs w:val="32"/>
          <w:lang w:val="en-US" w:eastAsia="zh-CN"/>
        </w:rPr>
        <w:t>21</w:t>
      </w:r>
      <w:r>
        <w:rPr>
          <w:rFonts w:hint="eastAsia" w:ascii="仿宋" w:hAnsi="仿宋" w:eastAsia="仿宋" w:cs="仿宋"/>
          <w:color w:val="auto"/>
          <w:sz w:val="32"/>
          <w:szCs w:val="32"/>
          <w:lang w:eastAsia="zh-CN"/>
        </w:rPr>
        <w:t>年度部门决算共</w:t>
      </w:r>
      <w:r>
        <w:rPr>
          <w:rFonts w:hint="eastAsia" w:ascii="仿宋" w:hAnsi="仿宋" w:eastAsia="仿宋" w:cs="仿宋"/>
          <w:color w:val="auto"/>
          <w:sz w:val="32"/>
          <w:szCs w:val="32"/>
          <w:lang w:val="en-US" w:eastAsia="zh-CN"/>
        </w:rPr>
        <w:t>9</w:t>
      </w:r>
      <w:r>
        <w:rPr>
          <w:rFonts w:hint="eastAsia" w:ascii="仿宋" w:hAnsi="仿宋" w:eastAsia="仿宋" w:cs="仿宋"/>
          <w:color w:val="auto"/>
          <w:sz w:val="32"/>
          <w:szCs w:val="32"/>
          <w:lang w:eastAsia="zh-CN"/>
        </w:rPr>
        <w:t>张决算表，包括：收支总表3 张，即：《收入支出决算总表》《收入决算表》《支出决算表》；财政拨款收支表</w:t>
      </w:r>
      <w:r>
        <w:rPr>
          <w:rFonts w:hint="eastAsia" w:ascii="仿宋" w:hAnsi="仿宋" w:eastAsia="仿宋" w:cs="仿宋"/>
          <w:color w:val="auto"/>
          <w:sz w:val="32"/>
          <w:szCs w:val="32"/>
          <w:lang w:val="en-US" w:eastAsia="zh-CN"/>
        </w:rPr>
        <w:t>6</w:t>
      </w:r>
      <w:r>
        <w:rPr>
          <w:rFonts w:hint="eastAsia" w:ascii="仿宋" w:hAnsi="仿宋" w:eastAsia="仿宋" w:cs="仿宋"/>
          <w:color w:val="auto"/>
          <w:sz w:val="32"/>
          <w:szCs w:val="32"/>
          <w:lang w:eastAsia="zh-CN"/>
        </w:rPr>
        <w:t>张，即：《财政拨款收入支出决算总表》《一般公共预算财政拨款支出决算表》《一般公共预算财政拨款基本支出决算表》《一般公共预算财政拨款“三公”经费支出决算表》《政府性基金预算财政拨款收入支出决算表》《</w:t>
      </w:r>
      <w:r>
        <w:rPr>
          <w:rFonts w:hint="eastAsia" w:ascii="仿宋" w:hAnsi="仿宋" w:eastAsia="仿宋" w:cs="仿宋"/>
          <w:color w:val="auto"/>
          <w:sz w:val="32"/>
          <w:szCs w:val="32"/>
          <w:lang w:val="en-US" w:eastAsia="zh-CN"/>
        </w:rPr>
        <w:t>国有资本经营预算财政拨款支出决算表</w:t>
      </w:r>
      <w:r>
        <w:rPr>
          <w:rFonts w:hint="eastAsia" w:ascii="仿宋" w:hAnsi="仿宋" w:eastAsia="仿宋" w:cs="仿宋"/>
          <w:color w:val="auto"/>
          <w:sz w:val="32"/>
          <w:szCs w:val="32"/>
          <w:lang w:eastAsia="zh-CN"/>
        </w:rPr>
        <w:t>》(公开表格附后）。</w:t>
      </w:r>
    </w:p>
    <w:p>
      <w:pPr>
        <w:ind w:firstLine="640" w:firstLineChars="200"/>
        <w:jc w:val="left"/>
        <w:rPr>
          <w:rFonts w:hint="eastAsia" w:ascii="宋体" w:hAnsi="宋体" w:eastAsia="宋体" w:cs="宋体"/>
          <w:color w:val="auto"/>
          <w:kern w:val="0"/>
          <w:sz w:val="32"/>
          <w:szCs w:val="32"/>
          <w:lang w:eastAsia="zh-CN"/>
        </w:rPr>
      </w:pPr>
    </w:p>
    <w:p>
      <w:pPr>
        <w:pStyle w:val="13"/>
        <w:numPr>
          <w:ilvl w:val="0"/>
          <w:numId w:val="0"/>
        </w:numPr>
        <w:ind w:leftChars="0" w:firstLine="1760" w:firstLineChars="400"/>
        <w:jc w:val="both"/>
        <w:rPr>
          <w:rFonts w:hint="eastAsia" w:ascii="黑体" w:hAnsi="黑体" w:eastAsia="黑体" w:cs="黑体"/>
          <w:b/>
          <w:bCs w:val="0"/>
          <w:color w:val="auto"/>
          <w:kern w:val="0"/>
          <w:sz w:val="44"/>
          <w:szCs w:val="44"/>
          <w:lang w:val="en-US" w:eastAsia="zh-CN" w:bidi="ar-SA"/>
        </w:rPr>
      </w:pPr>
      <w:r>
        <w:rPr>
          <w:rFonts w:hint="eastAsia" w:hAnsi="黑体" w:cs="黑体"/>
          <w:b/>
          <w:bCs w:val="0"/>
          <w:color w:val="auto"/>
          <w:kern w:val="0"/>
          <w:sz w:val="44"/>
          <w:szCs w:val="44"/>
          <w:lang w:val="en-US" w:eastAsia="zh-CN" w:bidi="ar-SA"/>
        </w:rPr>
        <w:t xml:space="preserve">第三部分 </w:t>
      </w:r>
      <w:r>
        <w:rPr>
          <w:rFonts w:hint="eastAsia" w:ascii="黑体" w:hAnsi="黑体" w:eastAsia="黑体" w:cs="黑体"/>
          <w:b/>
          <w:bCs w:val="0"/>
          <w:color w:val="auto"/>
          <w:kern w:val="0"/>
          <w:sz w:val="44"/>
          <w:szCs w:val="44"/>
          <w:lang w:val="en-US" w:eastAsia="zh-CN" w:bidi="ar-SA"/>
        </w:rPr>
        <w:t>2021年度部门决算情况说明</w:t>
      </w:r>
    </w:p>
    <w:p>
      <w:pPr>
        <w:pStyle w:val="13"/>
        <w:numPr>
          <w:ilvl w:val="0"/>
          <w:numId w:val="0"/>
        </w:numPr>
        <w:ind w:leftChars="0"/>
        <w:jc w:val="both"/>
        <w:rPr>
          <w:rFonts w:hint="eastAsia" w:ascii="黑体" w:hAnsi="黑体" w:eastAsia="黑体" w:cs="黑体"/>
          <w:b/>
          <w:bCs w:val="0"/>
          <w:color w:val="auto"/>
          <w:kern w:val="0"/>
          <w:sz w:val="44"/>
          <w:szCs w:val="44"/>
          <w:lang w:val="en-US" w:eastAsia="zh-CN" w:bidi="ar-SA"/>
        </w:rPr>
      </w:pPr>
    </w:p>
    <w:p>
      <w:pPr>
        <w:pStyle w:val="13"/>
        <w:keepNext w:val="0"/>
        <w:keepLines w:val="0"/>
        <w:pageBreakBefore w:val="0"/>
        <w:kinsoku/>
        <w:wordWrap/>
        <w:overflowPunct/>
        <w:topLinePunct w:val="0"/>
        <w:bidi w:val="0"/>
        <w:snapToGrid/>
        <w:spacing w:line="600" w:lineRule="exact"/>
        <w:ind w:firstLine="640" w:firstLineChars="200"/>
        <w:textAlignment w:val="auto"/>
        <w:rPr>
          <w:rFonts w:hAnsi="黑体" w:cs="Times New Roman"/>
          <w:color w:val="auto"/>
          <w:kern w:val="0"/>
          <w:sz w:val="32"/>
          <w:szCs w:val="32"/>
        </w:rPr>
      </w:pPr>
      <w:r>
        <w:rPr>
          <w:rFonts w:hint="eastAsia" w:hAnsi="黑体" w:cs="Times New Roman"/>
          <w:color w:val="auto"/>
          <w:kern w:val="0"/>
          <w:sz w:val="32"/>
          <w:szCs w:val="32"/>
        </w:rPr>
        <w:t>一、收入支出决算总体情况说明</w:t>
      </w:r>
    </w:p>
    <w:p>
      <w:pPr>
        <w:pStyle w:val="13"/>
        <w:keepNext w:val="0"/>
        <w:keepLines w:val="0"/>
        <w:pageBreakBefore w:val="0"/>
        <w:kinsoku/>
        <w:wordWrap/>
        <w:overflowPunct/>
        <w:topLinePunct w:val="0"/>
        <w:bidi w:val="0"/>
        <w:snapToGrid/>
        <w:spacing w:line="600" w:lineRule="exact"/>
        <w:ind w:firstLine="640" w:firstLineChars="200"/>
        <w:textAlignment w:val="auto"/>
        <w:rPr>
          <w:rFonts w:hint="default"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2021年度收、支总计各317.36万元。与上年相比，减少57.82万元，减少15.41%，主要是因为资源勘探工业信息等支出较上年减少60.92万元。</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hAnsi="黑体" w:cs="Times New Roman"/>
          <w:color w:val="auto"/>
          <w:kern w:val="0"/>
          <w:sz w:val="32"/>
          <w:szCs w:val="32"/>
        </w:rPr>
      </w:pPr>
      <w:r>
        <w:rPr>
          <w:rFonts w:hint="eastAsia" w:hAnsi="黑体" w:cs="Times New Roman"/>
          <w:color w:val="auto"/>
          <w:kern w:val="0"/>
          <w:sz w:val="32"/>
          <w:szCs w:val="32"/>
        </w:rPr>
        <w:t>二、收入决算情况说明</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2021年度收入合计249.21万元，其中：财政拨款收入249.21万元，占100%；上级补助收入0万元，占0%；事业收入0万元，占0%；经营收入0万元，占0%；附属单位上缴收入0万元，占%；其他收入0万元，占0%。</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hAnsi="黑体" w:cs="Times New Roman"/>
          <w:color w:val="auto"/>
          <w:kern w:val="0"/>
          <w:sz w:val="32"/>
          <w:szCs w:val="32"/>
        </w:rPr>
      </w:pPr>
      <w:r>
        <w:rPr>
          <w:rFonts w:hint="eastAsia" w:hAnsi="黑体" w:cs="Times New Roman"/>
          <w:color w:val="auto"/>
          <w:kern w:val="0"/>
          <w:sz w:val="32"/>
          <w:szCs w:val="32"/>
        </w:rPr>
        <w:t>三、支出决算情况说明</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val="0"/>
          <w:color w:val="auto"/>
          <w:kern w:val="0"/>
          <w:sz w:val="32"/>
          <w:szCs w:val="32"/>
          <w:lang w:val="en-US" w:eastAsia="zh-CN"/>
        </w:rPr>
      </w:pPr>
      <w:r>
        <w:rPr>
          <w:rFonts w:hint="eastAsia" w:ascii="仿宋" w:hAnsi="仿宋" w:eastAsia="仿宋" w:cs="仿宋"/>
          <w:b w:val="0"/>
          <w:bCs w:val="0"/>
          <w:color w:val="auto"/>
          <w:kern w:val="0"/>
          <w:sz w:val="32"/>
          <w:szCs w:val="32"/>
          <w:lang w:val="en-US" w:eastAsia="zh-CN"/>
        </w:rPr>
        <w:t>2021年度支出合计317.36 万元（含2020年结转资金68.15万元），其中：基本支出119.2万元，占37.56%；项目支出198.16万元，占62.44%；上缴上级支出0万元，占0%；经营支出0万元，占0%；对附属单位补助支出0万元，占0%。</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hAnsi="黑体" w:cs="Times New Roman"/>
          <w:color w:val="auto"/>
          <w:kern w:val="0"/>
          <w:sz w:val="32"/>
          <w:szCs w:val="32"/>
        </w:rPr>
      </w:pPr>
      <w:r>
        <w:rPr>
          <w:rFonts w:hint="eastAsia" w:hAnsi="黑体" w:cs="Times New Roman"/>
          <w:color w:val="auto"/>
          <w:kern w:val="0"/>
          <w:sz w:val="32"/>
          <w:szCs w:val="32"/>
          <w:lang w:val="en-US" w:eastAsia="zh-CN"/>
        </w:rPr>
        <w:t>四、财政拨款收入</w:t>
      </w:r>
      <w:r>
        <w:rPr>
          <w:rFonts w:hint="eastAsia" w:hAnsi="黑体" w:cs="Times New Roman"/>
          <w:color w:val="auto"/>
          <w:kern w:val="0"/>
          <w:sz w:val="32"/>
          <w:szCs w:val="32"/>
        </w:rPr>
        <w:t>支出决算总体情况说明</w:t>
      </w:r>
    </w:p>
    <w:p>
      <w:pPr>
        <w:pStyle w:val="13"/>
        <w:numPr>
          <w:ilvl w:val="0"/>
          <w:numId w:val="0"/>
        </w:numPr>
        <w:rPr>
          <w:rFonts w:hint="default" w:ascii="仿宋" w:hAnsi="仿宋" w:eastAsia="仿宋" w:cs="仿宋"/>
          <w:b w:val="0"/>
          <w:bCs w:val="0"/>
          <w:color w:val="auto"/>
          <w:kern w:val="0"/>
          <w:sz w:val="32"/>
          <w:szCs w:val="32"/>
          <w:lang w:val="en-US" w:eastAsia="zh-CN"/>
        </w:rPr>
      </w:pPr>
      <w:r>
        <w:rPr>
          <w:rFonts w:hint="eastAsia" w:asciiTheme="minorEastAsia" w:hAnsiTheme="minorEastAsia" w:eastAsiaTheme="minorEastAsia"/>
          <w:color w:val="auto"/>
          <w:sz w:val="32"/>
          <w:szCs w:val="32"/>
        </w:rPr>
        <w:t xml:space="preserve"> </w:t>
      </w:r>
      <w:r>
        <w:rPr>
          <w:rFonts w:hint="eastAsia" w:asciiTheme="minorEastAsia" w:hAnsiTheme="minorEastAsia" w:eastAsiaTheme="minorEastAsia"/>
          <w:color w:val="auto"/>
          <w:sz w:val="32"/>
          <w:szCs w:val="32"/>
          <w:lang w:val="en-US" w:eastAsia="zh-CN"/>
        </w:rPr>
        <w:t xml:space="preserve"> </w:t>
      </w:r>
      <w:r>
        <w:rPr>
          <w:rFonts w:hint="eastAsia" w:ascii="仿宋" w:hAnsi="仿宋" w:eastAsia="仿宋" w:cs="仿宋"/>
          <w:b w:val="0"/>
          <w:bCs w:val="0"/>
          <w:color w:val="auto"/>
          <w:kern w:val="0"/>
          <w:sz w:val="32"/>
          <w:szCs w:val="32"/>
          <w:lang w:val="en-US" w:eastAsia="zh-CN"/>
        </w:rPr>
        <w:t xml:space="preserve">  2021年度财政拨款收、支总计各317.36万元，与上年相比，减少57.82万元,减少15.41%，主要是因为资源勘探工业信息等支出较上年减少60.92万元。</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hAnsi="黑体" w:cs="Times New Roman"/>
          <w:color w:val="auto"/>
          <w:kern w:val="0"/>
          <w:sz w:val="32"/>
          <w:szCs w:val="32"/>
          <w:lang w:val="en-US" w:eastAsia="zh-CN"/>
        </w:rPr>
      </w:pPr>
      <w:r>
        <w:rPr>
          <w:rFonts w:hint="eastAsia" w:hAnsi="黑体" w:cs="Times New Roman"/>
          <w:color w:val="auto"/>
          <w:kern w:val="0"/>
          <w:sz w:val="32"/>
          <w:szCs w:val="32"/>
          <w:lang w:val="en-US" w:eastAsia="zh-CN"/>
        </w:rPr>
        <w:t>五、一般公共预算财政拨款支出决算情况说明</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bCs w:val="0"/>
          <w:color w:val="auto"/>
          <w:kern w:val="0"/>
          <w:sz w:val="32"/>
          <w:szCs w:val="32"/>
          <w:lang w:val="en-US" w:eastAsia="zh-CN"/>
        </w:rPr>
      </w:pPr>
      <w:r>
        <w:rPr>
          <w:rFonts w:hint="eastAsia" w:ascii="仿宋" w:hAnsi="仿宋" w:eastAsia="仿宋" w:cs="仿宋"/>
          <w:b/>
          <w:bCs w:val="0"/>
          <w:color w:val="auto"/>
          <w:kern w:val="0"/>
          <w:sz w:val="32"/>
          <w:szCs w:val="32"/>
          <w:lang w:val="en-US" w:eastAsia="zh-CN"/>
        </w:rPr>
        <w:t>（一）财政拨款支出决算总体情况</w:t>
      </w:r>
    </w:p>
    <w:p>
      <w:pPr>
        <w:pStyle w:val="13"/>
        <w:keepNext w:val="0"/>
        <w:keepLines w:val="0"/>
        <w:pageBreakBefore w:val="0"/>
        <w:kinsoku/>
        <w:wordWrap/>
        <w:overflowPunct/>
        <w:topLinePunct w:val="0"/>
        <w:bidi w:val="0"/>
        <w:snapToGrid/>
        <w:spacing w:line="600" w:lineRule="exact"/>
        <w:ind w:firstLine="640" w:firstLineChars="200"/>
        <w:textAlignment w:val="auto"/>
        <w:rPr>
          <w:rFonts w:hint="default"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2021年度财政拨款支出317.36元，占本年支出合计的100%，与上年相比，财政拨款支出增加10.91万元，增长3.56%，主要是因为增拨教育支出69.8万元，资源勘探工业信息等支出拨款较上年减少60.92万元，社会保障和就业支出较上年增加4.45万元。</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bCs w:val="0"/>
          <w:color w:val="auto"/>
          <w:kern w:val="0"/>
          <w:sz w:val="32"/>
          <w:szCs w:val="32"/>
          <w:lang w:val="en-US" w:eastAsia="zh-CN"/>
        </w:rPr>
      </w:pPr>
      <w:r>
        <w:rPr>
          <w:rFonts w:hint="eastAsia" w:ascii="仿宋" w:hAnsi="仿宋" w:eastAsia="仿宋" w:cs="仿宋"/>
          <w:b/>
          <w:bCs w:val="0"/>
          <w:color w:val="auto"/>
          <w:kern w:val="0"/>
          <w:sz w:val="32"/>
          <w:szCs w:val="32"/>
          <w:lang w:val="en-US" w:eastAsia="zh-CN"/>
        </w:rPr>
        <w:t>（二）财政拨款支出决算结构情况</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2021年度财政拨款支出317.36万元，主要用于以下方面：一般公共服务（类）支出12.4万元，占3.91%；教育支出（类）支出69.8万元，占21.99%;社会保障和就业支出（类）支出12.26万元，占3.86%;卫生健康支出（类）支出3.63万元，占1.14%;资源勘探工业信息等支出（类）支出219.27万元，占69.09%;</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bCs w:val="0"/>
          <w:color w:val="auto"/>
          <w:kern w:val="0"/>
          <w:sz w:val="32"/>
          <w:szCs w:val="32"/>
          <w:lang w:val="en-US" w:eastAsia="zh-CN"/>
        </w:rPr>
      </w:pPr>
      <w:r>
        <w:rPr>
          <w:rFonts w:hint="eastAsia" w:ascii="仿宋" w:hAnsi="仿宋" w:eastAsia="仿宋" w:cs="仿宋"/>
          <w:b/>
          <w:bCs w:val="0"/>
          <w:color w:val="auto"/>
          <w:kern w:val="0"/>
          <w:sz w:val="32"/>
          <w:szCs w:val="32"/>
          <w:lang w:val="en-US" w:eastAsia="zh-CN"/>
        </w:rPr>
        <w:t>（三）财政拨款支出决算具体情况</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2021年度财政拨款支出年初预算数为341.05万元，支出决算数为317.36万元，完成年初预算的93.05%，其中：</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1、一般公共服务支出（类）商贸事务（款）行政运行（项）。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default"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年初预算为0万元，支出决算为12.4万元，决算数大于年初预算数的主要原因是：支付2020年在职人员绩效奖金。</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2、教育支出（类）其他教育支出（款）其他教育支出（项）。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default"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年初预算为0万元，支出决算为69.8万元，决算数大于年初预算数的主要原因是：支付购侦测压制设备款。</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3、社会保障和就业支出（类）行政事业单位养老支出（款）机关事业单位基本养老保险缴费支出（项）。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default"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年初预算为0万元，支出决算为7.25万元，决算数大于年初预算数的主要原因是：支付基本养老保险缴费未纳入本单位年初预算。</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4、社会保障和就业支出（类）行政事业单位养老支出（款）其他行政事业单位养老支出（项）。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年初预算为0万元，支出决算为5.01万元，决算数大于年初预算数的主要原因是：支付退休人员春节一次性生活补助未纳入本单位年初预算。</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5、卫生健康支出（类）行政事业单位医疗（款） 行政单位医疗（项）。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年初预算为0万元，支出决算为2.85万元，决算数大于年初预算数的主要原因是：支付基本医疗保险缴费未纳入本单位年初预算。</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6、卫生健康支出（类）行政事业单位医疗（款） 其他行政事业单位医疗支出（项）。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年初预算为0万元，支出决算为0.78万元，决算数大于年初预算数的主要原因是：支付基本医疗保险缴费未纳入本单位年初预算。</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7、资源勘探工业信息等支出（类）工业和信息产业监管（款） 行政运行（项）。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年初预算为81.05万元，支出决算为90.91万元，完成年初预算的112.17%，决算数大于年初预算数的主要原因是：其他社会保障缴费、办公费、公务用车运行维护费、其他商品服务支出等较上年增加。</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8、资源勘探工业信息等支出（类）工业和信息产业监管（款） 无线电及信息通信监管（项）。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default"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年初预算为0万元，支出决算为114.3万元，决算数大于年初预算数的主要原因是：支付检测中心工资、基本医疗保险缴费、基本养老保险缴费等。</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9、资源勘探工业信息等支出（类）工业和信息产业监管（款）其他工业和信息产业监管支出（项）。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default"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年初预算为260万元，支出决算为14.06万元，完成年初预算的5.41%，决算数小于年初预算数的主要原因是：财政拨款收入部分功能科目改变；2021年实现以支定收，财政收回资金等。</w:t>
      </w:r>
    </w:p>
    <w:p>
      <w:pPr>
        <w:pStyle w:val="13"/>
        <w:keepNext w:val="0"/>
        <w:keepLines w:val="0"/>
        <w:pageBreakBefore w:val="0"/>
        <w:kinsoku/>
        <w:wordWrap/>
        <w:overflowPunct/>
        <w:topLinePunct w:val="0"/>
        <w:bidi w:val="0"/>
        <w:snapToGrid/>
        <w:spacing w:line="600" w:lineRule="exact"/>
        <w:ind w:firstLine="640" w:firstLineChars="200"/>
        <w:textAlignment w:val="auto"/>
        <w:rPr>
          <w:rFonts w:hAnsi="黑体" w:cs="Times New Roman"/>
          <w:color w:val="auto"/>
          <w:kern w:val="0"/>
          <w:sz w:val="32"/>
          <w:szCs w:val="32"/>
        </w:rPr>
      </w:pPr>
      <w:r>
        <w:rPr>
          <w:rFonts w:hint="eastAsia" w:hAnsi="黑体" w:cs="Times New Roman"/>
          <w:color w:val="auto"/>
          <w:kern w:val="0"/>
          <w:sz w:val="32"/>
          <w:szCs w:val="32"/>
        </w:rPr>
        <w:t>六、一般公共预算财政拨款基本支出决算情况说明</w:t>
      </w:r>
    </w:p>
    <w:p>
      <w:pPr>
        <w:pStyle w:val="13"/>
        <w:keepNext w:val="0"/>
        <w:keepLines w:val="0"/>
        <w:pageBreakBefore w:val="0"/>
        <w:kinsoku/>
        <w:wordWrap/>
        <w:overflowPunct/>
        <w:topLinePunct w:val="0"/>
        <w:bidi w:val="0"/>
        <w:snapToGrid/>
        <w:spacing w:line="600" w:lineRule="exact"/>
        <w:ind w:firstLine="640" w:firstLineChars="200"/>
        <w:textAlignment w:val="auto"/>
        <w:rPr>
          <w:rFonts w:hint="default"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2021年度财政拨款基本支出119.2万元，其中：人员经费88.66万元，占基本支出的74.38%,主要包括基本工资、津贴补贴、奖金、伙食补助费、机关事业单位基本养老保险缴费、职工基本医疗保险缴费等；公用经费30.53万元，占基本支出的25.62%，主要包括办公费、邮电费、维修（护）费、专用材料费、委托业务费等。</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hAnsi="黑体" w:cs="Times New Roman"/>
          <w:color w:val="auto"/>
          <w:kern w:val="0"/>
          <w:sz w:val="32"/>
          <w:szCs w:val="32"/>
        </w:rPr>
      </w:pPr>
      <w:r>
        <w:rPr>
          <w:rFonts w:hint="eastAsia" w:hAnsi="黑体" w:cs="Times New Roman"/>
          <w:color w:val="auto"/>
          <w:kern w:val="0"/>
          <w:sz w:val="32"/>
          <w:szCs w:val="32"/>
        </w:rPr>
        <w:t>七、一般公共预算财政拨款“三公”经费支出决算情况说明</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bCs w:val="0"/>
          <w:color w:val="auto"/>
          <w:kern w:val="0"/>
          <w:sz w:val="32"/>
          <w:szCs w:val="32"/>
          <w:lang w:val="en-US" w:eastAsia="zh-CN"/>
        </w:rPr>
      </w:pPr>
      <w:r>
        <w:rPr>
          <w:rFonts w:hint="eastAsia" w:ascii="仿宋" w:hAnsi="仿宋" w:eastAsia="仿宋" w:cs="仿宋"/>
          <w:b/>
          <w:bCs w:val="0"/>
          <w:color w:val="auto"/>
          <w:kern w:val="0"/>
          <w:sz w:val="32"/>
          <w:szCs w:val="32"/>
          <w:lang w:val="en-US" w:eastAsia="zh-CN"/>
        </w:rPr>
        <w:t>（一）“三公”经费财政拨款支出决算总体情况说明</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2021年度“三公”经费财政拨款支出预算为17.61万元，支出决算为7.18万元，完成预算的40.77%，其中：</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因公出国（境）费支出预算为0万元，支出决算为0万元，无法计算完成比例，决算数与上年相比无变化，本单位无因公出国（境）费支出，主要原因是无出国（境）任务安排。</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公务接待费支出预算为5.01万元，支出决算为0.6万元，完成预算的11.98%，决算数小于预算数的主要原因是规范接待范围，控制接待标准，与上年相比增加0.14万元，增长30.25%,增长的主要原因是公务活动较上年增加。</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3、公务用车购置费及公务用车运行维护费支出预算为12.6万元，支出决算为6.59万元，完成预算的52.3%，决算数小于预算数的主要原因是合理有效安排公务用车次数，控制公务用车运行费用支出，与上年相比减少5.93万元，减少47.36%,减少的主要原因是车辆维修，油耗，及高速费、车辆年检等支出减少。</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bCs w:val="0"/>
          <w:color w:val="auto"/>
          <w:kern w:val="0"/>
          <w:sz w:val="32"/>
          <w:szCs w:val="32"/>
          <w:lang w:val="en-US" w:eastAsia="zh-CN"/>
        </w:rPr>
      </w:pPr>
      <w:r>
        <w:rPr>
          <w:rFonts w:hint="eastAsia" w:ascii="仿宋" w:hAnsi="仿宋" w:eastAsia="仿宋" w:cs="仿宋"/>
          <w:b/>
          <w:bCs w:val="0"/>
          <w:color w:val="auto"/>
          <w:kern w:val="0"/>
          <w:sz w:val="32"/>
          <w:szCs w:val="32"/>
          <w:lang w:val="en-US" w:eastAsia="zh-CN"/>
        </w:rPr>
        <w:t>（二）“三公”经费财政拨款支出决算具体情况说明</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2021年度“三公”经费财政拨款支出决算中，公务接待费支出决算0.6万元，占8.29%,因公出国（境）费支出决算0万元，占0%,公务用车购置费及运行维护费支出决算6.59万元，占91.71%。其中：</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1、因公出国（境）费支出决算为0万元，全年安排因公出国（境）团组0个，累计0人次,本单位无因公出国（境）费支出。</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2、公务接待费支出决算为0.6万元，全年共接待来访团组9个、来宾61人次，主要是业务接待洽谈发生的接待支出。</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3、公务用车购置费及运行维护费支出决算为6.59万元，其中：公务用车购置费0万元，更新公务用车0辆。公务用车运行维护费6.59万元，主要是车辆维修，油耗，及高速费、车辆年检等支出，截止2021年12月31日，我单位开支财政拨款的公务用车保有量为5辆。</w:t>
      </w:r>
    </w:p>
    <w:p>
      <w:pPr>
        <w:pStyle w:val="13"/>
        <w:keepNext w:val="0"/>
        <w:keepLines w:val="0"/>
        <w:pageBreakBefore w:val="0"/>
        <w:kinsoku/>
        <w:wordWrap/>
        <w:overflowPunct/>
        <w:topLinePunct w:val="0"/>
        <w:bidi w:val="0"/>
        <w:snapToGrid/>
        <w:spacing w:line="600" w:lineRule="exact"/>
        <w:ind w:firstLine="640" w:firstLineChars="200"/>
        <w:textAlignment w:val="auto"/>
        <w:rPr>
          <w:rFonts w:hAnsi="黑体" w:cs="Times New Roman"/>
          <w:color w:val="auto"/>
          <w:kern w:val="0"/>
          <w:sz w:val="32"/>
          <w:szCs w:val="32"/>
        </w:rPr>
      </w:pPr>
      <w:r>
        <w:rPr>
          <w:rFonts w:hint="eastAsia" w:hAnsi="黑体" w:cs="Times New Roman"/>
          <w:color w:val="auto"/>
          <w:kern w:val="0"/>
          <w:sz w:val="32"/>
          <w:szCs w:val="32"/>
        </w:rPr>
        <w:t>八、政府性基金预算收入支出决算情况</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2021年度本单位无政府性基金收支。</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hAnsi="黑体" w:cs="Times New Roman"/>
          <w:color w:val="auto"/>
          <w:kern w:val="0"/>
          <w:sz w:val="32"/>
          <w:szCs w:val="32"/>
        </w:rPr>
      </w:pPr>
      <w:r>
        <w:rPr>
          <w:rFonts w:hint="eastAsia" w:hAnsi="黑体" w:cs="Times New Roman"/>
          <w:color w:val="auto"/>
          <w:kern w:val="0"/>
          <w:sz w:val="32"/>
          <w:szCs w:val="32"/>
        </w:rPr>
        <w:t>九、</w:t>
      </w:r>
      <w:r>
        <w:rPr>
          <w:rFonts w:hint="eastAsia" w:hAnsi="黑体" w:cs="Times New Roman"/>
          <w:color w:val="auto"/>
          <w:kern w:val="0"/>
          <w:sz w:val="32"/>
          <w:szCs w:val="32"/>
          <w:lang w:val="en-US" w:eastAsia="zh-CN"/>
        </w:rPr>
        <w:t>国有资本经营预算财政拨款支出决算情况</w:t>
      </w:r>
      <w:r>
        <w:rPr>
          <w:rFonts w:hint="eastAsia" w:hAnsi="黑体" w:cs="Times New Roman"/>
          <w:color w:val="auto"/>
          <w:kern w:val="0"/>
          <w:sz w:val="32"/>
          <w:szCs w:val="32"/>
        </w:rPr>
        <w:t>说明</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2021年度本单位无国有资本经营预算财政拨款支出。</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hAnsi="黑体" w:cs="Times New Roman"/>
          <w:color w:val="auto"/>
          <w:kern w:val="0"/>
          <w:sz w:val="32"/>
          <w:szCs w:val="32"/>
        </w:rPr>
      </w:pPr>
      <w:r>
        <w:rPr>
          <w:rFonts w:hint="eastAsia" w:hAnsi="黑体" w:cs="Times New Roman"/>
          <w:color w:val="auto"/>
          <w:kern w:val="0"/>
          <w:sz w:val="32"/>
          <w:szCs w:val="32"/>
          <w:lang w:val="en-US" w:eastAsia="zh-CN"/>
        </w:rPr>
        <w:t>十</w:t>
      </w:r>
      <w:r>
        <w:rPr>
          <w:rFonts w:hint="eastAsia" w:hAnsi="黑体" w:cs="Times New Roman"/>
          <w:color w:val="auto"/>
          <w:kern w:val="0"/>
          <w:sz w:val="32"/>
          <w:szCs w:val="32"/>
        </w:rPr>
        <w:t>、机关运行经费支出说明</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本单位是财政补助事业单位，无机关运行经费。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hAnsi="黑体" w:cs="Times New Roman"/>
          <w:color w:val="auto"/>
          <w:kern w:val="0"/>
          <w:sz w:val="32"/>
          <w:szCs w:val="32"/>
          <w:lang w:val="en-US" w:eastAsia="zh-CN"/>
        </w:rPr>
      </w:pPr>
      <w:r>
        <w:rPr>
          <w:rFonts w:hint="eastAsia" w:hAnsi="黑体" w:cs="Times New Roman"/>
          <w:color w:val="auto"/>
          <w:kern w:val="0"/>
          <w:sz w:val="32"/>
          <w:szCs w:val="32"/>
          <w:lang w:val="en-US" w:eastAsia="zh-CN"/>
        </w:rPr>
        <w:t>十一、一般性支出情况说明</w:t>
      </w:r>
    </w:p>
    <w:p>
      <w:pPr>
        <w:pStyle w:val="13"/>
        <w:ind w:firstLine="640" w:firstLineChars="200"/>
        <w:rPr>
          <w:rFonts w:hint="eastAsia" w:asciiTheme="minorEastAsia" w:hAnsiTheme="minorEastAsia" w:eastAsiaTheme="minorEastAsia"/>
          <w:color w:val="auto"/>
          <w:sz w:val="32"/>
          <w:szCs w:val="32"/>
          <w:lang w:eastAsia="zh-CN"/>
        </w:rPr>
      </w:pPr>
      <w:r>
        <w:rPr>
          <w:rFonts w:hint="eastAsia" w:ascii="仿宋" w:hAnsi="仿宋" w:eastAsia="仿宋" w:cs="仿宋"/>
          <w:b w:val="0"/>
          <w:bCs/>
          <w:color w:val="auto"/>
          <w:kern w:val="0"/>
          <w:sz w:val="32"/>
          <w:szCs w:val="32"/>
          <w:lang w:val="en-US" w:eastAsia="zh-CN"/>
        </w:rPr>
        <w:t>2021年本部门开支会议费0万元；开支培训费0.26万元，用于参加内审员培训，人数1人，内容为中质国培（北京）检验检测技术研究院怀化班关于举办检验检测机构内审员培训；用于开展事业人员等级培训，参培人数3人，内容为事业人员等级培训。无节庆、晚会、论坛、赛事活动开支。</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hAnsi="黑体" w:cs="Times New Roman"/>
          <w:color w:val="auto"/>
          <w:kern w:val="0"/>
          <w:sz w:val="32"/>
          <w:szCs w:val="32"/>
          <w:lang w:val="en-US" w:eastAsia="zh-CN"/>
        </w:rPr>
      </w:pPr>
      <w:r>
        <w:rPr>
          <w:rFonts w:hint="eastAsia" w:hAnsi="黑体" w:cs="Times New Roman"/>
          <w:color w:val="auto"/>
          <w:kern w:val="0"/>
          <w:sz w:val="32"/>
          <w:szCs w:val="32"/>
          <w:lang w:val="en-US" w:eastAsia="zh-CN"/>
        </w:rPr>
        <w:t>十二、政府采购支出说明</w:t>
      </w:r>
    </w:p>
    <w:p>
      <w:pPr>
        <w:pStyle w:val="13"/>
        <w:ind w:firstLine="640" w:firstLineChars="200"/>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本部门2021年度政府采购支出总额69.8万元，其中：政府采购货物支出69.8万元、政府采购工程支出0万元、政府采购服务支出0万元。授予中小企业合同金额69.8万元，占政府采购支出总额的100%，其中：授予小微企业合同金额69.8万元，占授予中小企业合同金额的100%；货物采购授予中小企业合同金额占货物支出金额的100%，工程采购授予中小企业合同金额占工程支出金额的0%，服务采购授予中小企业合同金额占服务支出金额的0%。</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hAnsi="黑体" w:cs="Times New Roman"/>
          <w:color w:val="auto"/>
          <w:kern w:val="0"/>
          <w:sz w:val="32"/>
          <w:szCs w:val="32"/>
          <w:lang w:val="en-US" w:eastAsia="zh-CN"/>
        </w:rPr>
      </w:pPr>
      <w:r>
        <w:rPr>
          <w:rFonts w:hint="eastAsia" w:hAnsi="黑体" w:cs="Times New Roman"/>
          <w:color w:val="auto"/>
          <w:kern w:val="0"/>
          <w:sz w:val="32"/>
          <w:szCs w:val="32"/>
          <w:lang w:val="en-US" w:eastAsia="zh-CN"/>
        </w:rPr>
        <w:t>十三、国有资产占用情况说明</w:t>
      </w:r>
    </w:p>
    <w:p>
      <w:pPr>
        <w:pStyle w:val="13"/>
        <w:ind w:firstLine="640" w:firstLineChars="200"/>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截至2021年12月31日，部门（单位）共有车辆5辆，其中，主要领导干部用车0辆，机要通信用车0辆、应急保障用车0辆、执法执勤用车0辆、特种专业技术用车4辆、其他用车1辆，其他用车主要是公务联络用车；单位价值50万元以上通用设备0台（套）；单位价值100万元以上专用设备0台（套）。</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hAnsi="黑体" w:cs="Times New Roman"/>
          <w:color w:val="auto"/>
          <w:kern w:val="0"/>
          <w:sz w:val="32"/>
          <w:szCs w:val="32"/>
          <w:lang w:val="en-US" w:eastAsia="zh-CN"/>
        </w:rPr>
      </w:pPr>
      <w:r>
        <w:rPr>
          <w:rFonts w:hint="eastAsia" w:hAnsi="黑体" w:cs="Times New Roman"/>
          <w:color w:val="auto"/>
          <w:kern w:val="0"/>
          <w:sz w:val="32"/>
          <w:szCs w:val="32"/>
          <w:lang w:val="en-US" w:eastAsia="zh-CN"/>
        </w:rPr>
        <w:t>十四、2021年度预算绩效情况说明</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bCs w:val="0"/>
          <w:color w:val="auto"/>
          <w:kern w:val="0"/>
          <w:sz w:val="32"/>
          <w:szCs w:val="32"/>
          <w:lang w:val="en-US" w:eastAsia="zh-CN"/>
        </w:rPr>
      </w:pPr>
      <w:r>
        <w:rPr>
          <w:rFonts w:hint="eastAsia" w:ascii="仿宋" w:hAnsi="仿宋" w:eastAsia="仿宋" w:cs="仿宋"/>
          <w:b/>
          <w:bCs w:val="0"/>
          <w:color w:val="auto"/>
          <w:kern w:val="0"/>
          <w:sz w:val="32"/>
          <w:szCs w:val="32"/>
          <w:lang w:val="en-US" w:eastAsia="zh-CN"/>
        </w:rPr>
        <w:t>（1）绩效管理评价工作开展情况。</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根据预算绩效管理要求，我部门组织对2021 年度一般公共预算整体支出、项目支出全面开展绩效自评，2021年本部门</w:t>
      </w:r>
      <w:r>
        <w:rPr>
          <w:rFonts w:hint="default" w:ascii="仿宋" w:hAnsi="仿宋" w:eastAsia="仿宋" w:cs="仿宋"/>
          <w:b w:val="0"/>
          <w:bCs/>
          <w:color w:val="auto"/>
          <w:kern w:val="0"/>
          <w:sz w:val="32"/>
          <w:szCs w:val="32"/>
          <w:lang w:val="en-US" w:eastAsia="zh-CN"/>
        </w:rPr>
        <w:t>共</w:t>
      </w:r>
      <w:r>
        <w:rPr>
          <w:rFonts w:hint="eastAsia" w:ascii="仿宋" w:hAnsi="仿宋" w:eastAsia="仿宋" w:cs="仿宋"/>
          <w:b w:val="0"/>
          <w:bCs/>
          <w:color w:val="auto"/>
          <w:kern w:val="0"/>
          <w:sz w:val="32"/>
          <w:szCs w:val="32"/>
          <w:lang w:val="en-US" w:eastAsia="zh-CN"/>
        </w:rPr>
        <w:t>涉及一般公共预算支出249.21</w:t>
      </w:r>
      <w:r>
        <w:rPr>
          <w:rFonts w:hint="default" w:ascii="仿宋" w:hAnsi="仿宋" w:eastAsia="仿宋" w:cs="仿宋"/>
          <w:b w:val="0"/>
          <w:bCs/>
          <w:color w:val="auto"/>
          <w:kern w:val="0"/>
          <w:sz w:val="32"/>
          <w:szCs w:val="32"/>
          <w:lang w:val="en-US" w:eastAsia="zh-CN"/>
        </w:rPr>
        <w:t>万元</w:t>
      </w:r>
      <w:r>
        <w:rPr>
          <w:rFonts w:hint="eastAsia" w:ascii="仿宋" w:hAnsi="仿宋" w:eastAsia="仿宋" w:cs="仿宋"/>
          <w:b w:val="0"/>
          <w:bCs/>
          <w:color w:val="auto"/>
          <w:kern w:val="0"/>
          <w:sz w:val="32"/>
          <w:szCs w:val="32"/>
          <w:lang w:val="en-US" w:eastAsia="zh-CN"/>
        </w:rPr>
        <w:t>，其中</w:t>
      </w:r>
      <w:r>
        <w:rPr>
          <w:rFonts w:hint="default" w:ascii="仿宋" w:hAnsi="仿宋" w:eastAsia="仿宋" w:cs="仿宋"/>
          <w:b w:val="0"/>
          <w:bCs/>
          <w:color w:val="auto"/>
          <w:kern w:val="0"/>
          <w:sz w:val="32"/>
          <w:szCs w:val="32"/>
          <w:lang w:val="en-US" w:eastAsia="zh-CN"/>
        </w:rPr>
        <w:t>项目</w:t>
      </w:r>
      <w:r>
        <w:rPr>
          <w:rFonts w:hint="eastAsia" w:ascii="仿宋" w:hAnsi="仿宋" w:eastAsia="仿宋" w:cs="仿宋"/>
          <w:b w:val="0"/>
          <w:bCs/>
          <w:color w:val="auto"/>
          <w:kern w:val="0"/>
          <w:sz w:val="32"/>
          <w:szCs w:val="32"/>
          <w:lang w:val="en-US" w:eastAsia="zh-CN"/>
        </w:rPr>
        <w:t>支出4个，涉及资金198.16万元，占一般公共预算项目支出总额的100%。组织对2021年度0个政府性基金预算项目支出开展绩效自评，共涉及资金0万元，占政府性基金预算项目支出总额的0%。组织对2021年度0个国有资本经营预算项目支出开展绩效自评，共涉及资金0万元，占国有资本经营预算项目支出总额的0%。</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组织对“无线电监测点及检测设备运行维护费”等4个项目开展了部门评价，涉及一般公共预算支出249.21万元，政府性基金预算支出0万元，国有资本经营预算支出0万元。从评价情况来看，我单位在项目资金管理中，严格执行项目资金管理制度和规定，每笔项目开支都做到按照程序进行审批，对于项目的重大资金安排或重要事项，实行集体决策确定，单位分管领导审批。</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组织对“怀化市无线电监测站”等1个单位开展整体支出绩效评价，涉及一般公共预算支出321.72万元，无政府性基金预算支出。其中基本支出123.56万元（含其他资金4.36万元），主要用于工资福利支出83.02万元，商品和服务支出34.82万元，对家庭和个人补助支出5.73万元；项目支出198.16万元（含2020年项目资金结转68.15万元），主要用于固定监测站机房、技术演练、无线电知识宣传、伪基站核查、无线电干扰排查、监测车维护保养等支出。从评价情况来看，我部门从经济性、效率性、有效性和可持续性对2021年部门整体支出绩效开展了评价，自评得分为98分，达到预期目标。</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bCs w:val="0"/>
          <w:color w:val="auto"/>
          <w:kern w:val="0"/>
          <w:sz w:val="32"/>
          <w:szCs w:val="32"/>
          <w:lang w:val="en-US" w:eastAsia="zh-CN"/>
        </w:rPr>
      </w:pPr>
      <w:r>
        <w:rPr>
          <w:rFonts w:hint="eastAsia" w:ascii="仿宋" w:hAnsi="仿宋" w:eastAsia="仿宋" w:cs="仿宋"/>
          <w:b/>
          <w:bCs w:val="0"/>
          <w:color w:val="auto"/>
          <w:kern w:val="0"/>
          <w:sz w:val="32"/>
          <w:szCs w:val="32"/>
          <w:lang w:val="en-US" w:eastAsia="zh-CN"/>
        </w:rPr>
        <w:t>（2）部门评价项目绩效评价结果。</w:t>
      </w:r>
    </w:p>
    <w:p>
      <w:pPr>
        <w:pStyle w:val="13"/>
        <w:keepNext w:val="0"/>
        <w:keepLines w:val="0"/>
        <w:pageBreakBefore w:val="0"/>
        <w:kinsoku/>
        <w:wordWrap/>
        <w:overflowPunct/>
        <w:topLinePunct w:val="0"/>
        <w:bidi w:val="0"/>
        <w:snapToGrid/>
        <w:spacing w:line="600" w:lineRule="exact"/>
        <w:ind w:firstLine="640" w:firstLineChars="200"/>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本部门预算绩效管理开展情况、绩效目标和绩效评价报告按照市财政局绩效部门要求已公开（详见附件）。</w:t>
      </w:r>
    </w:p>
    <w:p>
      <w:pPr>
        <w:jc w:val="left"/>
        <w:rPr>
          <w:rFonts w:hint="eastAsia" w:ascii="宋体" w:hAnsi="宋体" w:eastAsia="宋体" w:cs="宋体"/>
          <w:color w:val="auto"/>
          <w:kern w:val="0"/>
          <w:sz w:val="32"/>
          <w:szCs w:val="32"/>
          <w:lang w:eastAsia="zh-CN"/>
        </w:rPr>
      </w:pPr>
    </w:p>
    <w:p>
      <w:pPr>
        <w:keepNext w:val="0"/>
        <w:keepLines w:val="0"/>
        <w:pageBreakBefore w:val="0"/>
        <w:widowControl/>
        <w:kinsoku/>
        <w:wordWrap/>
        <w:overflowPunct/>
        <w:topLinePunct w:val="0"/>
        <w:bidi w:val="0"/>
        <w:snapToGrid/>
        <w:spacing w:line="600" w:lineRule="exact"/>
        <w:jc w:val="center"/>
        <w:textAlignment w:val="auto"/>
        <w:rPr>
          <w:rFonts w:hint="eastAsia" w:ascii="黑体" w:hAnsi="黑体" w:eastAsia="黑体" w:cs="黑体"/>
          <w:bCs/>
          <w:color w:val="auto"/>
          <w:kern w:val="0"/>
          <w:sz w:val="44"/>
          <w:szCs w:val="44"/>
        </w:rPr>
      </w:pPr>
      <w:r>
        <w:rPr>
          <w:rFonts w:hint="eastAsia" w:ascii="黑体" w:hAnsi="黑体" w:eastAsia="黑体" w:cs="黑体"/>
          <w:bCs/>
          <w:color w:val="auto"/>
          <w:kern w:val="0"/>
          <w:sz w:val="44"/>
          <w:szCs w:val="44"/>
        </w:rPr>
        <w:t>第四部分</w:t>
      </w:r>
      <w:r>
        <w:rPr>
          <w:rFonts w:hint="eastAsia" w:ascii="黑体" w:hAnsi="黑体" w:eastAsia="黑体" w:cs="黑体"/>
          <w:bCs/>
          <w:color w:val="auto"/>
          <w:kern w:val="0"/>
          <w:sz w:val="44"/>
          <w:szCs w:val="44"/>
          <w:lang w:val="en-US" w:eastAsia="zh-CN"/>
        </w:rPr>
        <w:t xml:space="preserve"> </w:t>
      </w:r>
      <w:r>
        <w:rPr>
          <w:rFonts w:hint="eastAsia" w:ascii="黑体" w:hAnsi="黑体" w:eastAsia="黑体" w:cs="黑体"/>
          <w:bCs/>
          <w:color w:val="auto"/>
          <w:kern w:val="0"/>
          <w:sz w:val="44"/>
          <w:szCs w:val="44"/>
        </w:rPr>
        <w:t>名词解释</w:t>
      </w:r>
    </w:p>
    <w:p>
      <w:pPr>
        <w:ind w:firstLine="640" w:firstLineChars="200"/>
        <w:jc w:val="left"/>
        <w:rPr>
          <w:rFonts w:hint="eastAsia" w:ascii="宋体" w:hAnsi="宋体" w:eastAsia="宋体" w:cs="宋体"/>
          <w:color w:val="auto"/>
          <w:kern w:val="0"/>
          <w:sz w:val="32"/>
          <w:szCs w:val="32"/>
          <w:lang w:eastAsia="zh-CN"/>
        </w:rPr>
      </w:pP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财政拨款收入：指财政当年拨付的资金。包括一般公共预算财政拨款和政府性基金财政拨款。</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上级补助收入：指事业单位从主管部门和上级单位取得的非财政补助收入。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事业收入：指事业单位开展专业业务活动及辅助活动所取得的收入。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经营收入：指事业单位在专业业务活动及其辅助活动之外开展非独立核算经营活动取得的收入。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附属单位上缴收入：指事业单位附属独立核算单位按照有关规定上缴的收入。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其他收入：指除上述“财政拨款收入”、“事业收入”、“经营收入”等以外的收入。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用事业基金弥补收支差额：指事业单位在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年初结转和结余：指以前年度尚未完成、结转到本年按有关规定继续使用的资金。</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结余分配：指事业单位按规定从非财政补助结余中分配的事业基金和职工福利基金等。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年末结转和结余：指本年度或以前年度预算安排、因客观条件发生变化无法按原计划实施，需要延迟到以后年度按有关规定继续使用的资金。</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基本支出：指为保障机构正常运转、完成日常工作任务而发生的人员支出和公用支出。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项目支出：指在基本支出之外为完成特定行政任务和事业发展目标所发生的支出。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经营支出：指事业单位在专业业务活动及其辅助活动之外开展非独立核算经营活动所发生的支出。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三公”经费：按照党中央、国务院有关文件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含车辆购置税）及租用费、燃料费、维修费、过路过桥费、保险费等支出。（3）公务接待费，指单位按规定开支的各类公务接待（含外宾接待）支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12" w:beforeAutospacing="0" w:after="12" w:afterAutospacing="0" w:line="600" w:lineRule="exact"/>
        <w:ind w:right="0" w:firstLine="640" w:firstLineChars="200"/>
        <w:jc w:val="left"/>
        <w:textAlignment w:val="auto"/>
        <w:rPr>
          <w:rFonts w:hint="eastAsia" w:ascii="仿宋" w:hAnsi="仿宋" w:eastAsia="仿宋" w:cs="仿宋"/>
          <w:i w:val="0"/>
          <w:iCs w:val="0"/>
          <w:caps w:val="0"/>
          <w:color w:val="auto"/>
          <w:spacing w:val="0"/>
          <w:sz w:val="32"/>
          <w:szCs w:val="32"/>
        </w:rPr>
      </w:pPr>
      <w:r>
        <w:rPr>
          <w:rFonts w:hint="eastAsia" w:ascii="仿宋" w:hAnsi="仿宋" w:eastAsia="仿宋" w:cs="仿宋"/>
          <w:i w:val="0"/>
          <w:iCs w:val="0"/>
          <w:caps w:val="0"/>
          <w:color w:val="auto"/>
          <w:spacing w:val="0"/>
          <w:sz w:val="32"/>
          <w:szCs w:val="32"/>
          <w:shd w:val="clear" w:color="auto" w:fill="FFFFFF"/>
        </w:rPr>
        <w:t>机关运行经费：指为保障行政单位（含参照公务员法管理的事业单位）运行用于购买货物和服务的各项资金，包括办公及印刷费、邮电费、差旅费、会议费、福利费、日常维修费、专项材料及一般设备购置费、办公用房水电费、取暖费、物业管理费、公务用车运行维护费以及其他费用。</w:t>
      </w:r>
    </w:p>
    <w:p>
      <w:pPr>
        <w:ind w:firstLine="640" w:firstLineChars="200"/>
        <w:jc w:val="left"/>
        <w:rPr>
          <w:rFonts w:hint="eastAsia" w:ascii="宋体" w:hAnsi="宋体" w:eastAsia="宋体" w:cs="宋体"/>
          <w:color w:val="auto"/>
          <w:kern w:val="0"/>
          <w:sz w:val="32"/>
          <w:szCs w:val="32"/>
          <w:lang w:eastAsia="zh-CN"/>
        </w:rPr>
      </w:pPr>
    </w:p>
    <w:p>
      <w:pPr>
        <w:ind w:firstLine="640" w:firstLineChars="200"/>
        <w:jc w:val="left"/>
        <w:rPr>
          <w:rFonts w:hint="eastAsia" w:ascii="宋体" w:hAnsi="宋体" w:eastAsia="宋体" w:cs="宋体"/>
          <w:color w:val="auto"/>
          <w:kern w:val="0"/>
          <w:sz w:val="32"/>
          <w:szCs w:val="32"/>
          <w:lang w:eastAsia="zh-CN"/>
        </w:rPr>
      </w:pPr>
    </w:p>
    <w:p>
      <w:pPr>
        <w:keepNext w:val="0"/>
        <w:keepLines w:val="0"/>
        <w:pageBreakBefore w:val="0"/>
        <w:widowControl/>
        <w:kinsoku/>
        <w:wordWrap/>
        <w:overflowPunct/>
        <w:topLinePunct w:val="0"/>
        <w:bidi w:val="0"/>
        <w:snapToGrid/>
        <w:spacing w:line="600" w:lineRule="exact"/>
        <w:jc w:val="center"/>
        <w:textAlignment w:val="auto"/>
        <w:rPr>
          <w:rFonts w:hint="eastAsia" w:ascii="黑体" w:hAnsi="黑体" w:eastAsia="黑体" w:cs="黑体"/>
          <w:bCs/>
          <w:color w:val="auto"/>
          <w:kern w:val="0"/>
          <w:sz w:val="44"/>
          <w:szCs w:val="44"/>
          <w:lang w:val="en-US" w:eastAsia="zh-CN"/>
        </w:rPr>
      </w:pPr>
      <w:r>
        <w:rPr>
          <w:rFonts w:hint="eastAsia" w:ascii="黑体" w:hAnsi="黑体" w:eastAsia="黑体" w:cs="黑体"/>
          <w:bCs/>
          <w:color w:val="auto"/>
          <w:kern w:val="0"/>
          <w:sz w:val="44"/>
          <w:szCs w:val="44"/>
          <w:lang w:val="en-US" w:eastAsia="zh-CN"/>
        </w:rPr>
        <w:t>第五部分 附件</w:t>
      </w:r>
    </w:p>
    <w:p>
      <w:pPr>
        <w:keepNext w:val="0"/>
        <w:keepLines w:val="0"/>
        <w:pageBreakBefore w:val="0"/>
        <w:widowControl/>
        <w:kinsoku/>
        <w:wordWrap/>
        <w:overflowPunct/>
        <w:topLinePunct w:val="0"/>
        <w:bidi w:val="0"/>
        <w:snapToGrid/>
        <w:spacing w:line="600" w:lineRule="exact"/>
        <w:jc w:val="center"/>
        <w:textAlignment w:val="auto"/>
        <w:rPr>
          <w:rFonts w:hint="eastAsia" w:ascii="黑体" w:eastAsia="黑体" w:cs="黑体"/>
          <w:color w:val="auto"/>
          <w:kern w:val="0"/>
          <w:sz w:val="36"/>
          <w:szCs w:val="36"/>
          <w:lang w:val="en-US" w:eastAsia="zh-CN"/>
        </w:rPr>
      </w:pPr>
    </w:p>
    <w:p>
      <w:pPr>
        <w:keepNext w:val="0"/>
        <w:keepLines w:val="0"/>
        <w:pageBreakBefore w:val="0"/>
        <w:widowControl/>
        <w:kinsoku/>
        <w:wordWrap/>
        <w:overflowPunct/>
        <w:topLinePunct w:val="0"/>
        <w:bidi w:val="0"/>
        <w:snapToGrid/>
        <w:spacing w:line="600" w:lineRule="exact"/>
        <w:ind w:firstLine="640" w:firstLineChars="200"/>
        <w:jc w:val="both"/>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2021年度部门整体支出绩效评价报告。</w:t>
      </w:r>
    </w:p>
    <w:p>
      <w:pPr>
        <w:keepNext w:val="0"/>
        <w:keepLines w:val="0"/>
        <w:pageBreakBefore w:val="0"/>
        <w:widowControl/>
        <w:kinsoku/>
        <w:wordWrap/>
        <w:overflowPunct/>
        <w:topLinePunct w:val="0"/>
        <w:bidi w:val="0"/>
        <w:snapToGrid/>
        <w:spacing w:line="600" w:lineRule="exact"/>
        <w:ind w:firstLine="640" w:firstLineChars="200"/>
        <w:jc w:val="both"/>
        <w:textAlignment w:val="auto"/>
        <w:rPr>
          <w:rFonts w:hint="eastAsia" w:ascii="仿宋" w:hAnsi="仿宋" w:eastAsia="仿宋" w:cs="仿宋"/>
          <w:b w:val="0"/>
          <w:bCs/>
          <w:color w:val="auto"/>
          <w:kern w:val="0"/>
          <w:sz w:val="32"/>
          <w:szCs w:val="32"/>
          <w:lang w:val="en-US" w:eastAsia="zh-CN"/>
        </w:rPr>
      </w:pPr>
      <w:r>
        <w:rPr>
          <w:rFonts w:hint="eastAsia" w:ascii="仿宋" w:hAnsi="仿宋" w:eastAsia="仿宋" w:cs="仿宋"/>
          <w:color w:val="auto"/>
          <w:sz w:val="32"/>
          <w:szCs w:val="32"/>
          <w:lang w:val="en-US" w:eastAsia="zh-CN"/>
        </w:rPr>
        <w:t>2021年度部门决算公开表格。</w:t>
      </w:r>
    </w:p>
    <w:p>
      <w:pPr>
        <w:pStyle w:val="13"/>
        <w:keepNext w:val="0"/>
        <w:keepLines w:val="0"/>
        <w:pageBreakBefore w:val="0"/>
        <w:kinsoku/>
        <w:wordWrap/>
        <w:overflowPunct/>
        <w:topLinePunct w:val="0"/>
        <w:bidi w:val="0"/>
        <w:snapToGrid/>
        <w:spacing w:line="600" w:lineRule="exact"/>
        <w:ind w:firstLine="640" w:firstLineChars="200"/>
        <w:textAlignment w:val="auto"/>
        <w:rPr>
          <w:rFonts w:hint="default" w:ascii="仿宋" w:hAnsi="仿宋" w:eastAsia="仿宋" w:cs="仿宋"/>
          <w:b w:val="0"/>
          <w:bCs/>
          <w:color w:val="auto"/>
          <w:kern w:val="0"/>
          <w:sz w:val="32"/>
          <w:szCs w:val="32"/>
          <w:lang w:val="en-US" w:eastAsia="zh-CN"/>
        </w:rPr>
      </w:pPr>
      <w:r>
        <w:rPr>
          <w:rFonts w:hint="eastAsia" w:ascii="仿宋" w:hAnsi="仿宋" w:eastAsia="仿宋" w:cs="仿宋"/>
          <w:b w:val="0"/>
          <w:bCs/>
          <w:color w:val="auto"/>
          <w:kern w:val="0"/>
          <w:sz w:val="32"/>
          <w:szCs w:val="32"/>
          <w:lang w:val="en-US" w:eastAsia="zh-CN"/>
        </w:rPr>
        <w:t>单位本年度无重点支出项目。</w:t>
      </w:r>
      <w:bookmarkStart w:id="0" w:name="_GoBack"/>
      <w:bookmarkEnd w:id="0"/>
    </w:p>
    <w:p>
      <w:pPr>
        <w:keepNext w:val="0"/>
        <w:keepLines w:val="0"/>
        <w:pageBreakBefore w:val="0"/>
        <w:widowControl/>
        <w:kinsoku/>
        <w:wordWrap/>
        <w:overflowPunct/>
        <w:topLinePunct w:val="0"/>
        <w:bidi w:val="0"/>
        <w:snapToGrid/>
        <w:spacing w:line="600" w:lineRule="exact"/>
        <w:ind w:firstLine="640" w:firstLineChars="200"/>
        <w:jc w:val="both"/>
        <w:textAlignment w:val="auto"/>
        <w:rPr>
          <w:rFonts w:hint="default" w:ascii="仿宋" w:hAnsi="仿宋" w:eastAsia="仿宋" w:cs="仿宋"/>
          <w:color w:val="auto"/>
          <w:sz w:val="32"/>
          <w:szCs w:val="32"/>
          <w:lang w:val="en-US" w:eastAsia="zh-CN"/>
        </w:rPr>
      </w:pPr>
    </w:p>
    <w:p>
      <w:pPr>
        <w:jc w:val="center"/>
        <w:rPr>
          <w:rFonts w:hint="eastAsia" w:ascii="黑体" w:eastAsia="黑体" w:cs="黑体"/>
          <w:color w:val="auto"/>
          <w:kern w:val="0"/>
          <w:sz w:val="36"/>
          <w:szCs w:val="36"/>
          <w:lang w:eastAsia="zh-CN"/>
        </w:rPr>
      </w:pPr>
    </w:p>
    <w:p>
      <w:pPr>
        <w:jc w:val="center"/>
        <w:rPr>
          <w:rFonts w:hint="eastAsia" w:ascii="黑体" w:eastAsia="黑体" w:cs="黑体"/>
          <w:color w:val="auto"/>
          <w:kern w:val="0"/>
          <w:sz w:val="36"/>
          <w:szCs w:val="36"/>
          <w:lang w:eastAsia="zh-CN"/>
        </w:rPr>
      </w:pPr>
    </w:p>
    <w:p>
      <w:pPr>
        <w:pStyle w:val="3"/>
        <w:ind w:firstLine="6726" w:firstLineChars="2102"/>
        <w:rPr>
          <w:rFonts w:hint="default" w:asciiTheme="minorEastAsia" w:hAnsiTheme="minorEastAsia" w:eastAsiaTheme="minorEastAsia" w:cstheme="minorEastAsia"/>
          <w:color w:val="auto"/>
          <w:kern w:val="0"/>
          <w:sz w:val="32"/>
          <w:szCs w:val="32"/>
          <w:lang w:val="en-US" w:eastAsia="zh-CN"/>
        </w:rPr>
      </w:pPr>
      <w:r>
        <w:rPr>
          <w:rFonts w:hint="eastAsia" w:asciiTheme="minorEastAsia" w:hAnsiTheme="minorEastAsia" w:eastAsiaTheme="minorEastAsia" w:cstheme="minorEastAsia"/>
          <w:color w:val="auto"/>
          <w:kern w:val="0"/>
          <w:sz w:val="32"/>
          <w:szCs w:val="32"/>
          <w:lang w:val="en-US" w:eastAsia="zh-CN"/>
        </w:rPr>
        <w:t>怀化市</w:t>
      </w:r>
      <w:r>
        <w:rPr>
          <w:rFonts w:hint="eastAsia" w:asciiTheme="minorEastAsia" w:hAnsiTheme="minorEastAsia" w:cstheme="minorEastAsia"/>
          <w:color w:val="auto"/>
          <w:kern w:val="0"/>
          <w:sz w:val="32"/>
          <w:szCs w:val="32"/>
          <w:lang w:val="en-US" w:eastAsia="zh-CN"/>
        </w:rPr>
        <w:t>无线电监测站</w:t>
      </w:r>
    </w:p>
    <w:p>
      <w:pPr>
        <w:pStyle w:val="3"/>
        <w:ind w:firstLine="7046" w:firstLineChars="2202"/>
        <w:rPr>
          <w:rFonts w:cs="黑体" w:asciiTheme="minorEastAsia" w:hAnsiTheme="minorEastAsia"/>
          <w:color w:val="auto"/>
          <w:kern w:val="0"/>
          <w:sz w:val="32"/>
          <w:szCs w:val="32"/>
        </w:rPr>
      </w:pPr>
      <w:r>
        <w:rPr>
          <w:rFonts w:hint="eastAsia" w:asciiTheme="minorEastAsia" w:hAnsiTheme="minorEastAsia" w:eastAsiaTheme="minorEastAsia" w:cstheme="minorEastAsia"/>
          <w:color w:val="auto"/>
          <w:kern w:val="0"/>
          <w:sz w:val="32"/>
          <w:szCs w:val="32"/>
          <w:lang w:val="en-US" w:eastAsia="zh-CN"/>
        </w:rPr>
        <w:t>2022年8月2</w:t>
      </w:r>
      <w:r>
        <w:rPr>
          <w:rFonts w:hint="eastAsia" w:asciiTheme="minorEastAsia" w:hAnsiTheme="minorEastAsia" w:cstheme="minorEastAsia"/>
          <w:color w:val="auto"/>
          <w:kern w:val="0"/>
          <w:sz w:val="32"/>
          <w:szCs w:val="32"/>
          <w:lang w:val="en-US" w:eastAsia="zh-CN"/>
        </w:rPr>
        <w:t>6</w:t>
      </w:r>
      <w:r>
        <w:rPr>
          <w:rFonts w:hint="eastAsia" w:asciiTheme="minorEastAsia" w:hAnsiTheme="minorEastAsia" w:eastAsiaTheme="minorEastAsia" w:cstheme="minorEastAsia"/>
          <w:color w:val="auto"/>
          <w:kern w:val="0"/>
          <w:sz w:val="32"/>
          <w:szCs w:val="32"/>
          <w:lang w:val="en-US" w:eastAsia="zh-CN"/>
        </w:rPr>
        <w:t>日</w:t>
      </w:r>
    </w:p>
    <w:sectPr>
      <w:footerReference r:id="rId3" w:type="default"/>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C83C61"/>
    <w:multiLevelType w:val="singleLevel"/>
    <w:tmpl w:val="C4C83C61"/>
    <w:lvl w:ilvl="0" w:tentative="0">
      <w:start w:val="1"/>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7"/>
  <w:drawingGridVerticalSpacing w:val="156"/>
  <w:displayHorizontalDrawingGridEvery w:val="2"/>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FmMGNhNmY0YjU4NjVkOWQ2N2E3YzdhNWFmNzAwMTU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28DE"/>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1161381"/>
    <w:rsid w:val="016E2F6B"/>
    <w:rsid w:val="042C0EBC"/>
    <w:rsid w:val="082F2EC8"/>
    <w:rsid w:val="08C447E3"/>
    <w:rsid w:val="09ED2263"/>
    <w:rsid w:val="0AF0679F"/>
    <w:rsid w:val="0B0B50A7"/>
    <w:rsid w:val="0B781A5C"/>
    <w:rsid w:val="0BFF4768"/>
    <w:rsid w:val="0C313DD2"/>
    <w:rsid w:val="0C4D5E73"/>
    <w:rsid w:val="0CE95576"/>
    <w:rsid w:val="0D4E59FF"/>
    <w:rsid w:val="0F4672D5"/>
    <w:rsid w:val="0FE8038D"/>
    <w:rsid w:val="11DD1A47"/>
    <w:rsid w:val="12015DFE"/>
    <w:rsid w:val="12C81029"/>
    <w:rsid w:val="13470659"/>
    <w:rsid w:val="13620456"/>
    <w:rsid w:val="14706BA3"/>
    <w:rsid w:val="15724A13"/>
    <w:rsid w:val="15783F61"/>
    <w:rsid w:val="164D719B"/>
    <w:rsid w:val="17CF16C8"/>
    <w:rsid w:val="1AE856E5"/>
    <w:rsid w:val="1DC1221D"/>
    <w:rsid w:val="1F1C1867"/>
    <w:rsid w:val="206261AF"/>
    <w:rsid w:val="214206E8"/>
    <w:rsid w:val="245C42FD"/>
    <w:rsid w:val="25396B3D"/>
    <w:rsid w:val="257F6C45"/>
    <w:rsid w:val="273677D8"/>
    <w:rsid w:val="27F751B9"/>
    <w:rsid w:val="29C73521"/>
    <w:rsid w:val="2A2D4EC2"/>
    <w:rsid w:val="2A570191"/>
    <w:rsid w:val="2A843A62"/>
    <w:rsid w:val="2E933762"/>
    <w:rsid w:val="2EF266DA"/>
    <w:rsid w:val="3058256D"/>
    <w:rsid w:val="31761A5C"/>
    <w:rsid w:val="33BB1A84"/>
    <w:rsid w:val="33ED25F6"/>
    <w:rsid w:val="33F86541"/>
    <w:rsid w:val="3457491A"/>
    <w:rsid w:val="358F53A2"/>
    <w:rsid w:val="35CA6B49"/>
    <w:rsid w:val="378A09DB"/>
    <w:rsid w:val="38FA1BB8"/>
    <w:rsid w:val="39513E86"/>
    <w:rsid w:val="3A2F0BFF"/>
    <w:rsid w:val="3D8910B6"/>
    <w:rsid w:val="3DE9514C"/>
    <w:rsid w:val="3E611186"/>
    <w:rsid w:val="3ED71449"/>
    <w:rsid w:val="3F0B0E09"/>
    <w:rsid w:val="4001677D"/>
    <w:rsid w:val="404E395F"/>
    <w:rsid w:val="427C774B"/>
    <w:rsid w:val="42BE6BA7"/>
    <w:rsid w:val="48334AB0"/>
    <w:rsid w:val="48F20494"/>
    <w:rsid w:val="4B42478C"/>
    <w:rsid w:val="4B885FA4"/>
    <w:rsid w:val="4C934C01"/>
    <w:rsid w:val="4CD25250"/>
    <w:rsid w:val="4D3F6054"/>
    <w:rsid w:val="4F98675F"/>
    <w:rsid w:val="51330760"/>
    <w:rsid w:val="526D2A36"/>
    <w:rsid w:val="52A03BD4"/>
    <w:rsid w:val="5302488E"/>
    <w:rsid w:val="534A5236"/>
    <w:rsid w:val="54E7478C"/>
    <w:rsid w:val="550C37A2"/>
    <w:rsid w:val="556E620B"/>
    <w:rsid w:val="56C1680E"/>
    <w:rsid w:val="59063B83"/>
    <w:rsid w:val="596C71EC"/>
    <w:rsid w:val="5B0E6E24"/>
    <w:rsid w:val="5D916F3A"/>
    <w:rsid w:val="5F546472"/>
    <w:rsid w:val="5F733680"/>
    <w:rsid w:val="5FAA4CD3"/>
    <w:rsid w:val="5FDB5BD8"/>
    <w:rsid w:val="60BA67A8"/>
    <w:rsid w:val="61497B2C"/>
    <w:rsid w:val="62EE098B"/>
    <w:rsid w:val="649F360B"/>
    <w:rsid w:val="64A45BA3"/>
    <w:rsid w:val="659A6BA8"/>
    <w:rsid w:val="65AD68DC"/>
    <w:rsid w:val="669D5738"/>
    <w:rsid w:val="66F81DD8"/>
    <w:rsid w:val="68E703E5"/>
    <w:rsid w:val="69146C72"/>
    <w:rsid w:val="6A7C702F"/>
    <w:rsid w:val="6BC34A47"/>
    <w:rsid w:val="6C9F75D9"/>
    <w:rsid w:val="6D870196"/>
    <w:rsid w:val="704B53EE"/>
    <w:rsid w:val="70BA00FF"/>
    <w:rsid w:val="711E274C"/>
    <w:rsid w:val="732B52E4"/>
    <w:rsid w:val="78B47B29"/>
    <w:rsid w:val="7AA00365"/>
    <w:rsid w:val="7AFC684A"/>
    <w:rsid w:val="7BBA5457"/>
    <w:rsid w:val="7E394D59"/>
    <w:rsid w:val="7E4C1DDE"/>
    <w:rsid w:val="7F7F3F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lock Text"/>
    <w:basedOn w:val="1"/>
    <w:unhideWhenUsed/>
    <w:qFormat/>
    <w:uiPriority w:val="99"/>
    <w:pPr>
      <w:ind w:firstLine="64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0">
    <w:name w:val="page number"/>
    <w:basedOn w:val="9"/>
    <w:qFormat/>
    <w:uiPriority w:val="0"/>
  </w:style>
  <w:style w:type="character" w:customStyle="1" w:styleId="11">
    <w:name w:val="页眉 Char"/>
    <w:basedOn w:val="9"/>
    <w:link w:val="6"/>
    <w:qFormat/>
    <w:uiPriority w:val="99"/>
    <w:rPr>
      <w:sz w:val="18"/>
      <w:szCs w:val="18"/>
    </w:rPr>
  </w:style>
  <w:style w:type="character" w:customStyle="1" w:styleId="12">
    <w:name w:val="页脚 Char"/>
    <w:basedOn w:val="9"/>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5526</Words>
  <Characters>6041</Characters>
  <Lines>69</Lines>
  <Paragraphs>19</Paragraphs>
  <TotalTime>7</TotalTime>
  <ScaleCrop>false</ScaleCrop>
  <LinksUpToDate>false</LinksUpToDate>
  <CharactersWithSpaces>6061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琼</cp:lastModifiedBy>
  <cp:lastPrinted>2022-07-27T12:55:00Z</cp:lastPrinted>
  <dcterms:modified xsi:type="dcterms:W3CDTF">2023-10-11T01:17:46Z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14DFDC99B91D4AC393047B7043E03524_13</vt:lpwstr>
  </property>
</Properties>
</file>