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黑体" w:hAnsi="黑体" w:eastAsia="黑体" w:cs="黑体"/>
          <w:bCs/>
          <w:color w:val="auto"/>
          <w:kern w:val="0"/>
          <w:sz w:val="48"/>
          <w:szCs w:val="48"/>
          <w:lang w:val="en-US" w:eastAsia="zh-CN" w:bidi="ar-SA"/>
        </w:rPr>
      </w:pPr>
      <w:r>
        <w:rPr>
          <w:rFonts w:hint="eastAsia" w:ascii="黑体" w:hAnsi="黑体" w:eastAsia="黑体" w:cs="黑体"/>
          <w:bCs/>
          <w:color w:val="auto"/>
          <w:kern w:val="0"/>
          <w:sz w:val="48"/>
          <w:szCs w:val="48"/>
          <w:lang w:val="en-US" w:eastAsia="zh-CN" w:bidi="ar-SA"/>
        </w:rPr>
        <w:t>2021年度怀化市工业和信息化局（本级）部门决算</w:t>
      </w:r>
    </w:p>
    <w:p>
      <w:pPr>
        <w:pStyle w:val="13"/>
        <w:jc w:val="both"/>
        <w:rPr>
          <w:rFonts w:hint="eastAsia" w:ascii="黑体" w:hAnsi="黑体" w:eastAsia="黑体" w:cs="黑体"/>
          <w:bCs/>
          <w:color w:val="auto"/>
          <w:kern w:val="0"/>
          <w:sz w:val="48"/>
          <w:szCs w:val="48"/>
          <w:lang w:val="en-US" w:eastAsia="zh-CN" w:bidi="ar-SA"/>
        </w:rPr>
      </w:pPr>
    </w:p>
    <w:p>
      <w:pPr>
        <w:keepNext w:val="0"/>
        <w:keepLines w:val="0"/>
        <w:pageBreakBefore w:val="0"/>
        <w:widowControl/>
        <w:kinsoku/>
        <w:wordWrap/>
        <w:overflowPunct/>
        <w:topLinePunct w:val="0"/>
        <w:bidi w:val="0"/>
        <w:snapToGrid/>
        <w:spacing w:line="600" w:lineRule="exact"/>
        <w:jc w:val="center"/>
        <w:textAlignment w:val="auto"/>
        <w:rPr>
          <w:rFonts w:hint="eastAsia"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rPr>
        <w:t>目</w:t>
      </w:r>
      <w:r>
        <w:rPr>
          <w:rFonts w:hint="eastAsia" w:ascii="Times New Roman" w:hAnsi="Times New Roman" w:eastAsia="黑体" w:cs="Times New Roman"/>
          <w:bCs/>
          <w:color w:val="auto"/>
          <w:kern w:val="0"/>
          <w:sz w:val="32"/>
          <w:szCs w:val="32"/>
          <w:lang w:val="en-US" w:eastAsia="zh-CN"/>
        </w:rPr>
        <w:t xml:space="preserve"> </w:t>
      </w:r>
      <w:r>
        <w:rPr>
          <w:rFonts w:hint="eastAsia" w:ascii="Times New Roman" w:hAnsi="Times New Roman" w:eastAsia="黑体" w:cs="Times New Roman"/>
          <w:bCs/>
          <w:color w:val="auto"/>
          <w:kern w:val="0"/>
          <w:sz w:val="32"/>
          <w:szCs w:val="32"/>
        </w:rPr>
        <w:t>录</w:t>
      </w:r>
    </w:p>
    <w:p>
      <w:pPr>
        <w:keepNext w:val="0"/>
        <w:keepLines w:val="0"/>
        <w:pageBreakBefore w:val="0"/>
        <w:widowControl/>
        <w:kinsoku/>
        <w:wordWrap/>
        <w:overflowPunct/>
        <w:topLinePunct w:val="0"/>
        <w:bidi w:val="0"/>
        <w:snapToGrid/>
        <w:spacing w:line="600" w:lineRule="exact"/>
        <w:jc w:val="center"/>
        <w:textAlignment w:val="auto"/>
        <w:rPr>
          <w:rFonts w:hint="eastAsia" w:ascii="Times New Roman" w:hAnsi="Times New Roman" w:eastAsia="黑体" w:cs="Times New Roman"/>
          <w:bCs/>
          <w:color w:val="auto"/>
          <w:kern w:val="0"/>
          <w:sz w:val="32"/>
          <w:szCs w:val="32"/>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第一部分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怀化市工业和信息化局</w:t>
      </w:r>
      <w:r>
        <w:rPr>
          <w:rFonts w:hint="eastAsia" w:ascii="黑体" w:hAnsi="黑体" w:eastAsia="黑体" w:cs="黑体"/>
          <w:b/>
          <w:bCs/>
          <w:color w:val="auto"/>
          <w:kern w:val="0"/>
          <w:sz w:val="32"/>
          <w:szCs w:val="32"/>
          <w:lang w:val="en-US" w:eastAsia="zh-CN"/>
        </w:rPr>
        <w:t>单位</w:t>
      </w:r>
      <w:r>
        <w:rPr>
          <w:rFonts w:hint="eastAsia" w:ascii="黑体" w:hAnsi="黑体" w:eastAsia="黑体" w:cs="黑体"/>
          <w:b/>
          <w:bCs/>
          <w:color w:val="auto"/>
          <w:kern w:val="0"/>
          <w:sz w:val="32"/>
          <w:szCs w:val="32"/>
        </w:rPr>
        <w:t>概况</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一、部门职责</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二、机构设置</w:t>
      </w:r>
    </w:p>
    <w:p>
      <w:pPr>
        <w:pStyle w:val="13"/>
        <w:spacing w:line="500" w:lineRule="exact"/>
        <w:ind w:firstLine="640"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第二部分</w:t>
      </w:r>
      <w:r>
        <w:rPr>
          <w:rFonts w:hint="eastAsia" w:hAnsi="黑体" w:cs="黑体"/>
          <w:b/>
          <w:bCs/>
          <w:color w:val="auto"/>
          <w:kern w:val="0"/>
          <w:sz w:val="32"/>
          <w:szCs w:val="32"/>
          <w:lang w:val="en-US" w:eastAsia="zh-CN" w:bidi="ar-SA"/>
        </w:rPr>
        <w:t xml:space="preserve"> </w:t>
      </w:r>
      <w:r>
        <w:rPr>
          <w:rFonts w:hint="eastAsia" w:ascii="黑体" w:hAnsi="黑体" w:eastAsia="黑体" w:cs="黑体"/>
          <w:b/>
          <w:bCs/>
          <w:color w:val="auto"/>
          <w:kern w:val="0"/>
          <w:sz w:val="32"/>
          <w:szCs w:val="32"/>
          <w:lang w:val="en-US" w:eastAsia="zh-CN" w:bidi="ar-SA"/>
        </w:rPr>
        <w:t>2021年度部门决算表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六、一般公共预算财政拨款基本支出决算明细表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八、政府性基金预算财政拨款收入支出决算表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九、国有资本经营预算财政拨款支出决算表</w:t>
      </w:r>
    </w:p>
    <w:p>
      <w:pPr>
        <w:pStyle w:val="13"/>
        <w:spacing w:line="500" w:lineRule="exact"/>
        <w:ind w:firstLine="640"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第三部分</w:t>
      </w:r>
      <w:r>
        <w:rPr>
          <w:rFonts w:hint="eastAsia" w:hAnsi="黑体" w:cs="黑体"/>
          <w:b/>
          <w:bCs/>
          <w:color w:val="auto"/>
          <w:kern w:val="0"/>
          <w:sz w:val="32"/>
          <w:szCs w:val="32"/>
          <w:lang w:val="en-US" w:eastAsia="zh-CN" w:bidi="ar-SA"/>
        </w:rPr>
        <w:t xml:space="preserve"> </w:t>
      </w:r>
      <w:r>
        <w:rPr>
          <w:rFonts w:hint="eastAsia" w:ascii="黑体" w:hAnsi="黑体" w:eastAsia="黑体" w:cs="黑体"/>
          <w:b/>
          <w:bCs/>
          <w:color w:val="auto"/>
          <w:kern w:val="0"/>
          <w:sz w:val="32"/>
          <w:szCs w:val="32"/>
          <w:lang w:val="en-US" w:eastAsia="zh-CN" w:bidi="ar-SA"/>
        </w:rPr>
        <w:t>2021年度部门决算情况说明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一、收入支出决算总体情况说明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九、国有资本经营预算财政拨款支出</w:t>
      </w:r>
      <w:r>
        <w:rPr>
          <w:rFonts w:hint="eastAsia" w:ascii="仿宋" w:hAnsi="仿宋" w:eastAsia="仿宋" w:cs="仿宋"/>
          <w:color w:val="auto"/>
          <w:kern w:val="0"/>
          <w:sz w:val="32"/>
          <w:szCs w:val="32"/>
        </w:rPr>
        <w:t>决算情况</w:t>
      </w:r>
      <w:r>
        <w:rPr>
          <w:rFonts w:hint="eastAsia" w:ascii="仿宋" w:hAnsi="仿宋" w:eastAsia="仿宋" w:cs="仿宋"/>
          <w:color w:val="auto"/>
          <w:kern w:val="0"/>
          <w:sz w:val="32"/>
          <w:szCs w:val="32"/>
          <w:lang w:val="en-US" w:eastAsia="zh-CN"/>
        </w:rPr>
        <w:t>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十</w:t>
      </w:r>
      <w:r>
        <w:rPr>
          <w:rFonts w:hint="eastAsia" w:ascii="仿宋" w:hAnsi="仿宋" w:eastAsia="仿宋" w:cs="仿宋"/>
          <w:color w:val="auto"/>
          <w:kern w:val="0"/>
          <w:sz w:val="32"/>
          <w:szCs w:val="32"/>
        </w:rPr>
        <w:t>、关于机关运行经费支出说明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一</w:t>
      </w:r>
      <w:r>
        <w:rPr>
          <w:rFonts w:hint="eastAsia" w:ascii="仿宋" w:hAnsi="仿宋" w:eastAsia="仿宋" w:cs="仿宋"/>
          <w:color w:val="auto"/>
          <w:kern w:val="0"/>
          <w:sz w:val="32"/>
          <w:szCs w:val="32"/>
        </w:rPr>
        <w:t>、一般性支出情况</w:t>
      </w:r>
      <w:r>
        <w:rPr>
          <w:rFonts w:hint="eastAsia" w:ascii="仿宋" w:hAnsi="仿宋" w:eastAsia="仿宋" w:cs="仿宋"/>
          <w:color w:val="auto"/>
          <w:kern w:val="0"/>
          <w:sz w:val="32"/>
          <w:szCs w:val="32"/>
          <w:lang w:val="en-US" w:eastAsia="zh-CN"/>
        </w:rPr>
        <w:t>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二</w:t>
      </w:r>
      <w:r>
        <w:rPr>
          <w:rFonts w:hint="eastAsia" w:ascii="仿宋" w:hAnsi="仿宋" w:eastAsia="仿宋" w:cs="仿宋"/>
          <w:color w:val="auto"/>
          <w:kern w:val="0"/>
          <w:sz w:val="32"/>
          <w:szCs w:val="32"/>
        </w:rPr>
        <w:t>、关于政府采购支出说明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三</w:t>
      </w:r>
      <w:r>
        <w:rPr>
          <w:rFonts w:hint="eastAsia" w:ascii="仿宋" w:hAnsi="仿宋" w:eastAsia="仿宋" w:cs="仿宋"/>
          <w:color w:val="auto"/>
          <w:kern w:val="0"/>
          <w:sz w:val="32"/>
          <w:szCs w:val="32"/>
        </w:rPr>
        <w:t>、关于国有资产占用情况说明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四</w:t>
      </w:r>
      <w:r>
        <w:rPr>
          <w:rFonts w:hint="eastAsia" w:ascii="仿宋" w:hAnsi="仿宋" w:eastAsia="仿宋" w:cs="仿宋"/>
          <w:color w:val="auto"/>
          <w:kern w:val="0"/>
          <w:sz w:val="32"/>
          <w:szCs w:val="32"/>
        </w:rPr>
        <w:t>、关于2021年度预算绩效情况的说明</w:t>
      </w:r>
    </w:p>
    <w:p>
      <w:pPr>
        <w:pStyle w:val="13"/>
        <w:spacing w:line="240" w:lineRule="auto"/>
        <w:ind w:firstLine="640"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第四部分名词解释</w:t>
      </w:r>
    </w:p>
    <w:p>
      <w:pPr>
        <w:pStyle w:val="13"/>
        <w:spacing w:line="240" w:lineRule="auto"/>
        <w:ind w:firstLine="640"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第五部分附件</w:t>
      </w:r>
    </w:p>
    <w:p>
      <w:pPr>
        <w:rPr>
          <w:color w:val="auto"/>
          <w:sz w:val="36"/>
          <w:szCs w:val="36"/>
        </w:rPr>
      </w:pPr>
    </w:p>
    <w:p>
      <w:pPr>
        <w:rPr>
          <w:color w:val="auto"/>
          <w:sz w:val="36"/>
          <w:szCs w:val="36"/>
        </w:rPr>
      </w:pPr>
    </w:p>
    <w:p>
      <w:pPr>
        <w:keepNext w:val="0"/>
        <w:keepLines w:val="0"/>
        <w:pageBreakBefore w:val="0"/>
        <w:widowControl/>
        <w:kinsoku/>
        <w:wordWrap/>
        <w:overflowPunct/>
        <w:topLinePunct w:val="0"/>
        <w:bidi w:val="0"/>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第一部分</w:t>
      </w:r>
      <w:r>
        <w:rPr>
          <w:rFonts w:hint="eastAsia" w:ascii="黑体" w:hAnsi="黑体" w:eastAsia="黑体" w:cs="黑体"/>
          <w:b/>
          <w:bCs w:val="0"/>
          <w:color w:val="auto"/>
          <w:kern w:val="0"/>
          <w:sz w:val="44"/>
          <w:szCs w:val="44"/>
          <w:lang w:val="en-US" w:eastAsia="zh-CN"/>
        </w:rPr>
        <w:t xml:space="preserve"> </w:t>
      </w:r>
      <w:r>
        <w:rPr>
          <w:rFonts w:hint="eastAsia" w:ascii="黑体" w:hAnsi="黑体" w:eastAsia="黑体" w:cs="黑体"/>
          <w:b/>
          <w:bCs w:val="0"/>
          <w:color w:val="auto"/>
          <w:kern w:val="0"/>
          <w:sz w:val="44"/>
          <w:szCs w:val="44"/>
        </w:rPr>
        <w:t>怀化市工业和信息化局单位概况</w:t>
      </w:r>
    </w:p>
    <w:p>
      <w:pPr>
        <w:pStyle w:val="14"/>
        <w:numPr>
          <w:ilvl w:val="0"/>
          <w:numId w:val="0"/>
        </w:numPr>
        <w:ind w:leftChars="0"/>
        <w:jc w:val="left"/>
        <w:rPr>
          <w:rFonts w:ascii="黑体" w:hAnsi="黑体" w:eastAsia="黑体"/>
          <w:color w:val="auto"/>
          <w:sz w:val="32"/>
          <w:szCs w:val="32"/>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lang w:val="en-US" w:eastAsia="zh-CN"/>
        </w:rPr>
        <w:t>一、</w:t>
      </w:r>
      <w:r>
        <w:rPr>
          <w:rFonts w:hint="eastAsia" w:ascii="黑体" w:hAnsi="黑体" w:eastAsia="黑体" w:cs="黑体"/>
          <w:b w:val="0"/>
          <w:bCs/>
          <w:color w:val="auto"/>
          <w:kern w:val="0"/>
          <w:sz w:val="32"/>
          <w:szCs w:val="32"/>
        </w:rPr>
        <w:t>部门职责</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（一）、贯彻落实国家和省市有关经济和信息化的方针政策和法律法规；起草工业、信息化领域的地方性法规、规章草案并对相关法律法规的执行情况进行监督检查。</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二）、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三）、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（四）、拟订全市新型工业化的发展战略，协调解决有关重大问题；推进信息化和工业化融合，推进高新技术与传统工业改造结合；推进全市国民经济和社会信息化；推进全市工业园区的建设与发展。</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五）、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含利用外资和境外投资）。</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六）、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七）、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体材料和散装水泥的管理工作。</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（八）、负责煤炭、电力、石油、天然气和原材料等经济运行保障要素的工业经济运行；促进企业内部物流社会化。</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九）、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（十）、拟订全市信息安全发展战略、规划，指导、协调信息安全保障体系建设；指导监督政府部门、重点行业重要信息系统与基础信息网络的安全保障工作；协助处理网络与信息安全的重大事件。</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（十一）、负责推动软件业和信息服务业的发展，协调解决重大问题；推动软件公共服务体系建设，推进软件服务外包；指导、协调技术开发和相关产业发展；依法监督管理信息服务市场。</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二）、统一配置和管理无线电频谱资源，依法监督管理无线电台（站），协调处理军地间无线电管理相关事宜，负责管理无线电监测、检测、干扰查处，协调处理电磁干扰事宜，维护空中电波秩序，依法组织实施无线电管制。</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（十三）、负责国防科技工业的综合协调和管理，组织推进军民两用技术双向转移及产业化工作；落实全市国防科技工业相关的财税优惠政策，承担全市军工关键设备设施的监督管理。</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四）、承担全市民用爆炸物品的行业管理工作，负责民用爆炸物品安全生产许可和销售许可的监督管理；承担核事故应急管理职责；指导协调并监督检查市内武器装备科研生产单位安全生产、保密、保卫和维护稳定工作。</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（十五）、指导、协调全市工业、信息化领域的对外交流与合作；指导全市工业和信息化领域人才开发和培训工作。</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（十六）、负责全市电力行政执法工作；监督检查电力法律、法规和规章的执行情况，指导和监督各县市区电力行政执法工作。</w:t>
      </w:r>
    </w:p>
    <w:p>
      <w:pPr>
        <w:widowControl/>
        <w:spacing w:line="600" w:lineRule="exact"/>
        <w:ind w:firstLine="640" w:firstLineChars="200"/>
        <w:rPr>
          <w:rFonts w:ascii="黑体" w:hAnsi="黑体" w:eastAsia="黑体"/>
          <w:bCs/>
          <w:color w:val="auto"/>
          <w:kern w:val="0"/>
          <w:sz w:val="32"/>
          <w:szCs w:val="32"/>
        </w:rPr>
      </w:pPr>
      <w:r>
        <w:rPr>
          <w:rFonts w:hint="eastAsia" w:ascii="黑体" w:hAnsi="黑体" w:eastAsia="黑体" w:cs="黑体"/>
          <w:b w:val="0"/>
          <w:bCs/>
          <w:color w:val="auto"/>
          <w:kern w:val="0"/>
          <w:sz w:val="32"/>
          <w:szCs w:val="32"/>
        </w:rPr>
        <w:t>二、机构设置及决算单位构成</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 w:val="0"/>
          <w:bCs/>
          <w:color w:val="auto"/>
          <w:kern w:val="0"/>
          <w:sz w:val="32"/>
          <w:szCs w:val="32"/>
        </w:rPr>
        <w:t>怀化市工业和信息化</w:t>
      </w:r>
      <w:r>
        <w:rPr>
          <w:rFonts w:hint="eastAsia" w:ascii="仿宋" w:hAnsi="仿宋" w:eastAsia="仿宋" w:cs="仿宋"/>
          <w:b w:val="0"/>
          <w:bCs/>
          <w:color w:val="auto"/>
          <w:kern w:val="0"/>
          <w:sz w:val="32"/>
          <w:szCs w:val="32"/>
          <w:lang w:val="en-US" w:eastAsia="zh-CN"/>
        </w:rPr>
        <w:t>局</w:t>
      </w:r>
      <w:r>
        <w:rPr>
          <w:rFonts w:hint="eastAsia" w:ascii="仿宋" w:hAnsi="仿宋" w:eastAsia="仿宋" w:cs="仿宋"/>
          <w:b w:val="0"/>
          <w:bCs/>
          <w:color w:val="auto"/>
          <w:kern w:val="0"/>
          <w:sz w:val="32"/>
          <w:szCs w:val="32"/>
        </w:rPr>
        <w:t>为一级预算单位，</w:t>
      </w:r>
      <w:r>
        <w:rPr>
          <w:rFonts w:hint="eastAsia" w:ascii="仿宋" w:hAnsi="仿宋" w:eastAsia="仿宋" w:cs="仿宋"/>
          <w:b w:val="0"/>
          <w:bCs/>
          <w:color w:val="auto"/>
          <w:kern w:val="0"/>
          <w:sz w:val="32"/>
          <w:szCs w:val="32"/>
          <w:lang w:val="en-US" w:eastAsia="zh-CN"/>
        </w:rPr>
        <w:t>内</w:t>
      </w:r>
      <w:r>
        <w:rPr>
          <w:rFonts w:hint="eastAsia" w:ascii="仿宋" w:hAnsi="仿宋" w:eastAsia="仿宋" w:cs="仿宋"/>
          <w:b w:val="0"/>
          <w:bCs/>
          <w:color w:val="auto"/>
          <w:kern w:val="0"/>
          <w:sz w:val="32"/>
          <w:szCs w:val="32"/>
        </w:rPr>
        <w:t>设1</w:t>
      </w:r>
      <w:r>
        <w:rPr>
          <w:rFonts w:hint="eastAsia" w:ascii="仿宋" w:hAnsi="仿宋" w:eastAsia="仿宋" w:cs="仿宋"/>
          <w:b w:val="0"/>
          <w:bCs/>
          <w:color w:val="auto"/>
          <w:kern w:val="0"/>
          <w:sz w:val="32"/>
          <w:szCs w:val="32"/>
          <w:lang w:val="en-US" w:eastAsia="zh-CN"/>
        </w:rPr>
        <w:t>7</w:t>
      </w:r>
      <w:r>
        <w:rPr>
          <w:rFonts w:hint="eastAsia" w:ascii="仿宋" w:hAnsi="仿宋" w:eastAsia="仿宋" w:cs="仿宋"/>
          <w:b w:val="0"/>
          <w:bCs/>
          <w:color w:val="auto"/>
          <w:kern w:val="0"/>
          <w:sz w:val="32"/>
          <w:szCs w:val="32"/>
        </w:rPr>
        <w:t>个</w:t>
      </w:r>
      <w:r>
        <w:rPr>
          <w:rFonts w:hint="eastAsia" w:ascii="仿宋" w:hAnsi="仿宋" w:eastAsia="仿宋" w:cs="仿宋"/>
          <w:b w:val="0"/>
          <w:bCs/>
          <w:color w:val="auto"/>
          <w:kern w:val="0"/>
          <w:sz w:val="32"/>
          <w:szCs w:val="32"/>
          <w:lang w:val="en-US" w:eastAsia="zh-CN"/>
        </w:rPr>
        <w:t>科室</w:t>
      </w:r>
      <w:r>
        <w:rPr>
          <w:rFonts w:hint="eastAsia" w:ascii="仿宋" w:hAnsi="仿宋" w:eastAsia="仿宋" w:cs="仿宋"/>
          <w:b w:val="0"/>
          <w:bCs/>
          <w:color w:val="auto"/>
          <w:kern w:val="0"/>
          <w:sz w:val="32"/>
          <w:szCs w:val="32"/>
        </w:rPr>
        <w:t>：办公室、消费品工业科、原材料与装备工业科、中小企业发展促进科、运行监测协调科、综合科、行政审批服务科、投资规划科、</w:t>
      </w:r>
      <w:r>
        <w:rPr>
          <w:rFonts w:hint="eastAsia" w:ascii="仿宋" w:hAnsi="仿宋" w:eastAsia="仿宋" w:cs="仿宋"/>
          <w:b w:val="0"/>
          <w:bCs/>
          <w:color w:val="auto"/>
          <w:kern w:val="0"/>
          <w:sz w:val="32"/>
          <w:szCs w:val="32"/>
          <w:lang w:val="en-US" w:eastAsia="zh-CN"/>
        </w:rPr>
        <w:t>市委军民融合发展委员会办公室秘书科</w:t>
      </w:r>
      <w:r>
        <w:rPr>
          <w:rFonts w:hint="eastAsia" w:ascii="仿宋" w:hAnsi="仿宋" w:eastAsia="仿宋" w:cs="仿宋"/>
          <w:b w:val="0"/>
          <w:bCs/>
          <w:color w:val="auto"/>
          <w:kern w:val="0"/>
          <w:sz w:val="32"/>
          <w:szCs w:val="32"/>
        </w:rPr>
        <w:t>、人事</w:t>
      </w:r>
      <w:r>
        <w:rPr>
          <w:rFonts w:hint="eastAsia" w:ascii="仿宋" w:hAnsi="仿宋" w:eastAsia="仿宋" w:cs="仿宋"/>
          <w:b w:val="0"/>
          <w:bCs/>
          <w:color w:val="auto"/>
          <w:kern w:val="0"/>
          <w:sz w:val="32"/>
          <w:szCs w:val="32"/>
          <w:lang w:val="en-US" w:eastAsia="zh-CN"/>
        </w:rPr>
        <w:t>教育</w:t>
      </w:r>
      <w:r>
        <w:rPr>
          <w:rFonts w:hint="eastAsia" w:ascii="仿宋" w:hAnsi="仿宋" w:eastAsia="仿宋" w:cs="仿宋"/>
          <w:b w:val="0"/>
          <w:bCs/>
          <w:color w:val="auto"/>
          <w:kern w:val="0"/>
          <w:sz w:val="32"/>
          <w:szCs w:val="32"/>
        </w:rPr>
        <w:t>科、</w:t>
      </w:r>
      <w:r>
        <w:rPr>
          <w:rFonts w:hint="eastAsia" w:ascii="仿宋" w:hAnsi="仿宋" w:eastAsia="仿宋" w:cs="仿宋"/>
          <w:b w:val="0"/>
          <w:bCs/>
          <w:color w:val="auto"/>
          <w:kern w:val="0"/>
          <w:sz w:val="32"/>
          <w:szCs w:val="32"/>
          <w:lang w:val="en-US" w:eastAsia="zh-CN"/>
        </w:rPr>
        <w:t>产业聚集科</w:t>
      </w:r>
      <w:r>
        <w:rPr>
          <w:rFonts w:hint="eastAsia" w:ascii="仿宋" w:hAnsi="仿宋" w:eastAsia="仿宋" w:cs="仿宋"/>
          <w:b w:val="0"/>
          <w:bCs/>
          <w:color w:val="auto"/>
          <w:kern w:val="0"/>
          <w:sz w:val="32"/>
          <w:szCs w:val="32"/>
        </w:rPr>
        <w:t>、节能与</w:t>
      </w:r>
      <w:r>
        <w:rPr>
          <w:rFonts w:hint="eastAsia" w:ascii="仿宋" w:hAnsi="仿宋" w:eastAsia="仿宋" w:cs="仿宋"/>
          <w:b w:val="0"/>
          <w:bCs/>
          <w:color w:val="auto"/>
          <w:kern w:val="0"/>
          <w:sz w:val="32"/>
          <w:szCs w:val="32"/>
          <w:lang w:val="en-US" w:eastAsia="zh-CN"/>
        </w:rPr>
        <w:t>资源</w:t>
      </w:r>
      <w:r>
        <w:rPr>
          <w:rFonts w:hint="eastAsia" w:ascii="仿宋" w:hAnsi="仿宋" w:eastAsia="仿宋" w:cs="仿宋"/>
          <w:b w:val="0"/>
          <w:bCs/>
          <w:color w:val="auto"/>
          <w:kern w:val="0"/>
          <w:sz w:val="32"/>
          <w:szCs w:val="32"/>
        </w:rPr>
        <w:t>综合利用科、</w:t>
      </w:r>
      <w:r>
        <w:rPr>
          <w:rFonts w:hint="eastAsia" w:ascii="仿宋" w:hAnsi="仿宋" w:eastAsia="仿宋" w:cs="仿宋"/>
          <w:b w:val="0"/>
          <w:bCs/>
          <w:color w:val="auto"/>
          <w:kern w:val="0"/>
          <w:sz w:val="32"/>
          <w:szCs w:val="32"/>
          <w:lang w:val="en-US" w:eastAsia="zh-CN"/>
        </w:rPr>
        <w:t>机关党委</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val="en-US" w:eastAsia="zh-CN"/>
        </w:rPr>
        <w:t>人工智能与信息化推进科</w:t>
      </w:r>
      <w:r>
        <w:rPr>
          <w:rFonts w:hint="eastAsia" w:ascii="仿宋" w:hAnsi="仿宋" w:eastAsia="仿宋" w:cs="仿宋"/>
          <w:b w:val="0"/>
          <w:bCs/>
          <w:color w:val="auto"/>
          <w:kern w:val="0"/>
          <w:sz w:val="32"/>
          <w:szCs w:val="32"/>
        </w:rPr>
        <w:t>、无线电管理科</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改革推进科、电力运行科</w:t>
      </w:r>
      <w:r>
        <w:rPr>
          <w:rFonts w:hint="eastAsia" w:ascii="仿宋" w:hAnsi="仿宋" w:eastAsia="仿宋" w:cs="仿宋"/>
          <w:b w:val="0"/>
          <w:bCs/>
          <w:color w:val="auto"/>
          <w:kern w:val="0"/>
          <w:sz w:val="32"/>
          <w:szCs w:val="32"/>
        </w:rPr>
        <w:t>。怀化市</w:t>
      </w:r>
      <w:r>
        <w:rPr>
          <w:rFonts w:hint="eastAsia" w:ascii="仿宋" w:hAnsi="仿宋" w:eastAsia="仿宋" w:cs="仿宋"/>
          <w:b w:val="0"/>
          <w:bCs/>
          <w:color w:val="auto"/>
          <w:kern w:val="0"/>
          <w:sz w:val="32"/>
          <w:szCs w:val="32"/>
          <w:lang w:val="en-US" w:eastAsia="zh-CN"/>
        </w:rPr>
        <w:t>工业和信息化</w:t>
      </w:r>
      <w:r>
        <w:rPr>
          <w:rFonts w:hint="eastAsia" w:ascii="仿宋" w:hAnsi="仿宋" w:eastAsia="仿宋" w:cs="仿宋"/>
          <w:b w:val="0"/>
          <w:bCs/>
          <w:color w:val="auto"/>
          <w:kern w:val="0"/>
          <w:sz w:val="32"/>
          <w:szCs w:val="32"/>
        </w:rPr>
        <w:t>局共有</w:t>
      </w:r>
      <w:r>
        <w:rPr>
          <w:rFonts w:hint="eastAsia" w:ascii="仿宋" w:hAnsi="仿宋" w:eastAsia="仿宋" w:cs="仿宋"/>
          <w:b w:val="0"/>
          <w:bCs/>
          <w:color w:val="auto"/>
          <w:kern w:val="0"/>
          <w:sz w:val="32"/>
          <w:szCs w:val="32"/>
          <w:lang w:val="en-US" w:eastAsia="zh-CN"/>
        </w:rPr>
        <w:t>6</w:t>
      </w:r>
      <w:r>
        <w:rPr>
          <w:rFonts w:hint="eastAsia" w:ascii="仿宋" w:hAnsi="仿宋" w:eastAsia="仿宋" w:cs="仿宋"/>
          <w:b w:val="0"/>
          <w:bCs/>
          <w:color w:val="auto"/>
          <w:kern w:val="0"/>
          <w:sz w:val="32"/>
          <w:szCs w:val="32"/>
        </w:rPr>
        <w:t>个二级</w:t>
      </w:r>
      <w:r>
        <w:rPr>
          <w:rFonts w:hint="eastAsia" w:ascii="仿宋" w:hAnsi="仿宋" w:eastAsia="仿宋" w:cs="仿宋"/>
          <w:b w:val="0"/>
          <w:bCs/>
          <w:color w:val="auto"/>
          <w:kern w:val="0"/>
          <w:sz w:val="32"/>
          <w:szCs w:val="32"/>
          <w:lang w:val="en-US" w:eastAsia="zh-CN"/>
        </w:rPr>
        <w:t>机构</w:t>
      </w:r>
      <w:r>
        <w:rPr>
          <w:rFonts w:hint="eastAsia" w:ascii="仿宋" w:hAnsi="仿宋" w:eastAsia="仿宋" w:cs="仿宋"/>
          <w:b w:val="0"/>
          <w:bCs/>
          <w:color w:val="auto"/>
          <w:kern w:val="0"/>
          <w:sz w:val="32"/>
          <w:szCs w:val="32"/>
        </w:rPr>
        <w:t>：市无线电监测站，市</w:t>
      </w:r>
      <w:r>
        <w:rPr>
          <w:rFonts w:hint="eastAsia" w:ascii="仿宋" w:hAnsi="仿宋" w:eastAsia="仿宋" w:cs="仿宋"/>
          <w:b w:val="0"/>
          <w:bCs/>
          <w:color w:val="auto"/>
          <w:kern w:val="0"/>
          <w:sz w:val="32"/>
          <w:szCs w:val="32"/>
          <w:lang w:val="en-US" w:eastAsia="zh-CN"/>
        </w:rPr>
        <w:t>墙体材料与散装水泥事务中心</w:t>
      </w:r>
      <w:r>
        <w:rPr>
          <w:rFonts w:hint="eastAsia" w:ascii="仿宋" w:hAnsi="仿宋" w:eastAsia="仿宋" w:cs="仿宋"/>
          <w:b w:val="0"/>
          <w:bCs/>
          <w:color w:val="auto"/>
          <w:kern w:val="0"/>
          <w:sz w:val="32"/>
          <w:szCs w:val="32"/>
        </w:rPr>
        <w:t>，市电力行政执法支队，市节能监察中心，市</w:t>
      </w:r>
      <w:r>
        <w:rPr>
          <w:rFonts w:hint="eastAsia" w:ascii="仿宋" w:hAnsi="仿宋" w:eastAsia="仿宋" w:cs="仿宋"/>
          <w:b w:val="0"/>
          <w:bCs/>
          <w:color w:val="auto"/>
          <w:kern w:val="0"/>
          <w:sz w:val="32"/>
          <w:szCs w:val="32"/>
          <w:lang w:val="en-US" w:eastAsia="zh-CN"/>
        </w:rPr>
        <w:t>工业园区和中小企业事务中心，市数字怀化建设事务中心</w:t>
      </w:r>
      <w:r>
        <w:rPr>
          <w:rFonts w:hint="eastAsia" w:ascii="仿宋" w:hAnsi="仿宋" w:eastAsia="仿宋" w:cs="仿宋"/>
          <w:b w:val="0"/>
          <w:bCs/>
          <w:color w:val="auto"/>
          <w:kern w:val="0"/>
          <w:sz w:val="32"/>
          <w:szCs w:val="32"/>
        </w:rPr>
        <w:t>。</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 w:val="0"/>
          <w:bCs/>
          <w:color w:val="auto"/>
          <w:kern w:val="0"/>
          <w:sz w:val="32"/>
          <w:szCs w:val="32"/>
        </w:rPr>
        <w:t>怀化市工业和信息化局202</w:t>
      </w:r>
      <w:r>
        <w:rPr>
          <w:rFonts w:hint="eastAsia" w:ascii="仿宋" w:hAnsi="仿宋" w:eastAsia="仿宋" w:cs="仿宋"/>
          <w:b w:val="0"/>
          <w:bCs/>
          <w:color w:val="auto"/>
          <w:kern w:val="0"/>
          <w:sz w:val="32"/>
          <w:szCs w:val="32"/>
          <w:lang w:val="en-US" w:eastAsia="zh-CN"/>
        </w:rPr>
        <w:t>1</w:t>
      </w:r>
      <w:r>
        <w:rPr>
          <w:rFonts w:hint="eastAsia" w:ascii="仿宋" w:hAnsi="仿宋" w:eastAsia="仿宋" w:cs="仿宋"/>
          <w:b w:val="0"/>
          <w:bCs/>
          <w:color w:val="auto"/>
          <w:kern w:val="0"/>
          <w:sz w:val="32"/>
          <w:szCs w:val="32"/>
        </w:rPr>
        <w:t>年部门决算公开单位构成包括：</w:t>
      </w:r>
      <w:r>
        <w:rPr>
          <w:rFonts w:hint="eastAsia" w:ascii="仿宋" w:hAnsi="仿宋" w:eastAsia="仿宋" w:cs="仿宋"/>
          <w:b w:val="0"/>
          <w:bCs/>
          <w:color w:val="auto"/>
          <w:kern w:val="0"/>
          <w:sz w:val="32"/>
          <w:szCs w:val="32"/>
          <w:lang w:val="en-US" w:eastAsia="zh-CN"/>
        </w:rPr>
        <w:t>一级预算单位怀化市工业和信息化局本级。</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p>
    <w:p>
      <w:pPr>
        <w:pStyle w:val="13"/>
        <w:keepNext w:val="0"/>
        <w:keepLines w:val="0"/>
        <w:pageBreakBefore w:val="0"/>
        <w:numPr>
          <w:ilvl w:val="0"/>
          <w:numId w:val="1"/>
        </w:numPr>
        <w:kinsoku/>
        <w:wordWrap/>
        <w:overflowPunct/>
        <w:topLinePunct w:val="0"/>
        <w:bidi w:val="0"/>
        <w:snapToGrid/>
        <w:spacing w:line="600" w:lineRule="exact"/>
        <w:jc w:val="center"/>
        <w:textAlignment w:val="auto"/>
        <w:rPr>
          <w:rFonts w:hint="eastAsia" w:ascii="黑体" w:hAnsi="黑体" w:eastAsia="黑体" w:cs="黑体"/>
          <w:b/>
          <w:bCs/>
          <w:color w:val="auto"/>
          <w:kern w:val="0"/>
          <w:sz w:val="44"/>
          <w:szCs w:val="44"/>
        </w:rPr>
      </w:pPr>
      <w:r>
        <w:rPr>
          <w:rFonts w:hint="eastAsia" w:ascii="黑体" w:hAnsi="黑体" w:eastAsia="黑体" w:cs="黑体"/>
          <w:b/>
          <w:bCs/>
          <w:color w:val="auto"/>
          <w:kern w:val="0"/>
          <w:sz w:val="44"/>
          <w:szCs w:val="44"/>
        </w:rPr>
        <w:t>部门决算表</w:t>
      </w:r>
    </w:p>
    <w:p>
      <w:pPr>
        <w:autoSpaceDE w:val="0"/>
        <w:autoSpaceDN w:val="0"/>
        <w:adjustRightInd w:val="0"/>
        <w:spacing w:line="500" w:lineRule="exact"/>
        <w:jc w:val="left"/>
        <w:rPr>
          <w:rFonts w:hint="eastAsia" w:ascii="仿宋" w:hAnsi="仿宋" w:eastAsia="仿宋" w:cs="仿宋"/>
          <w:color w:val="auto"/>
          <w:sz w:val="32"/>
          <w:szCs w:val="32"/>
          <w:lang w:eastAsia="zh-CN"/>
        </w:rPr>
      </w:pPr>
    </w:p>
    <w:p>
      <w:pPr>
        <w:autoSpaceDE w:val="0"/>
        <w:autoSpaceDN w:val="0"/>
        <w:adjustRightInd w:val="0"/>
        <w:spacing w:line="500" w:lineRule="exact"/>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lang w:eastAsia="zh-CN"/>
        </w:rPr>
        <w:t>年度部门决算共</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张决算表，包括：收支总表3 张，即：《收入支出决算总表》《收入决算表》《支出决算表》；财政拨款收支表</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张，即：《财政拨款收入支出决算总表》《一般公共预算财政拨款支出决算表》《一般公共预算财政拨款基本支出决算表》《一般公共预算财政拨款“三公”经费支出决算表》《政府性基金预算财政拨款收入支出决算表》《</w:t>
      </w:r>
      <w:r>
        <w:rPr>
          <w:rFonts w:hint="eastAsia" w:ascii="仿宋" w:hAnsi="仿宋" w:eastAsia="仿宋" w:cs="仿宋"/>
          <w:color w:val="auto"/>
          <w:sz w:val="32"/>
          <w:szCs w:val="32"/>
          <w:lang w:val="en-US" w:eastAsia="zh-CN"/>
        </w:rPr>
        <w:t>国有资本经营预算财政拨款支出决算表</w:t>
      </w:r>
      <w:r>
        <w:rPr>
          <w:rFonts w:hint="eastAsia" w:ascii="仿宋" w:hAnsi="仿宋" w:eastAsia="仿宋" w:cs="仿宋"/>
          <w:color w:val="auto"/>
          <w:sz w:val="32"/>
          <w:szCs w:val="32"/>
          <w:lang w:eastAsia="zh-CN"/>
        </w:rPr>
        <w:t>》(公开表格附后）。</w:t>
      </w:r>
    </w:p>
    <w:p>
      <w:pPr>
        <w:jc w:val="center"/>
        <w:rPr>
          <w:rFonts w:hint="eastAsia" w:ascii="黑体" w:hAnsi="黑体" w:eastAsia="黑体" w:cs="黑体"/>
          <w:color w:val="auto"/>
          <w:sz w:val="36"/>
          <w:szCs w:val="36"/>
          <w:lang w:val="en-US" w:eastAsia="zh-CN"/>
        </w:rPr>
      </w:pPr>
    </w:p>
    <w:p>
      <w:pPr>
        <w:keepNext w:val="0"/>
        <w:keepLines w:val="0"/>
        <w:pageBreakBefore w:val="0"/>
        <w:widowControl/>
        <w:numPr>
          <w:ilvl w:val="0"/>
          <w:numId w:val="1"/>
        </w:numPr>
        <w:kinsoku/>
        <w:wordWrap/>
        <w:overflowPunct/>
        <w:topLinePunct w:val="0"/>
        <w:bidi w:val="0"/>
        <w:snapToGrid/>
        <w:spacing w:line="600" w:lineRule="exact"/>
        <w:ind w:left="0" w:leftChars="0" w:firstLine="0" w:firstLineChars="0"/>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2021年度部门决算情况说明</w:t>
      </w:r>
    </w:p>
    <w:p>
      <w:pPr>
        <w:keepNext w:val="0"/>
        <w:keepLines w:val="0"/>
        <w:pageBreakBefore w:val="0"/>
        <w:widowControl/>
        <w:numPr>
          <w:ilvl w:val="0"/>
          <w:numId w:val="0"/>
        </w:numPr>
        <w:kinsoku/>
        <w:wordWrap/>
        <w:overflowPunct/>
        <w:topLinePunct w:val="0"/>
        <w:bidi w:val="0"/>
        <w:snapToGrid/>
        <w:spacing w:line="600" w:lineRule="exact"/>
        <w:ind w:leftChars="0"/>
        <w:jc w:val="both"/>
        <w:textAlignment w:val="auto"/>
        <w:rPr>
          <w:rFonts w:hint="eastAsia" w:ascii="黑体" w:hAnsi="黑体" w:eastAsia="黑体" w:cs="黑体"/>
          <w:b/>
          <w:bCs w:val="0"/>
          <w:color w:val="auto"/>
          <w:kern w:val="0"/>
          <w:sz w:val="44"/>
          <w:szCs w:val="44"/>
        </w:rPr>
      </w:pP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一、收入支出决算总体情况说明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收、支总计各3,748.14万元。与上年相比，减少4,615.44万元，减少55.18%，主要是因为防疫储备物资支出及疫情防控物资保障经费较2020年减少；信息化“十四五”规划编制费用、产业园区“十四五”规划编制费用、市州新增规模工业企业培育发展奖励等支出减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二、收入决算情况说明</w:t>
      </w:r>
    </w:p>
    <w:p>
      <w:pPr>
        <w:pStyle w:val="13"/>
        <w:ind w:firstLine="640" w:firstLineChars="200"/>
        <w:rPr>
          <w:rFonts w:asciiTheme="minorEastAsia" w:hAnsiTheme="minorEastAsia" w:eastAsiaTheme="minorEastAsia"/>
          <w:color w:val="auto"/>
          <w:sz w:val="32"/>
          <w:szCs w:val="32"/>
        </w:rPr>
      </w:pPr>
      <w:r>
        <w:rPr>
          <w:rFonts w:hint="eastAsia" w:ascii="仿宋" w:hAnsi="仿宋" w:eastAsia="仿宋" w:cs="仿宋"/>
          <w:b w:val="0"/>
          <w:bCs w:val="0"/>
          <w:color w:val="auto"/>
          <w:kern w:val="0"/>
          <w:sz w:val="32"/>
          <w:szCs w:val="32"/>
          <w:lang w:val="en-US" w:eastAsia="zh-CN"/>
        </w:rPr>
        <w:t>2021年度收入合计1,460.97万元，其中：财政拨款收入1,458.09万元，占99.8%；上级补助收入0万元，占0%；事业收入0万元，占0%；经营收入0万元，占0%；附属单位上缴收入0万元，占0%；其他收入2.88万元，占0.2%。</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三、支出决算情况说明</w:t>
      </w:r>
    </w:p>
    <w:p>
      <w:pPr>
        <w:pStyle w:val="13"/>
        <w:ind w:firstLine="640" w:firstLineChars="200"/>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2021年度支出合计3,748.14万元，其中：基本支出1,372.37万元，占36.61%；项目支出2,375.77万元，占63.39%；上缴上级支出0万元，占0%；经营支出0万元，占0%；对附属单位补助支出0万元，占0%。</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四、财政拨款收入支出决算总体情况说明</w:t>
      </w:r>
    </w:p>
    <w:p>
      <w:pPr>
        <w:pStyle w:val="13"/>
        <w:ind w:firstLine="640" w:firstLineChars="200"/>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财政拨款收、支总计各3,745.25万元，与上年相比，减少4,613.58万元,减少55.19%，主要是因为防疫储备物资支出及疫情防控物资保障经费较2020年减少；信息化“十四五”规划编制费用、产业园区“十四五”规划编制费用、市州新增规模工业企业培育发展奖励等支出减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五、一般公共预算财政拨款支出决算情况说明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（一）财政拨款支出决算总体情况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rPr>
      </w:pPr>
      <w:r>
        <w:rPr>
          <w:rFonts w:hint="eastAsia" w:ascii="仿宋" w:hAnsi="仿宋" w:eastAsia="仿宋" w:cs="仿宋"/>
          <w:b w:val="0"/>
          <w:bCs/>
          <w:color w:val="auto"/>
          <w:kern w:val="0"/>
          <w:sz w:val="32"/>
          <w:szCs w:val="32"/>
        </w:rPr>
        <w:t>2021年度财政拨款支出3</w:t>
      </w:r>
      <w:r>
        <w:rPr>
          <w:rFonts w:hint="eastAsia" w:ascii="仿宋" w:hAnsi="仿宋" w:eastAsia="仿宋" w:cs="仿宋"/>
          <w:b w:val="0"/>
          <w:bCs/>
          <w:color w:val="auto"/>
          <w:kern w:val="0"/>
          <w:sz w:val="32"/>
          <w:szCs w:val="32"/>
          <w:lang w:val="en-US" w:eastAsia="zh-CN"/>
        </w:rPr>
        <w:t>,</w:t>
      </w:r>
      <w:r>
        <w:rPr>
          <w:rFonts w:hint="eastAsia" w:ascii="仿宋" w:hAnsi="仿宋" w:eastAsia="仿宋" w:cs="仿宋"/>
          <w:b w:val="0"/>
          <w:bCs/>
          <w:color w:val="auto"/>
          <w:kern w:val="0"/>
          <w:sz w:val="32"/>
          <w:szCs w:val="32"/>
        </w:rPr>
        <w:t>745.25万元，占本年支出合计的</w:t>
      </w:r>
      <w:r>
        <w:rPr>
          <w:rFonts w:hint="eastAsia" w:ascii="仿宋" w:hAnsi="仿宋" w:eastAsia="仿宋" w:cs="仿宋"/>
          <w:b w:val="0"/>
          <w:bCs/>
          <w:color w:val="auto"/>
          <w:kern w:val="0"/>
          <w:sz w:val="32"/>
          <w:szCs w:val="32"/>
          <w:lang w:val="en-US" w:eastAsia="zh-CN"/>
        </w:rPr>
        <w:t>99.92</w:t>
      </w:r>
      <w:r>
        <w:rPr>
          <w:rFonts w:hint="eastAsia" w:ascii="仿宋" w:hAnsi="仿宋" w:eastAsia="仿宋" w:cs="仿宋"/>
          <w:b w:val="0"/>
          <w:bCs/>
          <w:color w:val="auto"/>
          <w:kern w:val="0"/>
          <w:sz w:val="32"/>
          <w:szCs w:val="32"/>
        </w:rPr>
        <w:t>%，与上年相比，财政拨款支出减少</w:t>
      </w:r>
      <w:r>
        <w:rPr>
          <w:rFonts w:hint="eastAsia" w:ascii="仿宋" w:hAnsi="仿宋" w:eastAsia="仿宋" w:cs="仿宋"/>
          <w:b w:val="0"/>
          <w:bCs/>
          <w:color w:val="auto"/>
          <w:kern w:val="0"/>
          <w:sz w:val="32"/>
          <w:szCs w:val="32"/>
          <w:lang w:val="en-US" w:eastAsia="zh-CN"/>
        </w:rPr>
        <w:t>101.33</w:t>
      </w:r>
      <w:r>
        <w:rPr>
          <w:rFonts w:hint="eastAsia" w:ascii="仿宋" w:hAnsi="仿宋" w:eastAsia="仿宋" w:cs="仿宋"/>
          <w:b w:val="0"/>
          <w:bCs/>
          <w:color w:val="auto"/>
          <w:kern w:val="0"/>
          <w:sz w:val="32"/>
          <w:szCs w:val="32"/>
        </w:rPr>
        <w:t>万元，减少</w:t>
      </w:r>
      <w:r>
        <w:rPr>
          <w:rFonts w:hint="eastAsia" w:ascii="仿宋" w:hAnsi="仿宋" w:eastAsia="仿宋" w:cs="仿宋"/>
          <w:b w:val="0"/>
          <w:bCs/>
          <w:color w:val="auto"/>
          <w:kern w:val="0"/>
          <w:sz w:val="32"/>
          <w:szCs w:val="32"/>
          <w:lang w:val="en-US" w:eastAsia="zh-CN"/>
        </w:rPr>
        <w:t>2.63</w:t>
      </w:r>
      <w:r>
        <w:rPr>
          <w:rFonts w:hint="eastAsia" w:ascii="仿宋" w:hAnsi="仿宋" w:eastAsia="仿宋" w:cs="仿宋"/>
          <w:b w:val="0"/>
          <w:bCs/>
          <w:color w:val="auto"/>
          <w:kern w:val="0"/>
          <w:sz w:val="32"/>
          <w:szCs w:val="32"/>
        </w:rPr>
        <w:t>%，主要是因为</w:t>
      </w:r>
      <w:r>
        <w:rPr>
          <w:rFonts w:hint="eastAsia" w:ascii="仿宋" w:hAnsi="仿宋" w:eastAsia="仿宋" w:cs="仿宋"/>
          <w:b w:val="0"/>
          <w:bCs/>
          <w:color w:val="auto"/>
          <w:kern w:val="0"/>
          <w:sz w:val="32"/>
          <w:szCs w:val="32"/>
          <w:lang w:val="en-US" w:eastAsia="zh-CN"/>
        </w:rPr>
        <w:t>信息化“十四五”规划编制费用、产业园区“十四五”规划编制费用、2021年“创客中国”怀化赛区复赛项目经费、工业企业帮扶工作等经费减少。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（二）财政拨款支出决算结构情况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2021年度财政拨款支出3</w:t>
      </w:r>
      <w:r>
        <w:rPr>
          <w:rFonts w:hint="eastAsia" w:ascii="仿宋" w:hAnsi="仿宋" w:eastAsia="仿宋" w:cs="仿宋"/>
          <w:b w:val="0"/>
          <w:bCs/>
          <w:color w:val="auto"/>
          <w:kern w:val="0"/>
          <w:sz w:val="32"/>
          <w:szCs w:val="32"/>
          <w:lang w:val="en-US" w:eastAsia="zh-CN"/>
        </w:rPr>
        <w:t>,</w:t>
      </w:r>
      <w:r>
        <w:rPr>
          <w:rFonts w:hint="eastAsia" w:ascii="仿宋" w:hAnsi="仿宋" w:eastAsia="仿宋" w:cs="仿宋"/>
          <w:b w:val="0"/>
          <w:bCs/>
          <w:color w:val="auto"/>
          <w:kern w:val="0"/>
          <w:sz w:val="32"/>
          <w:szCs w:val="32"/>
        </w:rPr>
        <w:t>745.25万元，主要用于以下方面：一般公共服务（类）支出773.02万元，占</w:t>
      </w:r>
      <w:r>
        <w:rPr>
          <w:rFonts w:hint="eastAsia" w:ascii="仿宋" w:hAnsi="仿宋" w:eastAsia="仿宋" w:cs="仿宋"/>
          <w:b w:val="0"/>
          <w:bCs/>
          <w:color w:val="auto"/>
          <w:kern w:val="0"/>
          <w:sz w:val="32"/>
          <w:szCs w:val="32"/>
          <w:lang w:val="en-US" w:eastAsia="zh-CN"/>
        </w:rPr>
        <w:t>20.64</w:t>
      </w:r>
      <w:r>
        <w:rPr>
          <w:rFonts w:hint="eastAsia" w:ascii="仿宋" w:hAnsi="仿宋" w:eastAsia="仿宋" w:cs="仿宋"/>
          <w:b w:val="0"/>
          <w:bCs/>
          <w:color w:val="auto"/>
          <w:kern w:val="0"/>
          <w:sz w:val="32"/>
          <w:szCs w:val="32"/>
        </w:rPr>
        <w:t>%；科学技术支出（类）支出108.32万元，占</w:t>
      </w:r>
      <w:r>
        <w:rPr>
          <w:rFonts w:hint="eastAsia" w:ascii="仿宋" w:hAnsi="仿宋" w:eastAsia="仿宋" w:cs="仿宋"/>
          <w:b w:val="0"/>
          <w:bCs/>
          <w:color w:val="auto"/>
          <w:kern w:val="0"/>
          <w:sz w:val="32"/>
          <w:szCs w:val="32"/>
          <w:lang w:val="en-US" w:eastAsia="zh-CN"/>
        </w:rPr>
        <w:t>2.89</w:t>
      </w:r>
      <w:r>
        <w:rPr>
          <w:rFonts w:hint="eastAsia" w:ascii="仿宋" w:hAnsi="仿宋" w:eastAsia="仿宋" w:cs="仿宋"/>
          <w:b w:val="0"/>
          <w:bCs/>
          <w:color w:val="auto"/>
          <w:kern w:val="0"/>
          <w:sz w:val="32"/>
          <w:szCs w:val="32"/>
        </w:rPr>
        <w:t>%;文化旅游体育与传媒支出（类）支出5万元，占</w:t>
      </w:r>
      <w:r>
        <w:rPr>
          <w:rFonts w:hint="eastAsia" w:ascii="仿宋" w:hAnsi="仿宋" w:eastAsia="仿宋" w:cs="仿宋"/>
          <w:b w:val="0"/>
          <w:bCs/>
          <w:color w:val="auto"/>
          <w:kern w:val="0"/>
          <w:sz w:val="32"/>
          <w:szCs w:val="32"/>
          <w:lang w:val="en-US" w:eastAsia="zh-CN"/>
        </w:rPr>
        <w:t>0.13</w:t>
      </w:r>
      <w:r>
        <w:rPr>
          <w:rFonts w:hint="eastAsia" w:ascii="仿宋" w:hAnsi="仿宋" w:eastAsia="仿宋" w:cs="仿宋"/>
          <w:b w:val="0"/>
          <w:bCs/>
          <w:color w:val="auto"/>
          <w:kern w:val="0"/>
          <w:sz w:val="32"/>
          <w:szCs w:val="32"/>
        </w:rPr>
        <w:t>%;社会保障和就业支出（类）支出251.49万元，占</w:t>
      </w:r>
      <w:r>
        <w:rPr>
          <w:rFonts w:hint="eastAsia" w:ascii="仿宋" w:hAnsi="仿宋" w:eastAsia="仿宋" w:cs="仿宋"/>
          <w:b w:val="0"/>
          <w:bCs/>
          <w:color w:val="auto"/>
          <w:kern w:val="0"/>
          <w:sz w:val="32"/>
          <w:szCs w:val="32"/>
          <w:lang w:val="en-US" w:eastAsia="zh-CN"/>
        </w:rPr>
        <w:t>6.71</w:t>
      </w:r>
      <w:r>
        <w:rPr>
          <w:rFonts w:hint="eastAsia" w:ascii="仿宋" w:hAnsi="仿宋" w:eastAsia="仿宋" w:cs="仿宋"/>
          <w:b w:val="0"/>
          <w:bCs/>
          <w:color w:val="auto"/>
          <w:kern w:val="0"/>
          <w:sz w:val="32"/>
          <w:szCs w:val="32"/>
        </w:rPr>
        <w:t>%;卫生健康支出（类）支出46.31万元，占</w:t>
      </w:r>
      <w:r>
        <w:rPr>
          <w:rFonts w:hint="eastAsia" w:ascii="仿宋" w:hAnsi="仿宋" w:eastAsia="仿宋" w:cs="仿宋"/>
          <w:b w:val="0"/>
          <w:bCs/>
          <w:color w:val="auto"/>
          <w:kern w:val="0"/>
          <w:sz w:val="32"/>
          <w:szCs w:val="32"/>
          <w:lang w:val="en-US" w:eastAsia="zh-CN"/>
        </w:rPr>
        <w:t>1.24</w:t>
      </w:r>
      <w:r>
        <w:rPr>
          <w:rFonts w:hint="eastAsia" w:ascii="仿宋" w:hAnsi="仿宋" w:eastAsia="仿宋" w:cs="仿宋"/>
          <w:b w:val="0"/>
          <w:bCs/>
          <w:color w:val="auto"/>
          <w:kern w:val="0"/>
          <w:sz w:val="32"/>
          <w:szCs w:val="32"/>
        </w:rPr>
        <w:t>%;资源勘探工业信息等支出</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类）支出525.23万元，</w:t>
      </w:r>
      <w:r>
        <w:rPr>
          <w:rFonts w:hint="eastAsia" w:ascii="仿宋" w:hAnsi="仿宋" w:eastAsia="仿宋" w:cs="仿宋"/>
          <w:b w:val="0"/>
          <w:bCs/>
          <w:color w:val="auto"/>
          <w:kern w:val="0"/>
          <w:sz w:val="32"/>
          <w:szCs w:val="32"/>
        </w:rPr>
        <w:t>占</w:t>
      </w:r>
      <w:r>
        <w:rPr>
          <w:rFonts w:hint="eastAsia" w:ascii="仿宋" w:hAnsi="仿宋" w:eastAsia="仿宋" w:cs="仿宋"/>
          <w:b w:val="0"/>
          <w:bCs/>
          <w:color w:val="auto"/>
          <w:kern w:val="0"/>
          <w:sz w:val="32"/>
          <w:szCs w:val="32"/>
          <w:lang w:val="en-US" w:eastAsia="zh-CN"/>
        </w:rPr>
        <w:t>14.02</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val="en-US" w:eastAsia="zh-CN"/>
        </w:rPr>
        <w:t>；</w:t>
      </w:r>
      <w:r>
        <w:rPr>
          <w:rFonts w:hint="eastAsia" w:ascii="仿宋" w:hAnsi="仿宋" w:eastAsia="仿宋" w:cs="仿宋"/>
          <w:b w:val="0"/>
          <w:bCs/>
          <w:color w:val="auto"/>
          <w:kern w:val="0"/>
          <w:sz w:val="32"/>
          <w:szCs w:val="32"/>
        </w:rPr>
        <w:t>粮油物资储备支出</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类）支出2,033.32万元，</w:t>
      </w:r>
      <w:r>
        <w:rPr>
          <w:rFonts w:hint="eastAsia" w:ascii="仿宋" w:hAnsi="仿宋" w:eastAsia="仿宋" w:cs="仿宋"/>
          <w:b w:val="0"/>
          <w:bCs/>
          <w:color w:val="auto"/>
          <w:kern w:val="0"/>
          <w:sz w:val="32"/>
          <w:szCs w:val="32"/>
        </w:rPr>
        <w:t>占</w:t>
      </w:r>
      <w:r>
        <w:rPr>
          <w:rFonts w:hint="eastAsia" w:ascii="仿宋" w:hAnsi="仿宋" w:eastAsia="仿宋" w:cs="仿宋"/>
          <w:b w:val="0"/>
          <w:bCs/>
          <w:color w:val="auto"/>
          <w:kern w:val="0"/>
          <w:sz w:val="32"/>
          <w:szCs w:val="32"/>
          <w:lang w:val="en-US" w:eastAsia="zh-CN"/>
        </w:rPr>
        <w:t>54.29</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，其他支出（</w:t>
      </w:r>
      <w:r>
        <w:rPr>
          <w:rFonts w:hint="eastAsia" w:ascii="仿宋" w:hAnsi="仿宋" w:eastAsia="仿宋" w:cs="仿宋"/>
          <w:b w:val="0"/>
          <w:bCs/>
          <w:color w:val="auto"/>
          <w:kern w:val="0"/>
          <w:sz w:val="32"/>
          <w:szCs w:val="32"/>
          <w:lang w:val="en-US" w:eastAsia="zh-CN"/>
        </w:rPr>
        <w:t>类</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支出2.57万元，</w:t>
      </w:r>
      <w:r>
        <w:rPr>
          <w:rFonts w:hint="eastAsia" w:ascii="仿宋" w:hAnsi="仿宋" w:eastAsia="仿宋" w:cs="仿宋"/>
          <w:b w:val="0"/>
          <w:bCs/>
          <w:color w:val="auto"/>
          <w:kern w:val="0"/>
          <w:sz w:val="32"/>
          <w:szCs w:val="32"/>
        </w:rPr>
        <w:t>占</w:t>
      </w:r>
      <w:r>
        <w:rPr>
          <w:rFonts w:hint="eastAsia" w:ascii="仿宋" w:hAnsi="仿宋" w:eastAsia="仿宋" w:cs="仿宋"/>
          <w:b w:val="0"/>
          <w:bCs/>
          <w:color w:val="auto"/>
          <w:kern w:val="0"/>
          <w:sz w:val="32"/>
          <w:szCs w:val="32"/>
          <w:lang w:val="en-US" w:eastAsia="zh-CN"/>
        </w:rPr>
        <w:t>0.07</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val="en-US" w:eastAsia="zh-CN"/>
        </w:rPr>
        <w:t>。</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（三）财政拨款支出决算具体情况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2021年度财政拨款支出年初预算数为</w:t>
      </w:r>
      <w:r>
        <w:rPr>
          <w:rFonts w:hint="eastAsia" w:ascii="仿宋" w:hAnsi="仿宋" w:eastAsia="仿宋" w:cs="仿宋"/>
          <w:b w:val="0"/>
          <w:bCs/>
          <w:color w:val="auto"/>
          <w:kern w:val="0"/>
          <w:sz w:val="32"/>
          <w:szCs w:val="32"/>
          <w:lang w:val="en-US" w:eastAsia="zh-CN"/>
        </w:rPr>
        <w:t>970.94</w:t>
      </w:r>
      <w:r>
        <w:rPr>
          <w:rFonts w:hint="eastAsia" w:ascii="仿宋" w:hAnsi="仿宋" w:eastAsia="仿宋" w:cs="仿宋"/>
          <w:b w:val="0"/>
          <w:bCs/>
          <w:color w:val="auto"/>
          <w:kern w:val="0"/>
          <w:sz w:val="32"/>
          <w:szCs w:val="32"/>
        </w:rPr>
        <w:t>万元，支出决算数为</w:t>
      </w:r>
      <w:r>
        <w:rPr>
          <w:rFonts w:hint="eastAsia" w:ascii="仿宋" w:hAnsi="仿宋" w:eastAsia="仿宋" w:cs="仿宋"/>
          <w:b w:val="0"/>
          <w:bCs/>
          <w:color w:val="auto"/>
          <w:kern w:val="0"/>
          <w:sz w:val="32"/>
          <w:szCs w:val="32"/>
          <w:lang w:val="en-US" w:eastAsia="zh-CN"/>
        </w:rPr>
        <w:t>3745.25</w:t>
      </w:r>
      <w:r>
        <w:rPr>
          <w:rFonts w:hint="eastAsia" w:ascii="仿宋" w:hAnsi="仿宋" w:eastAsia="仿宋" w:cs="仿宋"/>
          <w:b w:val="0"/>
          <w:bCs/>
          <w:color w:val="auto"/>
          <w:kern w:val="0"/>
          <w:sz w:val="32"/>
          <w:szCs w:val="32"/>
        </w:rPr>
        <w:t>万元，完成年初预算的</w:t>
      </w:r>
      <w:r>
        <w:rPr>
          <w:rFonts w:hint="eastAsia" w:ascii="仿宋" w:hAnsi="仿宋" w:eastAsia="仿宋" w:cs="仿宋"/>
          <w:b w:val="0"/>
          <w:bCs/>
          <w:color w:val="auto"/>
          <w:kern w:val="0"/>
          <w:sz w:val="32"/>
          <w:szCs w:val="32"/>
          <w:lang w:val="en-US" w:eastAsia="zh-CN"/>
        </w:rPr>
        <w:t>385.73</w:t>
      </w:r>
      <w:r>
        <w:rPr>
          <w:rFonts w:hint="eastAsia" w:ascii="仿宋" w:hAnsi="仿宋" w:eastAsia="仿宋" w:cs="仿宋"/>
          <w:b w:val="0"/>
          <w:bCs/>
          <w:color w:val="auto"/>
          <w:kern w:val="0"/>
          <w:sz w:val="32"/>
          <w:szCs w:val="32"/>
        </w:rPr>
        <w:t>%，其中：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1、一般公共服务支出（类）商贸事务（款） 行政运行（项）。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万元，支出决算为764.48万元，决算数大于年初预算数的主要原因是：</w:t>
      </w:r>
      <w:r>
        <w:rPr>
          <w:rFonts w:hint="eastAsia" w:ascii="仿宋" w:hAnsi="仿宋" w:eastAsia="仿宋" w:cs="仿宋"/>
          <w:b w:val="0"/>
          <w:bCs/>
          <w:color w:val="auto"/>
          <w:kern w:val="0"/>
          <w:sz w:val="32"/>
          <w:szCs w:val="32"/>
          <w:lang w:val="en-US" w:eastAsia="zh-CN"/>
        </w:rPr>
        <w:t>财政统发的工资、奖金等未纳入年初预算。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2、一般公共服务支出（类）</w:t>
      </w:r>
      <w:r>
        <w:rPr>
          <w:rFonts w:hint="eastAsia" w:ascii="仿宋" w:hAnsi="仿宋" w:eastAsia="仿宋" w:cs="仿宋"/>
          <w:b w:val="0"/>
          <w:bCs/>
          <w:color w:val="auto"/>
          <w:kern w:val="0"/>
          <w:sz w:val="32"/>
          <w:szCs w:val="32"/>
          <w:lang w:val="en-US" w:eastAsia="zh-CN"/>
        </w:rPr>
        <w:t>组织</w:t>
      </w:r>
      <w:r>
        <w:rPr>
          <w:rFonts w:hint="eastAsia" w:ascii="仿宋" w:hAnsi="仿宋" w:eastAsia="仿宋" w:cs="仿宋"/>
          <w:b w:val="0"/>
          <w:bCs/>
          <w:color w:val="auto"/>
          <w:kern w:val="0"/>
          <w:sz w:val="32"/>
          <w:szCs w:val="32"/>
        </w:rPr>
        <w:t>事务（款）其他组织事务支出（项）。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6</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新增五溪柔性引进人才经费。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3</w:t>
      </w:r>
      <w:r>
        <w:rPr>
          <w:rFonts w:hint="eastAsia" w:ascii="仿宋" w:hAnsi="仿宋" w:eastAsia="仿宋" w:cs="仿宋"/>
          <w:b w:val="0"/>
          <w:bCs/>
          <w:color w:val="auto"/>
          <w:kern w:val="0"/>
          <w:sz w:val="32"/>
          <w:szCs w:val="32"/>
        </w:rPr>
        <w:t>、一般公共服务支出（类）其他一般公共服务支出（款）其他一般公共服务支出（项）。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2.55</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增拨老旧小区维护费。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4</w:t>
      </w:r>
      <w:r>
        <w:rPr>
          <w:rFonts w:hint="eastAsia" w:ascii="仿宋" w:hAnsi="仿宋" w:eastAsia="仿宋" w:cs="仿宋"/>
          <w:b w:val="0"/>
          <w:bCs/>
          <w:color w:val="auto"/>
          <w:kern w:val="0"/>
          <w:sz w:val="32"/>
          <w:szCs w:val="32"/>
        </w:rPr>
        <w:t>、科学技术支出（类）其他科学技术支出（款）其他科学技术支出（项）。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108.32</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增拨智慧怀化工作经费及新基建专项工作经费。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5</w:t>
      </w:r>
      <w:r>
        <w:rPr>
          <w:rFonts w:hint="eastAsia" w:ascii="仿宋" w:hAnsi="仿宋" w:eastAsia="仿宋" w:cs="仿宋"/>
          <w:b w:val="0"/>
          <w:bCs/>
          <w:color w:val="auto"/>
          <w:kern w:val="0"/>
          <w:sz w:val="32"/>
          <w:szCs w:val="32"/>
        </w:rPr>
        <w:t>、文化旅游体育与传媒支出（类）其他文化旅游体育与传媒支出（款）其他文化旅游体育与传媒支出（项）。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5</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增拨老旧小区维护费。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6</w:t>
      </w:r>
      <w:r>
        <w:rPr>
          <w:rFonts w:hint="eastAsia" w:ascii="仿宋" w:hAnsi="仿宋" w:eastAsia="仿宋" w:cs="仿宋"/>
          <w:b w:val="0"/>
          <w:bCs/>
          <w:color w:val="auto"/>
          <w:kern w:val="0"/>
          <w:sz w:val="32"/>
          <w:szCs w:val="32"/>
        </w:rPr>
        <w:t>、社会保障和就业支出（类）行政事业单位养老支出（款）机关事业单位基本养老保险缴费支出（项）。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92.33</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财政拨基本养老保险缴费年初未纳入本单位预算。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7、</w:t>
      </w:r>
      <w:r>
        <w:rPr>
          <w:rFonts w:hint="eastAsia" w:ascii="仿宋" w:hAnsi="仿宋" w:eastAsia="仿宋" w:cs="仿宋"/>
          <w:b w:val="0"/>
          <w:bCs/>
          <w:color w:val="auto"/>
          <w:kern w:val="0"/>
          <w:sz w:val="32"/>
          <w:szCs w:val="32"/>
        </w:rPr>
        <w:t>社会保障和就业支出（类）行政事业单位养老支出（款）事业单位离退休（项）。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27.54</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88.75</w:t>
      </w:r>
      <w:r>
        <w:rPr>
          <w:rFonts w:hint="eastAsia" w:ascii="仿宋" w:hAnsi="仿宋" w:eastAsia="仿宋" w:cs="仿宋"/>
          <w:b w:val="0"/>
          <w:bCs/>
          <w:color w:val="auto"/>
          <w:kern w:val="0"/>
          <w:sz w:val="32"/>
          <w:szCs w:val="32"/>
        </w:rPr>
        <w:t>万元，完成年初预算的</w:t>
      </w:r>
      <w:r>
        <w:rPr>
          <w:rFonts w:hint="eastAsia" w:ascii="仿宋" w:hAnsi="仿宋" w:eastAsia="仿宋" w:cs="仿宋"/>
          <w:b w:val="0"/>
          <w:bCs/>
          <w:color w:val="auto"/>
          <w:kern w:val="0"/>
          <w:sz w:val="32"/>
          <w:szCs w:val="32"/>
          <w:lang w:val="en-US" w:eastAsia="zh-CN"/>
        </w:rPr>
        <w:t>322.26</w:t>
      </w:r>
      <w:r>
        <w:rPr>
          <w:rFonts w:hint="eastAsia" w:ascii="仿宋" w:hAnsi="仿宋" w:eastAsia="仿宋" w:cs="仿宋"/>
          <w:b w:val="0"/>
          <w:bCs/>
          <w:color w:val="auto"/>
          <w:kern w:val="0"/>
          <w:sz w:val="32"/>
          <w:szCs w:val="32"/>
        </w:rPr>
        <w:t>%，决算数大于年初预算数的主要原因是：</w:t>
      </w:r>
      <w:r>
        <w:rPr>
          <w:rFonts w:hint="eastAsia" w:ascii="仿宋" w:hAnsi="仿宋" w:eastAsia="仿宋" w:cs="仿宋"/>
          <w:b w:val="0"/>
          <w:bCs/>
          <w:color w:val="auto"/>
          <w:kern w:val="0"/>
          <w:sz w:val="32"/>
          <w:szCs w:val="32"/>
          <w:lang w:val="en-US" w:eastAsia="zh-CN"/>
        </w:rPr>
        <w:t>财政拨基本养老保险缴费年初未纳入本单位预算。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8、</w:t>
      </w:r>
      <w:r>
        <w:rPr>
          <w:rFonts w:hint="eastAsia" w:ascii="仿宋" w:hAnsi="仿宋" w:eastAsia="仿宋" w:cs="仿宋"/>
          <w:b w:val="0"/>
          <w:bCs/>
          <w:color w:val="auto"/>
          <w:kern w:val="0"/>
          <w:sz w:val="32"/>
          <w:szCs w:val="32"/>
        </w:rPr>
        <w:t>社会保障和就业支出（类）行政事业单位养老支出（款）其他行政事业单位养老支出（项）。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9.93</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70.41</w:t>
      </w:r>
      <w:r>
        <w:rPr>
          <w:rFonts w:hint="eastAsia" w:ascii="仿宋" w:hAnsi="仿宋" w:eastAsia="仿宋" w:cs="仿宋"/>
          <w:b w:val="0"/>
          <w:bCs/>
          <w:color w:val="auto"/>
          <w:kern w:val="0"/>
          <w:sz w:val="32"/>
          <w:szCs w:val="32"/>
        </w:rPr>
        <w:t>万元，完成年初预算的</w:t>
      </w:r>
      <w:r>
        <w:rPr>
          <w:rFonts w:hint="eastAsia" w:ascii="仿宋" w:hAnsi="仿宋" w:eastAsia="仿宋" w:cs="仿宋"/>
          <w:b w:val="0"/>
          <w:bCs/>
          <w:color w:val="auto"/>
          <w:kern w:val="0"/>
          <w:sz w:val="32"/>
          <w:szCs w:val="32"/>
          <w:lang w:val="en-US" w:eastAsia="zh-CN"/>
        </w:rPr>
        <w:t>709.06</w:t>
      </w:r>
      <w:r>
        <w:rPr>
          <w:rFonts w:hint="eastAsia" w:ascii="仿宋" w:hAnsi="仿宋" w:eastAsia="仿宋" w:cs="仿宋"/>
          <w:b w:val="0"/>
          <w:bCs/>
          <w:color w:val="auto"/>
          <w:kern w:val="0"/>
          <w:sz w:val="32"/>
          <w:szCs w:val="32"/>
        </w:rPr>
        <w:t>%，决算数大于年初预算数的主要原因是：</w:t>
      </w:r>
      <w:r>
        <w:rPr>
          <w:rFonts w:hint="eastAsia" w:ascii="仿宋" w:hAnsi="仿宋" w:eastAsia="仿宋" w:cs="仿宋"/>
          <w:b w:val="0"/>
          <w:bCs/>
          <w:color w:val="auto"/>
          <w:kern w:val="0"/>
          <w:sz w:val="32"/>
          <w:szCs w:val="32"/>
          <w:lang w:val="en-US" w:eastAsia="zh-CN"/>
        </w:rPr>
        <w:t>退休人员春节一次性生活补助支出未纳入本单位年初预算。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9、</w:t>
      </w:r>
      <w:r>
        <w:rPr>
          <w:rFonts w:hint="eastAsia" w:ascii="仿宋" w:hAnsi="仿宋" w:eastAsia="仿宋" w:cs="仿宋"/>
          <w:b w:val="0"/>
          <w:bCs/>
          <w:color w:val="auto"/>
          <w:kern w:val="0"/>
          <w:sz w:val="32"/>
          <w:szCs w:val="32"/>
        </w:rPr>
        <w:t>卫生健康支出（类）行政事业单位医疗（款）行政单位医疗（项）。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44.83</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财政拨基本医疗保险缴费年初未纳入本单位预算。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10、</w:t>
      </w:r>
      <w:r>
        <w:rPr>
          <w:rFonts w:hint="eastAsia" w:ascii="仿宋" w:hAnsi="仿宋" w:eastAsia="仿宋" w:cs="仿宋"/>
          <w:b w:val="0"/>
          <w:bCs/>
          <w:color w:val="auto"/>
          <w:kern w:val="0"/>
          <w:sz w:val="32"/>
          <w:szCs w:val="32"/>
        </w:rPr>
        <w:t>卫生健康支出（类）行政事业单位医疗（款</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rPr>
        <w:t>其他行政事业单位医疗支出（项）。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1.48</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财政拨基本医疗保险缴费年初未纳入本单位预算。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11</w:t>
      </w:r>
      <w:r>
        <w:rPr>
          <w:rFonts w:hint="eastAsia" w:ascii="仿宋" w:hAnsi="仿宋" w:eastAsia="仿宋" w:cs="仿宋"/>
          <w:b w:val="0"/>
          <w:bCs/>
          <w:color w:val="auto"/>
          <w:kern w:val="0"/>
          <w:sz w:val="32"/>
          <w:szCs w:val="32"/>
        </w:rPr>
        <w:t>、资源勘探工业信息等支出（类）制造业（款）其他制造业支出（项）。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87</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增拨市州新增规模工业企业培育发展奖励金。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w:t>
      </w:r>
      <w:r>
        <w:rPr>
          <w:rFonts w:hint="eastAsia" w:ascii="仿宋" w:hAnsi="仿宋" w:eastAsia="仿宋" w:cs="仿宋"/>
          <w:b w:val="0"/>
          <w:bCs/>
          <w:color w:val="auto"/>
          <w:kern w:val="0"/>
          <w:sz w:val="32"/>
          <w:szCs w:val="32"/>
        </w:rPr>
        <w:t>2、资源勘探工业信息等支出（类）工业和信息产业监管（款）行政运行（项）。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933.47</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312.86</w:t>
      </w:r>
      <w:r>
        <w:rPr>
          <w:rFonts w:hint="eastAsia" w:ascii="仿宋" w:hAnsi="仿宋" w:eastAsia="仿宋" w:cs="仿宋"/>
          <w:b w:val="0"/>
          <w:bCs/>
          <w:color w:val="auto"/>
          <w:kern w:val="0"/>
          <w:sz w:val="32"/>
          <w:szCs w:val="32"/>
        </w:rPr>
        <w:t>万元，完成年初预算的</w:t>
      </w:r>
      <w:r>
        <w:rPr>
          <w:rFonts w:hint="eastAsia" w:ascii="仿宋" w:hAnsi="仿宋" w:eastAsia="仿宋" w:cs="仿宋"/>
          <w:b w:val="0"/>
          <w:bCs/>
          <w:color w:val="auto"/>
          <w:kern w:val="0"/>
          <w:sz w:val="32"/>
          <w:szCs w:val="32"/>
          <w:lang w:val="en-US" w:eastAsia="zh-CN"/>
        </w:rPr>
        <w:t>33.52</w:t>
      </w:r>
      <w:r>
        <w:rPr>
          <w:rFonts w:hint="eastAsia" w:ascii="仿宋" w:hAnsi="仿宋" w:eastAsia="仿宋" w:cs="仿宋"/>
          <w:b w:val="0"/>
          <w:bCs/>
          <w:color w:val="auto"/>
          <w:kern w:val="0"/>
          <w:sz w:val="32"/>
          <w:szCs w:val="32"/>
        </w:rPr>
        <w:t>%，决算数小于年初预算数的主要原因是：</w:t>
      </w:r>
      <w:r>
        <w:rPr>
          <w:rFonts w:hint="eastAsia" w:ascii="仿宋" w:hAnsi="仿宋" w:eastAsia="仿宋" w:cs="仿宋"/>
          <w:b w:val="0"/>
          <w:bCs/>
          <w:color w:val="auto"/>
          <w:kern w:val="0"/>
          <w:sz w:val="32"/>
          <w:szCs w:val="32"/>
          <w:lang w:val="en-US" w:eastAsia="zh-CN"/>
        </w:rPr>
        <w:t>年初预算公用经费支出功能科目改变。</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13</w:t>
      </w:r>
      <w:r>
        <w:rPr>
          <w:rFonts w:hint="eastAsia" w:ascii="仿宋" w:hAnsi="仿宋" w:eastAsia="仿宋" w:cs="仿宋"/>
          <w:b w:val="0"/>
          <w:bCs/>
          <w:color w:val="auto"/>
          <w:kern w:val="0"/>
          <w:sz w:val="32"/>
          <w:szCs w:val="32"/>
        </w:rPr>
        <w:t>、资源勘探工业信息等支出（类）工业和信息产业监管（款）一般行政管理事务（项）。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2.36</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增拨计算机软考等级费。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14</w:t>
      </w:r>
      <w:r>
        <w:rPr>
          <w:rFonts w:hint="eastAsia" w:ascii="仿宋" w:hAnsi="仿宋" w:eastAsia="仿宋" w:cs="仿宋"/>
          <w:b w:val="0"/>
          <w:bCs/>
          <w:color w:val="auto"/>
          <w:kern w:val="0"/>
          <w:sz w:val="32"/>
          <w:szCs w:val="32"/>
        </w:rPr>
        <w:t>、资源勘探工业信息等支出（类）工业和信息产业监管（款）其他工业和信息产业监管支出（项）。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4.4</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增拨计算机软考等级费。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15</w:t>
      </w:r>
      <w:r>
        <w:rPr>
          <w:rFonts w:hint="eastAsia" w:ascii="仿宋" w:hAnsi="仿宋" w:eastAsia="仿宋" w:cs="仿宋"/>
          <w:b w:val="0"/>
          <w:bCs/>
          <w:color w:val="auto"/>
          <w:kern w:val="0"/>
          <w:sz w:val="32"/>
          <w:szCs w:val="32"/>
        </w:rPr>
        <w:t>、资源勘探工业信息等支出（类）支持中小企业发展和管理支出（款）其他支持中小企业发展和管理支出（项）。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45.36</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增拨2021年度“创客中国”怀化复赛承办费用。</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16</w:t>
      </w:r>
      <w:r>
        <w:rPr>
          <w:rFonts w:hint="eastAsia" w:ascii="仿宋" w:hAnsi="仿宋" w:eastAsia="仿宋" w:cs="仿宋"/>
          <w:b w:val="0"/>
          <w:bCs/>
          <w:color w:val="auto"/>
          <w:kern w:val="0"/>
          <w:sz w:val="32"/>
          <w:szCs w:val="32"/>
        </w:rPr>
        <w:t>、资源勘探工业信息等支出（类）其他资源勘探工业信息等支出（款）其他资源勘探工业信息等支出（项）。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73.25</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使用上年结转资金。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17</w:t>
      </w:r>
      <w:r>
        <w:rPr>
          <w:rFonts w:hint="eastAsia" w:ascii="仿宋" w:hAnsi="仿宋" w:eastAsia="仿宋" w:cs="仿宋"/>
          <w:b w:val="0"/>
          <w:bCs/>
          <w:color w:val="auto"/>
          <w:kern w:val="0"/>
          <w:sz w:val="32"/>
          <w:szCs w:val="32"/>
        </w:rPr>
        <w:t>、粮油物资储备支出（类）重要商品储备（款） 应急物资储备（项）。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2,033.32</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使用上年结转防疫储备物资款。</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18</w:t>
      </w:r>
      <w:r>
        <w:rPr>
          <w:rFonts w:hint="eastAsia" w:ascii="仿宋" w:hAnsi="仿宋" w:eastAsia="仿宋" w:cs="仿宋"/>
          <w:b w:val="0"/>
          <w:bCs/>
          <w:color w:val="auto"/>
          <w:kern w:val="0"/>
          <w:sz w:val="32"/>
          <w:szCs w:val="32"/>
        </w:rPr>
        <w:t>、其他支出（类）其他支出（款）其他支出（项）。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年初预算为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2.57</w:t>
      </w:r>
      <w:r>
        <w:rPr>
          <w:rFonts w:hint="eastAsia" w:ascii="仿宋" w:hAnsi="仿宋" w:eastAsia="仿宋" w:cs="仿宋"/>
          <w:b w:val="0"/>
          <w:bCs/>
          <w:color w:val="auto"/>
          <w:kern w:val="0"/>
          <w:sz w:val="32"/>
          <w:szCs w:val="32"/>
        </w:rPr>
        <w:t>万元，决算数大于年初预算数的主要原因是：</w:t>
      </w:r>
      <w:r>
        <w:rPr>
          <w:rFonts w:hint="eastAsia" w:ascii="仿宋" w:hAnsi="仿宋" w:eastAsia="仿宋" w:cs="仿宋"/>
          <w:b w:val="0"/>
          <w:bCs/>
          <w:color w:val="auto"/>
          <w:kern w:val="0"/>
          <w:sz w:val="32"/>
          <w:szCs w:val="32"/>
          <w:lang w:val="en-US" w:eastAsia="zh-CN"/>
        </w:rPr>
        <w:t>拨其他办公费用支出。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六、一般公共预算财政拨款基本支出决算情况说明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财政拨款基本支出1,369.49万元，其中：人员经费1,118.91万元，占基本支出的81.7%,主要包括基本工资、津贴补贴、奖金、伙食补助费、机关事业单位基本养老保险缴费、职工基本医疗保险缴费、其他社会保障缴费、其他工资福利支出、生活补助等；公用经费250.57万元，占基本支出的18.3%，主要包括办公费、印刷费、咨询费、邮电费、会议费、培训费、公务接待费、公车运行费、劳务费、委托业务费、工会经费、福利费、维修（护）费、差旅费、其他交通费用、其他商品和服务支出等。</w:t>
      </w:r>
    </w:p>
    <w:p>
      <w:pPr>
        <w:pStyle w:val="13"/>
        <w:ind w:firstLine="640" w:firstLineChars="200"/>
        <w:rPr>
          <w:rFonts w:hAnsi="黑体"/>
          <w:b/>
          <w:color w:val="auto"/>
          <w:sz w:val="32"/>
          <w:szCs w:val="32"/>
        </w:rPr>
      </w:pPr>
      <w:r>
        <w:rPr>
          <w:rFonts w:hint="eastAsia" w:hAnsi="黑体" w:cs="Times New Roman"/>
          <w:color w:val="auto"/>
          <w:kern w:val="0"/>
          <w:sz w:val="32"/>
          <w:szCs w:val="32"/>
        </w:rPr>
        <w:t>七、一般公共预算财政拨款“三公”经费支出决算情况说明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（一）“三公”经费财政拨款支出决算总体情况说明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2021年度“三公”经费财政拨款支出预算为</w:t>
      </w:r>
      <w:r>
        <w:rPr>
          <w:rFonts w:hint="eastAsia" w:ascii="仿宋" w:hAnsi="仿宋" w:eastAsia="仿宋" w:cs="仿宋"/>
          <w:b w:val="0"/>
          <w:bCs/>
          <w:color w:val="auto"/>
          <w:kern w:val="0"/>
          <w:sz w:val="32"/>
          <w:szCs w:val="32"/>
          <w:lang w:val="en-US" w:eastAsia="zh-CN"/>
        </w:rPr>
        <w:t>57.39</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33.72</w:t>
      </w:r>
      <w:r>
        <w:rPr>
          <w:rFonts w:hint="eastAsia" w:ascii="仿宋" w:hAnsi="仿宋" w:eastAsia="仿宋" w:cs="仿宋"/>
          <w:b w:val="0"/>
          <w:bCs/>
          <w:color w:val="auto"/>
          <w:kern w:val="0"/>
          <w:sz w:val="32"/>
          <w:szCs w:val="32"/>
        </w:rPr>
        <w:t>万元，完成预算的</w:t>
      </w:r>
      <w:r>
        <w:rPr>
          <w:rFonts w:hint="eastAsia" w:ascii="仿宋" w:hAnsi="仿宋" w:eastAsia="仿宋" w:cs="仿宋"/>
          <w:b w:val="0"/>
          <w:bCs/>
          <w:color w:val="auto"/>
          <w:kern w:val="0"/>
          <w:sz w:val="32"/>
          <w:szCs w:val="32"/>
          <w:lang w:val="en-US" w:eastAsia="zh-CN"/>
        </w:rPr>
        <w:t>58.76</w:t>
      </w:r>
      <w:r>
        <w:rPr>
          <w:rFonts w:hint="eastAsia" w:ascii="仿宋" w:hAnsi="仿宋" w:eastAsia="仿宋" w:cs="仿宋"/>
          <w:b w:val="0"/>
          <w:bCs/>
          <w:color w:val="auto"/>
          <w:kern w:val="0"/>
          <w:sz w:val="32"/>
          <w:szCs w:val="32"/>
        </w:rPr>
        <w:t>%，其中：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val="en-US" w:eastAsia="zh-CN"/>
        </w:rPr>
        <w:t>1、</w:t>
      </w:r>
      <w:r>
        <w:rPr>
          <w:rFonts w:hint="eastAsia" w:ascii="仿宋" w:hAnsi="仿宋" w:eastAsia="仿宋" w:cs="仿宋"/>
          <w:b w:val="0"/>
          <w:bCs/>
          <w:color w:val="auto"/>
          <w:kern w:val="0"/>
          <w:sz w:val="32"/>
          <w:szCs w:val="32"/>
        </w:rPr>
        <w:t>因公出国（境）费支出预算为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w:t>
      </w:r>
      <w:r>
        <w:rPr>
          <w:rFonts w:hint="eastAsia" w:ascii="仿宋" w:hAnsi="仿宋" w:eastAsia="仿宋" w:cs="仿宋"/>
          <w:b w:val="0"/>
          <w:bCs/>
          <w:color w:val="auto"/>
          <w:kern w:val="0"/>
          <w:sz w:val="32"/>
          <w:szCs w:val="32"/>
          <w:lang w:val="en-US" w:eastAsia="zh-CN"/>
        </w:rPr>
        <w:t>无法计算完成比例，决算数与上年相比无变化，本年无</w:t>
      </w:r>
      <w:r>
        <w:rPr>
          <w:rFonts w:hint="eastAsia" w:ascii="仿宋" w:hAnsi="仿宋" w:eastAsia="仿宋" w:cs="仿宋"/>
          <w:b w:val="0"/>
          <w:bCs/>
          <w:color w:val="auto"/>
          <w:kern w:val="0"/>
          <w:sz w:val="32"/>
          <w:szCs w:val="32"/>
        </w:rPr>
        <w:t>因公出国（境）费支出</w:t>
      </w:r>
      <w:r>
        <w:rPr>
          <w:rFonts w:hint="eastAsia" w:ascii="仿宋" w:hAnsi="仿宋" w:eastAsia="仿宋" w:cs="仿宋"/>
          <w:b w:val="0"/>
          <w:bCs/>
          <w:color w:val="auto"/>
          <w:kern w:val="0"/>
          <w:sz w:val="32"/>
          <w:szCs w:val="32"/>
          <w:lang w:eastAsia="zh-CN"/>
        </w:rPr>
        <w:t>。</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w:t>
      </w:r>
      <w:r>
        <w:rPr>
          <w:rFonts w:hint="eastAsia" w:ascii="仿宋" w:hAnsi="仿宋" w:eastAsia="仿宋" w:cs="仿宋"/>
          <w:b w:val="0"/>
          <w:bCs/>
          <w:color w:val="auto"/>
          <w:kern w:val="0"/>
          <w:sz w:val="32"/>
          <w:szCs w:val="32"/>
        </w:rPr>
        <w:t>公务接待费支出预算为</w:t>
      </w:r>
      <w:r>
        <w:rPr>
          <w:rFonts w:hint="eastAsia" w:ascii="仿宋" w:hAnsi="仿宋" w:eastAsia="仿宋" w:cs="仿宋"/>
          <w:b w:val="0"/>
          <w:bCs/>
          <w:color w:val="auto"/>
          <w:kern w:val="0"/>
          <w:sz w:val="32"/>
          <w:szCs w:val="32"/>
          <w:lang w:val="en-US" w:eastAsia="zh-CN"/>
        </w:rPr>
        <w:t>35.34</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12.1</w:t>
      </w:r>
      <w:r>
        <w:rPr>
          <w:rFonts w:hint="eastAsia" w:ascii="仿宋" w:hAnsi="仿宋" w:eastAsia="仿宋" w:cs="仿宋"/>
          <w:b w:val="0"/>
          <w:bCs/>
          <w:color w:val="auto"/>
          <w:kern w:val="0"/>
          <w:sz w:val="32"/>
          <w:szCs w:val="32"/>
        </w:rPr>
        <w:t>万元，完成预算的</w:t>
      </w:r>
      <w:r>
        <w:rPr>
          <w:rFonts w:hint="eastAsia" w:ascii="仿宋" w:hAnsi="仿宋" w:eastAsia="仿宋" w:cs="仿宋"/>
          <w:b w:val="0"/>
          <w:bCs/>
          <w:color w:val="auto"/>
          <w:kern w:val="0"/>
          <w:sz w:val="32"/>
          <w:szCs w:val="32"/>
          <w:lang w:val="en-US" w:eastAsia="zh-CN"/>
        </w:rPr>
        <w:t>34.24</w:t>
      </w:r>
      <w:r>
        <w:rPr>
          <w:rFonts w:hint="eastAsia" w:ascii="仿宋" w:hAnsi="仿宋" w:eastAsia="仿宋" w:cs="仿宋"/>
          <w:b w:val="0"/>
          <w:bCs/>
          <w:color w:val="auto"/>
          <w:kern w:val="0"/>
          <w:sz w:val="32"/>
          <w:szCs w:val="32"/>
        </w:rPr>
        <w:t>%，决算数小于预算数的主要原因是</w:t>
      </w:r>
      <w:r>
        <w:rPr>
          <w:rFonts w:hint="eastAsia" w:ascii="仿宋" w:hAnsi="仿宋" w:eastAsia="仿宋" w:cs="仿宋"/>
          <w:b w:val="0"/>
          <w:bCs/>
          <w:color w:val="auto"/>
          <w:kern w:val="0"/>
          <w:sz w:val="32"/>
          <w:szCs w:val="32"/>
          <w:lang w:val="en-US" w:eastAsia="zh-CN"/>
        </w:rPr>
        <w:t>我局严格</w:t>
      </w:r>
      <w:r>
        <w:rPr>
          <w:rFonts w:hint="eastAsia" w:ascii="仿宋" w:hAnsi="仿宋" w:eastAsia="仿宋" w:cs="仿宋"/>
          <w:b w:val="0"/>
          <w:bCs/>
          <w:color w:val="auto"/>
          <w:kern w:val="0"/>
          <w:sz w:val="32"/>
          <w:szCs w:val="32"/>
        </w:rPr>
        <w:t>规范接待范围，控制接待标准</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坚持厉行节约</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rPr>
        <w:t>与上年相比增加</w:t>
      </w:r>
      <w:r>
        <w:rPr>
          <w:rFonts w:hint="eastAsia" w:ascii="仿宋" w:hAnsi="仿宋" w:eastAsia="仿宋" w:cs="仿宋"/>
          <w:b w:val="0"/>
          <w:bCs/>
          <w:color w:val="auto"/>
          <w:kern w:val="0"/>
          <w:sz w:val="32"/>
          <w:szCs w:val="32"/>
          <w:lang w:val="en-US" w:eastAsia="zh-CN"/>
        </w:rPr>
        <w:t>3.83</w:t>
      </w:r>
      <w:r>
        <w:rPr>
          <w:rFonts w:hint="eastAsia" w:ascii="仿宋" w:hAnsi="仿宋" w:eastAsia="仿宋" w:cs="仿宋"/>
          <w:b w:val="0"/>
          <w:bCs/>
          <w:color w:val="auto"/>
          <w:kern w:val="0"/>
          <w:sz w:val="32"/>
          <w:szCs w:val="32"/>
        </w:rPr>
        <w:t>万元，增长</w:t>
      </w:r>
      <w:r>
        <w:rPr>
          <w:rFonts w:hint="eastAsia" w:ascii="仿宋" w:hAnsi="仿宋" w:eastAsia="仿宋" w:cs="仿宋"/>
          <w:b w:val="0"/>
          <w:bCs/>
          <w:color w:val="auto"/>
          <w:kern w:val="0"/>
          <w:sz w:val="32"/>
          <w:szCs w:val="32"/>
          <w:lang w:val="en-US" w:eastAsia="zh-CN"/>
        </w:rPr>
        <w:t>46.31</w:t>
      </w:r>
      <w:r>
        <w:rPr>
          <w:rFonts w:hint="eastAsia" w:ascii="仿宋" w:hAnsi="仿宋" w:eastAsia="仿宋" w:cs="仿宋"/>
          <w:b w:val="0"/>
          <w:bCs/>
          <w:color w:val="auto"/>
          <w:kern w:val="0"/>
          <w:sz w:val="32"/>
          <w:szCs w:val="32"/>
        </w:rPr>
        <w:t>%,增长的主要原因是本年度新增驻点及产业招商专项（含8大产业链“链长招商制”），因开展招商等业务活动需要，产生的公务接待费用</w:t>
      </w:r>
      <w:r>
        <w:rPr>
          <w:rFonts w:hint="eastAsia" w:ascii="仿宋" w:hAnsi="仿宋" w:eastAsia="仿宋" w:cs="仿宋"/>
          <w:b w:val="0"/>
          <w:bCs/>
          <w:color w:val="auto"/>
          <w:kern w:val="0"/>
          <w:sz w:val="32"/>
          <w:szCs w:val="32"/>
          <w:lang w:val="en-US" w:eastAsia="zh-CN"/>
        </w:rPr>
        <w:t>增加。</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3、</w:t>
      </w:r>
      <w:r>
        <w:rPr>
          <w:rFonts w:hint="eastAsia" w:ascii="仿宋" w:hAnsi="仿宋" w:eastAsia="仿宋" w:cs="仿宋"/>
          <w:b w:val="0"/>
          <w:bCs/>
          <w:color w:val="auto"/>
          <w:kern w:val="0"/>
          <w:sz w:val="32"/>
          <w:szCs w:val="32"/>
        </w:rPr>
        <w:t>公务用车购置费支出预算为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w:t>
      </w:r>
      <w:r>
        <w:rPr>
          <w:rFonts w:hint="eastAsia" w:ascii="仿宋" w:hAnsi="仿宋" w:eastAsia="仿宋" w:cs="仿宋"/>
          <w:b w:val="0"/>
          <w:bCs/>
          <w:color w:val="auto"/>
          <w:kern w:val="0"/>
          <w:sz w:val="32"/>
          <w:szCs w:val="32"/>
          <w:lang w:val="en-US" w:eastAsia="zh-CN"/>
        </w:rPr>
        <w:t>无法计算完成比例，决算数与上年相比无变化，本年与上年均无</w:t>
      </w:r>
      <w:r>
        <w:rPr>
          <w:rFonts w:hint="eastAsia" w:ascii="仿宋" w:hAnsi="仿宋" w:eastAsia="仿宋" w:cs="仿宋"/>
          <w:b w:val="0"/>
          <w:bCs/>
          <w:color w:val="auto"/>
          <w:kern w:val="0"/>
          <w:sz w:val="32"/>
          <w:szCs w:val="32"/>
        </w:rPr>
        <w:t>公务用车购置费支出。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val="en-US" w:eastAsia="zh-CN"/>
        </w:rPr>
        <w:t>4、</w:t>
      </w:r>
      <w:r>
        <w:rPr>
          <w:rFonts w:hint="eastAsia" w:ascii="仿宋" w:hAnsi="仿宋" w:eastAsia="仿宋" w:cs="仿宋"/>
          <w:b w:val="0"/>
          <w:bCs/>
          <w:color w:val="auto"/>
          <w:kern w:val="0"/>
          <w:sz w:val="32"/>
          <w:szCs w:val="32"/>
        </w:rPr>
        <w:t>公务用车运行维护费支出预算为</w:t>
      </w:r>
      <w:r>
        <w:rPr>
          <w:rFonts w:hint="eastAsia" w:ascii="仿宋" w:hAnsi="仿宋" w:eastAsia="仿宋" w:cs="仿宋"/>
          <w:b w:val="0"/>
          <w:bCs/>
          <w:color w:val="auto"/>
          <w:kern w:val="0"/>
          <w:sz w:val="32"/>
          <w:szCs w:val="32"/>
          <w:lang w:val="en-US" w:eastAsia="zh-CN"/>
        </w:rPr>
        <w:t>22.05</w:t>
      </w:r>
      <w:r>
        <w:rPr>
          <w:rFonts w:hint="eastAsia" w:ascii="仿宋" w:hAnsi="仿宋" w:eastAsia="仿宋" w:cs="仿宋"/>
          <w:b w:val="0"/>
          <w:bCs/>
          <w:color w:val="auto"/>
          <w:kern w:val="0"/>
          <w:sz w:val="32"/>
          <w:szCs w:val="32"/>
        </w:rPr>
        <w:t>万元，支出决算为</w:t>
      </w:r>
      <w:r>
        <w:rPr>
          <w:rFonts w:hint="eastAsia" w:ascii="仿宋" w:hAnsi="仿宋" w:eastAsia="仿宋" w:cs="仿宋"/>
          <w:b w:val="0"/>
          <w:bCs/>
          <w:color w:val="auto"/>
          <w:kern w:val="0"/>
          <w:sz w:val="32"/>
          <w:szCs w:val="32"/>
          <w:lang w:val="en-US" w:eastAsia="zh-CN"/>
        </w:rPr>
        <w:t>21.62</w:t>
      </w:r>
      <w:r>
        <w:rPr>
          <w:rFonts w:hint="eastAsia" w:ascii="仿宋" w:hAnsi="仿宋" w:eastAsia="仿宋" w:cs="仿宋"/>
          <w:b w:val="0"/>
          <w:bCs/>
          <w:color w:val="auto"/>
          <w:kern w:val="0"/>
          <w:sz w:val="32"/>
          <w:szCs w:val="32"/>
        </w:rPr>
        <w:t>万元，完成预算的</w:t>
      </w:r>
      <w:r>
        <w:rPr>
          <w:rFonts w:hint="eastAsia" w:ascii="仿宋" w:hAnsi="仿宋" w:eastAsia="仿宋" w:cs="仿宋"/>
          <w:b w:val="0"/>
          <w:bCs/>
          <w:color w:val="auto"/>
          <w:kern w:val="0"/>
          <w:sz w:val="32"/>
          <w:szCs w:val="32"/>
          <w:lang w:val="en-US" w:eastAsia="zh-CN"/>
        </w:rPr>
        <w:t>98.05</w:t>
      </w:r>
      <w:r>
        <w:rPr>
          <w:rFonts w:hint="eastAsia" w:ascii="仿宋" w:hAnsi="仿宋" w:eastAsia="仿宋" w:cs="仿宋"/>
          <w:b w:val="0"/>
          <w:bCs/>
          <w:color w:val="auto"/>
          <w:kern w:val="0"/>
          <w:sz w:val="32"/>
          <w:szCs w:val="32"/>
        </w:rPr>
        <w:t>%，决算数小于预算数的主要原因是</w:t>
      </w:r>
      <w:r>
        <w:rPr>
          <w:rFonts w:hint="eastAsia" w:ascii="仿宋" w:hAnsi="仿宋" w:eastAsia="仿宋" w:cs="仿宋"/>
          <w:b w:val="0"/>
          <w:bCs/>
          <w:color w:val="auto"/>
          <w:kern w:val="0"/>
          <w:sz w:val="32"/>
          <w:szCs w:val="32"/>
          <w:lang w:val="en-US" w:eastAsia="zh-CN"/>
        </w:rPr>
        <w:t>我局</w:t>
      </w:r>
      <w:r>
        <w:rPr>
          <w:rFonts w:hint="eastAsia" w:ascii="仿宋" w:hAnsi="仿宋" w:eastAsia="仿宋" w:cs="仿宋"/>
          <w:b w:val="0"/>
          <w:bCs/>
          <w:color w:val="auto"/>
          <w:kern w:val="0"/>
          <w:sz w:val="32"/>
          <w:szCs w:val="32"/>
        </w:rPr>
        <w:t>合理有效安排公务用车次数，控制公务用车运行费用支出</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rPr>
        <w:t>与上年相比增加</w:t>
      </w:r>
      <w:r>
        <w:rPr>
          <w:rFonts w:hint="eastAsia" w:ascii="仿宋" w:hAnsi="仿宋" w:eastAsia="仿宋" w:cs="仿宋"/>
          <w:b w:val="0"/>
          <w:bCs/>
          <w:color w:val="auto"/>
          <w:kern w:val="0"/>
          <w:sz w:val="32"/>
          <w:szCs w:val="32"/>
          <w:lang w:val="en-US" w:eastAsia="zh-CN"/>
        </w:rPr>
        <w:t>1.13</w:t>
      </w:r>
      <w:r>
        <w:rPr>
          <w:rFonts w:hint="eastAsia" w:ascii="仿宋" w:hAnsi="仿宋" w:eastAsia="仿宋" w:cs="仿宋"/>
          <w:b w:val="0"/>
          <w:bCs/>
          <w:color w:val="auto"/>
          <w:kern w:val="0"/>
          <w:sz w:val="32"/>
          <w:szCs w:val="32"/>
        </w:rPr>
        <w:t>万元，增长</w:t>
      </w:r>
      <w:r>
        <w:rPr>
          <w:rFonts w:hint="eastAsia" w:ascii="仿宋" w:hAnsi="仿宋" w:eastAsia="仿宋" w:cs="仿宋"/>
          <w:b w:val="0"/>
          <w:bCs/>
          <w:color w:val="auto"/>
          <w:kern w:val="0"/>
          <w:sz w:val="32"/>
          <w:szCs w:val="32"/>
          <w:lang w:val="en-US" w:eastAsia="zh-CN"/>
        </w:rPr>
        <w:t>5.52</w:t>
      </w:r>
      <w:r>
        <w:rPr>
          <w:rFonts w:hint="eastAsia" w:ascii="仿宋" w:hAnsi="仿宋" w:eastAsia="仿宋" w:cs="仿宋"/>
          <w:b w:val="0"/>
          <w:bCs/>
          <w:color w:val="auto"/>
          <w:kern w:val="0"/>
          <w:sz w:val="32"/>
          <w:szCs w:val="32"/>
        </w:rPr>
        <w:t>%,增长的主要原因</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一</w:t>
      </w:r>
      <w:r>
        <w:rPr>
          <w:rFonts w:hint="eastAsia" w:ascii="仿宋" w:hAnsi="仿宋" w:eastAsia="仿宋" w:cs="仿宋"/>
          <w:b w:val="0"/>
          <w:bCs/>
          <w:color w:val="auto"/>
          <w:kern w:val="0"/>
          <w:sz w:val="32"/>
          <w:szCs w:val="32"/>
        </w:rPr>
        <w:t>是公务用车多次往返各县市区联络各项工作，帮助协调企业复工复产</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二是</w:t>
      </w:r>
      <w:r>
        <w:rPr>
          <w:rFonts w:hint="eastAsia" w:ascii="仿宋" w:hAnsi="仿宋" w:eastAsia="仿宋" w:cs="仿宋"/>
          <w:b w:val="0"/>
          <w:bCs/>
          <w:color w:val="auto"/>
          <w:kern w:val="0"/>
          <w:sz w:val="32"/>
          <w:szCs w:val="32"/>
        </w:rPr>
        <w:t>疫情防控物资储备的协调监督工作量增加公车使用</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lang w:val="en-US" w:eastAsia="zh-CN"/>
        </w:rPr>
        <w:t>三是</w:t>
      </w:r>
      <w:r>
        <w:rPr>
          <w:rFonts w:hint="eastAsia" w:ascii="仿宋" w:hAnsi="仿宋" w:eastAsia="仿宋" w:cs="仿宋"/>
          <w:b w:val="0"/>
          <w:bCs/>
          <w:color w:val="auto"/>
          <w:kern w:val="0"/>
          <w:sz w:val="32"/>
          <w:szCs w:val="32"/>
        </w:rPr>
        <w:t>新型基础设施建设等专项工作的积极开展也增加了公车使用。</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（二）“三公”经费财政拨款支出决算具体情况说明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2021年度“三公”经费财政拨款支出决算中，公务接待费支出决算</w:t>
      </w:r>
      <w:r>
        <w:rPr>
          <w:rFonts w:hint="eastAsia" w:ascii="仿宋" w:hAnsi="仿宋" w:eastAsia="仿宋" w:cs="仿宋"/>
          <w:b w:val="0"/>
          <w:bCs/>
          <w:color w:val="auto"/>
          <w:kern w:val="0"/>
          <w:sz w:val="32"/>
          <w:szCs w:val="32"/>
          <w:lang w:val="en-US" w:eastAsia="zh-CN"/>
        </w:rPr>
        <w:t>12.1</w:t>
      </w:r>
      <w:r>
        <w:rPr>
          <w:rFonts w:hint="eastAsia" w:ascii="仿宋" w:hAnsi="仿宋" w:eastAsia="仿宋" w:cs="仿宋"/>
          <w:b w:val="0"/>
          <w:bCs/>
          <w:color w:val="auto"/>
          <w:kern w:val="0"/>
          <w:sz w:val="32"/>
          <w:szCs w:val="32"/>
        </w:rPr>
        <w:t>万元，占</w:t>
      </w:r>
      <w:r>
        <w:rPr>
          <w:rFonts w:hint="eastAsia" w:ascii="仿宋" w:hAnsi="仿宋" w:eastAsia="仿宋" w:cs="仿宋"/>
          <w:b w:val="0"/>
          <w:bCs/>
          <w:color w:val="auto"/>
          <w:kern w:val="0"/>
          <w:sz w:val="32"/>
          <w:szCs w:val="32"/>
          <w:lang w:val="en-US" w:eastAsia="zh-CN"/>
        </w:rPr>
        <w:t>35.88</w:t>
      </w:r>
      <w:r>
        <w:rPr>
          <w:rFonts w:hint="eastAsia" w:ascii="仿宋" w:hAnsi="仿宋" w:eastAsia="仿宋" w:cs="仿宋"/>
          <w:b w:val="0"/>
          <w:bCs/>
          <w:color w:val="auto"/>
          <w:kern w:val="0"/>
          <w:sz w:val="32"/>
          <w:szCs w:val="32"/>
        </w:rPr>
        <w:t>%,因公出国（境）费支出决算</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万元，占</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%,公务用车购置费及运行维护费支出决算</w:t>
      </w:r>
      <w:r>
        <w:rPr>
          <w:rFonts w:hint="eastAsia" w:ascii="仿宋" w:hAnsi="仿宋" w:eastAsia="仿宋" w:cs="仿宋"/>
          <w:b w:val="0"/>
          <w:bCs/>
          <w:color w:val="auto"/>
          <w:kern w:val="0"/>
          <w:sz w:val="32"/>
          <w:szCs w:val="32"/>
          <w:lang w:val="en-US" w:eastAsia="zh-CN"/>
        </w:rPr>
        <w:t>21.62</w:t>
      </w:r>
      <w:r>
        <w:rPr>
          <w:rFonts w:hint="eastAsia" w:ascii="仿宋" w:hAnsi="仿宋" w:eastAsia="仿宋" w:cs="仿宋"/>
          <w:b w:val="0"/>
          <w:bCs/>
          <w:color w:val="auto"/>
          <w:kern w:val="0"/>
          <w:sz w:val="32"/>
          <w:szCs w:val="32"/>
        </w:rPr>
        <w:t>万元，占</w:t>
      </w:r>
      <w:r>
        <w:rPr>
          <w:rFonts w:hint="eastAsia" w:ascii="仿宋" w:hAnsi="仿宋" w:eastAsia="仿宋" w:cs="仿宋"/>
          <w:b w:val="0"/>
          <w:bCs/>
          <w:color w:val="auto"/>
          <w:kern w:val="0"/>
          <w:sz w:val="32"/>
          <w:szCs w:val="32"/>
          <w:lang w:val="en-US" w:eastAsia="zh-CN"/>
        </w:rPr>
        <w:t>64.12</w:t>
      </w:r>
      <w:r>
        <w:rPr>
          <w:rFonts w:hint="eastAsia" w:ascii="仿宋" w:hAnsi="仿宋" w:eastAsia="仿宋" w:cs="仿宋"/>
          <w:b w:val="0"/>
          <w:bCs/>
          <w:color w:val="auto"/>
          <w:kern w:val="0"/>
          <w:sz w:val="32"/>
          <w:szCs w:val="32"/>
        </w:rPr>
        <w:t>%。其中：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rPr>
        <w:t>1、因公出国（境）费支出决算为</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万元，全年安排因公出国（境）团组</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个，累计</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人次</w:t>
      </w:r>
      <w:r>
        <w:rPr>
          <w:rFonts w:hint="eastAsia" w:ascii="仿宋" w:hAnsi="仿宋" w:eastAsia="仿宋" w:cs="仿宋"/>
          <w:b w:val="0"/>
          <w:bCs/>
          <w:color w:val="auto"/>
          <w:kern w:val="0"/>
          <w:sz w:val="32"/>
          <w:szCs w:val="32"/>
          <w:lang w:val="en-US" w:eastAsia="zh-CN"/>
        </w:rPr>
        <w:t>,本年无</w:t>
      </w:r>
      <w:r>
        <w:rPr>
          <w:rFonts w:hint="eastAsia" w:ascii="仿宋" w:hAnsi="仿宋" w:eastAsia="仿宋" w:cs="仿宋"/>
          <w:b w:val="0"/>
          <w:bCs/>
          <w:color w:val="auto"/>
          <w:kern w:val="0"/>
          <w:sz w:val="32"/>
          <w:szCs w:val="32"/>
        </w:rPr>
        <w:t>因公出国（境）费支出</w:t>
      </w:r>
      <w:r>
        <w:rPr>
          <w:rFonts w:hint="eastAsia" w:ascii="仿宋" w:hAnsi="仿宋" w:eastAsia="仿宋" w:cs="仿宋"/>
          <w:b w:val="0"/>
          <w:bCs/>
          <w:color w:val="auto"/>
          <w:kern w:val="0"/>
          <w:sz w:val="32"/>
          <w:szCs w:val="32"/>
          <w:lang w:eastAsia="zh-CN"/>
        </w:rPr>
        <w:t>。</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2、公务接待费支出决算为</w:t>
      </w:r>
      <w:r>
        <w:rPr>
          <w:rFonts w:hint="eastAsia" w:ascii="仿宋" w:hAnsi="仿宋" w:eastAsia="仿宋" w:cs="仿宋"/>
          <w:b w:val="0"/>
          <w:bCs/>
          <w:color w:val="auto"/>
          <w:kern w:val="0"/>
          <w:sz w:val="32"/>
          <w:szCs w:val="32"/>
          <w:lang w:val="en-US" w:eastAsia="zh-CN"/>
        </w:rPr>
        <w:t>12.1</w:t>
      </w:r>
      <w:r>
        <w:rPr>
          <w:rFonts w:hint="eastAsia" w:ascii="仿宋" w:hAnsi="仿宋" w:eastAsia="仿宋" w:cs="仿宋"/>
          <w:b w:val="0"/>
          <w:bCs/>
          <w:color w:val="auto"/>
          <w:kern w:val="0"/>
          <w:sz w:val="32"/>
          <w:szCs w:val="32"/>
        </w:rPr>
        <w:t>万元，全年共接待来访团组</w:t>
      </w:r>
      <w:r>
        <w:rPr>
          <w:rFonts w:hint="default" w:ascii="仿宋" w:hAnsi="仿宋" w:eastAsia="仿宋" w:cs="仿宋"/>
          <w:b w:val="0"/>
          <w:bCs/>
          <w:color w:val="auto"/>
          <w:kern w:val="0"/>
          <w:sz w:val="32"/>
          <w:szCs w:val="32"/>
          <w:lang w:val="en-US"/>
        </w:rPr>
        <w:t>122</w:t>
      </w:r>
      <w:r>
        <w:rPr>
          <w:rFonts w:hint="eastAsia" w:ascii="仿宋" w:hAnsi="仿宋" w:eastAsia="仿宋" w:cs="仿宋"/>
          <w:b w:val="0"/>
          <w:bCs/>
          <w:color w:val="auto"/>
          <w:kern w:val="0"/>
          <w:sz w:val="32"/>
          <w:szCs w:val="32"/>
        </w:rPr>
        <w:t>个、来宾</w:t>
      </w:r>
      <w:r>
        <w:rPr>
          <w:rFonts w:hint="default" w:ascii="仿宋" w:hAnsi="仿宋" w:eastAsia="仿宋" w:cs="仿宋"/>
          <w:b w:val="0"/>
          <w:bCs/>
          <w:color w:val="auto"/>
          <w:kern w:val="0"/>
          <w:sz w:val="32"/>
          <w:szCs w:val="32"/>
          <w:lang w:val="en-US"/>
        </w:rPr>
        <w:t>1211</w:t>
      </w:r>
      <w:r>
        <w:rPr>
          <w:rFonts w:hint="eastAsia" w:ascii="仿宋" w:hAnsi="仿宋" w:eastAsia="仿宋" w:cs="仿宋"/>
          <w:b w:val="0"/>
          <w:bCs/>
          <w:color w:val="auto"/>
          <w:kern w:val="0"/>
          <w:sz w:val="32"/>
          <w:szCs w:val="32"/>
        </w:rPr>
        <w:t>人次，主要是</w:t>
      </w:r>
      <w:r>
        <w:rPr>
          <w:rFonts w:hint="eastAsia" w:ascii="仿宋" w:hAnsi="仿宋" w:eastAsia="仿宋" w:cs="仿宋"/>
          <w:b w:val="0"/>
          <w:bCs/>
          <w:color w:val="auto"/>
          <w:kern w:val="0"/>
          <w:sz w:val="32"/>
          <w:szCs w:val="32"/>
          <w:lang w:val="en-US" w:eastAsia="zh-CN"/>
        </w:rPr>
        <w:t>商务洽谈、业务接待等</w:t>
      </w:r>
      <w:r>
        <w:rPr>
          <w:rFonts w:hint="eastAsia" w:ascii="仿宋" w:hAnsi="仿宋" w:eastAsia="仿宋" w:cs="仿宋"/>
          <w:b w:val="0"/>
          <w:bCs/>
          <w:color w:val="auto"/>
          <w:kern w:val="0"/>
          <w:sz w:val="32"/>
          <w:szCs w:val="32"/>
        </w:rPr>
        <w:t>发生的接待支出。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3、公务用车购置费及运行维护费支出决算为</w:t>
      </w:r>
      <w:r>
        <w:rPr>
          <w:rFonts w:hint="eastAsia" w:ascii="仿宋" w:hAnsi="仿宋" w:eastAsia="仿宋" w:cs="仿宋"/>
          <w:b w:val="0"/>
          <w:bCs/>
          <w:color w:val="auto"/>
          <w:kern w:val="0"/>
          <w:sz w:val="32"/>
          <w:szCs w:val="32"/>
          <w:lang w:val="en-US" w:eastAsia="zh-CN"/>
        </w:rPr>
        <w:t>21.62</w:t>
      </w:r>
      <w:r>
        <w:rPr>
          <w:rFonts w:hint="eastAsia" w:ascii="仿宋" w:hAnsi="仿宋" w:eastAsia="仿宋" w:cs="仿宋"/>
          <w:b w:val="0"/>
          <w:bCs/>
          <w:color w:val="auto"/>
          <w:kern w:val="0"/>
          <w:sz w:val="32"/>
          <w:szCs w:val="32"/>
        </w:rPr>
        <w:t>万元，其中：公务用车购置费</w:t>
      </w:r>
      <w:r>
        <w:rPr>
          <w:rFonts w:hint="eastAsia" w:ascii="仿宋" w:hAnsi="仿宋" w:eastAsia="仿宋" w:cs="仿宋"/>
          <w:b w:val="0"/>
          <w:bCs/>
          <w:color w:val="auto"/>
          <w:kern w:val="0"/>
          <w:sz w:val="32"/>
          <w:szCs w:val="32"/>
          <w:lang w:val="en-US" w:eastAsia="zh-CN"/>
        </w:rPr>
        <w:t>0</w:t>
      </w:r>
      <w:r>
        <w:rPr>
          <w:rFonts w:hint="eastAsia" w:ascii="仿宋" w:hAnsi="仿宋" w:eastAsia="仿宋" w:cs="仿宋"/>
          <w:b w:val="0"/>
          <w:bCs/>
          <w:color w:val="auto"/>
          <w:kern w:val="0"/>
          <w:sz w:val="32"/>
          <w:szCs w:val="32"/>
        </w:rPr>
        <w:t>万元，单位本级</w:t>
      </w:r>
      <w:r>
        <w:rPr>
          <w:rFonts w:hint="eastAsia" w:ascii="仿宋" w:hAnsi="仿宋" w:eastAsia="仿宋" w:cs="仿宋"/>
          <w:b w:val="0"/>
          <w:bCs/>
          <w:color w:val="auto"/>
          <w:kern w:val="0"/>
          <w:sz w:val="32"/>
          <w:szCs w:val="32"/>
          <w:lang w:val="en-US" w:eastAsia="zh-CN"/>
        </w:rPr>
        <w:t>及</w:t>
      </w:r>
      <w:r>
        <w:rPr>
          <w:rFonts w:hint="eastAsia" w:ascii="仿宋" w:hAnsi="仿宋" w:eastAsia="仿宋" w:cs="仿宋"/>
          <w:b w:val="0"/>
          <w:bCs/>
          <w:color w:val="auto"/>
          <w:kern w:val="0"/>
          <w:sz w:val="32"/>
          <w:szCs w:val="32"/>
        </w:rPr>
        <w:t>二级机构</w:t>
      </w:r>
      <w:r>
        <w:rPr>
          <w:rFonts w:hint="eastAsia" w:ascii="仿宋" w:hAnsi="仿宋" w:eastAsia="仿宋" w:cs="仿宋"/>
          <w:b w:val="0"/>
          <w:bCs/>
          <w:color w:val="auto"/>
          <w:kern w:val="0"/>
          <w:sz w:val="32"/>
          <w:szCs w:val="32"/>
          <w:lang w:val="en-US" w:eastAsia="zh-CN"/>
        </w:rPr>
        <w:t>无</w:t>
      </w:r>
      <w:r>
        <w:rPr>
          <w:rFonts w:hint="eastAsia" w:ascii="仿宋" w:hAnsi="仿宋" w:eastAsia="仿宋" w:cs="仿宋"/>
          <w:b w:val="0"/>
          <w:bCs/>
          <w:color w:val="auto"/>
          <w:kern w:val="0"/>
          <w:sz w:val="32"/>
          <w:szCs w:val="32"/>
        </w:rPr>
        <w:t>更新公务用车。公务用车运行维护费</w:t>
      </w:r>
      <w:r>
        <w:rPr>
          <w:rFonts w:hint="eastAsia" w:ascii="仿宋" w:hAnsi="仿宋" w:eastAsia="仿宋" w:cs="仿宋"/>
          <w:b w:val="0"/>
          <w:bCs/>
          <w:color w:val="auto"/>
          <w:kern w:val="0"/>
          <w:sz w:val="32"/>
          <w:szCs w:val="32"/>
          <w:lang w:val="en-US" w:eastAsia="zh-CN"/>
        </w:rPr>
        <w:t>21.62</w:t>
      </w:r>
      <w:r>
        <w:rPr>
          <w:rFonts w:hint="eastAsia" w:ascii="仿宋" w:hAnsi="仿宋" w:eastAsia="仿宋" w:cs="仿宋"/>
          <w:b w:val="0"/>
          <w:bCs/>
          <w:color w:val="auto"/>
          <w:kern w:val="0"/>
          <w:sz w:val="32"/>
          <w:szCs w:val="32"/>
        </w:rPr>
        <w:t>万元，主要是主要是车辆保险费</w:t>
      </w:r>
      <w:r>
        <w:rPr>
          <w:rFonts w:hint="eastAsia" w:ascii="仿宋" w:hAnsi="仿宋" w:eastAsia="仿宋" w:cs="仿宋"/>
          <w:b w:val="0"/>
          <w:bCs/>
          <w:color w:val="auto"/>
          <w:kern w:val="0"/>
          <w:sz w:val="32"/>
          <w:szCs w:val="32"/>
          <w:lang w:eastAsia="zh-CN"/>
        </w:rPr>
        <w:t>、</w:t>
      </w:r>
      <w:r>
        <w:rPr>
          <w:rFonts w:hint="eastAsia" w:ascii="仿宋" w:hAnsi="仿宋" w:eastAsia="仿宋" w:cs="仿宋"/>
          <w:b w:val="0"/>
          <w:bCs/>
          <w:color w:val="auto"/>
          <w:kern w:val="0"/>
          <w:sz w:val="32"/>
          <w:szCs w:val="32"/>
        </w:rPr>
        <w:t>燃油费、修理费、过路费、洗车费等支出，截止2021年12月31日，我单位开支财政拨款的公务用车保有量为</w:t>
      </w:r>
      <w:r>
        <w:rPr>
          <w:rFonts w:hint="eastAsia" w:ascii="仿宋" w:hAnsi="仿宋" w:eastAsia="仿宋" w:cs="仿宋"/>
          <w:b w:val="0"/>
          <w:bCs/>
          <w:color w:val="auto"/>
          <w:kern w:val="0"/>
          <w:sz w:val="32"/>
          <w:szCs w:val="32"/>
          <w:lang w:val="en-US" w:eastAsia="zh-CN"/>
        </w:rPr>
        <w:t>7</w:t>
      </w:r>
      <w:r>
        <w:rPr>
          <w:rFonts w:hint="eastAsia" w:ascii="仿宋" w:hAnsi="仿宋" w:eastAsia="仿宋" w:cs="仿宋"/>
          <w:b w:val="0"/>
          <w:bCs/>
          <w:color w:val="auto"/>
          <w:kern w:val="0"/>
          <w:sz w:val="32"/>
          <w:szCs w:val="32"/>
        </w:rPr>
        <w:t>辆。</w:t>
      </w:r>
    </w:p>
    <w:p>
      <w:pPr>
        <w:pStyle w:val="13"/>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八、政府性基金预算收入支出决算情况</w:t>
      </w:r>
    </w:p>
    <w:p>
      <w:pPr>
        <w:pStyle w:val="13"/>
        <w:ind w:firstLine="640" w:firstLineChars="200"/>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rPr>
        <w:t>2021年度本单位无政府性基金收支</w:t>
      </w:r>
      <w:r>
        <w:rPr>
          <w:rFonts w:hint="eastAsia" w:ascii="仿宋" w:hAnsi="仿宋" w:eastAsia="仿宋" w:cs="仿宋"/>
          <w:b w:val="0"/>
          <w:bCs/>
          <w:color w:val="auto"/>
          <w:kern w:val="0"/>
          <w:sz w:val="32"/>
          <w:szCs w:val="32"/>
          <w:lang w:eastAsia="zh-CN"/>
        </w:rPr>
        <w:t>。</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九、</w:t>
      </w:r>
      <w:r>
        <w:rPr>
          <w:rFonts w:hint="eastAsia" w:hAnsi="黑体" w:cs="Times New Roman"/>
          <w:color w:val="auto"/>
          <w:kern w:val="0"/>
          <w:sz w:val="32"/>
          <w:szCs w:val="32"/>
          <w:lang w:val="en-US" w:eastAsia="zh-CN"/>
        </w:rPr>
        <w:t>国有资本经营预算财政拨款支出决算情况</w:t>
      </w:r>
      <w:r>
        <w:rPr>
          <w:rFonts w:hint="eastAsia" w:hAnsi="黑体" w:cs="Times New Roman"/>
          <w:color w:val="auto"/>
          <w:kern w:val="0"/>
          <w:sz w:val="32"/>
          <w:szCs w:val="32"/>
        </w:rPr>
        <w:t>说明</w:t>
      </w:r>
    </w:p>
    <w:p>
      <w:pPr>
        <w:pStyle w:val="13"/>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Theme="minorEastAsia" w:hAnsiTheme="minorEastAsia" w:eastAsiaTheme="minorEastAsia" w:cstheme="minorBidi"/>
          <w:color w:val="auto"/>
          <w:kern w:val="2"/>
          <w:sz w:val="32"/>
          <w:szCs w:val="32"/>
          <w:lang w:val="en-US" w:eastAsia="zh-CN" w:bidi="ar-SA"/>
        </w:rPr>
      </w:pPr>
      <w:r>
        <w:rPr>
          <w:rFonts w:hint="eastAsia" w:ascii="仿宋" w:hAnsi="仿宋" w:eastAsia="仿宋" w:cs="仿宋"/>
          <w:b w:val="0"/>
          <w:bCs/>
          <w:color w:val="auto"/>
          <w:kern w:val="0"/>
          <w:sz w:val="32"/>
          <w:szCs w:val="32"/>
          <w:lang w:val="en-US" w:eastAsia="zh-CN"/>
        </w:rPr>
        <w:t>2021年度本单位无国有资本经营预算财政拨款支出。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lang w:val="en-US" w:eastAsia="zh-CN"/>
        </w:rPr>
        <w:t>十</w:t>
      </w:r>
      <w:r>
        <w:rPr>
          <w:rFonts w:hint="eastAsia" w:hAnsi="黑体" w:cs="Times New Roman"/>
          <w:color w:val="auto"/>
          <w:kern w:val="0"/>
          <w:sz w:val="32"/>
          <w:szCs w:val="32"/>
        </w:rPr>
        <w:t>、机关运行经费支出说明</w:t>
      </w:r>
    </w:p>
    <w:p>
      <w:pPr>
        <w:pStyle w:val="13"/>
        <w:ind w:firstLine="640" w:firstLineChars="200"/>
        <w:rPr>
          <w:rFonts w:hint="eastAsia" w:asciiTheme="minorEastAsia" w:hAnsiTheme="minorEastAsia" w:eastAsiaTheme="minorEastAsia"/>
          <w:color w:val="auto"/>
          <w:sz w:val="32"/>
          <w:szCs w:val="32"/>
          <w:lang w:val="en-US" w:eastAsia="zh-CN"/>
        </w:rPr>
      </w:pPr>
      <w:r>
        <w:rPr>
          <w:rFonts w:hint="eastAsia" w:ascii="仿宋" w:hAnsi="仿宋" w:eastAsia="仿宋" w:cs="仿宋"/>
          <w:b w:val="0"/>
          <w:bCs/>
          <w:color w:val="auto"/>
          <w:kern w:val="0"/>
          <w:sz w:val="32"/>
          <w:szCs w:val="32"/>
          <w:lang w:val="en-US" w:eastAsia="zh-CN"/>
        </w:rPr>
        <w:t>本部门2021年度机关运行经费支出250.57万元，比上年决算数减少89.72万元，降低26.37%。主要原因是：我局坚持厉行节约，严控一般性支出，办公费、邮电费、会议费、委托业务费、其他交通费用等支出减少。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hAnsi="黑体" w:cs="Times New Roman"/>
          <w:color w:val="auto"/>
          <w:kern w:val="0"/>
          <w:sz w:val="32"/>
          <w:szCs w:val="32"/>
          <w:lang w:val="en-US" w:eastAsia="zh-CN"/>
        </w:rPr>
      </w:pPr>
      <w:r>
        <w:rPr>
          <w:rFonts w:hint="eastAsia" w:hAnsi="黑体" w:cs="Times New Roman"/>
          <w:color w:val="auto"/>
          <w:kern w:val="0"/>
          <w:sz w:val="32"/>
          <w:szCs w:val="32"/>
          <w:lang w:val="en-US" w:eastAsia="zh-CN"/>
        </w:rPr>
        <w:t>十一、一般性支出情况说明</w:t>
      </w:r>
    </w:p>
    <w:p>
      <w:pPr>
        <w:pStyle w:val="13"/>
        <w:ind w:firstLine="640" w:firstLineChars="200"/>
        <w:rPr>
          <w:rFonts w:hint="eastAsia" w:asciiTheme="minorEastAsia" w:hAnsiTheme="minorEastAsia" w:eastAsiaTheme="minorEastAsia"/>
          <w:color w:val="auto"/>
          <w:sz w:val="32"/>
          <w:szCs w:val="32"/>
          <w:lang w:eastAsia="zh-CN"/>
        </w:rPr>
      </w:pPr>
      <w:r>
        <w:rPr>
          <w:rFonts w:hint="eastAsia" w:ascii="仿宋" w:hAnsi="仿宋" w:eastAsia="仿宋" w:cs="仿宋"/>
          <w:b w:val="0"/>
          <w:bCs/>
          <w:color w:val="auto"/>
          <w:kern w:val="0"/>
          <w:sz w:val="32"/>
          <w:szCs w:val="32"/>
          <w:lang w:val="en-US" w:eastAsia="zh-CN"/>
        </w:rPr>
        <w:t>2021年本部门开支会议费9.82万元，用于召开全市产业园区高质量发展工作座谈会议，人数20人，内容为推进全市产业园区高质量发展工作，促进园区之间沟通交流；召开全市产业园区环保信用评价工作推进会议，人数36人，内容为进一步推进全市产业园区环保信用评价工作；召开全市工业行业既民爆安全生产工作会议，人数60人，内容为进一步压实安全生产责任，落实民爆行业安全生产专项整治三年行动工作要求；召开《怀化市工业和信息化“十四五”发展规划》编制专家座谈会议，人数12人，内容为汇报规划编制情况并提出相关建议；召开联合举办先进陶瓷材料发展运用，工业固废循环运用专题讲座会议，人数40人，内容为工业固废循环利用专题讲座及先进陶瓷材料发展趋势和应用分析；召开全市“五好”园区创建工作座谈会，人数28人，内容为总结园区创建工作情况，分析存在问题并提出下阶段打算；召开全市“专精特新”企业座谈会议，人数104人，内容为“专精特新”企业座谈等；召开全市水泥行业高质量发展调研座谈会，人数14人，内容为对全省水泥行业高质量发展研究专题调研，推动水泥行业优化升级；召开全市公共卫生应急物资采购储备轮换工作座谈会，人数32人，内容为座谈交流各地当前疫情防控公共卫生应急物资保障工作综合情况。开支培训费15.25万元，用于开展“两上三化”培训，人数100人，内容为提升工信系统统筹协调和指导服务能力，加快推进中小企业上云平台和数字化网络化智能化发展；开展怀化市中小企业“专精特新”小巨人专题培训，人数150人，内容为“专精特新”小巨人专题培训；参加苏州工业园区举办湖南省开发区创建“五好”园区推动高质量发展专题研修班培训，人数2人，内容为加快推进园区高质量发展，充分发挥园区在“三高四新”战略中的支撑作用。无节庆、晚会、论坛、赛事活动开支。</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color w:val="auto"/>
          <w:kern w:val="0"/>
          <w:sz w:val="32"/>
          <w:szCs w:val="32"/>
          <w:lang w:val="en-US" w:eastAsia="zh-CN"/>
        </w:rPr>
      </w:pPr>
      <w:r>
        <w:rPr>
          <w:rFonts w:hint="eastAsia" w:ascii="仿宋" w:hAnsi="仿宋" w:eastAsia="仿宋" w:cs="仿宋"/>
          <w:b/>
          <w:color w:val="auto"/>
          <w:kern w:val="0"/>
          <w:sz w:val="32"/>
          <w:szCs w:val="32"/>
          <w:lang w:val="en-US" w:eastAsia="zh-CN"/>
        </w:rPr>
        <w:t>十二、政府采购支出说明</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本部门2021年度政府采购支出总额368.84万元，其中：政府采购货物支出368.84万元、政府采购工程支出0万元、政府采购服务支出0万元。授予中小企业合同金额368.84万元，占政府采购支出总额的100%，其中：授予小微企业合同金额368.84万元，占授予中小企业合同金额的100%；货物采购授予中小企业合同金额占货物支出金额的100%，工程采购授予中小企业合同金额占工程支出金额的0%，服务采购授予中小企业合同金额占服务支出金额的0%。</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color w:val="auto"/>
          <w:kern w:val="0"/>
          <w:sz w:val="32"/>
          <w:szCs w:val="32"/>
          <w:lang w:val="en-US" w:eastAsia="zh-CN"/>
        </w:rPr>
      </w:pPr>
      <w:r>
        <w:rPr>
          <w:rFonts w:hint="eastAsia" w:ascii="仿宋" w:hAnsi="仿宋" w:eastAsia="仿宋" w:cs="仿宋"/>
          <w:b/>
          <w:color w:val="auto"/>
          <w:kern w:val="0"/>
          <w:sz w:val="32"/>
          <w:szCs w:val="32"/>
          <w:lang w:val="en-US" w:eastAsia="zh-CN"/>
        </w:rPr>
        <w:t>十三、国有资产占用情况说明</w:t>
      </w:r>
    </w:p>
    <w:p>
      <w:pPr>
        <w:pStyle w:val="13"/>
        <w:ind w:firstLine="640" w:firstLineChars="200"/>
        <w:rPr>
          <w:rFonts w:asciiTheme="minorEastAsia" w:hAnsiTheme="minorEastAsia" w:eastAsiaTheme="minorEastAsia"/>
          <w:color w:val="auto"/>
          <w:sz w:val="32"/>
          <w:szCs w:val="32"/>
        </w:rPr>
      </w:pPr>
      <w:r>
        <w:rPr>
          <w:rFonts w:hint="eastAsia" w:ascii="仿宋" w:hAnsi="仿宋" w:eastAsia="仿宋" w:cs="仿宋"/>
          <w:b w:val="0"/>
          <w:bCs/>
          <w:color w:val="auto"/>
          <w:kern w:val="0"/>
          <w:sz w:val="32"/>
          <w:szCs w:val="32"/>
          <w:lang w:val="en-US" w:eastAsia="zh-CN"/>
        </w:rPr>
        <w:t>截至2021年12月31日，工业和信息化局本级共有车辆7辆，其中，主要领导干部用车0辆，机要通信用车0辆、应急保障用车0辆、执法执勤用车0辆、特种专业技术用车0辆、其他用车7辆，其他用车主要是业务用车；单位价值50万元以上通用设备0台（套）；单位价值100万元以上专用设备0台（套）。</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color w:val="auto"/>
          <w:kern w:val="0"/>
          <w:sz w:val="32"/>
          <w:szCs w:val="32"/>
          <w:lang w:val="en-US" w:eastAsia="zh-CN"/>
        </w:rPr>
      </w:pPr>
      <w:r>
        <w:rPr>
          <w:rFonts w:hint="eastAsia" w:ascii="仿宋" w:hAnsi="仿宋" w:eastAsia="仿宋" w:cs="仿宋"/>
          <w:b/>
          <w:color w:val="auto"/>
          <w:kern w:val="0"/>
          <w:sz w:val="32"/>
          <w:szCs w:val="32"/>
          <w:lang w:val="en-US" w:eastAsia="zh-CN"/>
        </w:rPr>
        <w:t>十四、2021年度预算绩效情况说明</w:t>
      </w:r>
    </w:p>
    <w:p>
      <w:pPr>
        <w:pStyle w:val="13"/>
        <w:ind w:firstLine="640" w:firstLineChars="200"/>
        <w:rPr>
          <w:rFonts w:hint="default"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（1）绩效管理评价工作开展情况。</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根据预算绩效管理要求，我部门组织对2021年度一般公共预算项目支出全面开展绩效自评，其中，</w:t>
      </w:r>
      <w:r>
        <w:rPr>
          <w:rFonts w:hint="default" w:ascii="仿宋" w:hAnsi="仿宋" w:eastAsia="仿宋" w:cs="仿宋"/>
          <w:b w:val="0"/>
          <w:bCs/>
          <w:color w:val="auto"/>
          <w:kern w:val="0"/>
          <w:sz w:val="32"/>
          <w:szCs w:val="32"/>
          <w:lang w:val="en-US" w:eastAsia="zh-CN"/>
        </w:rPr>
        <w:t>项目</w:t>
      </w:r>
      <w:r>
        <w:rPr>
          <w:rFonts w:hint="eastAsia" w:ascii="仿宋" w:hAnsi="仿宋" w:eastAsia="仿宋" w:cs="仿宋"/>
          <w:b w:val="0"/>
          <w:bCs/>
          <w:color w:val="auto"/>
          <w:kern w:val="0"/>
          <w:sz w:val="32"/>
          <w:szCs w:val="32"/>
          <w:lang w:val="en-US" w:eastAsia="zh-CN"/>
        </w:rPr>
        <w:t>支出12个，</w:t>
      </w:r>
      <w:r>
        <w:rPr>
          <w:rFonts w:hint="default" w:ascii="仿宋" w:hAnsi="仿宋" w:eastAsia="仿宋" w:cs="仿宋"/>
          <w:b w:val="0"/>
          <w:bCs/>
          <w:color w:val="auto"/>
          <w:kern w:val="0"/>
          <w:sz w:val="32"/>
          <w:szCs w:val="32"/>
          <w:lang w:val="en-US" w:eastAsia="zh-CN"/>
        </w:rPr>
        <w:t>共</w:t>
      </w:r>
      <w:r>
        <w:rPr>
          <w:rFonts w:hint="eastAsia" w:ascii="仿宋" w:hAnsi="仿宋" w:eastAsia="仿宋" w:cs="仿宋"/>
          <w:b w:val="0"/>
          <w:bCs/>
          <w:color w:val="auto"/>
          <w:kern w:val="0"/>
          <w:sz w:val="32"/>
          <w:szCs w:val="32"/>
          <w:lang w:val="en-US" w:eastAsia="zh-CN"/>
        </w:rPr>
        <w:t>涉及资金2375.77万元，占一般公共预算项目支出总额的100%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组织对“十四五编制规划”“规模企业培育工作经费”等12个项目开展了部门评价，涉及一般公共预算支出3745.25万元，政府性基金预算支出0万元，国有资本经营预算支出0万元。从评价情况来看，我部门从经济性、效率性、有效性和可持续性对2021年部门整体支出绩效开展了评价，自评得分为98.5分，达到预期目标。</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组织对“怀化市工业和信息化局”“怀化市无线电监测站”等2个单位开展整体支出绩效评价，涉及一般公共预算支出4069.86万元，政府性基金预算支出0万元，国有资本经营预算支出0万元。基本支出1495.93万元，占总支出的36.76%，使用内容为人员经费和日常公用经费；项目支出2573.93万元，占总支出的63.24%。从评价情况来看，通过财政资金的直接引导，实现了“以产业发展为突破，优化工业结构，发展特色支柱产业；以园区倍增为契机，做强园区经济；以项目建设和工业招商为抓手，做大工业总量；以运行监测为手段，稳定经济增长，以智慧怀化为平台，推动经济增长”的整体目标，积极履职，强化管理，较好地完成年度工作。</w:t>
      </w:r>
    </w:p>
    <w:p>
      <w:pPr>
        <w:pStyle w:val="13"/>
        <w:ind w:firstLine="640" w:firstLineChars="200"/>
        <w:rPr>
          <w:rFonts w:hint="eastAsia" w:ascii="仿宋" w:hAnsi="仿宋" w:eastAsia="仿宋" w:cs="仿宋"/>
          <w:b/>
          <w:bCs w:val="0"/>
          <w:color w:val="auto"/>
          <w:kern w:val="0"/>
          <w:sz w:val="32"/>
          <w:szCs w:val="32"/>
          <w:lang w:val="en-US" w:eastAsia="zh-CN"/>
        </w:rPr>
      </w:pPr>
      <w:bookmarkStart w:id="0" w:name="_GoBack"/>
      <w:bookmarkEnd w:id="0"/>
      <w:r>
        <w:rPr>
          <w:rFonts w:hint="eastAsia" w:ascii="仿宋" w:hAnsi="仿宋" w:eastAsia="仿宋" w:cs="仿宋"/>
          <w:b/>
          <w:bCs w:val="0"/>
          <w:color w:val="auto"/>
          <w:kern w:val="0"/>
          <w:sz w:val="32"/>
          <w:szCs w:val="32"/>
          <w:lang w:val="en-US" w:eastAsia="zh-CN"/>
        </w:rPr>
        <w:t>（2）部门评价项目绩效评价结果。</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本部门2021年度预算绩效管理开展情况、绩效目标和绩效评价报告按照市财政局绩效部门要求已公开（详见附件）。</w:t>
      </w:r>
    </w:p>
    <w:p>
      <w:pPr>
        <w:pStyle w:val="13"/>
        <w:jc w:val="left"/>
        <w:rPr>
          <w:rFonts w:hint="eastAsia" w:cs="黑体" w:asciiTheme="minorEastAsia" w:hAnsiTheme="minorEastAsia" w:eastAsiaTheme="minorEastAsia"/>
          <w:color w:val="auto"/>
          <w:kern w:val="0"/>
          <w:sz w:val="32"/>
          <w:szCs w:val="32"/>
          <w:lang w:val="en-US" w:eastAsia="zh-CN" w:bidi="ar-SA"/>
        </w:rPr>
      </w:pPr>
    </w:p>
    <w:p>
      <w:pPr>
        <w:keepNext w:val="0"/>
        <w:keepLines w:val="0"/>
        <w:pageBreakBefore w:val="0"/>
        <w:widowControl/>
        <w:numPr>
          <w:ilvl w:val="0"/>
          <w:numId w:val="1"/>
        </w:numPr>
        <w:kinsoku/>
        <w:wordWrap/>
        <w:overflowPunct/>
        <w:topLinePunct w:val="0"/>
        <w:bidi w:val="0"/>
        <w:snapToGrid/>
        <w:spacing w:line="600" w:lineRule="exact"/>
        <w:ind w:left="0" w:leftChars="0" w:firstLine="0" w:firstLineChars="0"/>
        <w:jc w:val="center"/>
        <w:textAlignment w:val="auto"/>
        <w:rPr>
          <w:rFonts w:hint="eastAsia" w:ascii="黑体" w:hAnsi="黑体" w:eastAsia="黑体" w:cs="黑体"/>
          <w:bCs/>
          <w:color w:val="auto"/>
          <w:kern w:val="0"/>
          <w:sz w:val="44"/>
          <w:szCs w:val="44"/>
        </w:rPr>
      </w:pPr>
      <w:r>
        <w:rPr>
          <w:rFonts w:hint="eastAsia" w:ascii="黑体" w:hAnsi="黑体" w:eastAsia="黑体" w:cs="黑体"/>
          <w:bCs/>
          <w:color w:val="auto"/>
          <w:kern w:val="0"/>
          <w:sz w:val="44"/>
          <w:szCs w:val="44"/>
        </w:rPr>
        <w:t>名词解释</w:t>
      </w:r>
    </w:p>
    <w:p>
      <w:pPr>
        <w:keepNext w:val="0"/>
        <w:keepLines w:val="0"/>
        <w:pageBreakBefore w:val="0"/>
        <w:widowControl/>
        <w:numPr>
          <w:ilvl w:val="0"/>
          <w:numId w:val="0"/>
        </w:numPr>
        <w:kinsoku/>
        <w:wordWrap/>
        <w:overflowPunct/>
        <w:topLinePunct w:val="0"/>
        <w:bidi w:val="0"/>
        <w:snapToGrid/>
        <w:spacing w:line="600" w:lineRule="exact"/>
        <w:ind w:leftChars="0"/>
        <w:jc w:val="both"/>
        <w:textAlignment w:val="auto"/>
        <w:rPr>
          <w:rFonts w:hint="eastAsia" w:ascii="黑体" w:hAnsi="黑体" w:eastAsia="黑体" w:cs="黑体"/>
          <w:bCs/>
          <w:color w:val="auto"/>
          <w:kern w:val="0"/>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财政拨款收入：指财政当年拨付的资金。包括一般公共预算财政拨款和政府性基金财政拨款。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上级补助收入：指事业单位从主管部门和上级单位取得的非财政补助收入。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事业收入：指事业单位开展专业业务活动及辅助活动所取得的收入。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经营收入：指事业单位在专业业务活动及其辅助活动之外开展非独立核算经营活动取得的收入。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附属单位上缴收入：指事业单位附属独立核算单位按照有关规定上缴的收入。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其他收入：指除上述“财政拨款收入”、“事业收入”、“经营收入”等以外的收入。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年初结转和结余：指以前年度尚未完成、结转到本年按有关规定继续使用的资金。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结余分配：指事业单位按规定从非财政补助结余中分配的事业基金和职工福利基金等。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基本支出：指为保障机构正常运转、完成日常工作任务而发生的人员支出和公用支出。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项目支出：指在基本支出之外为完成特定行政任务和事业发展目标所发生的支出。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经营支出：指事业单位在专业业务活动及其辅助活动之外开展非独立核算经营活动所发生的支出。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jc w:val="center"/>
        <w:rPr>
          <w:rFonts w:hint="eastAsia" w:ascii="仿宋" w:hAnsi="仿宋" w:eastAsia="仿宋" w:cs="仿宋"/>
          <w:i w:val="0"/>
          <w:iCs w:val="0"/>
          <w:caps w:val="0"/>
          <w:color w:val="auto"/>
          <w:spacing w:val="0"/>
          <w:sz w:val="32"/>
          <w:szCs w:val="32"/>
          <w:shd w:val="clear" w:color="auto" w:fill="FFFFFF"/>
        </w:rPr>
      </w:pPr>
    </w:p>
    <w:p>
      <w:pPr>
        <w:keepNext w:val="0"/>
        <w:keepLines w:val="0"/>
        <w:pageBreakBefore w:val="0"/>
        <w:numPr>
          <w:ilvl w:val="0"/>
          <w:numId w:val="2"/>
        </w:numPr>
        <w:kinsoku/>
        <w:wordWrap/>
        <w:overflowPunct/>
        <w:topLinePunct w:val="0"/>
        <w:bidi w:val="0"/>
        <w:snapToGrid/>
        <w:spacing w:line="600" w:lineRule="exact"/>
        <w:jc w:val="center"/>
        <w:textAlignment w:val="auto"/>
        <w:rPr>
          <w:rFonts w:hint="eastAsia" w:ascii="黑体" w:hAnsi="黑体" w:eastAsia="黑体" w:cs="黑体"/>
          <w:bCs/>
          <w:color w:val="auto"/>
          <w:kern w:val="0"/>
          <w:sz w:val="44"/>
          <w:szCs w:val="44"/>
          <w:lang w:val="en-US" w:eastAsia="zh-CN"/>
        </w:rPr>
      </w:pPr>
      <w:r>
        <w:rPr>
          <w:rFonts w:hint="eastAsia" w:ascii="黑体" w:hAnsi="黑体" w:eastAsia="黑体" w:cs="黑体"/>
          <w:bCs/>
          <w:color w:val="auto"/>
          <w:kern w:val="0"/>
          <w:sz w:val="44"/>
          <w:szCs w:val="44"/>
          <w:lang w:val="en-US" w:eastAsia="zh-CN"/>
        </w:rPr>
        <w:t>附件</w:t>
      </w:r>
    </w:p>
    <w:p>
      <w:pPr>
        <w:keepNext w:val="0"/>
        <w:keepLines w:val="0"/>
        <w:pageBreakBefore w:val="0"/>
        <w:numPr>
          <w:ilvl w:val="0"/>
          <w:numId w:val="0"/>
        </w:numPr>
        <w:kinsoku/>
        <w:wordWrap/>
        <w:overflowPunct/>
        <w:topLinePunct w:val="0"/>
        <w:bidi w:val="0"/>
        <w:snapToGrid/>
        <w:spacing w:line="600" w:lineRule="exact"/>
        <w:jc w:val="both"/>
        <w:textAlignment w:val="auto"/>
        <w:rPr>
          <w:rFonts w:hint="eastAsia" w:ascii="黑体" w:hAnsi="黑体" w:eastAsia="黑体" w:cs="黑体"/>
          <w:bCs/>
          <w:color w:val="auto"/>
          <w:kern w:val="0"/>
          <w:sz w:val="44"/>
          <w:szCs w:val="44"/>
          <w:lang w:val="en-US" w:eastAsia="zh-CN"/>
        </w:rPr>
      </w:pPr>
    </w:p>
    <w:p>
      <w:pPr>
        <w:keepNext w:val="0"/>
        <w:keepLines w:val="0"/>
        <w:pageBreakBefore w:val="0"/>
        <w:widowControl/>
        <w:kinsoku/>
        <w:wordWrap/>
        <w:overflowPunct/>
        <w:topLinePunct w:val="0"/>
        <w:bidi w:val="0"/>
        <w:snapToGrid/>
        <w:spacing w:line="600" w:lineRule="exact"/>
        <w:ind w:firstLine="960" w:firstLineChars="3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年度部门整体支出绩效评价报告</w:t>
      </w:r>
    </w:p>
    <w:p>
      <w:pPr>
        <w:keepNext w:val="0"/>
        <w:keepLines w:val="0"/>
        <w:pageBreakBefore w:val="0"/>
        <w:widowControl/>
        <w:kinsoku/>
        <w:wordWrap/>
        <w:overflowPunct/>
        <w:topLinePunct w:val="0"/>
        <w:bidi w:val="0"/>
        <w:snapToGrid/>
        <w:spacing w:line="600" w:lineRule="exact"/>
        <w:ind w:firstLine="960" w:firstLineChars="3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年度</w:t>
      </w:r>
      <w:r>
        <w:rPr>
          <w:rFonts w:hint="eastAsia" w:ascii="仿宋" w:hAnsi="仿宋" w:eastAsia="仿宋" w:cs="仿宋"/>
          <w:color w:val="auto"/>
          <w:sz w:val="32"/>
          <w:szCs w:val="32"/>
          <w:lang w:val="en-US" w:eastAsia="zh-CN"/>
        </w:rPr>
        <w:t>部门决算公开表格</w:t>
      </w:r>
    </w:p>
    <w:p>
      <w:pPr>
        <w:pStyle w:val="13"/>
        <w:keepNext w:val="0"/>
        <w:keepLines w:val="0"/>
        <w:pageBreakBefore w:val="0"/>
        <w:kinsoku/>
        <w:wordWrap/>
        <w:overflowPunct/>
        <w:topLinePunct w:val="0"/>
        <w:bidi w:val="0"/>
        <w:snapToGrid/>
        <w:spacing w:line="600" w:lineRule="exact"/>
        <w:ind w:firstLine="960" w:firstLineChars="3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单位本年度无重点支出项目。</w:t>
      </w:r>
    </w:p>
    <w:p>
      <w:pPr>
        <w:keepNext w:val="0"/>
        <w:keepLines w:val="0"/>
        <w:pageBreakBefore w:val="0"/>
        <w:widowControl/>
        <w:kinsoku/>
        <w:wordWrap/>
        <w:overflowPunct/>
        <w:topLinePunct w:val="0"/>
        <w:bidi w:val="0"/>
        <w:snapToGrid/>
        <w:spacing w:line="600" w:lineRule="exact"/>
        <w:ind w:firstLine="960" w:firstLineChars="300"/>
        <w:jc w:val="both"/>
        <w:textAlignment w:val="auto"/>
        <w:rPr>
          <w:rFonts w:hint="default" w:ascii="仿宋" w:hAnsi="仿宋" w:eastAsia="仿宋" w:cs="仿宋"/>
          <w:color w:val="auto"/>
          <w:sz w:val="32"/>
          <w:szCs w:val="32"/>
          <w:lang w:val="en-US" w:eastAsia="zh-CN"/>
        </w:rPr>
      </w:pPr>
    </w:p>
    <w:p>
      <w:pPr>
        <w:pStyle w:val="4"/>
        <w:rPr>
          <w:rFonts w:hint="eastAsia" w:ascii="仿宋" w:hAnsi="仿宋" w:eastAsia="仿宋" w:cs="仿宋"/>
          <w:color w:val="auto"/>
          <w:sz w:val="32"/>
          <w:szCs w:val="32"/>
          <w:lang w:val="en-US" w:eastAsia="zh-CN"/>
        </w:rPr>
      </w:pPr>
    </w:p>
    <w:p>
      <w:pPr>
        <w:pStyle w:val="4"/>
        <w:ind w:firstLine="6726" w:firstLineChars="2102"/>
        <w:rPr>
          <w:rFonts w:hint="eastAsia" w:asciiTheme="minorEastAsia" w:hAnsiTheme="minorEastAsia" w:eastAsiaTheme="minorEastAsia" w:cstheme="minorEastAsia"/>
          <w:color w:val="auto"/>
          <w:kern w:val="0"/>
          <w:sz w:val="32"/>
          <w:szCs w:val="32"/>
          <w:lang w:val="en-US" w:eastAsia="zh-CN"/>
        </w:rPr>
      </w:pPr>
      <w:r>
        <w:rPr>
          <w:rFonts w:hint="eastAsia" w:asciiTheme="minorEastAsia" w:hAnsiTheme="minorEastAsia" w:eastAsiaTheme="minorEastAsia" w:cstheme="minorEastAsia"/>
          <w:color w:val="auto"/>
          <w:kern w:val="0"/>
          <w:sz w:val="32"/>
          <w:szCs w:val="32"/>
          <w:lang w:val="en-US" w:eastAsia="zh-CN"/>
        </w:rPr>
        <w:t>怀化市工业和信息化局</w:t>
      </w:r>
    </w:p>
    <w:p>
      <w:pPr>
        <w:pStyle w:val="4"/>
        <w:ind w:firstLine="7046" w:firstLineChars="2202"/>
        <w:rPr>
          <w:rFonts w:hint="default" w:cs="黑体" w:asciiTheme="minorEastAsia" w:hAnsiTheme="minorEastAsia" w:eastAsiaTheme="minorEastAsia"/>
          <w:color w:val="auto"/>
          <w:kern w:val="0"/>
          <w:sz w:val="32"/>
          <w:szCs w:val="32"/>
          <w:lang w:val="en-US" w:eastAsia="zh-CN"/>
        </w:rPr>
      </w:pPr>
      <w:r>
        <w:rPr>
          <w:rFonts w:hint="eastAsia" w:asciiTheme="minorEastAsia" w:hAnsiTheme="minorEastAsia" w:eastAsiaTheme="minorEastAsia" w:cstheme="minorEastAsia"/>
          <w:color w:val="auto"/>
          <w:kern w:val="0"/>
          <w:sz w:val="32"/>
          <w:szCs w:val="32"/>
          <w:lang w:val="en-US" w:eastAsia="zh-CN"/>
        </w:rPr>
        <w:t>2022年8月2</w:t>
      </w:r>
      <w:r>
        <w:rPr>
          <w:rFonts w:hint="eastAsia" w:asciiTheme="minorEastAsia" w:hAnsiTheme="minorEastAsia" w:cstheme="minorEastAsia"/>
          <w:color w:val="auto"/>
          <w:kern w:val="0"/>
          <w:sz w:val="32"/>
          <w:szCs w:val="32"/>
          <w:lang w:val="en-US" w:eastAsia="zh-CN"/>
        </w:rPr>
        <w:t>6</w:t>
      </w:r>
      <w:r>
        <w:rPr>
          <w:rFonts w:hint="eastAsia" w:asciiTheme="minorEastAsia" w:hAnsiTheme="minorEastAsia" w:eastAsiaTheme="minorEastAsia" w:cstheme="minorEastAsia"/>
          <w:color w:val="auto"/>
          <w:kern w:val="0"/>
          <w:sz w:val="32"/>
          <w:szCs w:val="32"/>
          <w:lang w:val="en-US" w:eastAsia="zh-CN"/>
        </w:rPr>
        <w:t>日</w:t>
      </w:r>
    </w:p>
    <w:sectPr>
      <w:footerReference r:id="rId3" w:type="default"/>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F8D32"/>
    <w:multiLevelType w:val="singleLevel"/>
    <w:tmpl w:val="9F8F8D32"/>
    <w:lvl w:ilvl="0" w:tentative="0">
      <w:start w:val="5"/>
      <w:numFmt w:val="chineseCounting"/>
      <w:suff w:val="space"/>
      <w:lvlText w:val="第%1部分"/>
      <w:lvlJc w:val="left"/>
      <w:rPr>
        <w:rFonts w:hint="eastAsia"/>
      </w:rPr>
    </w:lvl>
  </w:abstractNum>
  <w:abstractNum w:abstractNumId="1">
    <w:nsid w:val="5C65A54F"/>
    <w:multiLevelType w:val="singleLevel"/>
    <w:tmpl w:val="5C65A54F"/>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GNhNmY0YjU4NjVkOWQ2N2E3YzdhNWFmNzAwMT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D0404"/>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336E3"/>
    <w:rsid w:val="0084478C"/>
    <w:rsid w:val="0086638C"/>
    <w:rsid w:val="008A3E8D"/>
    <w:rsid w:val="009237C4"/>
    <w:rsid w:val="00944C48"/>
    <w:rsid w:val="00950252"/>
    <w:rsid w:val="00967F5D"/>
    <w:rsid w:val="009A0F95"/>
    <w:rsid w:val="009B3ADF"/>
    <w:rsid w:val="009C3B52"/>
    <w:rsid w:val="009E5347"/>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1112DC"/>
    <w:rsid w:val="022A49B8"/>
    <w:rsid w:val="024617F2"/>
    <w:rsid w:val="027F31E2"/>
    <w:rsid w:val="02AE05FE"/>
    <w:rsid w:val="03D33559"/>
    <w:rsid w:val="05191440"/>
    <w:rsid w:val="0543026B"/>
    <w:rsid w:val="057E53A0"/>
    <w:rsid w:val="05CC4F4B"/>
    <w:rsid w:val="05D70424"/>
    <w:rsid w:val="06255BC2"/>
    <w:rsid w:val="063858F6"/>
    <w:rsid w:val="078C55A3"/>
    <w:rsid w:val="08100F99"/>
    <w:rsid w:val="096B4265"/>
    <w:rsid w:val="097C2AB1"/>
    <w:rsid w:val="097F383C"/>
    <w:rsid w:val="09AB7C5E"/>
    <w:rsid w:val="09C37BCC"/>
    <w:rsid w:val="09F91840"/>
    <w:rsid w:val="0A6036B8"/>
    <w:rsid w:val="0AE147AE"/>
    <w:rsid w:val="0B2B5A29"/>
    <w:rsid w:val="0B3163C6"/>
    <w:rsid w:val="0B4F062E"/>
    <w:rsid w:val="0C4B5C57"/>
    <w:rsid w:val="0C787D7B"/>
    <w:rsid w:val="0C832B91"/>
    <w:rsid w:val="0C8E44C1"/>
    <w:rsid w:val="0CE2480D"/>
    <w:rsid w:val="0D9A50E8"/>
    <w:rsid w:val="0E813BB2"/>
    <w:rsid w:val="0EAB7F23"/>
    <w:rsid w:val="0EBE6BB4"/>
    <w:rsid w:val="0F4E7F38"/>
    <w:rsid w:val="0F9F0794"/>
    <w:rsid w:val="0FD85A54"/>
    <w:rsid w:val="0FFE370C"/>
    <w:rsid w:val="10141182"/>
    <w:rsid w:val="108300B5"/>
    <w:rsid w:val="118F60CC"/>
    <w:rsid w:val="11C54C9C"/>
    <w:rsid w:val="121C256F"/>
    <w:rsid w:val="125A5146"/>
    <w:rsid w:val="12BC165D"/>
    <w:rsid w:val="13E93BC1"/>
    <w:rsid w:val="13EF7DF0"/>
    <w:rsid w:val="140B289C"/>
    <w:rsid w:val="14551D69"/>
    <w:rsid w:val="146E25C8"/>
    <w:rsid w:val="14812B5E"/>
    <w:rsid w:val="15127C5A"/>
    <w:rsid w:val="15604521"/>
    <w:rsid w:val="16A94C94"/>
    <w:rsid w:val="16CB6312"/>
    <w:rsid w:val="171A0261"/>
    <w:rsid w:val="17682911"/>
    <w:rsid w:val="17982698"/>
    <w:rsid w:val="17AE0C4C"/>
    <w:rsid w:val="17D25076"/>
    <w:rsid w:val="18335F1D"/>
    <w:rsid w:val="18540949"/>
    <w:rsid w:val="18714C97"/>
    <w:rsid w:val="19924EC5"/>
    <w:rsid w:val="19A846E9"/>
    <w:rsid w:val="19E25E4D"/>
    <w:rsid w:val="19FD67E3"/>
    <w:rsid w:val="1AD87250"/>
    <w:rsid w:val="1BE0460E"/>
    <w:rsid w:val="1C16002F"/>
    <w:rsid w:val="1C182BF9"/>
    <w:rsid w:val="1C8A4018"/>
    <w:rsid w:val="1C8C02F2"/>
    <w:rsid w:val="1CA4388D"/>
    <w:rsid w:val="1D6E626F"/>
    <w:rsid w:val="1E6E4153"/>
    <w:rsid w:val="1E971AB4"/>
    <w:rsid w:val="1ECA6EAF"/>
    <w:rsid w:val="1EF74148"/>
    <w:rsid w:val="1F240050"/>
    <w:rsid w:val="1F833C2E"/>
    <w:rsid w:val="1F953961"/>
    <w:rsid w:val="1FAC211C"/>
    <w:rsid w:val="20182BD0"/>
    <w:rsid w:val="20692E24"/>
    <w:rsid w:val="208D63E6"/>
    <w:rsid w:val="20B3409F"/>
    <w:rsid w:val="20C75D9C"/>
    <w:rsid w:val="211A2370"/>
    <w:rsid w:val="211A31D2"/>
    <w:rsid w:val="212705E9"/>
    <w:rsid w:val="21B5126C"/>
    <w:rsid w:val="21E64000"/>
    <w:rsid w:val="22274D44"/>
    <w:rsid w:val="22E83DA8"/>
    <w:rsid w:val="23151041"/>
    <w:rsid w:val="237174CB"/>
    <w:rsid w:val="2446522A"/>
    <w:rsid w:val="245E07C6"/>
    <w:rsid w:val="24A277D8"/>
    <w:rsid w:val="254C4AC2"/>
    <w:rsid w:val="25FD7B6A"/>
    <w:rsid w:val="2641214D"/>
    <w:rsid w:val="26C012C4"/>
    <w:rsid w:val="275D2FB6"/>
    <w:rsid w:val="279B588D"/>
    <w:rsid w:val="28754330"/>
    <w:rsid w:val="28985A8F"/>
    <w:rsid w:val="28D079E6"/>
    <w:rsid w:val="29564161"/>
    <w:rsid w:val="297939AC"/>
    <w:rsid w:val="29860C11"/>
    <w:rsid w:val="2A104310"/>
    <w:rsid w:val="2A151926"/>
    <w:rsid w:val="2AF67119"/>
    <w:rsid w:val="2B626DED"/>
    <w:rsid w:val="2C2A71DF"/>
    <w:rsid w:val="2C302A48"/>
    <w:rsid w:val="2C561EEC"/>
    <w:rsid w:val="2CFD2A88"/>
    <w:rsid w:val="2D3E2F42"/>
    <w:rsid w:val="2EB01C1E"/>
    <w:rsid w:val="2EC868F6"/>
    <w:rsid w:val="30074426"/>
    <w:rsid w:val="30BF312D"/>
    <w:rsid w:val="310A70F9"/>
    <w:rsid w:val="31277A6D"/>
    <w:rsid w:val="317653A0"/>
    <w:rsid w:val="31892037"/>
    <w:rsid w:val="31D2634F"/>
    <w:rsid w:val="31F97D80"/>
    <w:rsid w:val="320E382B"/>
    <w:rsid w:val="32A55811"/>
    <w:rsid w:val="32A7158A"/>
    <w:rsid w:val="32AF043E"/>
    <w:rsid w:val="338D1796"/>
    <w:rsid w:val="346C65E7"/>
    <w:rsid w:val="356674DA"/>
    <w:rsid w:val="35FE7713"/>
    <w:rsid w:val="36673C2C"/>
    <w:rsid w:val="36B10C29"/>
    <w:rsid w:val="37B54749"/>
    <w:rsid w:val="38832151"/>
    <w:rsid w:val="38A547BD"/>
    <w:rsid w:val="38B72CB1"/>
    <w:rsid w:val="38CD7870"/>
    <w:rsid w:val="394C69E7"/>
    <w:rsid w:val="3969161F"/>
    <w:rsid w:val="3AB331C1"/>
    <w:rsid w:val="3B9C1EA7"/>
    <w:rsid w:val="3BD056AD"/>
    <w:rsid w:val="3C0E0EDC"/>
    <w:rsid w:val="3C917532"/>
    <w:rsid w:val="3C925059"/>
    <w:rsid w:val="3CA37266"/>
    <w:rsid w:val="3CBF4B02"/>
    <w:rsid w:val="3D733273"/>
    <w:rsid w:val="3DF37D79"/>
    <w:rsid w:val="3E9A6446"/>
    <w:rsid w:val="3F1D32FF"/>
    <w:rsid w:val="3F5D7BA0"/>
    <w:rsid w:val="403F64C5"/>
    <w:rsid w:val="405A40DF"/>
    <w:rsid w:val="40D914A8"/>
    <w:rsid w:val="41032081"/>
    <w:rsid w:val="411A2C45"/>
    <w:rsid w:val="426052B1"/>
    <w:rsid w:val="42750D5C"/>
    <w:rsid w:val="429B4A1A"/>
    <w:rsid w:val="43040332"/>
    <w:rsid w:val="432D7612"/>
    <w:rsid w:val="43E268C5"/>
    <w:rsid w:val="44AD1D1C"/>
    <w:rsid w:val="45246A6A"/>
    <w:rsid w:val="45637423"/>
    <w:rsid w:val="46B06807"/>
    <w:rsid w:val="46CC1167"/>
    <w:rsid w:val="46DD3374"/>
    <w:rsid w:val="471D1C50"/>
    <w:rsid w:val="476A10AC"/>
    <w:rsid w:val="484418FD"/>
    <w:rsid w:val="48741AB6"/>
    <w:rsid w:val="4962561C"/>
    <w:rsid w:val="49793828"/>
    <w:rsid w:val="499248EA"/>
    <w:rsid w:val="49B52386"/>
    <w:rsid w:val="4A0778FE"/>
    <w:rsid w:val="4AA47C9C"/>
    <w:rsid w:val="4B9C55AC"/>
    <w:rsid w:val="4BD72A88"/>
    <w:rsid w:val="4BEB7E9C"/>
    <w:rsid w:val="4C1E7928"/>
    <w:rsid w:val="4D0648FA"/>
    <w:rsid w:val="4DD3102D"/>
    <w:rsid w:val="4E6C4606"/>
    <w:rsid w:val="4ED952EF"/>
    <w:rsid w:val="4F253B0A"/>
    <w:rsid w:val="4F5839F6"/>
    <w:rsid w:val="502D0D0A"/>
    <w:rsid w:val="516620D0"/>
    <w:rsid w:val="51A07D84"/>
    <w:rsid w:val="525C7843"/>
    <w:rsid w:val="5268268C"/>
    <w:rsid w:val="52946FDD"/>
    <w:rsid w:val="52B553A9"/>
    <w:rsid w:val="53242A54"/>
    <w:rsid w:val="53DE55DD"/>
    <w:rsid w:val="5422686A"/>
    <w:rsid w:val="54F762D6"/>
    <w:rsid w:val="552C79A0"/>
    <w:rsid w:val="55AF2380"/>
    <w:rsid w:val="56853778"/>
    <w:rsid w:val="57672F12"/>
    <w:rsid w:val="57A57E98"/>
    <w:rsid w:val="57F30C49"/>
    <w:rsid w:val="5834701B"/>
    <w:rsid w:val="589C308F"/>
    <w:rsid w:val="58B20EEC"/>
    <w:rsid w:val="590B3D71"/>
    <w:rsid w:val="59637709"/>
    <w:rsid w:val="59951483"/>
    <w:rsid w:val="59CF7A5A"/>
    <w:rsid w:val="5A29373F"/>
    <w:rsid w:val="5A865BBB"/>
    <w:rsid w:val="5B01542B"/>
    <w:rsid w:val="5B6065F6"/>
    <w:rsid w:val="5BE30FD5"/>
    <w:rsid w:val="5C62639E"/>
    <w:rsid w:val="5C950521"/>
    <w:rsid w:val="5CE60D7D"/>
    <w:rsid w:val="5CF74D38"/>
    <w:rsid w:val="5D36297D"/>
    <w:rsid w:val="5D46181B"/>
    <w:rsid w:val="5FAA6DC9"/>
    <w:rsid w:val="5FEC48FC"/>
    <w:rsid w:val="60237BF2"/>
    <w:rsid w:val="6223212B"/>
    <w:rsid w:val="628232F6"/>
    <w:rsid w:val="62BF2CD9"/>
    <w:rsid w:val="63F024E1"/>
    <w:rsid w:val="642A77A1"/>
    <w:rsid w:val="642F125B"/>
    <w:rsid w:val="642F20C4"/>
    <w:rsid w:val="64833355"/>
    <w:rsid w:val="64C9520C"/>
    <w:rsid w:val="65075D34"/>
    <w:rsid w:val="65167D25"/>
    <w:rsid w:val="662A169A"/>
    <w:rsid w:val="66EF082E"/>
    <w:rsid w:val="676C25EE"/>
    <w:rsid w:val="68B97345"/>
    <w:rsid w:val="68C55A0F"/>
    <w:rsid w:val="691757A0"/>
    <w:rsid w:val="69E00902"/>
    <w:rsid w:val="6A570BC4"/>
    <w:rsid w:val="6A590DE0"/>
    <w:rsid w:val="6B166CD1"/>
    <w:rsid w:val="6B1A224E"/>
    <w:rsid w:val="6BA3608B"/>
    <w:rsid w:val="6BFB1A23"/>
    <w:rsid w:val="6D82064E"/>
    <w:rsid w:val="6E113433"/>
    <w:rsid w:val="6E8201DA"/>
    <w:rsid w:val="6EA27B99"/>
    <w:rsid w:val="6F686462"/>
    <w:rsid w:val="6FC7059A"/>
    <w:rsid w:val="705D2CAC"/>
    <w:rsid w:val="70CD7E32"/>
    <w:rsid w:val="70E05A05"/>
    <w:rsid w:val="711041C2"/>
    <w:rsid w:val="71502811"/>
    <w:rsid w:val="71A14E1B"/>
    <w:rsid w:val="72A20E4A"/>
    <w:rsid w:val="740C6EC3"/>
    <w:rsid w:val="7419658F"/>
    <w:rsid w:val="744F0B5E"/>
    <w:rsid w:val="74FD10F8"/>
    <w:rsid w:val="75503D10"/>
    <w:rsid w:val="75E654F2"/>
    <w:rsid w:val="762F612F"/>
    <w:rsid w:val="76920D97"/>
    <w:rsid w:val="76AD71C1"/>
    <w:rsid w:val="76F35F73"/>
    <w:rsid w:val="77F75794"/>
    <w:rsid w:val="78153E6C"/>
    <w:rsid w:val="79BF0534"/>
    <w:rsid w:val="7B3E36DA"/>
    <w:rsid w:val="7B7B43FF"/>
    <w:rsid w:val="7B932612"/>
    <w:rsid w:val="7BCE2CB0"/>
    <w:rsid w:val="7C1E01BF"/>
    <w:rsid w:val="7E4234E1"/>
    <w:rsid w:val="7EA61CC2"/>
    <w:rsid w:val="7EE5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lock Text"/>
    <w:basedOn w:val="1"/>
    <w:unhideWhenUsed/>
    <w:qFormat/>
    <w:uiPriority w:val="99"/>
    <w:pPr>
      <w:ind w:firstLine="64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paragraph" w:customStyle="1" w:styleId="16">
    <w:name w:val="table of authorities"/>
    <w:basedOn w:val="1"/>
    <w:next w:val="1"/>
    <w:qFormat/>
    <w:uiPriority w:val="0"/>
    <w:pPr>
      <w:ind w:left="420" w:leftChars="200"/>
    </w:pPr>
    <w:rPr>
      <w:rFonts w:ascii="Times New Roman" w:hAnsi="Times New Roman" w:eastAsia="宋体" w:cs="Times New Roman"/>
    </w:rPr>
  </w:style>
  <w:style w:type="character" w:customStyle="1" w:styleId="17">
    <w:name w:val="15"/>
    <w:basedOn w:val="10"/>
    <w:qFormat/>
    <w:uiPriority w:val="0"/>
    <w:rPr>
      <w:rFonts w:hint="default" w:ascii="Times New Roman" w:hAnsi="Times New Roman" w:cs="Times New Roman"/>
      <w:i/>
      <w:iCs/>
    </w:rPr>
  </w:style>
  <w:style w:type="character" w:customStyle="1" w:styleId="18">
    <w:name w:val="10"/>
    <w:basedOn w:val="10"/>
    <w:qFormat/>
    <w:uiPriority w:val="0"/>
    <w:rPr>
      <w:rFonts w:hint="default" w:ascii="Times New Roman" w:hAnsi="Times New Roman" w:cs="Times New Roman"/>
    </w:rPr>
  </w:style>
  <w:style w:type="character" w:customStyle="1" w:styleId="19">
    <w:name w:val="16"/>
    <w:basedOn w:val="10"/>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9039</Words>
  <Characters>9711</Characters>
  <Lines>69</Lines>
  <Paragraphs>19</Paragraphs>
  <TotalTime>0</TotalTime>
  <ScaleCrop>false</ScaleCrop>
  <LinksUpToDate>false</LinksUpToDate>
  <CharactersWithSpaces>9723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琼</cp:lastModifiedBy>
  <cp:lastPrinted>2022-07-27T12:55:00Z</cp:lastPrinted>
  <dcterms:modified xsi:type="dcterms:W3CDTF">2023-10-11T01:21:45Z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6334C12AD5FC485887F4224DB17EC741_13</vt:lpwstr>
  </property>
</Properties>
</file>