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24834">
      <w:pPr>
        <w:widowControl/>
        <w:jc w:val="center"/>
        <w:rPr>
          <w:rFonts w:ascii="黑体" w:hAnsi="黑体" w:eastAsia="黑体" w:cs="Times New Roman"/>
          <w:b/>
          <w:bCs/>
          <w:kern w:val="0"/>
          <w:sz w:val="44"/>
          <w:szCs w:val="44"/>
        </w:rPr>
      </w:pPr>
      <w:r>
        <w:rPr>
          <w:rFonts w:ascii="黑体" w:hAnsi="黑体" w:eastAsia="黑体" w:cs="Times New Roman"/>
          <w:b/>
          <w:bCs/>
          <w:kern w:val="0"/>
          <w:sz w:val="44"/>
          <w:szCs w:val="44"/>
        </w:rPr>
        <w:t>怀化市工业和信息化局</w:t>
      </w:r>
    </w:p>
    <w:p w14:paraId="58ECD397">
      <w:pPr>
        <w:widowControl/>
        <w:jc w:val="center"/>
        <w:rPr>
          <w:rFonts w:ascii="黑体" w:hAnsi="黑体" w:eastAsia="黑体" w:cs="Times New Roman"/>
          <w:b/>
          <w:bCs/>
          <w:kern w:val="0"/>
          <w:sz w:val="44"/>
          <w:szCs w:val="44"/>
        </w:rPr>
      </w:pPr>
      <w:r>
        <w:rPr>
          <w:rFonts w:ascii="黑体" w:hAnsi="黑体" w:eastAsia="黑体" w:cs="Times New Roman"/>
          <w:b/>
          <w:bCs/>
          <w:kern w:val="0"/>
          <w:sz w:val="44"/>
          <w:szCs w:val="44"/>
        </w:rPr>
        <w:t>2023年度部门预算公开说明</w:t>
      </w:r>
    </w:p>
    <w:p w14:paraId="6BF6AA45">
      <w:pPr>
        <w:widowControl/>
        <w:spacing w:line="600" w:lineRule="exact"/>
        <w:jc w:val="center"/>
        <w:rPr>
          <w:rFonts w:ascii="仿宋" w:hAnsi="仿宋" w:eastAsia="仿宋" w:cs="仿宋"/>
          <w:b/>
          <w:sz w:val="32"/>
          <w:szCs w:val="32"/>
        </w:rPr>
      </w:pPr>
      <w:r>
        <w:rPr>
          <w:rFonts w:hint="eastAsia" w:ascii="黑体" w:hAnsi="黑体" w:eastAsia="黑体" w:cs="黑体"/>
          <w:b/>
          <w:sz w:val="32"/>
          <w:szCs w:val="32"/>
        </w:rPr>
        <w:t>目 录</w:t>
      </w:r>
    </w:p>
    <w:p w14:paraId="5A497062">
      <w:pPr>
        <w:widowControl/>
        <w:spacing w:line="600" w:lineRule="exact"/>
        <w:jc w:val="center"/>
        <w:rPr>
          <w:rFonts w:ascii="仿宋" w:hAnsi="仿宋" w:eastAsia="仿宋" w:cs="仿宋"/>
          <w:kern w:val="0"/>
          <w:sz w:val="32"/>
          <w:szCs w:val="32"/>
        </w:rPr>
      </w:pPr>
    </w:p>
    <w:p w14:paraId="5F378FD2">
      <w:pPr>
        <w:widowControl/>
        <w:spacing w:line="600" w:lineRule="exact"/>
        <w:ind w:firstLine="643" w:firstLineChars="200"/>
        <w:rPr>
          <w:rFonts w:ascii="仿宋" w:hAnsi="仿宋" w:eastAsia="仿宋" w:cs="仿宋"/>
          <w:b/>
          <w:kern w:val="0"/>
          <w:sz w:val="32"/>
          <w:szCs w:val="32"/>
        </w:rPr>
      </w:pPr>
      <w:r>
        <w:rPr>
          <w:rFonts w:hint="eastAsia" w:ascii="黑体" w:hAnsi="黑体" w:eastAsia="黑体" w:cs="黑体"/>
          <w:b/>
          <w:kern w:val="0"/>
          <w:sz w:val="32"/>
          <w:szCs w:val="32"/>
        </w:rPr>
        <w:t>第一部分2023年部门预算说明</w:t>
      </w:r>
    </w:p>
    <w:p w14:paraId="7352A511">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一、部门基本概况</w:t>
      </w:r>
    </w:p>
    <w:p w14:paraId="5DE99D5D">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shd w:val="clear" w:color="auto" w:fill="FFFFFF"/>
        </w:rPr>
        <w:t>二、</w:t>
      </w:r>
      <w:r>
        <w:rPr>
          <w:rFonts w:hint="eastAsia" w:ascii="仿宋_GB2312" w:hAnsi="仿宋_GB2312" w:eastAsia="仿宋_GB2312" w:cs="仿宋_GB2312"/>
          <w:sz w:val="32"/>
          <w:szCs w:val="32"/>
          <w:highlight w:val="none"/>
          <w:shd w:val="clear" w:color="auto" w:fill="FFFFFF"/>
        </w:rPr>
        <w:t>部门预算单位构成</w:t>
      </w:r>
    </w:p>
    <w:p w14:paraId="190B32F0">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三、部门收支总体情况</w:t>
      </w:r>
    </w:p>
    <w:p w14:paraId="433F0A5E">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四、一般公共预算拨款支出</w:t>
      </w:r>
    </w:p>
    <w:p w14:paraId="57B8429B">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五、政府性基金预算支出</w:t>
      </w:r>
    </w:p>
    <w:p w14:paraId="2A96C23E">
      <w:pPr>
        <w:pStyle w:val="4"/>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rPr>
        <w:t>六、其他重要事项的情况说明</w:t>
      </w:r>
    </w:p>
    <w:p w14:paraId="325370C9">
      <w:pPr>
        <w:pStyle w:val="4"/>
        <w:shd w:val="clear" w:color="auto" w:fill="FFFFFF"/>
        <w:spacing w:before="0" w:beforeAutospacing="0" w:after="0" w:afterAutospacing="0" w:line="600" w:lineRule="exact"/>
        <w:ind w:firstLine="640" w:firstLineChars="200"/>
        <w:rPr>
          <w:rFonts w:ascii="仿宋_GB2312" w:hAnsi="仿宋_GB2312" w:eastAsia="仿宋_GB2312" w:cs="仿宋_GB2312"/>
          <w:b/>
          <w:sz w:val="32"/>
          <w:szCs w:val="32"/>
          <w:highlight w:val="none"/>
        </w:rPr>
      </w:pPr>
      <w:r>
        <w:rPr>
          <w:rFonts w:hint="eastAsia" w:ascii="仿宋_GB2312" w:hAnsi="仿宋_GB2312" w:eastAsia="仿宋_GB2312" w:cs="仿宋_GB2312"/>
          <w:sz w:val="32"/>
          <w:szCs w:val="32"/>
          <w:highlight w:val="none"/>
          <w:shd w:val="clear" w:color="auto" w:fill="FFFFFF"/>
        </w:rPr>
        <w:t>七、名词解释</w:t>
      </w:r>
    </w:p>
    <w:p w14:paraId="090D6D30">
      <w:pPr>
        <w:widowControl/>
        <w:spacing w:line="600" w:lineRule="exact"/>
        <w:ind w:firstLine="643" w:firstLineChars="200"/>
        <w:rPr>
          <w:rFonts w:ascii="仿宋" w:hAnsi="仿宋" w:eastAsia="仿宋" w:cs="仿宋"/>
          <w:b/>
          <w:kern w:val="0"/>
          <w:sz w:val="32"/>
          <w:szCs w:val="32"/>
          <w:highlight w:val="none"/>
        </w:rPr>
      </w:pPr>
      <w:r>
        <w:rPr>
          <w:rFonts w:hint="eastAsia" w:ascii="黑体" w:hAnsi="黑体" w:eastAsia="黑体" w:cs="黑体"/>
          <w:b/>
          <w:kern w:val="0"/>
          <w:sz w:val="32"/>
          <w:szCs w:val="32"/>
          <w:highlight w:val="none"/>
        </w:rPr>
        <w:t>第二部分 2023年部门预算表</w:t>
      </w:r>
    </w:p>
    <w:p w14:paraId="611DD75C">
      <w:pPr>
        <w:widowControl/>
        <w:tabs>
          <w:tab w:val="left" w:pos="322"/>
        </w:tabs>
        <w:spacing w:line="500" w:lineRule="auto"/>
        <w:ind w:firstLine="640" w:firstLineChars="200"/>
        <w:jc w:val="left"/>
        <w:rPr>
          <w:rFonts w:hint="eastAsia" w:ascii="仿宋_GB2312" w:hAnsi="仿宋_GB2312" w:eastAsia="仿宋_GB2312" w:cs="仿宋_GB2312"/>
          <w:kern w:val="0"/>
          <w:sz w:val="32"/>
          <w:szCs w:val="32"/>
          <w:highlight w:val="none"/>
          <w:shd w:val="clear" w:color="auto" w:fill="FFFFFF"/>
          <w:lang w:val="en-US" w:eastAsia="zh-CN" w:bidi="ar-SA"/>
        </w:rPr>
      </w:pPr>
      <w:r>
        <w:rPr>
          <w:rFonts w:hint="eastAsia" w:ascii="仿宋_GB2312" w:hAnsi="仿宋_GB2312" w:eastAsia="仿宋_GB2312" w:cs="仿宋_GB2312"/>
          <w:kern w:val="0"/>
          <w:sz w:val="32"/>
          <w:szCs w:val="32"/>
          <w:highlight w:val="none"/>
          <w:shd w:val="clear" w:color="auto" w:fill="FFFFFF"/>
          <w:lang w:val="en-US" w:eastAsia="zh-CN" w:bidi="ar-SA"/>
        </w:rPr>
        <w:t>1、收支预算总表</w:t>
      </w:r>
    </w:p>
    <w:p w14:paraId="132D1169">
      <w:pPr>
        <w:widowControl/>
        <w:tabs>
          <w:tab w:val="left" w:pos="322"/>
        </w:tabs>
        <w:spacing w:line="500" w:lineRule="auto"/>
        <w:ind w:firstLine="640" w:firstLineChars="200"/>
        <w:jc w:val="left"/>
        <w:rPr>
          <w:rFonts w:hint="eastAsia" w:ascii="仿宋_GB2312" w:hAnsi="仿宋_GB2312" w:eastAsia="仿宋_GB2312" w:cs="仿宋_GB2312"/>
          <w:kern w:val="0"/>
          <w:sz w:val="32"/>
          <w:szCs w:val="32"/>
          <w:highlight w:val="none"/>
          <w:shd w:val="clear" w:color="auto" w:fill="FFFFFF"/>
          <w:lang w:val="en-US" w:eastAsia="zh-CN" w:bidi="ar-SA"/>
        </w:rPr>
      </w:pPr>
      <w:r>
        <w:rPr>
          <w:rFonts w:hint="eastAsia" w:ascii="仿宋_GB2312" w:hAnsi="仿宋_GB2312" w:eastAsia="仿宋_GB2312" w:cs="仿宋_GB2312"/>
          <w:kern w:val="0"/>
          <w:sz w:val="32"/>
          <w:szCs w:val="32"/>
          <w:highlight w:val="none"/>
          <w:shd w:val="clear" w:color="auto" w:fill="FFFFFF"/>
          <w:lang w:val="en-US" w:eastAsia="zh-CN" w:bidi="ar-SA"/>
        </w:rPr>
        <w:t>2、收入预算总表</w:t>
      </w:r>
      <w:bookmarkStart w:id="4" w:name="_GoBack"/>
      <w:bookmarkEnd w:id="4"/>
    </w:p>
    <w:p w14:paraId="70C3FC6A">
      <w:pPr>
        <w:widowControl/>
        <w:tabs>
          <w:tab w:val="left" w:pos="322"/>
        </w:tabs>
        <w:spacing w:line="500" w:lineRule="auto"/>
        <w:ind w:firstLine="640" w:firstLineChars="200"/>
        <w:jc w:val="left"/>
        <w:rPr>
          <w:rFonts w:hint="eastAsia" w:ascii="仿宋_GB2312" w:hAnsi="仿宋_GB2312" w:eastAsia="仿宋_GB2312" w:cs="仿宋_GB2312"/>
          <w:kern w:val="0"/>
          <w:sz w:val="32"/>
          <w:szCs w:val="32"/>
          <w:highlight w:val="none"/>
          <w:shd w:val="clear" w:color="auto" w:fill="FFFFFF"/>
          <w:lang w:val="en-US" w:eastAsia="zh-CN" w:bidi="ar-SA"/>
        </w:rPr>
      </w:pPr>
      <w:r>
        <w:rPr>
          <w:rFonts w:hint="eastAsia" w:ascii="仿宋_GB2312" w:hAnsi="仿宋_GB2312" w:eastAsia="仿宋_GB2312" w:cs="仿宋_GB2312"/>
          <w:kern w:val="0"/>
          <w:sz w:val="32"/>
          <w:szCs w:val="32"/>
          <w:highlight w:val="none"/>
          <w:shd w:val="clear" w:color="auto" w:fill="FFFFFF"/>
          <w:lang w:val="en-US" w:eastAsia="zh-CN" w:bidi="ar-SA"/>
        </w:rPr>
        <w:t>3、支出预算总表</w:t>
      </w:r>
    </w:p>
    <w:p w14:paraId="7F4AA69B">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4、财政拨款收支总表</w:t>
      </w:r>
    </w:p>
    <w:p w14:paraId="659772AA">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5、一般公共预算支出表</w:t>
      </w:r>
    </w:p>
    <w:p w14:paraId="156E4F78">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6、一般公共预算基本支出表</w:t>
      </w:r>
    </w:p>
    <w:p w14:paraId="7FB84066">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7、一般公共预算“三公”经费支出表</w:t>
      </w:r>
    </w:p>
    <w:p w14:paraId="48D06D2D">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8、政府性基金预算支出表</w:t>
      </w:r>
    </w:p>
    <w:p w14:paraId="34332BC1">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9、国有资本经营预算支出表</w:t>
      </w:r>
    </w:p>
    <w:p w14:paraId="34BB4DD7">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10、项目支出绩效目标表</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在平台集中公开</w:t>
      </w:r>
      <w:r>
        <w:rPr>
          <w:rFonts w:hint="eastAsia" w:ascii="仿宋_GB2312" w:hAnsi="仿宋_GB2312" w:eastAsia="仿宋_GB2312" w:cs="仿宋_GB2312"/>
          <w:color w:val="auto"/>
          <w:sz w:val="32"/>
          <w:szCs w:val="32"/>
          <w:highlight w:val="none"/>
          <w:shd w:val="clear" w:color="auto" w:fill="auto"/>
          <w:lang w:eastAsia="zh-CN"/>
        </w:rPr>
        <w:t>）</w:t>
      </w:r>
    </w:p>
    <w:p w14:paraId="33EC6974">
      <w:pPr>
        <w:widowControl/>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11、部门整体支出绩效目标表</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在平台集中公开</w:t>
      </w:r>
      <w:r>
        <w:rPr>
          <w:rFonts w:hint="eastAsia" w:ascii="仿宋_GB2312" w:hAnsi="仿宋_GB2312" w:eastAsia="仿宋_GB2312" w:cs="仿宋_GB2312"/>
          <w:color w:val="auto"/>
          <w:sz w:val="32"/>
          <w:szCs w:val="32"/>
          <w:highlight w:val="none"/>
          <w:shd w:val="clear" w:color="auto" w:fill="auto"/>
          <w:lang w:eastAsia="zh-CN"/>
        </w:rPr>
        <w:t>）</w:t>
      </w:r>
    </w:p>
    <w:p w14:paraId="6ED82488">
      <w:pPr>
        <w:widowControl/>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注：以上部门预算报表中，空表表示本部门无相关收支情况。</w:t>
      </w:r>
    </w:p>
    <w:p w14:paraId="540875A0">
      <w:pPr>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p>
    <w:p w14:paraId="3D87E1CF">
      <w:pPr>
        <w:widowControl/>
        <w:spacing w:line="600" w:lineRule="exact"/>
        <w:jc w:val="center"/>
        <w:rPr>
          <w:rFonts w:eastAsia="方正小标宋_GBK"/>
          <w:bCs/>
          <w:kern w:val="0"/>
          <w:sz w:val="36"/>
          <w:szCs w:val="36"/>
          <w:highlight w:val="none"/>
        </w:rPr>
      </w:pPr>
      <w:r>
        <w:rPr>
          <w:rFonts w:hint="eastAsia" w:ascii="黑体" w:hAnsi="黑体" w:eastAsia="黑体" w:cs="黑体"/>
          <w:b/>
          <w:kern w:val="0"/>
          <w:sz w:val="44"/>
          <w:szCs w:val="44"/>
          <w:highlight w:val="none"/>
        </w:rPr>
        <w:t>第一部分 2023年部门预算说明</w:t>
      </w:r>
    </w:p>
    <w:p w14:paraId="4609F4D2">
      <w:pPr>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p>
    <w:p w14:paraId="7012D840">
      <w:pPr>
        <w:widowControl/>
        <w:spacing w:line="600" w:lineRule="exact"/>
        <w:ind w:firstLine="640" w:firstLineChars="200"/>
        <w:rPr>
          <w:rFonts w:ascii="Times New Roman" w:hAnsi="Times New Roman" w:eastAsia="黑体" w:cs="Times New Roman"/>
          <w:bCs/>
          <w:sz w:val="32"/>
          <w:szCs w:val="32"/>
          <w:highlight w:val="none"/>
        </w:rPr>
      </w:pPr>
      <w:r>
        <w:rPr>
          <w:rFonts w:ascii="Times New Roman" w:hAnsi="Times New Roman" w:eastAsia="黑体" w:cs="Times New Roman"/>
          <w:bCs/>
          <w:sz w:val="32"/>
          <w:szCs w:val="32"/>
          <w:highlight w:val="none"/>
        </w:rPr>
        <w:t>一、部门基本概况</w:t>
      </w:r>
    </w:p>
    <w:p w14:paraId="3878445C">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（一）部门职责</w:t>
      </w:r>
    </w:p>
    <w:p w14:paraId="74E519E3">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1、贯彻落实国家和省市有关经济和信息化的方针政策和法律法规；起草工业、信息化领域的地方性法规、规章草案并对相关法律法规的执行情况进行监督检查。</w:t>
      </w:r>
    </w:p>
    <w:p w14:paraId="037E8C69">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14:paraId="2BF10B27">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14:paraId="7D83B6EB">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4、拟订全市新型工业化的发展战略，协调解决有关重大问题；推进信息化和工业化融合，推进高新技术与传统工业改造结合；推进全市国民经济和社会信息化；推进全市工业园区的建设与发展。</w:t>
      </w:r>
    </w:p>
    <w:p w14:paraId="77848177">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含利用外资和境外投资）。</w:t>
      </w:r>
    </w:p>
    <w:p w14:paraId="1A704255">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14:paraId="3D0A10BF">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体材料和散装水泥的管理工作。</w:t>
      </w:r>
    </w:p>
    <w:p w14:paraId="078D63F1">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8、负责煤炭、电力、石油、天然气和原材料等经济运行保障要素的工业经济运行；促进企业内部物流社会化。</w:t>
      </w:r>
    </w:p>
    <w:p w14:paraId="62E0ECAD">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14:paraId="24D34195">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10、拟订全市信息安全发展战略、规划，指导、协调信息安全保障体系建设；指导监督政府部门、重点行业重要信息系统与基础信息网络的安全保障工作；协助处理网络与信息安全的重大事件。</w:t>
      </w:r>
    </w:p>
    <w:p w14:paraId="7CBC16EF">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11、负责推动软件业和信息服务业的发展，协调解决重大问题；推动软件公共服务体系建设，推进软件服务外包；指导、协调技术开发和相关产业发展；依法监督管理信息服务市场。</w:t>
      </w:r>
    </w:p>
    <w:p w14:paraId="64E9CB87">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12、统一配置和管理无线电频谱资源，依法监督管理无线电台（站），协调处理军地间无线电管理相关事宜，负责管理无线电监测、检测、干扰查处，协调处理电磁干扰事宜，维护空中电波秩序，依法组织实施无线电管制。</w:t>
      </w:r>
    </w:p>
    <w:p w14:paraId="23357DC9">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13、负责国防科技工业的综合协调和管理，组织推进军民两用技术双向转移及产业化工作；落实全市国防科技工业</w:t>
      </w:r>
      <w:r>
        <w:rPr>
          <w:rFonts w:hint="eastAsia" w:ascii="仿宋_GB2312" w:hAnsi="Times New Roman" w:eastAsia="仿宋_GB2312" w:cs="Times New Roman"/>
          <w:spacing w:val="-6"/>
          <w:sz w:val="32"/>
          <w:szCs w:val="32"/>
        </w:rPr>
        <w:t>相关的财税优惠政策，承担全市军工关键设备设施的监督管理。</w:t>
      </w:r>
    </w:p>
    <w:p w14:paraId="2CADC32C">
      <w:pPr>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14、承担全市民用爆炸物品的行业管理工作，负责民用爆炸物品安全生产许可和销售许可的监督管理；承担核事故应急管理职责；指导协调并监督检查市内武器装备科研生产单位安全生产、保密、保卫和维护稳定工作。</w:t>
      </w:r>
    </w:p>
    <w:p w14:paraId="7247D7C3">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15、指导、协调全市工业、信息化领域的对外交流与合作；指导全市工业和信息化领域人才开发和培训工作。</w:t>
      </w:r>
    </w:p>
    <w:p w14:paraId="77959ED4">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16、负责全市电力行政执法工作；监督检查电力法律、法规和规章的执行情况，指导和监督各县市区电力行政执法工作。</w:t>
      </w:r>
    </w:p>
    <w:p w14:paraId="2AC20F10">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（二）机构设置情况</w:t>
      </w:r>
    </w:p>
    <w:p w14:paraId="2AAADC1C">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怀化市工业和信息化局为一级部门预算单位，内设17个科室：办公室、消费品工业科、原材料与装备工业科、中小企业发展促进科、运行监测协调科、综合科、安全监督管理科、投资规划科、市委军民融合发展委员会办公室秘书科、人事教育科、产业聚集科、节能与资源综合利用科、机关党委、人工智能与信息化推进科、无线电管理科、改革推进科、电力运行科。怀化市工信局共有6个二级机构：市无线电监测站，市墙体材料与散装水泥事务中心，市电力行政执法支队，市节能监察中心，市工业园区和中小企业事务中心，市数字怀化建设事务中心。</w:t>
      </w:r>
    </w:p>
    <w:p w14:paraId="478CFF19">
      <w:pPr>
        <w:widowControl/>
        <w:spacing w:line="60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二、部门预算单位构成</w:t>
      </w:r>
    </w:p>
    <w:p w14:paraId="0B2041A3">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rPr>
        <w:t>纳入2023年</w:t>
      </w:r>
      <w:r>
        <w:rPr>
          <w:rFonts w:hint="eastAsia" w:ascii="仿宋_GB2312" w:hAnsi="Times New Roman" w:eastAsia="仿宋_GB2312" w:cs="Times New Roman"/>
          <w:sz w:val="32"/>
          <w:szCs w:val="32"/>
          <w:highlight w:val="none"/>
        </w:rPr>
        <w:t>怀化市工业和信息化局部门预算编制范围的预算单位包括：怀化市工业和信息化局本级。</w:t>
      </w:r>
    </w:p>
    <w:p w14:paraId="5AB340C0">
      <w:pPr>
        <w:spacing w:line="600" w:lineRule="exact"/>
        <w:ind w:firstLine="640" w:firstLineChars="200"/>
        <w:rPr>
          <w:rFonts w:ascii="Times New Roman" w:hAnsi="Times New Roman" w:eastAsia="黑体" w:cs="Times New Roman"/>
          <w:bCs/>
          <w:sz w:val="32"/>
          <w:szCs w:val="32"/>
          <w:highlight w:val="none"/>
        </w:rPr>
      </w:pPr>
      <w:r>
        <w:rPr>
          <w:rFonts w:ascii="Times New Roman" w:hAnsi="Times New Roman" w:eastAsia="黑体" w:cs="Times New Roman"/>
          <w:bCs/>
          <w:sz w:val="32"/>
          <w:szCs w:val="32"/>
          <w:highlight w:val="none"/>
        </w:rPr>
        <w:t>三、部门收支总体情况</w:t>
      </w:r>
    </w:p>
    <w:p w14:paraId="4F122D99">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2023年部门预算包括本单位预算内的收支情况。</w:t>
      </w:r>
    </w:p>
    <w:p w14:paraId="2BDFAF27">
      <w:pPr>
        <w:spacing w:line="58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（一）收入预算</w:t>
      </w:r>
      <w:r>
        <w:rPr>
          <w:rFonts w:hint="eastAsia" w:ascii="仿宋_GB2312" w:hAnsi="Times New Roman" w:eastAsia="仿宋_GB2312" w:cs="Times New Roman"/>
          <w:sz w:val="32"/>
          <w:szCs w:val="32"/>
          <w:highlight w:val="none"/>
          <w:lang w:eastAsia="zh-CN"/>
        </w:rPr>
        <w:t>：</w:t>
      </w:r>
      <w:r>
        <w:rPr>
          <w:rFonts w:hint="eastAsia" w:ascii="仿宋_GB2312" w:hAnsi="仿宋_GB2312" w:eastAsia="仿宋_GB2312" w:cs="仿宋_GB2312"/>
          <w:sz w:val="32"/>
          <w:szCs w:val="32"/>
          <w:highlight w:val="none"/>
        </w:rPr>
        <w:t>包括一般公共预算、政府性基金、国有资本经营预算等财政拨款收入，以及经营收入、事业收入等单位资金。2023年本部门收入预算</w:t>
      </w:r>
      <w:r>
        <w:rPr>
          <w:rFonts w:hint="eastAsia" w:ascii="仿宋_GB2312" w:hAnsi="Times New Roman" w:eastAsia="仿宋_GB2312" w:cs="Times New Roman"/>
          <w:sz w:val="32"/>
          <w:szCs w:val="32"/>
          <w:highlight w:val="none"/>
        </w:rPr>
        <w:t>2392.94万元，其中，一般公共预算拨款2372.94万元，上级补助收入</w:t>
      </w:r>
      <w:r>
        <w:rPr>
          <w:rFonts w:hint="eastAsia" w:ascii="仿宋_GB2312" w:hAnsi="Times New Roman" w:eastAsia="仿宋_GB2312" w:cs="Times New Roman"/>
          <w:sz w:val="32"/>
          <w:szCs w:val="32"/>
          <w:highlight w:val="none"/>
          <w:lang w:val="en-US" w:eastAsia="zh-CN"/>
        </w:rPr>
        <w:t>20</w:t>
      </w:r>
      <w:r>
        <w:rPr>
          <w:rFonts w:hint="eastAsia" w:ascii="仿宋_GB2312" w:hAnsi="Times New Roman" w:eastAsia="仿宋_GB2312" w:cs="Times New Roman"/>
          <w:sz w:val="32"/>
          <w:szCs w:val="32"/>
          <w:highlight w:val="none"/>
        </w:rPr>
        <w:t>万</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收入较上年增加1125.31万元，增长88.77%。主要原因是机构改革，怀化市工业企业改制服务办公室、怀化市黄金工业管理局并入本局，基本支出增加1085.31万元；项目支出增加40万元。</w:t>
      </w:r>
    </w:p>
    <w:p w14:paraId="4825C284">
      <w:pPr>
        <w:spacing w:line="58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（二）支出预算</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2023年</w:t>
      </w:r>
      <w:r>
        <w:rPr>
          <w:rFonts w:hint="eastAsia" w:ascii="仿宋_GB2312" w:hAnsi="仿宋_GB2312" w:eastAsia="仿宋_GB2312" w:cs="仿宋_GB2312"/>
          <w:sz w:val="32"/>
          <w:szCs w:val="32"/>
          <w:highlight w:val="none"/>
        </w:rPr>
        <w:t>本部门支出预算</w:t>
      </w:r>
      <w:r>
        <w:rPr>
          <w:rFonts w:hint="eastAsia" w:ascii="仿宋_GB2312" w:hAnsi="Times New Roman" w:eastAsia="仿宋_GB2312" w:cs="Times New Roman"/>
          <w:sz w:val="32"/>
          <w:szCs w:val="32"/>
          <w:highlight w:val="none"/>
        </w:rPr>
        <w:t>2392.94万元，其中：社会保障和就业支出686.34万元，卫生健康支出69.53万元，资源勘探工业信息等支出1494.5万元，住房保障支出122.57万元，其他支出</w:t>
      </w:r>
      <w:r>
        <w:rPr>
          <w:rFonts w:hint="eastAsia" w:ascii="仿宋_GB2312" w:hAnsi="Times New Roman" w:eastAsia="仿宋_GB2312" w:cs="Times New Roman"/>
          <w:sz w:val="32"/>
          <w:szCs w:val="32"/>
          <w:highlight w:val="none"/>
          <w:lang w:val="en-US" w:eastAsia="zh-CN"/>
        </w:rPr>
        <w:t>20万元。</w:t>
      </w:r>
      <w:r>
        <w:rPr>
          <w:rFonts w:hint="eastAsia" w:ascii="仿宋_GB2312" w:hAnsi="Times New Roman" w:eastAsia="仿宋_GB2312" w:cs="Times New Roman"/>
          <w:sz w:val="32"/>
          <w:szCs w:val="32"/>
          <w:highlight w:val="none"/>
        </w:rPr>
        <w:t>支出较上年增加1125.31万元，增长88.77%。主要原因是机构改革，怀化市工业企业改制服务办公室、怀化市黄金工业管理局并入本局，基本支出中人员类支出增加1064.21万元，公用支出增加18万元；项目支出中关停并转退职费增加15.5万元，退休管理维稳专项经费24.5万元等。</w:t>
      </w:r>
    </w:p>
    <w:p w14:paraId="24FE8644">
      <w:pPr>
        <w:spacing w:line="580" w:lineRule="exact"/>
        <w:ind w:firstLine="640" w:firstLineChars="200"/>
        <w:rPr>
          <w:rFonts w:ascii="Times New Roman" w:hAnsi="Times New Roman" w:eastAsia="黑体" w:cs="Times New Roman"/>
          <w:bCs/>
          <w:sz w:val="32"/>
          <w:szCs w:val="32"/>
          <w:highlight w:val="none"/>
        </w:rPr>
      </w:pPr>
      <w:r>
        <w:rPr>
          <w:rFonts w:ascii="Times New Roman" w:hAnsi="Times New Roman" w:eastAsia="黑体" w:cs="Times New Roman"/>
          <w:bCs/>
          <w:sz w:val="32"/>
          <w:szCs w:val="32"/>
          <w:highlight w:val="none"/>
        </w:rPr>
        <w:t>四、</w:t>
      </w:r>
      <w:r>
        <w:rPr>
          <w:rFonts w:ascii="Times New Roman" w:hAnsi="Times New Roman" w:eastAsia="黑体" w:cs="Times New Roman"/>
          <w:sz w:val="32"/>
          <w:szCs w:val="32"/>
          <w:highlight w:val="none"/>
        </w:rPr>
        <w:t>一般公共预算拨款支出</w:t>
      </w:r>
    </w:p>
    <w:p w14:paraId="3719C6C6">
      <w:pPr>
        <w:spacing w:line="58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2023年本部门一般公共预算拨款支出2372.94万元，其中：社会保障和就业支出686.34万元，占28.92%，卫生健康支出69.53万元，占2.93%，资源勘探工业信息等支出1494.5万元，占62.98%，住房保障支出122.57万元，占5.1</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%，具体安排情况如下：</w:t>
      </w:r>
    </w:p>
    <w:p w14:paraId="3CEFE2EB">
      <w:pPr>
        <w:spacing w:line="600" w:lineRule="exact"/>
        <w:ind w:firstLine="643"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（一）基本支出：</w:t>
      </w:r>
      <w:r>
        <w:rPr>
          <w:rFonts w:hint="eastAsia" w:ascii="仿宋_GB2312" w:hAnsi="仿宋_GB2312" w:eastAsia="仿宋_GB2312" w:cs="仿宋_GB2312"/>
          <w:sz w:val="32"/>
          <w:szCs w:val="32"/>
          <w:highlight w:val="none"/>
        </w:rPr>
        <w:t>2023年本部门基本支出预算数</w:t>
      </w:r>
      <w:r>
        <w:rPr>
          <w:rFonts w:hint="eastAsia" w:ascii="仿宋_GB2312" w:hAnsi="Times New Roman" w:eastAsia="仿宋_GB2312" w:cs="Times New Roman"/>
          <w:sz w:val="32"/>
          <w:szCs w:val="32"/>
          <w:highlight w:val="none"/>
        </w:rPr>
        <w:t>2127.84万元，是指为保障单位机构正常运转、完成日常工作任务而发生的各项支出，包括用于基本工资432.59万元、津贴补贴135.45万元、办公、印刷费、水电费、办公设备购置费等支出1559.</w:t>
      </w:r>
      <w:r>
        <w:rPr>
          <w:rFonts w:hint="eastAsia" w:ascii="仿宋_GB2312" w:hAnsi="Times New Roman" w:eastAsia="仿宋_GB2312" w:cs="Times New Roman"/>
          <w:sz w:val="32"/>
          <w:szCs w:val="32"/>
          <w:highlight w:val="none"/>
          <w:lang w:val="en-US" w:eastAsia="zh-CN"/>
        </w:rPr>
        <w:t>79</w:t>
      </w:r>
      <w:r>
        <w:rPr>
          <w:rFonts w:hint="eastAsia" w:ascii="仿宋_GB2312" w:hAnsi="Times New Roman" w:eastAsia="仿宋_GB2312" w:cs="Times New Roman"/>
          <w:sz w:val="32"/>
          <w:szCs w:val="32"/>
          <w:highlight w:val="none"/>
        </w:rPr>
        <w:t>万元；</w:t>
      </w:r>
    </w:p>
    <w:p w14:paraId="460A6084">
      <w:pPr>
        <w:spacing w:line="600" w:lineRule="exact"/>
        <w:ind w:firstLine="643"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b/>
          <w:bCs/>
          <w:sz w:val="32"/>
          <w:szCs w:val="32"/>
          <w:highlight w:val="none"/>
        </w:rPr>
        <w:t>（二）项目支出：</w:t>
      </w:r>
      <w:r>
        <w:rPr>
          <w:rFonts w:hint="eastAsia" w:ascii="仿宋_GB2312" w:hAnsi="仿宋_GB2312" w:eastAsia="仿宋_GB2312" w:cs="仿宋_GB2312"/>
          <w:sz w:val="32"/>
          <w:szCs w:val="32"/>
          <w:highlight w:val="none"/>
        </w:rPr>
        <w:t>2023年本部门项目支出</w:t>
      </w:r>
      <w:r>
        <w:rPr>
          <w:rFonts w:hint="eastAsia" w:ascii="仿宋_GB2312" w:hAnsi="仿宋_GB2312" w:eastAsia="仿宋_GB2312" w:cs="仿宋_GB2312"/>
          <w:sz w:val="32"/>
          <w:szCs w:val="32"/>
        </w:rPr>
        <w:t>预算数</w:t>
      </w:r>
      <w:r>
        <w:rPr>
          <w:rFonts w:hint="eastAsia" w:ascii="仿宋_GB2312" w:hAnsi="Times New Roman" w:eastAsia="仿宋_GB2312" w:cs="Times New Roman"/>
          <w:sz w:val="32"/>
          <w:szCs w:val="32"/>
        </w:rPr>
        <w:t>245.1万元，是指单位为完成特定行政工作任务或事业发展目标而发生的支出，包括有关事业发展专项、专项业务费、基本建设支出等。其中：推进军民融合深度发展专项业务工作经费25万元，主要用于全力以赴推进军民融合深度发展，将军民融合发展战略与怀化产业发展融为一体，加快“一极两带”“一个中心”“四个怀化”建设，推动怀化高质量发展等方面；新型基础设施建设专项支出25万元，主要用于老旧小区改造，5G基站建设，新能源推广等方面；新型墙体材料</w:t>
      </w:r>
      <w:r>
        <w:rPr>
          <w:rFonts w:hint="eastAsia" w:ascii="仿宋_GB2312" w:hAnsi="Times New Roman" w:eastAsia="仿宋_GB2312" w:cs="Times New Roman"/>
          <w:sz w:val="32"/>
          <w:szCs w:val="32"/>
          <w:highlight w:val="none"/>
        </w:rPr>
        <w:t>推广及散装水泥推广专项经费20万元，主要用于积极进行新型墙体材料的基本建设工程、技术改造和科研开发，加强对散装水泥推广应用情况的监督检查，协调解决散装水泥推广应用工作中的问题，查处违法行为等方面；产业园区三年提升计划专项经费25万元，主要用于密切关注全市产业园区发展，协调解决发展中存在的问题和困难，开展园区绩效考核评估工作，督促落实三年提升目标实现等方面；工业运行监测协调专项经费11万元，主要用于完成全市规模工业增加值年度目标和新进规模工业企业年度目标，加强支持工业发展政策落实督查，开展园区运行监测协调工作考核，召开工业经济运行分析会等方面；全市电网供电能力提升三年行动计划专项业务工作经费15万元，主要用于推动电网供电能力提升三年行动计划的日常协调，督查检查、调研考察、调度会议等方面；节能监察工作经费10万元，主要用于节能监察及培训、宣传等方面；技改税收增量奖补政策第三方机构评价专项经费25万元，主要用于广泛宣传技改扶持政策，引导企业扩大规模、追加投资实现技术改造提升等方面；室内装饰行管办专项经费及传统工艺美术保护发展专项经费15万元，主要用于保护传统工艺、室内装饰行管活动、咨询、服务等方面；安全生产专项经费15万元，主要用于全市工业行业安全检查、培训、会议等方面；退休管理维稳专项经费24.5万元，主要用于退休人员生活补助、福利等方面开支；关停并转退职费15.5万元，主要用于精简下放、关停并转人员工资等方面；非税收入19.1万元，主要用于计算机软考、职称评审、电力执法等非税收入。</w:t>
      </w:r>
    </w:p>
    <w:p w14:paraId="494B9662">
      <w:pPr>
        <w:spacing w:line="600" w:lineRule="exact"/>
        <w:ind w:firstLine="640" w:firstLineChars="200"/>
        <w:rPr>
          <w:rFonts w:ascii="Times New Roman" w:hAnsi="Times New Roman" w:eastAsia="黑体" w:cs="Times New Roman"/>
          <w:bCs/>
          <w:sz w:val="32"/>
          <w:szCs w:val="32"/>
          <w:highlight w:val="none"/>
        </w:rPr>
      </w:pPr>
      <w:r>
        <w:rPr>
          <w:rFonts w:ascii="Times New Roman" w:hAnsi="Times New Roman" w:eastAsia="黑体" w:cs="Times New Roman"/>
          <w:bCs/>
          <w:sz w:val="32"/>
          <w:szCs w:val="32"/>
          <w:highlight w:val="none"/>
        </w:rPr>
        <w:t>五、政府性基金预算支出情况</w:t>
      </w:r>
    </w:p>
    <w:p w14:paraId="1F46503C">
      <w:pPr>
        <w:widowControl/>
        <w:spacing w:line="60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2023年本部门无政府性基金安排的支出。</w:t>
      </w:r>
    </w:p>
    <w:p w14:paraId="5E7E09CC">
      <w:pPr>
        <w:spacing w:line="600" w:lineRule="exact"/>
        <w:ind w:firstLine="640" w:firstLineChars="200"/>
        <w:rPr>
          <w:rFonts w:ascii="Times New Roman" w:hAnsi="Times New Roman" w:eastAsia="黑体" w:cs="Times New Roman"/>
          <w:bCs/>
          <w:sz w:val="32"/>
          <w:szCs w:val="32"/>
          <w:highlight w:val="none"/>
        </w:rPr>
      </w:pPr>
      <w:r>
        <w:rPr>
          <w:rFonts w:ascii="Times New Roman" w:hAnsi="Times New Roman" w:eastAsia="黑体" w:cs="Times New Roman"/>
          <w:bCs/>
          <w:sz w:val="32"/>
          <w:szCs w:val="32"/>
          <w:highlight w:val="none"/>
        </w:rPr>
        <w:t>六、其他重要事项的情况说明</w:t>
      </w:r>
    </w:p>
    <w:p w14:paraId="469B54E0">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CESI仿宋-GB2312" w:hAnsi="CESI仿宋-GB2312" w:eastAsia="CESI仿宋-GB2312" w:cs="CESI仿宋-GB2312"/>
          <w:b/>
          <w:bCs/>
          <w:sz w:val="32"/>
          <w:szCs w:val="32"/>
          <w:highlight w:val="none"/>
        </w:rPr>
      </w:pPr>
      <w:r>
        <w:rPr>
          <w:rFonts w:hint="eastAsia" w:ascii="CESI仿宋-GB2312" w:hAnsi="CESI仿宋-GB2312" w:eastAsia="CESI仿宋-GB2312" w:cs="CESI仿宋-GB2312"/>
          <w:b/>
          <w:bCs/>
          <w:sz w:val="32"/>
          <w:szCs w:val="32"/>
          <w:highlight w:val="none"/>
        </w:rPr>
        <w:t>（一）“三公”经费预算</w:t>
      </w:r>
    </w:p>
    <w:p w14:paraId="38394FF7">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highlight w:val="none"/>
        </w:rPr>
        <w:t>2023年怀化市工业和信息化局安排“三公”经费预算数为27万元，其中，公务接待费6万元，公务用车购置</w:t>
      </w:r>
      <w:r>
        <w:rPr>
          <w:rFonts w:hint="eastAsia" w:ascii="仿宋_GB2312" w:hAnsi="Times New Roman" w:eastAsia="仿宋_GB2312" w:cs="Times New Roman"/>
          <w:sz w:val="32"/>
          <w:szCs w:val="32"/>
          <w:highlight w:val="none"/>
          <w:lang w:val="en-US" w:eastAsia="zh-CN"/>
        </w:rPr>
        <w:t>及运行费21万元（其中，</w:t>
      </w:r>
      <w:r>
        <w:rPr>
          <w:rFonts w:hint="eastAsia" w:ascii="仿宋_GB2312" w:hAnsi="Times New Roman" w:eastAsia="仿宋_GB2312" w:cs="Times New Roman"/>
          <w:sz w:val="32"/>
          <w:szCs w:val="32"/>
          <w:highlight w:val="none"/>
        </w:rPr>
        <w:t>公务用车购置费0万元，公务用车运行费21万元，</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因公出国（境）费0万元。2023年“三公”经费预算较上年预算数减少30.39万元，下降52.95%，主要因为按照“三公”经费“只减不增”原则，从严从紧安</w:t>
      </w:r>
      <w:r>
        <w:rPr>
          <w:rFonts w:hint="eastAsia" w:ascii="仿宋_GB2312" w:hAnsi="Times New Roman" w:eastAsia="仿宋_GB2312" w:cs="Times New Roman"/>
          <w:sz w:val="32"/>
          <w:szCs w:val="32"/>
        </w:rPr>
        <w:t>排“三公”经费预算。</w:t>
      </w:r>
    </w:p>
    <w:p w14:paraId="184A20BD">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CESI仿宋-GB2312" w:hAnsi="CESI仿宋-GB2312" w:eastAsia="CESI仿宋-GB2312" w:cs="CESI仿宋-GB2312"/>
          <w:b/>
          <w:bCs/>
          <w:sz w:val="32"/>
          <w:szCs w:val="32"/>
          <w:highlight w:val="none"/>
        </w:rPr>
      </w:pPr>
      <w:r>
        <w:rPr>
          <w:rFonts w:hint="eastAsia" w:ascii="CESI仿宋-GB2312" w:hAnsi="CESI仿宋-GB2312" w:eastAsia="CESI仿宋-GB2312" w:cs="CESI仿宋-GB2312"/>
          <w:b/>
          <w:bCs/>
          <w:sz w:val="32"/>
          <w:szCs w:val="32"/>
          <w:highlight w:val="none"/>
        </w:rPr>
        <w:t>（二）机关运行经费</w:t>
      </w:r>
    </w:p>
    <w:p w14:paraId="431C7F53">
      <w:pPr>
        <w:spacing w:line="600" w:lineRule="exact"/>
        <w:ind w:firstLine="640" w:firstLineChars="200"/>
        <w:jc w:val="both"/>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2023年怀化市工业和信息化局机关运行经费75.38万元，比上年预算数减少7.92万元，下降9.51%，主要因为公用经费中公务用车运行维护费、公务接待费等减少。</w:t>
      </w:r>
    </w:p>
    <w:p w14:paraId="26FEC48B">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b/>
          <w:bCs/>
          <w:sz w:val="32"/>
          <w:szCs w:val="32"/>
          <w:highlight w:val="none"/>
        </w:rPr>
      </w:pPr>
      <w:r>
        <w:rPr>
          <w:rFonts w:hint="eastAsia" w:ascii="CESI仿宋-GB2312" w:hAnsi="CESI仿宋-GB2312" w:eastAsia="CESI仿宋-GB2312" w:cs="CESI仿宋-GB2312"/>
          <w:b/>
          <w:bCs/>
          <w:sz w:val="32"/>
          <w:szCs w:val="32"/>
          <w:highlight w:val="none"/>
        </w:rPr>
        <w:t>（三）政府采购情况</w:t>
      </w:r>
    </w:p>
    <w:p w14:paraId="4A829D4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s="Times New Roman"/>
          <w:spacing w:val="-6"/>
          <w:sz w:val="32"/>
          <w:szCs w:val="32"/>
          <w:highlight w:val="none"/>
        </w:rPr>
      </w:pPr>
      <w:r>
        <w:rPr>
          <w:rFonts w:hint="eastAsia" w:ascii="仿宋_GB2312" w:hAnsi="Times New Roman" w:eastAsia="仿宋_GB2312" w:cs="Times New Roman"/>
          <w:sz w:val="32"/>
          <w:szCs w:val="32"/>
          <w:highlight w:val="none"/>
        </w:rPr>
        <w:t>202</w:t>
      </w:r>
      <w:r>
        <w:rPr>
          <w:rFonts w:hint="eastAsia" w:ascii="仿宋_GB2312" w:hAnsi="Times New Roman" w:eastAsia="仿宋_GB2312" w:cs="Times New Roman"/>
          <w:sz w:val="32"/>
          <w:szCs w:val="32"/>
          <w:highlight w:val="none"/>
          <w:lang w:val="en-US" w:eastAsia="zh-CN"/>
        </w:rPr>
        <w:t>3</w:t>
      </w:r>
      <w:r>
        <w:rPr>
          <w:rFonts w:hint="eastAsia" w:ascii="仿宋_GB2312" w:hAnsi="Times New Roman" w:eastAsia="仿宋_GB2312" w:cs="Times New Roman"/>
          <w:sz w:val="32"/>
          <w:szCs w:val="32"/>
          <w:highlight w:val="none"/>
        </w:rPr>
        <w:t>年</w:t>
      </w:r>
      <w:r>
        <w:rPr>
          <w:rFonts w:hint="eastAsia" w:ascii="仿宋_GB2312" w:hAnsi="Times New Roman" w:eastAsia="仿宋_GB2312" w:cs="Times New Roman"/>
          <w:sz w:val="32"/>
          <w:szCs w:val="32"/>
          <w:highlight w:val="none"/>
          <w:lang w:val="en-US" w:eastAsia="zh-CN"/>
        </w:rPr>
        <w:t>本部门</w:t>
      </w:r>
      <w:r>
        <w:rPr>
          <w:rFonts w:hint="eastAsia" w:ascii="仿宋_GB2312" w:hAnsi="Times New Roman" w:eastAsia="仿宋_GB2312" w:cs="Times New Roman"/>
          <w:sz w:val="32"/>
          <w:szCs w:val="32"/>
          <w:highlight w:val="none"/>
        </w:rPr>
        <w:t>政府采购预算总额0万元，其中，货物</w:t>
      </w:r>
      <w:r>
        <w:rPr>
          <w:rFonts w:hint="eastAsia" w:ascii="仿宋_GB2312" w:hAnsi="Times New Roman" w:eastAsia="仿宋_GB2312" w:cs="Times New Roman"/>
          <w:sz w:val="32"/>
          <w:szCs w:val="32"/>
          <w:highlight w:val="none"/>
          <w:lang w:val="en-US" w:eastAsia="zh-CN"/>
        </w:rPr>
        <w:t>类</w:t>
      </w:r>
      <w:r>
        <w:rPr>
          <w:rFonts w:hint="eastAsia" w:ascii="仿宋_GB2312" w:hAnsi="Times New Roman" w:eastAsia="仿宋_GB2312" w:cs="Times New Roman"/>
          <w:sz w:val="32"/>
          <w:szCs w:val="32"/>
          <w:highlight w:val="none"/>
        </w:rPr>
        <w:t>采购预算0万元、工程</w:t>
      </w:r>
      <w:r>
        <w:rPr>
          <w:rFonts w:hint="eastAsia" w:ascii="仿宋_GB2312" w:hAnsi="Times New Roman" w:eastAsia="仿宋_GB2312" w:cs="Times New Roman"/>
          <w:sz w:val="32"/>
          <w:szCs w:val="32"/>
          <w:highlight w:val="none"/>
          <w:lang w:val="en-US" w:eastAsia="zh-CN"/>
        </w:rPr>
        <w:t>类采购</w:t>
      </w:r>
      <w:r>
        <w:rPr>
          <w:rFonts w:hint="eastAsia" w:ascii="仿宋_GB2312" w:hAnsi="Times New Roman" w:eastAsia="仿宋_GB2312" w:cs="Times New Roman"/>
          <w:sz w:val="32"/>
          <w:szCs w:val="32"/>
          <w:highlight w:val="none"/>
        </w:rPr>
        <w:t>预算0万元、服务</w:t>
      </w:r>
      <w:r>
        <w:rPr>
          <w:rFonts w:hint="eastAsia" w:ascii="仿宋_GB2312" w:hAnsi="Times New Roman" w:eastAsia="仿宋_GB2312" w:cs="Times New Roman"/>
          <w:sz w:val="32"/>
          <w:szCs w:val="32"/>
          <w:highlight w:val="none"/>
          <w:lang w:val="en-US" w:eastAsia="zh-CN"/>
        </w:rPr>
        <w:t>类采购</w:t>
      </w:r>
      <w:r>
        <w:rPr>
          <w:rFonts w:hint="eastAsia" w:ascii="仿宋_GB2312" w:hAnsi="Times New Roman" w:eastAsia="仿宋_GB2312" w:cs="Times New Roman"/>
          <w:sz w:val="32"/>
          <w:szCs w:val="32"/>
          <w:highlight w:val="none"/>
        </w:rPr>
        <w:t>预算0万元。</w:t>
      </w:r>
    </w:p>
    <w:p w14:paraId="3F534FD1">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default" w:ascii="CESI仿宋-GB2312" w:hAnsi="CESI仿宋-GB2312" w:eastAsia="CESI仿宋-GB2312" w:cs="CESI仿宋-GB2312"/>
          <w:b/>
          <w:bCs/>
          <w:sz w:val="32"/>
          <w:szCs w:val="32"/>
          <w:highlight w:val="none"/>
          <w:lang w:val="en-US"/>
        </w:rPr>
      </w:pPr>
      <w:r>
        <w:rPr>
          <w:rFonts w:hint="eastAsia" w:ascii="CESI仿宋-GB2312" w:hAnsi="CESI仿宋-GB2312" w:eastAsia="CESI仿宋-GB2312" w:cs="CESI仿宋-GB2312"/>
          <w:b/>
          <w:bCs/>
          <w:sz w:val="32"/>
          <w:szCs w:val="32"/>
          <w:highlight w:val="none"/>
        </w:rPr>
        <w:t>（四）预算绩效</w:t>
      </w:r>
      <w:r>
        <w:rPr>
          <w:rFonts w:hint="eastAsia" w:ascii="CESI仿宋-GB2312" w:hAnsi="CESI仿宋-GB2312" w:eastAsia="CESI仿宋-GB2312" w:cs="CESI仿宋-GB2312"/>
          <w:b/>
          <w:bCs/>
          <w:sz w:val="32"/>
          <w:szCs w:val="32"/>
          <w:highlight w:val="none"/>
          <w:lang w:val="en-US" w:eastAsia="zh-CN"/>
        </w:rPr>
        <w:t>管理情况</w:t>
      </w:r>
    </w:p>
    <w:p w14:paraId="7E8A994E">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按照市本级预算绩效管理工作的总体要求，2023年我单位整体支出</w:t>
      </w:r>
      <w:r>
        <w:rPr>
          <w:rFonts w:hint="eastAsia" w:ascii="仿宋_GB2312" w:hAnsi="Times New Roman" w:eastAsia="仿宋_GB2312" w:cs="Times New Roman"/>
          <w:sz w:val="32"/>
          <w:szCs w:val="32"/>
          <w:highlight w:val="none"/>
          <w:lang w:val="en-US" w:eastAsia="zh-CN"/>
        </w:rPr>
        <w:t>2392.94</w:t>
      </w:r>
      <w:r>
        <w:rPr>
          <w:rFonts w:hint="eastAsia" w:ascii="仿宋_GB2312" w:hAnsi="Times New Roman" w:eastAsia="仿宋_GB2312" w:cs="Times New Roman"/>
          <w:sz w:val="32"/>
          <w:szCs w:val="32"/>
          <w:highlight w:val="none"/>
        </w:rPr>
        <w:t>万元，全部实行整体支出绩效目标管理，</w:t>
      </w:r>
      <w:r>
        <w:rPr>
          <w:rFonts w:hint="default" w:ascii="仿宋_GB2312" w:hAnsi="Times New Roman" w:eastAsia="仿宋_GB2312" w:cs="Times New Roman"/>
          <w:sz w:val="32"/>
          <w:szCs w:val="32"/>
          <w:highlight w:val="none"/>
        </w:rPr>
        <w:t>基本支出</w:t>
      </w:r>
      <w:r>
        <w:rPr>
          <w:rFonts w:hint="eastAsia" w:ascii="仿宋_GB2312" w:hAnsi="Times New Roman" w:eastAsia="仿宋_GB2312" w:cs="Times New Roman"/>
          <w:sz w:val="32"/>
          <w:szCs w:val="32"/>
          <w:highlight w:val="none"/>
          <w:lang w:val="en-US" w:eastAsia="zh-CN"/>
        </w:rPr>
        <w:t>2127.84</w:t>
      </w:r>
      <w:r>
        <w:rPr>
          <w:rFonts w:hint="default" w:ascii="仿宋_GB2312" w:hAnsi="Times New Roman" w:eastAsia="仿宋_GB2312" w:cs="Times New Roman"/>
          <w:sz w:val="32"/>
          <w:szCs w:val="32"/>
          <w:highlight w:val="none"/>
        </w:rPr>
        <w:t>万元，</w:t>
      </w:r>
      <w:r>
        <w:rPr>
          <w:rFonts w:hint="eastAsia" w:ascii="仿宋_GB2312" w:hAnsi="Times New Roman" w:eastAsia="仿宋_GB2312" w:cs="Times New Roman"/>
          <w:sz w:val="32"/>
          <w:szCs w:val="32"/>
          <w:highlight w:val="none"/>
        </w:rPr>
        <w:t>编报绩效目标的项目10个，涉及项目支出</w:t>
      </w:r>
      <w:r>
        <w:rPr>
          <w:rFonts w:hint="eastAsia" w:ascii="仿宋_GB2312" w:hAnsi="Times New Roman" w:eastAsia="仿宋_GB2312" w:cs="Times New Roman"/>
          <w:sz w:val="32"/>
          <w:szCs w:val="32"/>
          <w:highlight w:val="none"/>
          <w:lang w:val="en-US" w:eastAsia="zh-CN"/>
        </w:rPr>
        <w:t>265.1</w:t>
      </w:r>
      <w:r>
        <w:rPr>
          <w:rFonts w:hint="default" w:ascii="仿宋_GB2312" w:hAnsi="Times New Roman" w:eastAsia="仿宋_GB2312" w:cs="Times New Roman"/>
          <w:sz w:val="32"/>
          <w:szCs w:val="32"/>
          <w:highlight w:val="none"/>
        </w:rPr>
        <w:t>万元</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其中推进军民融合深度发展专项业务工作经费25万元，新型基础设施建设专项支出25万元，新型墙体材料推广及散装水泥推广专项经费20万元，产业园区三年提升计划专项经费25万元，工业运行监测协调专项经费11万元，技改税收增量奖补政策第三方机构评价专项经费25万元，节能监察工作经费10万元，室内装饰行管办专项经费及传统工艺美术保护发展专项经费15万元，全市电网供电能力提升三年行动计划专项业务工作经费15万元，安全生产专项经费15万元等全部实行项目支出绩效目标管理。</w:t>
      </w:r>
    </w:p>
    <w:p w14:paraId="02677666">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CESI仿宋-GB2312" w:hAnsi="CESI仿宋-GB2312" w:eastAsia="CESI仿宋-GB2312" w:cs="CESI仿宋-GB2312"/>
          <w:b/>
          <w:bCs/>
          <w:sz w:val="32"/>
          <w:szCs w:val="32"/>
          <w:highlight w:val="none"/>
        </w:rPr>
      </w:pPr>
      <w:r>
        <w:rPr>
          <w:rFonts w:hint="eastAsia" w:ascii="CESI仿宋-GB2312" w:hAnsi="CESI仿宋-GB2312" w:eastAsia="CESI仿宋-GB2312" w:cs="CESI仿宋-GB2312"/>
          <w:b/>
          <w:bCs/>
          <w:sz w:val="32"/>
          <w:szCs w:val="32"/>
          <w:highlight w:val="none"/>
        </w:rPr>
        <w:t>（五）国有资产占用情况</w:t>
      </w:r>
    </w:p>
    <w:p w14:paraId="0F3B850A">
      <w:pPr>
        <w:spacing w:line="600" w:lineRule="exact"/>
        <w:ind w:firstLine="640" w:firstLineChars="200"/>
        <w:rPr>
          <w:rFonts w:ascii="仿宋_GB2312" w:hAnsi="仿宋_GB2312" w:eastAsia="仿宋_GB2312" w:cs="仿宋_GB2312"/>
          <w:color w:val="000000"/>
          <w:sz w:val="32"/>
          <w:szCs w:val="32"/>
          <w:highlight w:val="none"/>
          <w:shd w:val="clear" w:color="auto" w:fill="FFFFFF"/>
        </w:rPr>
      </w:pPr>
      <w:r>
        <w:rPr>
          <w:rFonts w:hint="eastAsia" w:ascii="仿宋_GB2312" w:hAnsi="Times New Roman" w:eastAsia="仿宋_GB2312" w:cs="Times New Roman"/>
          <w:sz w:val="32"/>
          <w:szCs w:val="32"/>
          <w:highlight w:val="none"/>
        </w:rPr>
        <w:t>截至2022年12月31日，本部门共有</w:t>
      </w:r>
      <w:r>
        <w:rPr>
          <w:rFonts w:hint="eastAsia" w:ascii="仿宋_GB2312" w:hAnsi="仿宋_GB2312" w:eastAsia="仿宋_GB2312" w:cs="仿宋_GB2312"/>
          <w:color w:val="000000"/>
          <w:sz w:val="32"/>
          <w:szCs w:val="32"/>
          <w:highlight w:val="none"/>
          <w:shd w:val="clear" w:color="auto" w:fill="FFFFFF"/>
        </w:rPr>
        <w:t>共有公务用车</w:t>
      </w:r>
      <w:r>
        <w:rPr>
          <w:rFonts w:hint="eastAsia" w:ascii="仿宋_GB2312" w:hAnsi="Times New Roman" w:eastAsia="仿宋_GB2312" w:cs="Times New Roman"/>
          <w:sz w:val="32"/>
          <w:szCs w:val="32"/>
          <w:highlight w:val="none"/>
        </w:rPr>
        <w:t>7辆，其中，</w:t>
      </w:r>
      <w:r>
        <w:rPr>
          <w:rFonts w:hint="eastAsia" w:ascii="仿宋_GB2312" w:hAnsi="仿宋_GB2312" w:eastAsia="仿宋_GB2312" w:cs="仿宋_GB2312"/>
          <w:color w:val="000000"/>
          <w:sz w:val="32"/>
          <w:szCs w:val="32"/>
          <w:highlight w:val="none"/>
          <w:shd w:val="clear" w:color="auto" w:fill="FFFFFF"/>
        </w:rPr>
        <w:t>机要通信用车</w:t>
      </w:r>
      <w:bookmarkStart w:id="0" w:name="GYZC_TOTAL_JYTXYC"/>
      <w:r>
        <w:rPr>
          <w:rFonts w:hint="eastAsia" w:ascii="仿宋_GB2312" w:hAnsi="仿宋_GB2312" w:eastAsia="仿宋_GB2312" w:cs="仿宋_GB2312"/>
          <w:color w:val="000000"/>
          <w:sz w:val="32"/>
          <w:szCs w:val="32"/>
          <w:highlight w:val="none"/>
          <w:shd w:val="clear" w:color="auto" w:fill="FFFFFF"/>
        </w:rPr>
        <w:t>0</w:t>
      </w:r>
      <w:bookmarkEnd w:id="0"/>
      <w:r>
        <w:rPr>
          <w:rFonts w:hint="eastAsia" w:ascii="仿宋_GB2312" w:hAnsi="仿宋_GB2312" w:eastAsia="仿宋_GB2312" w:cs="仿宋_GB2312"/>
          <w:color w:val="000000"/>
          <w:sz w:val="32"/>
          <w:szCs w:val="32"/>
          <w:highlight w:val="none"/>
          <w:shd w:val="clear" w:color="auto" w:fill="FFFFFF"/>
        </w:rPr>
        <w:t>辆，应急保障用车</w:t>
      </w:r>
      <w:bookmarkStart w:id="1" w:name="GYZC_TOTAL_YJBZYC"/>
      <w:r>
        <w:rPr>
          <w:rFonts w:hint="eastAsia" w:ascii="仿宋_GB2312" w:hAnsi="仿宋_GB2312" w:eastAsia="仿宋_GB2312" w:cs="仿宋_GB2312"/>
          <w:color w:val="000000"/>
          <w:sz w:val="32"/>
          <w:szCs w:val="32"/>
          <w:highlight w:val="none"/>
          <w:shd w:val="clear" w:color="auto" w:fill="FFFFFF"/>
        </w:rPr>
        <w:t>0</w:t>
      </w:r>
      <w:bookmarkEnd w:id="1"/>
      <w:r>
        <w:rPr>
          <w:rFonts w:hint="eastAsia" w:ascii="仿宋_GB2312" w:hAnsi="仿宋_GB2312" w:eastAsia="仿宋_GB2312" w:cs="仿宋_GB2312"/>
          <w:color w:val="000000"/>
          <w:sz w:val="32"/>
          <w:szCs w:val="32"/>
          <w:highlight w:val="none"/>
          <w:shd w:val="clear" w:color="auto" w:fill="FFFFFF"/>
        </w:rPr>
        <w:t>辆，执法执勤用车</w:t>
      </w:r>
      <w:bookmarkStart w:id="2" w:name="GYZC_TOTAL_ZFZQYC"/>
      <w:r>
        <w:rPr>
          <w:rFonts w:hint="eastAsia" w:ascii="仿宋_GB2312" w:hAnsi="仿宋_GB2312" w:eastAsia="仿宋_GB2312" w:cs="仿宋_GB2312"/>
          <w:color w:val="000000"/>
          <w:sz w:val="32"/>
          <w:szCs w:val="32"/>
          <w:highlight w:val="none"/>
          <w:shd w:val="clear" w:color="auto" w:fill="FFFFFF"/>
        </w:rPr>
        <w:t>0</w:t>
      </w:r>
      <w:bookmarkEnd w:id="2"/>
      <w:r>
        <w:rPr>
          <w:rFonts w:hint="eastAsia" w:ascii="仿宋_GB2312" w:hAnsi="仿宋_GB2312" w:eastAsia="仿宋_GB2312" w:cs="仿宋_GB2312"/>
          <w:color w:val="000000"/>
          <w:sz w:val="32"/>
          <w:szCs w:val="32"/>
          <w:highlight w:val="none"/>
          <w:shd w:val="clear" w:color="auto" w:fill="FFFFFF"/>
        </w:rPr>
        <w:t>辆，特种专业技术用车</w:t>
      </w:r>
      <w:bookmarkStart w:id="3" w:name="GYZC_TOTAL_TZZYJSYC"/>
      <w:r>
        <w:rPr>
          <w:rFonts w:hint="eastAsia" w:ascii="仿宋_GB2312" w:hAnsi="仿宋_GB2312" w:eastAsia="仿宋_GB2312" w:cs="仿宋_GB2312"/>
          <w:color w:val="000000"/>
          <w:sz w:val="32"/>
          <w:szCs w:val="32"/>
          <w:highlight w:val="none"/>
          <w:shd w:val="clear" w:color="auto" w:fill="FFFFFF"/>
        </w:rPr>
        <w:t>0</w:t>
      </w:r>
      <w:bookmarkEnd w:id="3"/>
      <w:r>
        <w:rPr>
          <w:rFonts w:hint="eastAsia" w:ascii="仿宋_GB2312" w:hAnsi="仿宋_GB2312" w:eastAsia="仿宋_GB2312" w:cs="仿宋_GB2312"/>
          <w:color w:val="000000"/>
          <w:sz w:val="32"/>
          <w:szCs w:val="32"/>
          <w:highlight w:val="none"/>
          <w:shd w:val="clear" w:color="auto" w:fill="FFFFFF"/>
        </w:rPr>
        <w:t>辆，其他按照规定配备的公务用车</w:t>
      </w:r>
      <w:r>
        <w:rPr>
          <w:rFonts w:hint="eastAsia" w:ascii="仿宋_GB2312" w:hAnsi="Times New Roman" w:eastAsia="仿宋_GB2312" w:cs="Times New Roman"/>
          <w:sz w:val="32"/>
          <w:szCs w:val="32"/>
          <w:highlight w:val="none"/>
        </w:rPr>
        <w:t>7辆</w:t>
      </w:r>
      <w:r>
        <w:rPr>
          <w:rFonts w:hint="eastAsia" w:ascii="仿宋_GB2312" w:hAnsi="Times New Roman" w:eastAsia="仿宋_GB2312" w:cs="Times New Roman"/>
          <w:sz w:val="32"/>
          <w:szCs w:val="32"/>
          <w:highlight w:val="none"/>
          <w:lang w:eastAsia="zh-CN"/>
        </w:rPr>
        <w:t>；</w:t>
      </w:r>
      <w:r>
        <w:rPr>
          <w:rFonts w:hint="default" w:ascii="Times New Roman" w:hAnsi="Times New Roman" w:eastAsia="仿宋_GB2312" w:cs="Times New Roman"/>
          <w:bCs/>
          <w:kern w:val="0"/>
          <w:sz w:val="32"/>
          <w:szCs w:val="32"/>
          <w:highlight w:val="none"/>
        </w:rPr>
        <w:t>单位价值100万元以上设备</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台</w:t>
      </w:r>
      <w:r>
        <w:rPr>
          <w:rFonts w:hint="eastAsia" w:ascii="Times New Roman" w:hAnsi="Times New Roman" w:eastAsia="仿宋_GB2312" w:cs="Times New Roman"/>
          <w:bCs/>
          <w:kern w:val="0"/>
          <w:sz w:val="32"/>
          <w:szCs w:val="32"/>
          <w:highlight w:val="none"/>
          <w:lang w:eastAsia="zh-CN"/>
        </w:rPr>
        <w:t>（不含车辆）</w:t>
      </w:r>
      <w:r>
        <w:rPr>
          <w:rFonts w:hint="default" w:ascii="Times New Roman" w:hAnsi="Times New Roman" w:eastAsia="仿宋_GB2312" w:cs="Times New Roman"/>
          <w:bCs/>
          <w:kern w:val="0"/>
          <w:sz w:val="32"/>
          <w:szCs w:val="32"/>
          <w:highlight w:val="none"/>
        </w:rPr>
        <w:t>。</w:t>
      </w:r>
      <w:r>
        <w:rPr>
          <w:rFonts w:hint="eastAsia" w:ascii="Times New Roman" w:hAnsi="Times New Roman" w:eastAsia="仿宋_GB2312" w:cs="Times New Roman"/>
          <w:bCs/>
          <w:kern w:val="0"/>
          <w:sz w:val="32"/>
          <w:szCs w:val="32"/>
          <w:highlight w:val="none"/>
          <w:lang w:eastAsia="zh-CN"/>
        </w:rPr>
        <w:t>202</w:t>
      </w:r>
      <w:r>
        <w:rPr>
          <w:rFonts w:hint="eastAsia" w:ascii="Times New Roman" w:hAnsi="Times New Roman" w:eastAsia="仿宋_GB2312" w:cs="Times New Roman"/>
          <w:bCs/>
          <w:kern w:val="0"/>
          <w:sz w:val="32"/>
          <w:szCs w:val="32"/>
          <w:highlight w:val="none"/>
          <w:lang w:val="en-US" w:eastAsia="zh-CN"/>
        </w:rPr>
        <w:t>3</w:t>
      </w:r>
      <w:r>
        <w:rPr>
          <w:rFonts w:hint="default" w:ascii="Times New Roman" w:hAnsi="Times New Roman" w:eastAsia="仿宋_GB2312" w:cs="Times New Roman"/>
          <w:bCs/>
          <w:kern w:val="0"/>
          <w:sz w:val="32"/>
          <w:szCs w:val="32"/>
          <w:highlight w:val="none"/>
        </w:rPr>
        <w:t>年拟新增配置公务用车</w:t>
      </w:r>
      <w:r>
        <w:rPr>
          <w:rFonts w:hint="eastAsia" w:ascii="Times New Roman" w:hAnsi="Times New Roman" w:eastAsia="仿宋_GB2312" w:cs="Times New Roman"/>
          <w:bCs/>
          <w:kern w:val="0"/>
          <w:sz w:val="32"/>
          <w:szCs w:val="32"/>
          <w:highlight w:val="none"/>
          <w:lang w:val="en-US" w:eastAsia="zh-CN"/>
        </w:rPr>
        <w:t>0</w:t>
      </w:r>
      <w:r>
        <w:rPr>
          <w:rFonts w:hint="default" w:ascii="Times New Roman" w:hAnsi="Times New Roman" w:eastAsia="仿宋_GB2312" w:cs="Times New Roman"/>
          <w:bCs/>
          <w:kern w:val="0"/>
          <w:sz w:val="32"/>
          <w:szCs w:val="32"/>
          <w:highlight w:val="none"/>
        </w:rPr>
        <w:t>辆，其中，机要通信用车</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辆，应急保障用车</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辆，执法执勤用车</w:t>
      </w:r>
      <w:r>
        <w:rPr>
          <w:rFonts w:hint="eastAsia" w:ascii="Times New Roman" w:hAnsi="Times New Roman" w:eastAsia="仿宋_GB2312" w:cs="Times New Roman"/>
          <w:bCs/>
          <w:kern w:val="0"/>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辆，特种专业技术用车</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辆，其他按照规定配备的公务用车</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辆；新增配备单位价值100万元以上设备</w:t>
      </w:r>
      <w:r>
        <w:rPr>
          <w:rFonts w:hint="eastAsia"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bCs/>
          <w:kern w:val="0"/>
          <w:sz w:val="32"/>
          <w:szCs w:val="32"/>
          <w:highlight w:val="none"/>
        </w:rPr>
        <w:t>台</w:t>
      </w:r>
      <w:r>
        <w:rPr>
          <w:rFonts w:hint="eastAsia" w:ascii="Times New Roman" w:hAnsi="Times New Roman" w:eastAsia="仿宋_GB2312" w:cs="Times New Roman"/>
          <w:bCs/>
          <w:kern w:val="0"/>
          <w:sz w:val="32"/>
          <w:szCs w:val="32"/>
          <w:highlight w:val="none"/>
          <w:lang w:eastAsia="zh-CN"/>
        </w:rPr>
        <w:t>（不含车辆）</w:t>
      </w:r>
      <w:r>
        <w:rPr>
          <w:rFonts w:hint="default" w:ascii="Times New Roman" w:hAnsi="Times New Roman" w:eastAsia="仿宋_GB2312" w:cs="Times New Roman"/>
          <w:bCs/>
          <w:kern w:val="0"/>
          <w:sz w:val="32"/>
          <w:szCs w:val="32"/>
          <w:highlight w:val="none"/>
        </w:rPr>
        <w:t>。</w:t>
      </w:r>
    </w:p>
    <w:p w14:paraId="5D649BCF">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CESI仿宋-GB2312" w:hAnsi="CESI仿宋-GB2312" w:eastAsia="CESI仿宋-GB2312" w:cs="CESI仿宋-GB2312"/>
          <w:b/>
          <w:bCs/>
          <w:sz w:val="32"/>
          <w:szCs w:val="32"/>
          <w:highlight w:val="none"/>
        </w:rPr>
      </w:pPr>
      <w:r>
        <w:rPr>
          <w:rFonts w:hint="eastAsia" w:ascii="CESI仿宋-GB2312" w:hAnsi="CESI仿宋-GB2312" w:eastAsia="CESI仿宋-GB2312" w:cs="CESI仿宋-GB2312"/>
          <w:b/>
          <w:bCs/>
          <w:sz w:val="32"/>
          <w:szCs w:val="32"/>
          <w:highlight w:val="none"/>
        </w:rPr>
        <w:t>（六）一般性支出情况</w:t>
      </w:r>
    </w:p>
    <w:p w14:paraId="6E23A202">
      <w:pPr>
        <w:spacing w:line="600" w:lineRule="exact"/>
        <w:ind w:firstLine="640" w:firstLineChars="200"/>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1.2023年，本部门会议费预算5万元，具体为：职称评审会议，内容为人才分类认定评审工作，预计参会人数35人，预算1万元；五好园区建设推进会议，内容为五好园区建设相关工作部署，预计参会人数80人，预算1万元；清廉园区建设推进会议，内容为清廉园区建设相关工作部署，预计参会人数50人，预算0.5万元；全市投资工作座谈会，内容为抓好工业投资、重点项目建设等工作调度，加强交流，预计参会人数38人，预算0.5万元；全市经济运行会议，内容为全市经济运行调度、分析，预计参会人数50人，预算2万元。</w:t>
      </w:r>
    </w:p>
    <w:p w14:paraId="6C926B35">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highlight w:val="none"/>
        </w:rPr>
        <w:t>2.2023年，本部门培训费预</w:t>
      </w:r>
      <w:r>
        <w:rPr>
          <w:rFonts w:hint="eastAsia" w:ascii="仿宋_GB2312" w:hAnsi="Times New Roman" w:eastAsia="仿宋_GB2312" w:cs="Times New Roman"/>
          <w:color w:val="000000" w:themeColor="text1"/>
          <w:sz w:val="32"/>
          <w:szCs w:val="32"/>
          <w:highlight w:val="none"/>
          <w14:textFill>
            <w14:solidFill>
              <w14:schemeClr w14:val="tx1"/>
            </w14:solidFill>
          </w14:textFill>
        </w:rPr>
        <w:t>算4万元，</w:t>
      </w:r>
      <w:r>
        <w:rPr>
          <w:rFonts w:hint="eastAsia" w:ascii="仿宋_GB2312" w:hAnsi="Times New Roman" w:eastAsia="仿宋_GB2312" w:cs="Times New Roman"/>
          <w:sz w:val="32"/>
          <w:szCs w:val="32"/>
        </w:rPr>
        <w:t>具体为：新入规模企业工业培训，内容为培训入规模企业相关知识，政策解读，预计人数50人，预算2万元；全市安全生产工作培训，内容为工业领域安全生产隐患排查及治理相关知识培训，预计人数50人，预算2万元。</w:t>
      </w:r>
    </w:p>
    <w:p w14:paraId="7A9317CC">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3.2023年本部门无举办节庆、晚会、论坛、赛事等预算。</w:t>
      </w:r>
    </w:p>
    <w:p w14:paraId="2A13F5DE">
      <w:pPr>
        <w:spacing w:line="60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七、专业名词解释</w:t>
      </w:r>
    </w:p>
    <w:p w14:paraId="59CEB228">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1.机关运行经费：</w:t>
      </w:r>
      <w:r>
        <w:rPr>
          <w:rFonts w:hint="eastAsia" w:ascii="仿宋_GB2312" w:hAnsi="Times New Roman" w:eastAsia="仿宋_GB2312" w:cs="Times New Roman"/>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B097BE5">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2.“三公”经费：</w:t>
      </w:r>
      <w:r>
        <w:rPr>
          <w:rFonts w:hint="eastAsia" w:ascii="仿宋_GB2312" w:hAnsi="Times New Roman" w:eastAsia="仿宋_GB2312" w:cs="Times New Roman"/>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w:t>
      </w:r>
      <w:r>
        <w:rPr>
          <w:rFonts w:hint="eastAsia" w:ascii="仿宋_GB2312" w:hAnsi="Times New Roman" w:eastAsia="仿宋_GB2312" w:cs="Times New Roman"/>
          <w:spacing w:val="-6"/>
          <w:sz w:val="32"/>
          <w:szCs w:val="32"/>
        </w:rPr>
        <w:t>务出国（境）的国际旅费、国外城市间交通费、食宿费等支出。</w:t>
      </w:r>
    </w:p>
    <w:p w14:paraId="4021B3BF">
      <w:pPr>
        <w:spacing w:line="600" w:lineRule="exact"/>
        <w:ind w:firstLine="883" w:firstLineChars="200"/>
        <w:jc w:val="center"/>
        <w:rPr>
          <w:rStyle w:val="7"/>
          <w:rFonts w:ascii="黑体" w:hAnsi="黑体" w:eastAsia="黑体"/>
          <w:sz w:val="44"/>
          <w:szCs w:val="44"/>
        </w:rPr>
      </w:pPr>
    </w:p>
    <w:p w14:paraId="6FCCF603">
      <w:pPr>
        <w:spacing w:line="600" w:lineRule="exact"/>
        <w:ind w:firstLine="883" w:firstLineChars="200"/>
        <w:jc w:val="center"/>
        <w:rPr>
          <w:rStyle w:val="7"/>
          <w:rFonts w:ascii="黑体" w:hAnsi="黑体" w:eastAsia="黑体"/>
          <w:sz w:val="44"/>
          <w:szCs w:val="44"/>
        </w:rPr>
      </w:pPr>
    </w:p>
    <w:p w14:paraId="7E3A56E2">
      <w:pPr>
        <w:spacing w:line="600" w:lineRule="exact"/>
        <w:ind w:firstLine="883" w:firstLineChars="200"/>
        <w:jc w:val="center"/>
        <w:rPr>
          <w:rFonts w:ascii="仿宋" w:hAnsi="仿宋" w:eastAsia="仿宋"/>
          <w:sz w:val="23"/>
          <w:szCs w:val="23"/>
        </w:rPr>
      </w:pPr>
      <w:r>
        <w:rPr>
          <w:rStyle w:val="7"/>
          <w:rFonts w:hint="eastAsia" w:ascii="黑体" w:hAnsi="黑体" w:eastAsia="黑体"/>
          <w:sz w:val="44"/>
          <w:szCs w:val="44"/>
        </w:rPr>
        <w:t>第二部分2023年部门预算表</w:t>
      </w:r>
    </w:p>
    <w:p w14:paraId="27969EB3">
      <w:pPr>
        <w:spacing w:line="600" w:lineRule="exact"/>
        <w:ind w:firstLine="640" w:firstLineChars="200"/>
        <w:jc w:val="center"/>
        <w:rPr>
          <w:rFonts w:ascii="仿宋" w:hAnsi="仿宋" w:eastAsia="仿宋" w:cs="黑体"/>
          <w:sz w:val="32"/>
          <w:szCs w:val="32"/>
        </w:rPr>
      </w:pPr>
      <w:r>
        <w:rPr>
          <w:rFonts w:hint="eastAsia" w:ascii="仿宋" w:hAnsi="仿宋" w:eastAsia="仿宋" w:cs="黑体"/>
          <w:sz w:val="32"/>
          <w:szCs w:val="32"/>
        </w:rPr>
        <w:t>（详情见公开附表）</w:t>
      </w:r>
    </w:p>
    <w:p w14:paraId="2C6E449A">
      <w:pPr>
        <w:widowControl/>
        <w:spacing w:line="500" w:lineRule="auto"/>
        <w:ind w:firstLine="640" w:firstLineChars="200"/>
        <w:jc w:val="left"/>
        <w:rPr>
          <w:rFonts w:eastAsia="仿宋_GB2312"/>
          <w:sz w:val="32"/>
          <w:szCs w:val="32"/>
        </w:rPr>
      </w:pPr>
    </w:p>
    <w:p w14:paraId="126111D3">
      <w:pPr>
        <w:spacing w:line="600" w:lineRule="exact"/>
        <w:ind w:firstLine="640" w:firstLineChars="200"/>
        <w:rPr>
          <w:rFonts w:ascii="Times New Roman" w:hAnsi="Times New Roman" w:eastAsia="黑体" w:cs="Times New Roman"/>
          <w:bCs/>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9833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wZGIzNGZiMmUxYTI5MTA4ZTM3NmMxOTczZjhiNTIifQ=="/>
  </w:docVars>
  <w:rsids>
    <w:rsidRoot w:val="33293F74"/>
    <w:rsid w:val="00122EB9"/>
    <w:rsid w:val="003D18EB"/>
    <w:rsid w:val="003F21D8"/>
    <w:rsid w:val="005C0BC0"/>
    <w:rsid w:val="00635B60"/>
    <w:rsid w:val="00782BDA"/>
    <w:rsid w:val="008B5296"/>
    <w:rsid w:val="00AB18EB"/>
    <w:rsid w:val="00BF0F1B"/>
    <w:rsid w:val="00BF2277"/>
    <w:rsid w:val="00CB127B"/>
    <w:rsid w:val="03E47515"/>
    <w:rsid w:val="05121E5F"/>
    <w:rsid w:val="09093E23"/>
    <w:rsid w:val="0E865F3C"/>
    <w:rsid w:val="14144A1C"/>
    <w:rsid w:val="14AF5E7E"/>
    <w:rsid w:val="156C55BC"/>
    <w:rsid w:val="15837A36"/>
    <w:rsid w:val="2410497E"/>
    <w:rsid w:val="33293F74"/>
    <w:rsid w:val="3D8E3295"/>
    <w:rsid w:val="40D82DFB"/>
    <w:rsid w:val="507516B7"/>
    <w:rsid w:val="50AE6224"/>
    <w:rsid w:val="57A203EE"/>
    <w:rsid w:val="602F5EC1"/>
    <w:rsid w:val="61F71146"/>
    <w:rsid w:val="64C37BF6"/>
    <w:rsid w:val="73C3376E"/>
    <w:rsid w:val="75C22FFA"/>
    <w:rsid w:val="7A307DEB"/>
    <w:rsid w:val="7C502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Times New Roman" w:eastAsia="宋体" w:cs="宋体"/>
      <w:kern w:val="0"/>
      <w:sz w:val="24"/>
    </w:rPr>
  </w:style>
  <w:style w:type="character" w:styleId="7">
    <w:name w:val="Strong"/>
    <w:qFormat/>
    <w:uiPriority w:val="0"/>
    <w:rPr>
      <w:b/>
      <w:bCs/>
    </w:rPr>
  </w:style>
  <w:style w:type="character" w:styleId="8">
    <w:name w:val="page number"/>
    <w:basedOn w:val="6"/>
    <w:qFormat/>
    <w:uiPriority w:val="0"/>
  </w:style>
  <w:style w:type="character" w:customStyle="1" w:styleId="9">
    <w:name w:val="页眉 Char"/>
    <w:basedOn w:val="6"/>
    <w:link w:val="3"/>
    <w:qFormat/>
    <w:uiPriority w:val="0"/>
    <w:rPr>
      <w:kern w:val="2"/>
      <w:sz w:val="18"/>
      <w:szCs w:val="18"/>
    </w:rPr>
  </w:style>
  <w:style w:type="character" w:customStyle="1" w:styleId="10">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4379</Words>
  <Characters>4672</Characters>
  <Lines>39</Lines>
  <Paragraphs>11</Paragraphs>
  <TotalTime>11</TotalTime>
  <ScaleCrop>false</ScaleCrop>
  <LinksUpToDate>false</LinksUpToDate>
  <CharactersWithSpaces>4675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2024-10-09T08:21:00Z</dcterms:created>
  <dc:creator>小宋</dc:creator>
  <cp:lastModifiedBy>古 月</cp:lastModifiedBy>
  <dcterms:modified xsi:type="dcterms:W3CDTF">2024-10-17T15:57:55Z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0FFE57B118FD4150B1A08864A8A9C258_11</vt:lpwstr>
  </property>
</Properties>
</file>