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0"/>
        <w:jc w:val="center"/>
        <w:textAlignment w:val="auto"/>
        <w:rPr>
          <w:rFonts w:hint="default" w:ascii="Times New Roman" w:hAnsi="Times New Roman" w:eastAsia="方正小标宋_GBK" w:cs="Times New Roman"/>
          <w:b w:val="0"/>
          <w:bCs w:val="0"/>
          <w:i w:val="0"/>
          <w:iCs w:val="0"/>
          <w:caps w:val="0"/>
          <w:color w:val="auto"/>
          <w:spacing w:val="0"/>
          <w:sz w:val="44"/>
          <w:szCs w:val="44"/>
          <w:shd w:val="clear" w:fill="FFFFFF"/>
        </w:rPr>
      </w:pPr>
      <w:r>
        <w:rPr>
          <w:rFonts w:hint="default" w:ascii="Times New Roman" w:hAnsi="Times New Roman" w:eastAsia="方正小标宋_GBK" w:cs="Times New Roman"/>
          <w:b w:val="0"/>
          <w:bCs w:val="0"/>
          <w:i w:val="0"/>
          <w:iCs w:val="0"/>
          <w:caps w:val="0"/>
          <w:color w:val="auto"/>
          <w:spacing w:val="0"/>
          <w:sz w:val="44"/>
          <w:szCs w:val="44"/>
          <w:shd w:val="clear" w:fill="FFFFFF"/>
        </w:rPr>
        <w:t>2023年度怀化市工业和信息化局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0"/>
        <w:jc w:val="center"/>
        <w:textAlignment w:val="auto"/>
        <w:rPr>
          <w:rFonts w:hint="default" w:ascii="Times New Roman" w:hAnsi="Times New Roman" w:eastAsia="方正小标宋_GBK" w:cs="Times New Roman"/>
          <w:b w:val="0"/>
          <w:bCs w:val="0"/>
          <w:i w:val="0"/>
          <w:iCs w:val="0"/>
          <w:caps w:val="0"/>
          <w:color w:val="auto"/>
          <w:spacing w:val="0"/>
          <w:sz w:val="44"/>
          <w:szCs w:val="44"/>
        </w:rPr>
      </w:pPr>
      <w:r>
        <w:rPr>
          <w:rFonts w:hint="default" w:ascii="Times New Roman" w:hAnsi="Times New Roman" w:eastAsia="方正小标宋_GBK" w:cs="Times New Roman"/>
          <w:b w:val="0"/>
          <w:bCs w:val="0"/>
          <w:i w:val="0"/>
          <w:iCs w:val="0"/>
          <w:caps w:val="0"/>
          <w:color w:val="auto"/>
          <w:spacing w:val="0"/>
          <w:sz w:val="44"/>
          <w:szCs w:val="44"/>
          <w:shd w:val="clear" w:fill="FFFFFF"/>
          <w:lang w:val="en-US" w:eastAsia="zh-CN"/>
        </w:rPr>
        <w:t>本级</w:t>
      </w:r>
      <w:r>
        <w:rPr>
          <w:rFonts w:hint="default" w:ascii="Times New Roman" w:hAnsi="Times New Roman" w:eastAsia="方正小标宋_GBK" w:cs="Times New Roman"/>
          <w:b w:val="0"/>
          <w:bCs w:val="0"/>
          <w:i w:val="0"/>
          <w:iCs w:val="0"/>
          <w:caps w:val="0"/>
          <w:color w:val="auto"/>
          <w:spacing w:val="0"/>
          <w:sz w:val="44"/>
          <w:szCs w:val="44"/>
          <w:shd w:val="clear" w:fill="FFFFFF"/>
        </w:rPr>
        <w:t>整体支出绩效自评报告</w:t>
      </w:r>
    </w:p>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580" w:lineRule="exact"/>
        <w:ind w:left="0" w:leftChars="0" w:firstLine="300" w:firstLineChars="100"/>
        <w:jc w:val="left"/>
        <w:textAlignment w:val="auto"/>
        <w:rPr>
          <w:rFonts w:hint="default" w:ascii="Times New Roman" w:hAnsi="Times New Roman" w:eastAsia="仿宋" w:cs="Times New Roman"/>
          <w:color w:val="auto"/>
          <w:sz w:val="30"/>
          <w:szCs w:val="30"/>
          <w:shd w:val="clear" w:color="auto" w:fill="FFFFFF"/>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根据《怀化市财政局关于开展2023年度预算支出绩效自评工作的通知》（怀财绩〔2024〕46号）的文件精神，我局对2023年整体支出进行了绩效评价，现报告如下:</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sz w:val="32"/>
          <w:szCs w:val="32"/>
          <w:shd w:val="clear" w:fill="FFFFFF"/>
          <w:lang w:val="en-US" w:eastAsia="zh-CN"/>
        </w:rPr>
        <w:t>一、</w:t>
      </w:r>
      <w:r>
        <w:rPr>
          <w:rFonts w:hint="default" w:ascii="Times New Roman" w:hAnsi="Times New Roman" w:eastAsia="黑体" w:cs="Times New Roman"/>
          <w:i w:val="0"/>
          <w:iCs w:val="0"/>
          <w:caps w:val="0"/>
          <w:color w:val="auto"/>
          <w:spacing w:val="0"/>
          <w:sz w:val="32"/>
          <w:szCs w:val="32"/>
          <w:shd w:val="clear" w:fill="FFFFFF"/>
        </w:rPr>
        <w:t>部门、单位基本情况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rPr>
        <w:t>（一）机构设置情况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怀化市工业和信息化局为一级预算单位，内设17个科室：办公室、消费品工业科、原材料与装备工业科、中小企业发展促进科、运行监测协调科、综合科、行政审批服务科、投资规划科、市委军民融合发展委员会办公室秘书科、人事教育科、产业聚集科、节能与资源综合利用科、机关党委、人工智能与信息化推进科、无线电管理科、改革推进科、电力运行科。怀化市工业和信息化局共有6个二级机构：市无线电监测站，市墙体材料与散装水泥事务中心，市电力行政执法支队，市节能监察中心，市工业园区和中小企业事务中心，市数字怀化建设事务中心。</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rightChars="0" w:firstLine="643" w:firstLineChars="200"/>
        <w:jc w:val="both"/>
        <w:textAlignment w:val="auto"/>
        <w:rPr>
          <w:rFonts w:hint="default" w:ascii="Times New Roman" w:hAnsi="Times New Roman" w:eastAsia="楷体_GB2312" w:cs="Times New Roman"/>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lang w:val="en-US" w:eastAsia="zh-CN"/>
        </w:rPr>
        <w:t>（二）</w:t>
      </w:r>
      <w:r>
        <w:rPr>
          <w:rFonts w:hint="default" w:ascii="Times New Roman" w:hAnsi="Times New Roman" w:eastAsia="楷体_GB2312" w:cs="Times New Roman"/>
          <w:b/>
          <w:bCs/>
          <w:i w:val="0"/>
          <w:iCs w:val="0"/>
          <w:caps w:val="0"/>
          <w:color w:val="auto"/>
          <w:spacing w:val="0"/>
          <w:sz w:val="32"/>
          <w:szCs w:val="32"/>
          <w:shd w:val="clear" w:fill="FFFFFF"/>
        </w:rPr>
        <w:t>人员编制情况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596" w:firstLineChars="200"/>
        <w:jc w:val="both"/>
        <w:textAlignment w:val="auto"/>
        <w:rPr>
          <w:rFonts w:hint="default" w:ascii="Times New Roman" w:hAnsi="Times New Roman" w:eastAsia="仿宋_GB2312" w:cs="Times New Roman"/>
          <w:i w:val="0"/>
          <w:iCs w:val="0"/>
          <w:caps w:val="0"/>
          <w:color w:val="auto"/>
          <w:spacing w:val="-11"/>
          <w:sz w:val="32"/>
          <w:szCs w:val="32"/>
          <w:shd w:val="clear" w:fill="FFFFFF"/>
          <w:lang w:val="en-US" w:eastAsia="zh-CN"/>
        </w:rPr>
      </w:pPr>
      <w:r>
        <w:rPr>
          <w:rFonts w:hint="default" w:ascii="Times New Roman" w:hAnsi="Times New Roman" w:eastAsia="仿宋_GB2312" w:cs="Times New Roman"/>
          <w:i w:val="0"/>
          <w:iCs w:val="0"/>
          <w:caps w:val="0"/>
          <w:color w:val="auto"/>
          <w:spacing w:val="-11"/>
          <w:sz w:val="32"/>
          <w:szCs w:val="32"/>
          <w:shd w:val="clear" w:fill="FFFFFF"/>
          <w:lang w:val="en-US" w:eastAsia="zh-CN"/>
        </w:rPr>
        <w:t>市工信局2023年单位编制人数95人，年末实有人数92人。</w:t>
      </w:r>
    </w:p>
    <w:p>
      <w:pPr>
        <w:pStyle w:val="11"/>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rightChars="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rPr>
        <w:t>主要职能职责</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1.贯彻落实国家和省市有关经济和信息化的方针政策和法律法规；起草工业、信息化领域的地方性法规、规章草案并对相关法律法规的执行情况进行监督检查。</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拟订并组织实施工业、信息化发展规划、计划及产业政策；研究提出推进产业结构调整、工业与相关产业融合发展及管理创新的政策建议；指导工业和信息化领域加强安全生产、质量管理和应急管理工作；会同有关部门做好全市维护企业稳定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3.负责全市工业和信息化领域的日常经济运行调节，编制并组织实施近期工业和信息化领域的经济运行调控目标、政策和措施；监测分析近期工业和信息化领域的经济运行态势，统计并发布相关信息，统筹协调解决经济运行中的突出矛盾和问题并提出政策建议。</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4.拟订全市新型工业化的发展战略，协调解决有关重大问题；推进信息化和工业化融合，推进高新技术与传统工业改造结合；推进全市国民经济和社会信息化；推进全市工业园区的建设与发展。</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5.负责工业和信息化领域的国防动员有关工作；指导工业和信息化领域技术进步、技术创新；推进工业行业体制改革和管理创新，推进产学研结合和科研成果产业化；编制和组织实施技术改造规划，提出工业和信息化固定资产投资规模和方向（含利用外资和境外投资）。</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6.负责中小企业和非公有制经济发展的宏观指导；制订全市中小企业和非公有制经济中长期发展规划并组织实施；推进中小企业服务体系建设和全民创业；综合协调有关部门拟订促进中小企业和非公有制经济发展的改革措施，协调解决有关重大问题。</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7.参与拟订能源节约和资源综合利用规划；拟订并组织实施工业能源节约和资源综合利用政策；承担工业企业的节能考核和监察工作；组织推进清洁生产工作；组织协调相关重大示范工程和相关新技术、新设备、新材料、新产品的推</w:t>
      </w:r>
      <w:r>
        <w:rPr>
          <w:rFonts w:hint="default" w:ascii="Times New Roman" w:hAnsi="Times New Roman" w:eastAsia="仿宋_GB2312" w:cs="Times New Roman"/>
          <w:i w:val="0"/>
          <w:iCs w:val="0"/>
          <w:caps w:val="0"/>
          <w:color w:val="auto"/>
          <w:spacing w:val="-6"/>
          <w:sz w:val="32"/>
          <w:szCs w:val="32"/>
          <w:shd w:val="clear" w:fill="FFFFFF"/>
          <w:lang w:val="en-US" w:eastAsia="zh-CN"/>
        </w:rPr>
        <w:t>广应用；负责新型节能、新型墙体材料和散装水泥的管理工作。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8.负责煤炭、电力、石油、天然气和原材料等经济运行保障要素的工业经济运行；促进企业内部物流社会化。</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9.统筹推进经济和社会领域信息化工作；指导协调电子政务发展；推动跨行业、跨部门的互联互通和重要信息资源的开发利用、共享；推进全市信息化建设；协调全市公用通信网、互联网、广播电视网和其他专用通信网的规划和建设，促进网络资源共享。</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10.拟订全市信息安全发展战略、规划，指导、协调信息安全保障体系建设；指导监督政府部门、重点行业重要信息系统与基础信息网络的安全保障工作；协助处理网络与信息安全的重大事件。</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11.负责推动软件业和信息服务业的发展，协调解决重大问题；推动软件公共服务体系建设，推进软件服务外包；指导、协调技术开发和相关产业发展；依法监督管理信息服务市场。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12.统一配置和管理无线电频谱资源，依法监督管理无线电台（站），协调处理军地间无线电管理相关事宜，负责管理无线电监测、检测、干扰查处，协调处理电磁干扰事宜，维护空中电波秩序，依法组织实施无线电管制。</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13.负责国防科技工业的综合协调和管理，组织推进军民两用技术双向转移及产业化工作；落实全市国防科技工业相关的财税优惠政策，承担全市军工关键设备设施的监督管理。</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14.承担全市民用爆炸物品的行业管理工作，负责民用爆炸物品安全生产许可和销售许可的监督管理；承担核事故应急管理职责；指导协调并监督检查市内武器装备科研生产单位安全生产、保密、保卫和维护稳定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15.指导、协调全市工业、信息化领域的对外交流与合作；指导全市工业和信息化领域人才开发和培训工作。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16.负责全市电力行政执法工作；监督检查电力法律、法</w:t>
      </w:r>
      <w:r>
        <w:rPr>
          <w:rFonts w:hint="default" w:ascii="Times New Roman" w:hAnsi="Times New Roman" w:eastAsia="仿宋_GB2312" w:cs="Times New Roman"/>
          <w:i w:val="0"/>
          <w:iCs w:val="0"/>
          <w:caps w:val="0"/>
          <w:color w:val="auto"/>
          <w:spacing w:val="-6"/>
          <w:sz w:val="32"/>
          <w:szCs w:val="32"/>
          <w:shd w:val="clear" w:fill="FFFFFF"/>
          <w:lang w:val="en-US" w:eastAsia="zh-CN"/>
        </w:rPr>
        <w:t>规和规章的执行情况，指导和监督各县市区电力行政执法工作。</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rPr>
        <w:t>（四）绩效目标设定情况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目标1：对标对表省委省政府“4</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lang w:val="en-US" w:eastAsia="zh-CN"/>
        </w:rPr>
        <w:t>4”现代化产业体系和市委、市政府加快构建“5+N”现代化产业新体系要求，聚焦新型产业链高质量发展，以商招商和以链招商</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lang w:val="en-US" w:eastAsia="zh-CN"/>
        </w:rPr>
        <w:t>以项目建设和工业招商为抓手，做大工业总量。</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目标2：推进“五好”园区建设，开展产业园区高质量发展三年行动，健全完善亩均效益评价机制，打造产业集群</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lang w:val="en-US" w:eastAsia="zh-CN"/>
        </w:rPr>
        <w:t>以园区倍增为契机，做强园区经济。</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目标3：以产业发展为突破，优化工业产业结构，发展特色支柱产业。</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目标4：推进数字产业化和产业数字化，出台《怀化市</w:t>
      </w:r>
      <w:r>
        <w:rPr>
          <w:rFonts w:hint="default" w:ascii="Times New Roman" w:hAnsi="Times New Roman" w:eastAsia="仿宋_GB2312" w:cs="Times New Roman"/>
          <w:i w:val="0"/>
          <w:iCs w:val="0"/>
          <w:caps w:val="0"/>
          <w:color w:val="auto"/>
          <w:spacing w:val="6"/>
          <w:sz w:val="32"/>
          <w:szCs w:val="32"/>
          <w:shd w:val="clear" w:fill="FFFFFF"/>
          <w:lang w:val="en-US" w:eastAsia="zh-CN"/>
        </w:rPr>
        <w:t>关于推进数字经济发展的实施意见》，推动数字经济稳步发展。</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目标</w:t>
      </w:r>
      <w:r>
        <w:rPr>
          <w:rFonts w:hint="default" w:ascii="Times New Roman" w:hAnsi="Times New Roman" w:eastAsia="仿宋_GB2312" w:cs="Times New Roman"/>
          <w:i w:val="0"/>
          <w:iCs w:val="0"/>
          <w:caps w:val="0"/>
          <w:color w:val="auto"/>
          <w:spacing w:val="0"/>
          <w:sz w:val="32"/>
          <w:szCs w:val="32"/>
          <w:shd w:val="clear" w:fill="FFFFFF"/>
          <w:lang w:val="en-US" w:eastAsia="zh-CN"/>
        </w:rPr>
        <w:t>5</w:t>
      </w:r>
      <w:r>
        <w:rPr>
          <w:rFonts w:hint="default" w:ascii="Times New Roman" w:hAnsi="Times New Roman" w:eastAsia="仿宋_GB2312" w:cs="Times New Roman"/>
          <w:i w:val="0"/>
          <w:iCs w:val="0"/>
          <w:caps w:val="0"/>
          <w:color w:val="auto"/>
          <w:spacing w:val="0"/>
          <w:sz w:val="32"/>
          <w:szCs w:val="32"/>
          <w:shd w:val="clear" w:fill="FFFFFF"/>
          <w:lang w:val="en-US" w:eastAsia="zh-CN"/>
        </w:rPr>
        <w:t>：以开展“三送三解三优”行动为契机，深入推进“送政策解难题优服务”助企纾困行动，开设“政企面对面”电视访谈专栏，举办税务金融、数字赋能等专场服务</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lang w:val="en-US" w:eastAsia="zh-CN"/>
        </w:rPr>
        <w:t>搭建怀化“惠企通”大数据服务平台，为企业提供全链条、全天候、全过程、一站式服务，解决服务企业“最后一公里”问题。</w:t>
      </w:r>
    </w:p>
    <w:p>
      <w:pPr>
        <w:keepNext w:val="0"/>
        <w:keepLines w:val="0"/>
        <w:pageBreakBefore w:val="0"/>
        <w:numPr>
          <w:ilvl w:val="0"/>
          <w:numId w:val="0"/>
        </w:numPr>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黑体" w:cs="Times New Roman"/>
          <w:i w:val="0"/>
          <w:iCs w:val="0"/>
          <w:caps w:val="0"/>
          <w:color w:val="auto"/>
          <w:spacing w:val="0"/>
          <w:kern w:val="0"/>
          <w:sz w:val="32"/>
          <w:szCs w:val="32"/>
          <w:shd w:val="clear" w:fill="FFFFFF"/>
          <w:lang w:val="en-US" w:eastAsia="zh-CN" w:bidi="ar"/>
        </w:rPr>
      </w:pP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二、部门整体支出管理及使用情况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rPr>
        <w:t>（一）</w:t>
      </w:r>
      <w:r>
        <w:rPr>
          <w:rFonts w:hint="default" w:ascii="Times New Roman" w:hAnsi="Times New Roman" w:eastAsia="楷体_GB2312" w:cs="Times New Roman"/>
          <w:b/>
          <w:bCs/>
          <w:i w:val="0"/>
          <w:iCs w:val="0"/>
          <w:caps w:val="0"/>
          <w:color w:val="auto"/>
          <w:spacing w:val="0"/>
          <w:sz w:val="32"/>
          <w:szCs w:val="32"/>
          <w:shd w:val="clear" w:fill="FFFFFF"/>
        </w:rPr>
        <w:t>预算执行、使用、管理总体情况。</w:t>
      </w:r>
    </w:p>
    <w:p>
      <w:pPr>
        <w:pStyle w:val="12"/>
        <w:keepNext w:val="0"/>
        <w:keepLines w:val="0"/>
        <w:pageBreakBefore w:val="0"/>
        <w:shd w:val="clear"/>
        <w:kinsoku/>
        <w:wordWrap/>
        <w:overflowPunct/>
        <w:topLinePunct w:val="0"/>
        <w:autoSpaceDE/>
        <w:autoSpaceDN/>
        <w:bidi w:val="0"/>
        <w:adjustRightInd/>
        <w:spacing w:line="58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1</w:t>
      </w:r>
      <w:r>
        <w:rPr>
          <w:rFonts w:hint="default" w:ascii="Times New Roman" w:hAnsi="Times New Roman" w:cs="Times New Roman"/>
          <w:b/>
          <w:bCs/>
          <w:i w:val="0"/>
          <w:iCs w:val="0"/>
          <w:caps w:val="0"/>
          <w:color w:val="auto"/>
          <w:spacing w:val="0"/>
          <w:kern w:val="0"/>
          <w:sz w:val="32"/>
          <w:szCs w:val="32"/>
          <w:shd w:val="clear" w:fill="FFFFFF"/>
          <w:lang w:val="en-US" w:eastAsia="zh-CN" w:bidi="ar"/>
        </w:rPr>
        <w:t>.</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预算执行情况</w:t>
      </w:r>
    </w:p>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根据《怀化市财政局关于批复下达2023年市直部门预算的通知》（怀财预﹝2023﹞6号），2023年市工业和信息化局预算收入2392.94万元，本年决算支出3241.81万元，预算执行率135.42%。</w:t>
      </w:r>
    </w:p>
    <w:p>
      <w:pPr>
        <w:pStyle w:val="12"/>
        <w:keepNext w:val="0"/>
        <w:keepLines w:val="0"/>
        <w:pageBreakBefore w:val="0"/>
        <w:shd w:val="clear"/>
        <w:kinsoku/>
        <w:wordWrap/>
        <w:overflowPunct/>
        <w:topLinePunct w:val="0"/>
        <w:autoSpaceDE/>
        <w:autoSpaceDN/>
        <w:bidi w:val="0"/>
        <w:adjustRightInd/>
        <w:spacing w:line="58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2</w:t>
      </w:r>
      <w:r>
        <w:rPr>
          <w:rFonts w:hint="default" w:ascii="Times New Roman" w:hAnsi="Times New Roman" w:cs="Times New Roman"/>
          <w:b/>
          <w:bCs/>
          <w:i w:val="0"/>
          <w:iCs w:val="0"/>
          <w:caps w:val="0"/>
          <w:color w:val="auto"/>
          <w:spacing w:val="0"/>
          <w:kern w:val="0"/>
          <w:sz w:val="32"/>
          <w:szCs w:val="32"/>
          <w:shd w:val="clear" w:fill="FFFFFF"/>
          <w:lang w:val="en-US" w:eastAsia="zh-CN" w:bidi="ar"/>
        </w:rPr>
        <w:t>.</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预算使用情况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2023年本年决算支出3241.81万元，其中：用于基本支出2008.88万元，项目支出1232.93万元。预算执行较年初预算多848.86万元，主要是增加上级专项资金拨款274.23万元。分别用于规模工业企业培育发展奖励资金96.43万元、真抓实干成效明显地区奖励经费100万元、产业链办专项工作经费18万元、智赋千企专项工作经费30万元、2023年“创客中国”湖南省中小微企业创新大赛怀化赛区复赛专项工作经费29.8万元；调整</w:t>
      </w:r>
      <w:r>
        <w:rPr>
          <w:rFonts w:hint="default" w:ascii="Times New Roman" w:hAnsi="Times New Roman" w:eastAsia="仿宋_GB2312" w:cs="Times New Roman"/>
          <w:i w:val="0"/>
          <w:iCs w:val="0"/>
          <w:caps w:val="0"/>
          <w:color w:val="auto"/>
          <w:spacing w:val="0"/>
          <w:sz w:val="32"/>
          <w:szCs w:val="32"/>
          <w:shd w:val="clear" w:fill="FFFFFF"/>
          <w:lang w:val="en-US" w:eastAsia="zh-CN"/>
        </w:rPr>
        <w:t>市级预算资金656.57万元，主要用于智慧怀化代建代付市直单位信息化项目。</w:t>
      </w:r>
    </w:p>
    <w:p>
      <w:pPr>
        <w:pStyle w:val="12"/>
        <w:keepNext w:val="0"/>
        <w:keepLines w:val="0"/>
        <w:pageBreakBefore w:val="0"/>
        <w:shd w:val="clear"/>
        <w:kinsoku/>
        <w:wordWrap/>
        <w:overflowPunct/>
        <w:topLinePunct w:val="0"/>
        <w:autoSpaceDE/>
        <w:autoSpaceDN/>
        <w:bidi w:val="0"/>
        <w:adjustRightInd/>
        <w:spacing w:line="58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3</w:t>
      </w:r>
      <w:r>
        <w:rPr>
          <w:rFonts w:hint="default" w:ascii="Times New Roman" w:hAnsi="Times New Roman" w:cs="Times New Roman"/>
          <w:b/>
          <w:bCs/>
          <w:i w:val="0"/>
          <w:iCs w:val="0"/>
          <w:caps w:val="0"/>
          <w:color w:val="auto"/>
          <w:spacing w:val="0"/>
          <w:kern w:val="0"/>
          <w:sz w:val="32"/>
          <w:szCs w:val="32"/>
          <w:shd w:val="clear" w:fill="FFFFFF"/>
          <w:lang w:val="en-US" w:eastAsia="zh-CN" w:bidi="ar"/>
        </w:rPr>
        <w:t>.</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预算管理情况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对所有资金实行从申报到执行结束的全过程管理，督促各预算资金执行进度，提高预算资金使用效益。（2）预算资金下达后，及时制定实施方案，明确使用内容和范围，对预算执行中存在的问题进行逐项分析，提高预算执行质量。（3）规范财务运行、健全内部控制制度、强化监督检查、确保资金使用安全有效。</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lang w:val="en-US" w:eastAsia="zh-CN"/>
        </w:rPr>
      </w:pPr>
      <w:r>
        <w:rPr>
          <w:rFonts w:hint="default" w:ascii="Times New Roman" w:hAnsi="Times New Roman" w:eastAsia="楷体_GB2312" w:cs="Times New Roman"/>
          <w:b/>
          <w:bCs/>
          <w:i w:val="0"/>
          <w:iCs w:val="0"/>
          <w:caps w:val="0"/>
          <w:color w:val="auto"/>
          <w:spacing w:val="0"/>
          <w:sz w:val="32"/>
          <w:szCs w:val="32"/>
          <w:shd w:val="clear" w:fill="FFFFFF"/>
          <w:lang w:val="en-US" w:eastAsia="zh-CN"/>
        </w:rPr>
        <w:t>（二）部门预算执行情况</w:t>
      </w:r>
    </w:p>
    <w:p>
      <w:pPr>
        <w:pStyle w:val="12"/>
        <w:keepNext w:val="0"/>
        <w:keepLines w:val="0"/>
        <w:pageBreakBefore w:val="0"/>
        <w:shd w:val="clear"/>
        <w:kinsoku/>
        <w:wordWrap/>
        <w:overflowPunct/>
        <w:topLinePunct w:val="0"/>
        <w:autoSpaceDE/>
        <w:autoSpaceDN/>
        <w:bidi w:val="0"/>
        <w:adjustRightInd/>
        <w:spacing w:line="58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1.基本支出情况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2023年本单位决算基本支出2008.88万元，其中：工资福利支出1410.45万元，主要用于工资、津补贴、绩效奖金等支出1180.74万元，机关事业单位基本养老保险缴费支出157.48万元，职工基本医疗保险缴费支出59.91万元，其他社会保障缴费支出12.32万元；商品和服务支出160.71万元，主要用于印刷费2.51万元、差旅费3.77万元、因公出国（境）费用23.69万元、会议费1.22万元、培训费0.76万元、其他交通费71.45万元、工会经费39.3万元、福利费8.45万元、其他商品服务支出9.56万元；对个人和家庭的补助支出437.72万元.主要用于离休费84.71万元、离退休人员生活补助费支出308.23万元、其他对个人和其他补助44.78万元。</w:t>
      </w:r>
    </w:p>
    <w:p>
      <w:pPr>
        <w:pStyle w:val="12"/>
        <w:keepNext w:val="0"/>
        <w:keepLines w:val="0"/>
        <w:pageBreakBefore w:val="0"/>
        <w:shd w:val="clear"/>
        <w:kinsoku/>
        <w:wordWrap/>
        <w:overflowPunct/>
        <w:topLinePunct w:val="0"/>
        <w:autoSpaceDE/>
        <w:autoSpaceDN/>
        <w:bidi w:val="0"/>
        <w:adjustRightInd/>
        <w:spacing w:line="58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2.</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项目支出情况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2023年项目支出总额1232.93万元。市级一般公共预算财政拨款项目支出</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948.67</w:t>
      </w:r>
      <w:r>
        <w:rPr>
          <w:rFonts w:hint="default" w:ascii="Times New Roman" w:hAnsi="Times New Roman" w:eastAsia="仿宋_GB2312" w:cs="Times New Roman"/>
          <w:i w:val="0"/>
          <w:iCs w:val="0"/>
          <w:caps w:val="0"/>
          <w:color w:val="auto"/>
          <w:spacing w:val="0"/>
          <w:sz w:val="32"/>
          <w:szCs w:val="32"/>
          <w:shd w:val="clear" w:fill="FFFFFF"/>
          <w:lang w:val="en-US" w:eastAsia="zh-CN"/>
        </w:rPr>
        <w:t>万元。分别为：工业运行监测协调专项经费8.89万元、安全生产专项经费（含春运安全）11.99万元、全市电网供电能力提升三年行动计划专项业务工作经费11.63万元、新型基础设施建设专项工作经费19.72万元、节能监察工作经费7.2万元，推进军JMRH深度发展专项业务工作经费23.11万元、产业园区三年提升计划专项经费19.38万元、技改税收增量奖补政策第三方机构评价专项经费17.89万元、新型墙体材料推广及散装水泥推广专项经费16.16万元、室内装饰行管办专项经费及传统工艺美术保护发展专项经费11.23万元、退休管理维稳专项经费18.34万元、关停并转退职费11.61万元、2023年助企纾困工作经费38.34万元、智慧怀化工作经费34万元（含2022年结转4万元）、网络信息安全2万元、预拌砂浆专项规划编制项目资金8万元、产业园区十四五规划编制15.8万元、建国初期退休干部医疗补贴0.8万元、19-20柔性引进工作补助（人才资源开发专项资金）8.01万元、结转2022年财政税政法制专项经费8万元、智慧怀化市直单位代建代付项目7个，资金总额656.57万元；智慧怀化市直单位代建代付的7个项目，分别为：智能交通一期372.38万元、怀化市人大常委会2016年信息化项目52.78万元、怀化市云计算中心算力平台建设项目6万元、怀化惠企通平台项目10万元、怀化市全民健康信息平台建设项目85.48万元、怀化市乡村“雪亮工程”市本级基础平台建设29.93万元、智慧怀化云计算中心电费100万元。</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上级专项资金项目支出5个，预算资金总额274.23万元。分别为：规模工业企业培育发展奖励资金96.43万元、真抓实干成效明显地区奖励经费100万元、产业链办专项工作经费18万元、智赋千企专项工作经费30万元、2023年“创客中国”湖南省中小微企业创新大赛怀化赛区复赛专项工作经</w:t>
      </w:r>
      <w:r>
        <w:rPr>
          <w:rFonts w:hint="default" w:ascii="Times New Roman" w:hAnsi="Times New Roman" w:eastAsia="仿宋_GB2312" w:cs="Times New Roman"/>
          <w:i w:val="0"/>
          <w:iCs w:val="0"/>
          <w:caps w:val="0"/>
          <w:color w:val="auto"/>
          <w:spacing w:val="-6"/>
          <w:sz w:val="32"/>
          <w:szCs w:val="32"/>
          <w:shd w:val="clear" w:fill="FFFFFF"/>
          <w:lang w:val="en-US" w:eastAsia="zh-CN"/>
        </w:rPr>
        <w:t>费29.8万元；资金来源于省级先进制造业高地专项资金（市州）。</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纳入预算管理的非税收入项目2个，预算资金总额10.03万元。分别为：职称评审工作经费3.5万元、计算机考试经费6.53万元。</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项目支出1232.93万元（含智慧怀化代建市直单位信息化建设项目）；主要用于办公设备购置31.58万元，信息网络及软件购置更新556.57万元，项目实施过程中发生的办公费62.89万元、印刷费25.12万元、电费104万元、差旅费73.54万元及其他商品服务支出等。</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lang w:eastAsia="zh-CN"/>
        </w:rPr>
        <w:t>（</w:t>
      </w:r>
      <w:r>
        <w:rPr>
          <w:rFonts w:hint="default" w:ascii="Times New Roman" w:hAnsi="Times New Roman" w:eastAsia="楷体_GB2312" w:cs="Times New Roman"/>
          <w:b/>
          <w:bCs/>
          <w:i w:val="0"/>
          <w:iCs w:val="0"/>
          <w:caps w:val="0"/>
          <w:color w:val="auto"/>
          <w:spacing w:val="0"/>
          <w:sz w:val="32"/>
          <w:szCs w:val="32"/>
          <w:shd w:val="clear" w:fill="FFFFFF"/>
          <w:lang w:val="en-US" w:eastAsia="zh-CN"/>
        </w:rPr>
        <w:t>三</w:t>
      </w:r>
      <w:r>
        <w:rPr>
          <w:rFonts w:hint="default" w:ascii="Times New Roman" w:hAnsi="Times New Roman" w:eastAsia="楷体_GB2312" w:cs="Times New Roman"/>
          <w:b/>
          <w:bCs/>
          <w:i w:val="0"/>
          <w:iCs w:val="0"/>
          <w:caps w:val="0"/>
          <w:color w:val="auto"/>
          <w:spacing w:val="0"/>
          <w:sz w:val="32"/>
          <w:szCs w:val="32"/>
          <w:shd w:val="clear" w:fill="FFFFFF"/>
          <w:lang w:eastAsia="zh-CN"/>
        </w:rPr>
        <w:t>）</w:t>
      </w:r>
      <w:r>
        <w:rPr>
          <w:rFonts w:hint="default" w:ascii="Times New Roman" w:hAnsi="Times New Roman" w:eastAsia="楷体_GB2312" w:cs="Times New Roman"/>
          <w:b/>
          <w:bCs/>
          <w:i w:val="0"/>
          <w:iCs w:val="0"/>
          <w:caps w:val="0"/>
          <w:color w:val="auto"/>
          <w:spacing w:val="0"/>
          <w:sz w:val="32"/>
          <w:szCs w:val="32"/>
          <w:shd w:val="clear" w:fill="FFFFFF"/>
        </w:rPr>
        <w:t>"三公"经费使用和管理情况</w:t>
      </w:r>
    </w:p>
    <w:p>
      <w:pPr>
        <w:keepNext w:val="0"/>
        <w:keepLines w:val="0"/>
        <w:pageBreakBefore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“三公”经费支出情况：</w:t>
      </w:r>
    </w:p>
    <w:p>
      <w:pPr>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1.</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本年公务接待费预算</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数6</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万元，支出</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决算</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数6万元，</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本年支出</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决算数</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较上年决</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算数</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增3.49</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万元。</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主要是因为2023年新增产业链工作，县市区和园区对接工作增加、外市区来怀化学习交流次数增多及招商活动支出的公务接待费。</w:t>
      </w:r>
    </w:p>
    <w:p>
      <w:pPr>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本年公务用车保有量</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7</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台，公务用车运行维护费预算数2</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1</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万元，</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支出决算数</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20</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8</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1</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万元，决算数比预算数</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少0.19</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万元，</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较上年决算数增1.9万元，</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公务用车运行维护费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主要用于车辆购汽油、维修、过路费等支出</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w:t>
      </w:r>
    </w:p>
    <w:p>
      <w:pPr>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3.</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因公出国（境）1人，支出</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23.69万元，</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年中追加因公出国（境）</w:t>
      </w:r>
      <w:r>
        <w:rPr>
          <w:rFonts w:hint="default" w:ascii="Times New Roman" w:hAnsi="Times New Roman" w:eastAsia="仿宋_GB2312" w:cs="Times New Roman"/>
          <w:i w:val="0"/>
          <w:iCs w:val="0"/>
          <w:caps w:val="0"/>
          <w:color w:val="auto"/>
          <w:spacing w:val="0"/>
          <w:kern w:val="0"/>
          <w:sz w:val="32"/>
          <w:szCs w:val="32"/>
          <w:shd w:val="clear" w:fill="FFFFFF"/>
          <w:lang w:val="zh-CN" w:eastAsia="zh-CN" w:bidi="ar"/>
        </w:rPr>
        <w:t>预算23.69万元，用于参加省商务厅组织的经贸交流和项目对接等工作。</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rightChars="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三、</w:t>
      </w:r>
      <w:r>
        <w:rPr>
          <w:rFonts w:hint="default" w:ascii="Times New Roman" w:hAnsi="Times New Roman" w:eastAsia="黑体" w:cs="Times New Roman"/>
          <w:i w:val="0"/>
          <w:iCs w:val="0"/>
          <w:caps w:val="0"/>
          <w:color w:val="auto"/>
          <w:spacing w:val="0"/>
          <w:sz w:val="32"/>
          <w:szCs w:val="32"/>
          <w:shd w:val="clear" w:fill="FFFFFF"/>
        </w:rPr>
        <w:t>政府性基金预算支出情况</w:t>
      </w:r>
    </w:p>
    <w:p>
      <w:pPr>
        <w:pStyle w:val="2"/>
        <w:keepNext w:val="0"/>
        <w:keepLines w:val="0"/>
        <w:pageBreakBefore w:val="0"/>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2023年本单位无政府性基金预算支出。</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rightChars="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四、</w:t>
      </w:r>
      <w:r>
        <w:rPr>
          <w:rFonts w:hint="default" w:ascii="Times New Roman" w:hAnsi="Times New Roman" w:eastAsia="黑体" w:cs="Times New Roman"/>
          <w:i w:val="0"/>
          <w:iCs w:val="0"/>
          <w:caps w:val="0"/>
          <w:color w:val="auto"/>
          <w:spacing w:val="0"/>
          <w:sz w:val="32"/>
          <w:szCs w:val="32"/>
          <w:shd w:val="clear" w:fill="FFFFFF"/>
        </w:rPr>
        <w:t>国有资本经营预算支出情况</w:t>
      </w:r>
    </w:p>
    <w:p>
      <w:pPr>
        <w:pStyle w:val="2"/>
        <w:keepNext w:val="0"/>
        <w:keepLines w:val="0"/>
        <w:pageBreakBefore w:val="0"/>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2023年本单位无国有资本经营预算支出。</w:t>
      </w:r>
    </w:p>
    <w:p>
      <w:pPr>
        <w:pStyle w:val="11"/>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rightChars="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五、</w:t>
      </w:r>
      <w:r>
        <w:rPr>
          <w:rFonts w:hint="default" w:ascii="Times New Roman" w:hAnsi="Times New Roman" w:eastAsia="黑体" w:cs="Times New Roman"/>
          <w:i w:val="0"/>
          <w:iCs w:val="0"/>
          <w:caps w:val="0"/>
          <w:color w:val="auto"/>
          <w:spacing w:val="0"/>
          <w:sz w:val="32"/>
          <w:szCs w:val="32"/>
          <w:shd w:val="clear" w:fill="FFFFFF"/>
        </w:rPr>
        <w:t>社会保险基金预算支出情况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2023年本单位无社会保险基金预算支出。</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firstLine="640" w:firstLineChars="200"/>
        <w:jc w:val="both"/>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六、部门整体支出绩效情况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rPr>
        <w:t>（一）综合评价结论。反映自评得分及评价等级。</w:t>
      </w:r>
    </w:p>
    <w:p>
      <w:pPr>
        <w:pStyle w:val="3"/>
        <w:keepNext w:val="0"/>
        <w:keepLines w:val="0"/>
        <w:pageBreakBefore w:val="0"/>
        <w:widowControl/>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bCs w:val="0"/>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Cs w:val="0"/>
          <w:i w:val="0"/>
          <w:iCs w:val="0"/>
          <w:caps w:val="0"/>
          <w:color w:val="auto"/>
          <w:spacing w:val="0"/>
          <w:kern w:val="0"/>
          <w:sz w:val="32"/>
          <w:szCs w:val="32"/>
          <w:shd w:val="clear" w:fill="FFFFFF"/>
          <w:lang w:val="en-US" w:eastAsia="zh-CN" w:bidi="ar"/>
        </w:rPr>
        <w:t>根据《怀化市财政局关于开展2023年度预算支出绩效自评工作的通知》中整体支出绩效评价指标体系，对我单位2023年部门整体支出绩效开展了评价。2023年本单位整体支出达到预期目标，在计划时间内很好的完成各项指标，自评得分99分，评价等级优。</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50" w:lineRule="exact"/>
        <w:ind w:left="0" w:leftChars="0" w:right="0" w:firstLine="643" w:firstLineChars="200"/>
        <w:jc w:val="both"/>
        <w:textAlignment w:val="auto"/>
        <w:rPr>
          <w:rFonts w:hint="default" w:ascii="Times New Roman" w:hAnsi="Times New Roman" w:eastAsia="楷体_GB2312" w:cs="Times New Roman"/>
          <w:b/>
          <w:bCs/>
          <w:i w:val="0"/>
          <w:iCs w:val="0"/>
          <w:caps w:val="0"/>
          <w:color w:val="auto"/>
          <w:spacing w:val="0"/>
          <w:sz w:val="32"/>
          <w:szCs w:val="32"/>
          <w:shd w:val="clear" w:fill="FFFFFF"/>
        </w:rPr>
      </w:pPr>
      <w:r>
        <w:rPr>
          <w:rFonts w:hint="default" w:ascii="Times New Roman" w:hAnsi="Times New Roman" w:eastAsia="楷体_GB2312" w:cs="Times New Roman"/>
          <w:b/>
          <w:bCs/>
          <w:i w:val="0"/>
          <w:iCs w:val="0"/>
          <w:caps w:val="0"/>
          <w:color w:val="auto"/>
          <w:spacing w:val="0"/>
          <w:sz w:val="32"/>
          <w:szCs w:val="32"/>
          <w:shd w:val="clear" w:fill="FFFFFF"/>
          <w:lang w:eastAsia="zh-CN"/>
        </w:rPr>
        <w:t>（</w:t>
      </w:r>
      <w:r>
        <w:rPr>
          <w:rFonts w:hint="default" w:ascii="Times New Roman" w:hAnsi="Times New Roman" w:eastAsia="楷体_GB2312" w:cs="Times New Roman"/>
          <w:b/>
          <w:bCs/>
          <w:i w:val="0"/>
          <w:iCs w:val="0"/>
          <w:caps w:val="0"/>
          <w:color w:val="auto"/>
          <w:spacing w:val="0"/>
          <w:sz w:val="32"/>
          <w:szCs w:val="32"/>
          <w:shd w:val="clear" w:fill="FFFFFF"/>
          <w:lang w:val="en-US" w:eastAsia="zh-CN"/>
        </w:rPr>
        <w:t>二</w:t>
      </w:r>
      <w:r>
        <w:rPr>
          <w:rFonts w:hint="default" w:ascii="Times New Roman" w:hAnsi="Times New Roman" w:eastAsia="楷体_GB2312" w:cs="Times New Roman"/>
          <w:b/>
          <w:bCs/>
          <w:i w:val="0"/>
          <w:iCs w:val="0"/>
          <w:caps w:val="0"/>
          <w:color w:val="auto"/>
          <w:spacing w:val="0"/>
          <w:sz w:val="32"/>
          <w:szCs w:val="32"/>
          <w:shd w:val="clear" w:fill="FFFFFF"/>
          <w:lang w:eastAsia="zh-CN"/>
        </w:rPr>
        <w:t>）</w:t>
      </w:r>
      <w:r>
        <w:rPr>
          <w:rFonts w:hint="default" w:ascii="Times New Roman" w:hAnsi="Times New Roman" w:eastAsia="楷体_GB2312" w:cs="Times New Roman"/>
          <w:b/>
          <w:bCs/>
          <w:i w:val="0"/>
          <w:iCs w:val="0"/>
          <w:caps w:val="0"/>
          <w:color w:val="auto"/>
          <w:spacing w:val="0"/>
          <w:sz w:val="32"/>
          <w:szCs w:val="32"/>
          <w:shd w:val="clear" w:fill="FFFFFF"/>
        </w:rPr>
        <w:t>评价指标分析（或综合评价情况）。</w:t>
      </w:r>
    </w:p>
    <w:p>
      <w:pPr>
        <w:pStyle w:val="12"/>
        <w:keepNext w:val="0"/>
        <w:keepLines w:val="0"/>
        <w:pageBreakBefore w:val="0"/>
        <w:shd w:val="clear"/>
        <w:kinsoku/>
        <w:wordWrap/>
        <w:overflowPunct/>
        <w:topLinePunct w:val="0"/>
        <w:autoSpaceDE/>
        <w:autoSpaceDN/>
        <w:bidi w:val="0"/>
        <w:adjustRightInd/>
        <w:spacing w:line="55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1.</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综合评价</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指标</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分析</w:t>
      </w:r>
    </w:p>
    <w:p>
      <w:pPr>
        <w:pStyle w:val="8"/>
        <w:keepNext w:val="0"/>
        <w:keepLines w:val="0"/>
        <w:pageBreakBefore w:val="0"/>
        <w:numPr>
          <w:ilvl w:val="0"/>
          <w:numId w:val="0"/>
        </w:numPr>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整体绩效目标设定</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：根据绩效目标设定的相关规定，</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围绕</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我局的</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部门职责</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和</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行业发展规划</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，制定本局整体绩效目标，绩效目标设定基本做到了完整、合理、细化和量化。</w:t>
      </w:r>
    </w:p>
    <w:p>
      <w:pPr>
        <w:pStyle w:val="8"/>
        <w:keepNext w:val="0"/>
        <w:keepLines w:val="0"/>
        <w:pageBreakBefore w:val="0"/>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预算配置方面：根据年初预算和履职目标，参考上一年预算执行情况、有关支出绩效评价结果和本年度收支预测，按照规定程序征求各方面意见后，进行分配，确保预算资金分配合理、合规。</w:t>
      </w:r>
    </w:p>
    <w:p>
      <w:pPr>
        <w:pStyle w:val="8"/>
        <w:keepNext w:val="0"/>
        <w:keepLines w:val="0"/>
        <w:pageBreakBefore w:val="0"/>
        <w:shd w:val="clear"/>
        <w:kinsoku/>
        <w:wordWrap/>
        <w:overflowPunct/>
        <w:topLinePunct w:val="0"/>
        <w:autoSpaceDE/>
        <w:autoSpaceDN/>
        <w:bidi w:val="0"/>
        <w:adjustRightInd/>
        <w:spacing w:line="55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预算执行：按照“量入为出、收支平衡”的原则。严格执行本局预算配置方案，不擅自扩大支出范围、提高开支标准，及时了解预算执行进度，提高资金执行效率。</w:t>
      </w:r>
    </w:p>
    <w:p>
      <w:pPr>
        <w:pStyle w:val="8"/>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预算管理：严格按照《中华人民共和国预算法》和预算编制相关规定，遵循统筹兼顾、勤俭节约、量力而行、讲求绩效和收支平衡的原则，结合本局</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部门职责</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和</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行业发展规划</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编制年初预算。在预算执行过程中及时完成日常会计核算和预算指标下达对账工作，了解预算执行进度，对执行进度较慢的预算，分析其滞后原因并进行研判，做出合理调整，提高财政资金使用效益。</w:t>
      </w:r>
    </w:p>
    <w:p>
      <w:pPr>
        <w:pStyle w:val="8"/>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资产管理：我局严格按照《行政事业性国有资产管理条例》（国务院令738号）《怀化市工业和信息化局固定资产管理制度》进行固定资产配置、购置、验收、入账，对固定资产实施资产管理信息动态化监管，建立了规范的固定资产台账，落实资产关键岗位、使用人员的职责。</w:t>
      </w:r>
    </w:p>
    <w:p>
      <w:pPr>
        <w:pStyle w:val="8"/>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履职履效：2023年围绕本局工作职责开展工作平稳、有序，很好的完成了市委、市政府下达的各项工作任务和本局绩效目标。</w:t>
      </w:r>
    </w:p>
    <w:p>
      <w:pPr>
        <w:pStyle w:val="12"/>
        <w:keepNext w:val="0"/>
        <w:keepLines w:val="0"/>
        <w:pageBreakBefore w:val="0"/>
        <w:shd w:val="clear"/>
        <w:kinsoku/>
        <w:wordWrap/>
        <w:overflowPunct/>
        <w:topLinePunct w:val="0"/>
        <w:autoSpaceDE/>
        <w:autoSpaceDN/>
        <w:bidi w:val="0"/>
        <w:adjustRightInd/>
        <w:spacing w:line="580" w:lineRule="exact"/>
        <w:ind w:left="0" w:leftChars="0" w:firstLine="643" w:firstLineChars="200"/>
        <w:jc w:val="both"/>
        <w:textAlignment w:val="auto"/>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2.</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绩效</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目标完成情况及</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绩效</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情况</w:t>
      </w:r>
    </w:p>
    <w:p>
      <w:pPr>
        <w:keepNext w:val="0"/>
        <w:keepLines w:val="0"/>
        <w:pageBreakBefore w:val="0"/>
        <w:shd w:val="clear"/>
        <w:kinsoku/>
        <w:wordWrap/>
        <w:overflowPunct/>
        <w:topLinePunct w:val="0"/>
        <w:autoSpaceDE/>
        <w:autoSpaceDN/>
        <w:bidi w:val="0"/>
        <w:adjustRightInd/>
        <w:snapToGrid w:val="0"/>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2023年，我局坚持以习近平新时代中国特色社会主义思想为指导，在市委、市政府的坚强领导下，锚定“三高四新”美好蓝图，奋力实施“五新四城”战略，负重前行，完整、准确、全面贯彻新发展理念，扎实推进新型工业化，全市工业经济发展取得一定成效，规模工业增速由上半年的负增长强势转正进位。1-12月，全市规模工业增加值增长4.8%,连续7个月实现环比正增长；工业投资增长39.9%，高出全省平均31.8个百分点，排名全省第一。在2023年全省工业和信息化领域省政府真抓实干督查激励推荐名单中，C类市州11个激励名额，怀化获推荐7个，其中市本级促进工业高质量发展、推进产业发展“万千百”工程2项工作获激励推荐。</w:t>
      </w:r>
    </w:p>
    <w:p>
      <w:pPr>
        <w:pStyle w:val="4"/>
        <w:keepNext w:val="0"/>
        <w:keepLines w:val="0"/>
        <w:pageBreakBefore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 w:cs="Times New Roman"/>
          <w:color w:val="auto"/>
          <w:kern w:val="0"/>
          <w:sz w:val="32"/>
          <w:szCs w:val="32"/>
          <w:shd w:val="clear" w:color="auto"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（1）</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党的建设，发展根基不断夯实。局党组高度重视机关党建工作，全面落实党建工作责任制，研究制定《2023年党建工作要点》等文件，始终把党的政治建设摆在首位，严守党的政治纪律和政治规矩，严格执行“第一议题”制度，坚定拥护“两个确立”，坚决做到“两个维护”。全年召开局党组会议31次，研究议题181个，解决问题181个；召开局务会议9次，研究议题37个，解决问题37个。深入开展学习贯彻习近平新时代中国特色社会主义思想主题教育，认真落实主题教育集中学习和自学制度，举办局党组主题教育读书班（扩大），组织集中学习4次；开展“以学铸魂”“以学增智”“以学正风”“以学促干”“树立正确政绩观”“四下基层”“‘走找想促’调查研究交流”专题研讨7次，班子成员共深入基层、企业、社区开展现场办公、理论宣讲、下访接访、政策宣传等80余次，协调解决问题120个；大兴调查研究之风，调查研究100余次，上报调研问题65个，办结率100%；扎实开展“走找想促”活动，围绕“助推箱包产业链发展，积极打造国际箱包之都”案例，局主要领导带头赴项目一线、企业一线、园区一线现场办公，协调解决企业招工难、员工出行难、食宿保障难、厂房紧缺等5个方面具体问题。深入学习贯彻党的二十大精神，举办专题培训班，75名在职党员均参加了学习培训，撰写了学习心得，交流了学习体会。全面落实意识形态责任制，把意识形态工作纳入局党组重要议事议程，全年组织局党组理论中心组集体学习11次，召开意识形态风险研判会2次，并对局意识形态工作进行周密安排部署，全年未发生意识形态方面的问题。认真履行基层党建工作责任，完成支部换届选举，全面深化党支部标准化规范化建设，聚力打造“四强”党支部，严格执行“三会一课”“一月一课一片一实践”主题党日活动、党员领导干部双重组织生活、民主评议党员等组织生活制度，组织党员干部赴新晃唐伯赓故居开展革命传统教育，重温入党誓词；聚焦“一迎三创”，组建党员先锋队，大力开展飞线集中整治工作，下达整改函240份，组织各大运营商及国网电力投入26支专业施工队伍112人次，整治缆线25.17万米，主城区78个创文测评重点点位全部整治到位。加强干部队伍建设和管理，公开招录所属事业单位工作人员6名，向市委推荐优秀年轻干部3名；组织60余名工信系统干部到北方民族大学学习充电；制定《局机关及事业单位工作人员绩效考核实施方案（试行）》，探索推行干部职工绩效奖励差异化发放新路子，激发全局干部职工争先创优、干事创业的积极性和主动性；组织全市工程系列中级职称评审，强化专业技术人才保障。扎实推进党风廉政建设，制定下发《2023年局机关纪检监察工作要点》《2023年市工信局政治监督清单》等文件，以“清廉机关”“清廉家庭”创建为契机，严守中央八项规定及其实施细则精神和廉洁从政各项制度，组织开展易鹏飞案“镜鉴”以案促改“四个一”警示教育活动，局班子成员带头上廉政党课，作纪律宣讲，反对“四风”特别是形式主义、官僚主义成效进一步巩固，崇尚清廉文化的氛围进一步浓厚。抓实统战民族宗教工作，民族团结进步示范单位创建工作有序有力推进。</w:t>
      </w:r>
    </w:p>
    <w:p>
      <w:pPr>
        <w:pStyle w:val="4"/>
        <w:keepNext w:val="0"/>
        <w:keepLines w:val="0"/>
        <w:pageBreakBefore w:val="0"/>
        <w:shd w:val="clear"/>
        <w:kinsoku/>
        <w:wordWrap/>
        <w:overflowPunct/>
        <w:topLinePunct w:val="0"/>
        <w:autoSpaceDE/>
        <w:autoSpaceDN/>
        <w:bidi w:val="0"/>
        <w:adjustRightInd/>
        <w:spacing w:after="0"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（2）</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产业链建设，发展动能不断增强。对标对表省委省政府“4×4”现代化产业体系和市委、市政府加快构建“5+N”现代化产业新体系要求，聚焦新型显示、精细化工新材料、新能源及装备、箱包皮具等9条制造业产业链高质量发展，细化举措抓落实，全面推行链长负责制和工作专班推进制，市委书记、市长任总链长，有关市领导任链长，编制了产业链三年行动计划（2023年-2025年），制定了产业链发展现状图、全景图和远景图，建立了考核评价体系，设立招商大使，组织参加首届湖南(怀化)RCEP经贸博览会，推行以商招商和以链招商。目前，在谈项目69个，在建项目91个，投产项目50个。《怀化，“国际箱包之都”在崛起》在《湖南日报》头版刊发；《多措并举助推制造业提质增效》获《湖南工信》专刊推介。</w:t>
      </w:r>
    </w:p>
    <w:p>
      <w:pPr>
        <w:pStyle w:val="4"/>
        <w:keepNext w:val="0"/>
        <w:keepLines w:val="0"/>
        <w:pageBreakBefore w:val="0"/>
        <w:widowControl w:val="0"/>
        <w:shd w:val="clear"/>
        <w:kinsoku/>
        <w:wordWrap/>
        <w:overflowPunct/>
        <w:topLinePunct w:val="0"/>
        <w:autoSpaceDE/>
        <w:autoSpaceDN/>
        <w:bidi w:val="0"/>
        <w:adjustRightInd/>
        <w:snapToGrid/>
        <w:spacing w:after="0"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（3）</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五好”园区发展，平台基础不断巩固。坚持“三生融合、三态协同”理念，大力推进“五好”园区建设，扎实开展产业园区高质量发展三年行动，健全完善亩均效益评价机制，重点打造了洪江区精细化工、靖州茯苓、芷江电子信息、中方桥隧装备制造等产业集群。大力支持怀化国际陆港建设，围绕打造“国际箱包之都”，大力发展箱包皮具产业，仅半年时间吸引企业落地34家、总投资突破30亿元。2023年7月，芷江电子信息产业获批省级新型工业化产业示范基地；9月，新晃产业开发区获批省级化工园区。“雨溆工业园”相关经验做法被省政府综合大督查通报表彰。1-11月，全市产业园区规模工业增加值同比增长4.6%，占全市规模工业增加值比重71.32%。</w:t>
      </w:r>
    </w:p>
    <w:p>
      <w:pPr>
        <w:pStyle w:val="4"/>
        <w:keepNext w:val="0"/>
        <w:keepLines w:val="0"/>
        <w:pageBreakBefore w:val="0"/>
        <w:widowControl w:val="0"/>
        <w:shd w:val="clea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（4）</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优质企业培育，发展后劲持续提升。狠抓企业入规。创新“五张清单”机制，建立“小升规重点企业培育库”“重点项目库”“退规风险企业库”，实行“一企一策一专班”，全年新增入规工业企业143家，净增122家，完成省定任务的260%，完成率全省第一。《“五张清单”助推工业经济“加速回升”》获《湖南工信》专刊推介。大力推动中小企业“专精特新”发展。新增省级“专精特新”中小企业58家、市级创新型企业29家。积极培育制造业单项冠军企业。推荐久日新材料、恒安石化、骏泰新材料等3家企业成功创建湖南省单项冠军企业，目前正积极组织五新智能科技、辰州矿业2家企业申报国家级单项冠军企业。</w:t>
      </w:r>
    </w:p>
    <w:p>
      <w:pPr>
        <w:pStyle w:val="4"/>
        <w:keepNext w:val="0"/>
        <w:keepLines w:val="0"/>
        <w:pageBreakBefore w:val="0"/>
        <w:widowControl w:val="0"/>
        <w:shd w:val="clea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（5）</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数字赋能，发展活力不断激发。持续推进数字产业化和产业数字化，出台《怀化市关于推进数字经济发展的实施意见》，推动数字经济稳步发展。扎实推进“智赋千企”行动，制定了《推进方案》，全年组织14家企业完成两化融合管理体系贯标试点，企业上云3565家、上平台306家，建成智能制造企业25家、智能制造车间46个、智能制造工位279个，新增5G基站1830个、千兆光纤端口82322个。</w:t>
      </w:r>
    </w:p>
    <w:p>
      <w:pPr>
        <w:pStyle w:val="4"/>
        <w:keepNext w:val="0"/>
        <w:keepLines w:val="0"/>
        <w:pageBreakBefore w:val="0"/>
        <w:shd w:val="clear"/>
        <w:kinsoku/>
        <w:wordWrap/>
        <w:overflowPunct/>
        <w:topLinePunct w:val="0"/>
        <w:autoSpaceDE/>
        <w:autoSpaceDN/>
        <w:bidi w:val="0"/>
        <w:adjustRightInd/>
        <w:spacing w:after="0"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（6）</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助企纾困，发展环境持续优化。以开展“三送三解三优”行动为契机，深入推进“送政策解难题优服务”助企纾困行动，开设“政企面对面”电视访谈专栏，举办税务金融、数字赋能等专场服务活动65场次，惠及企业2万余家；搭建怀化“惠企通”大数据服务平台，为企业提供了全链条、全天候、全过程、一站式服务，有效解决了服务企业“最后一公里”问题，全年受理企业诉求2486个，解决2273个，问题办结率91.43%，得到了广大企业的点赞和肯定。</w:t>
      </w:r>
    </w:p>
    <w:p>
      <w:pPr>
        <w:pStyle w:val="4"/>
        <w:keepNext w:val="0"/>
        <w:keepLines w:val="0"/>
        <w:pageBreakBefore w:val="0"/>
        <w:widowControl w:val="0"/>
        <w:shd w:val="clear"/>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 w:cs="Times New Roman"/>
          <w:color w:val="auto"/>
          <w:kern w:val="0"/>
          <w:sz w:val="32"/>
          <w:szCs w:val="32"/>
          <w:shd w:val="clear" w:color="auto" w:fill="FFFFFF"/>
          <w:lang w:val="en-US" w:eastAsia="zh-CN" w:bidi="ar"/>
        </w:rPr>
      </w:pPr>
      <w:r>
        <w:rPr>
          <w:rFonts w:hint="default" w:ascii="Times New Roman" w:hAnsi="Times New Roman" w:cs="Times New Roman"/>
          <w:i w:val="0"/>
          <w:iCs w:val="0"/>
          <w:caps w:val="0"/>
          <w:color w:val="auto"/>
          <w:spacing w:val="0"/>
          <w:kern w:val="0"/>
          <w:sz w:val="32"/>
          <w:szCs w:val="32"/>
          <w:shd w:val="clear" w:fill="FFFFFF"/>
          <w:lang w:val="en-US" w:eastAsia="zh-CN" w:bidi="ar"/>
        </w:rPr>
        <w:t>（7）</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突出抓统筹协调，其他工作圆满完成。以打好安全生产翻身仗为主线，全面履行工业领域行业监管责任，进一步压实企业主体责任，深入开展安全生产系列宣讲活动、专项整治、督导检查和隐患排查整治，推动全市工业领域安全生产形势持续稳固向好，安全生产工作获评市“先进单位”。扎实开展平安创建、禁毒、反邪教、信访维稳等工作，全年未发生影响恶劣的治安案件及封门、堵路等群体性事件，未发生参与邪教聚集滋事事件及赴省进京群体上访，平安创建工作获评市“先进单位”。扎实推进法治建设，不断提升依法行政能力和水平，严格实行行政执法人员持证上岗和资格管理制度，强化规范性文件合法性审查和公平性竞争审查；组织干部职工积极参与“八五”普法，学法率、考试通过率均100%；组织开展“12·4国家宪法日”“普法进社区”主题宣传活动，深入学习贯彻《湖南省先进制造业促进条例》等法规，发放宣传资料3000余份，普法工作获评市“先进单位”。办理人大代表建议和政协委员提案48件，见面率、办结率、满意率均实现100%，建议提案办理工作获评市“先进单位”。大力推进乡村振兴工作，在人员配备、经费保障、产业发展等方面给予全力支持。高度重视保密工作，完善了保密工作机制，明确了保密专干，稳步推进安可替代工作，全年未发生违反保密法律法规事件。另外，JMRH、无线电管理、新</w:t>
      </w:r>
      <w:r>
        <w:rPr>
          <w:rFonts w:hint="default" w:ascii="Times New Roman" w:hAnsi="Times New Roman" w:eastAsia="仿宋_GB2312" w:cs="Times New Roman"/>
          <w:i w:val="0"/>
          <w:iCs w:val="0"/>
          <w:caps w:val="0"/>
          <w:color w:val="auto"/>
          <w:spacing w:val="-6"/>
          <w:kern w:val="0"/>
          <w:sz w:val="32"/>
          <w:szCs w:val="32"/>
          <w:shd w:val="clear" w:fill="FFFFFF"/>
          <w:lang w:val="en-US" w:eastAsia="zh-CN" w:bidi="ar"/>
        </w:rPr>
        <w:t>型墙体材料和散装水泥管理、工青妇等工作都取得了一定成绩。</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七、存在的问题及原因分析</w:t>
      </w:r>
    </w:p>
    <w:p>
      <w:pPr>
        <w:keepNext w:val="0"/>
        <w:keepLines w:val="0"/>
        <w:pageBreakBefore w:val="0"/>
        <w:widowControl/>
        <w:shd w:val="clear" w:color="auto"/>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在部门整体支出的资金安排和使用上存在前瞻性不足，部分绩效指标及目标有待进一步细化和量化。</w:t>
      </w:r>
    </w:p>
    <w:p>
      <w:pPr>
        <w:pStyle w:val="11"/>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sz w:val="32"/>
          <w:szCs w:val="32"/>
          <w:shd w:val="clear" w:fill="FFFFFF"/>
        </w:rPr>
        <w:t>下一步改进措施</w:t>
      </w:r>
    </w:p>
    <w:p>
      <w:pPr>
        <w:keepNext w:val="0"/>
        <w:keepLines w:val="0"/>
        <w:pageBreakBefore w:val="0"/>
        <w:widowControl/>
        <w:shd w:val="clear" w:color="auto"/>
        <w:kinsoku/>
        <w:wordWrap/>
        <w:overflowPunct/>
        <w:topLinePunct w:val="0"/>
        <w:autoSpaceDE/>
        <w:autoSpaceDN/>
        <w:bidi w:val="0"/>
        <w:adjustRightInd/>
        <w:spacing w:line="580" w:lineRule="exact"/>
        <w:ind w:left="0" w:leftChars="0" w:firstLine="640" w:firstLineChars="200"/>
        <w:jc w:val="both"/>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结合此次绩效自评结果，对存在的问题及时整改，加强绩效管理，强化资金使用和绩效目标管理意识，根据单位职能科学合理地设置绩效指标，提高预算绩效指标的针对性和可测性，充分发挥预算绩效目标管理的导向作用；完善绩效考核制度，对绩效目标不断细化、量化，提高资金使用效益。</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九、其他需要说明的情况</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无。</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 xml:space="preserve">附件：1.部门整体支出绩效评价基础数据表  </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580" w:lineRule="exact"/>
        <w:ind w:left="0" w:leftChars="0" w:right="0" w:firstLine="0"/>
        <w:jc w:val="left"/>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方正小标宋_GBK" w:cs="Times New Roman"/>
          <w:i w:val="0"/>
          <w:iCs w:val="0"/>
          <w:caps w:val="0"/>
          <w:color w:val="auto"/>
          <w:spacing w:val="0"/>
          <w:sz w:val="24"/>
          <w:szCs w:val="24"/>
          <w:shd w:val="clear" w:fill="FFFFFF"/>
          <w:lang w:val="en-US" w:eastAsia="zh-CN"/>
        </w:rPr>
        <w:t xml:space="preserve">      </w:t>
      </w:r>
      <w:r>
        <w:rPr>
          <w:rFonts w:hint="default" w:ascii="Times New Roman" w:hAnsi="Times New Roman" w:eastAsia="方正小标宋_GBK" w:cs="Times New Roman"/>
          <w:i w:val="0"/>
          <w:iCs w:val="0"/>
          <w:caps w:val="0"/>
          <w:color w:val="auto"/>
          <w:spacing w:val="0"/>
          <w:sz w:val="24"/>
          <w:szCs w:val="24"/>
          <w:shd w:val="clear" w:fill="FFFFFF"/>
          <w:lang w:val="en-US" w:eastAsia="zh-CN"/>
        </w:rPr>
        <w:t xml:space="preserve">     </w:t>
      </w:r>
      <w:r>
        <w:rPr>
          <w:rFonts w:hint="default" w:ascii="Times New Roman" w:hAnsi="Times New Roman" w:eastAsia="方正小标宋_GBK" w:cs="Times New Roman"/>
          <w:i w:val="0"/>
          <w:iCs w:val="0"/>
          <w:caps w:val="0"/>
          <w:color w:val="auto"/>
          <w:spacing w:val="0"/>
          <w:sz w:val="24"/>
          <w:szCs w:val="24"/>
          <w:shd w:val="clear" w:fill="FFFFFF"/>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lang w:val="en-US" w:eastAsia="zh-CN"/>
        </w:rPr>
        <w:t>2.</w:t>
      </w:r>
      <w:r>
        <w:rPr>
          <w:rFonts w:hint="default" w:ascii="Times New Roman" w:hAnsi="Times New Roman" w:eastAsia="仿宋_GB2312" w:cs="Times New Roman"/>
          <w:i w:val="0"/>
          <w:iCs w:val="0"/>
          <w:caps w:val="0"/>
          <w:color w:val="auto"/>
          <w:spacing w:val="0"/>
          <w:sz w:val="32"/>
          <w:szCs w:val="32"/>
          <w:shd w:val="clear" w:fill="FFFFFF"/>
        </w:rPr>
        <w:t>部门整体支出绩效自评表</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0"/>
        <w:jc w:val="left"/>
        <w:textAlignment w:val="auto"/>
        <w:rPr>
          <w:rFonts w:hint="default" w:ascii="Times New Roman" w:hAnsi="Times New Roman" w:eastAsia="方正小标宋_GBK" w:cs="Times New Roman"/>
          <w:i w:val="0"/>
          <w:iCs w:val="0"/>
          <w:caps w:val="0"/>
          <w:color w:val="auto"/>
          <w:spacing w:val="0"/>
          <w:sz w:val="24"/>
          <w:szCs w:val="24"/>
          <w:shd w:val="clear" w:fill="FFFFFF"/>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0"/>
        <w:jc w:val="left"/>
        <w:textAlignment w:val="auto"/>
        <w:rPr>
          <w:rFonts w:hint="default" w:ascii="Times New Roman" w:hAnsi="Times New Roman" w:eastAsia="方正小标宋_GBK" w:cs="Times New Roman"/>
          <w:i w:val="0"/>
          <w:iCs w:val="0"/>
          <w:caps w:val="0"/>
          <w:color w:val="auto"/>
          <w:spacing w:val="0"/>
          <w:sz w:val="24"/>
          <w:szCs w:val="24"/>
          <w:shd w:val="clear" w:fill="FFFFFF"/>
          <w:lang w:val="en-US" w:eastAsia="zh-CN"/>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方正小标宋_GBK" w:cs="Times New Roman"/>
          <w:i w:val="0"/>
          <w:iCs w:val="0"/>
          <w:caps w:val="0"/>
          <w:color w:val="auto"/>
          <w:spacing w:val="0"/>
          <w:sz w:val="24"/>
          <w:szCs w:val="24"/>
          <w:shd w:val="clear" w:fill="FFFFFF"/>
          <w:lang w:val="en-US" w:eastAsia="zh-CN"/>
        </w:rPr>
        <w:t xml:space="preserve">                                   </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怀化市工业和信息化局</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0"/>
        <w:jc w:val="left"/>
        <w:textAlignment w:val="auto"/>
        <w:rPr>
          <w:rFonts w:hint="default" w:ascii="Times New Roman" w:hAnsi="Times New Roman" w:eastAsia="方正小标宋_GBK" w:cs="Times New Roman"/>
          <w:i w:val="0"/>
          <w:iCs w:val="0"/>
          <w:caps w:val="0"/>
          <w:color w:val="auto"/>
          <w:spacing w:val="0"/>
          <w:sz w:val="24"/>
          <w:szCs w:val="24"/>
          <w:shd w:val="clear" w:fill="FFFFFF"/>
          <w:lang w:val="en-US" w:eastAsia="zh-CN"/>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                             2024年6月28日</w:t>
      </w:r>
    </w:p>
    <w:p>
      <w:pPr>
        <w:pageBreakBefore w:val="0"/>
        <w:shd w:val="clear"/>
        <w:kinsoku/>
        <w:wordWrap/>
        <w:overflowPunct/>
        <w:topLinePunct w:val="0"/>
        <w:autoSpaceDE/>
        <w:autoSpaceDN/>
        <w:bidi w:val="0"/>
        <w:adjustRightInd/>
        <w:spacing w:line="600" w:lineRule="exact"/>
        <w:ind w:left="0" w:leftChars="0"/>
        <w:jc w:val="left"/>
        <w:textAlignment w:val="auto"/>
        <w:rPr>
          <w:rFonts w:hint="default" w:ascii="Times New Roman" w:hAnsi="Times New Roman" w:cs="Times New Roman"/>
          <w:color w:val="auto"/>
        </w:rPr>
        <w:sectPr>
          <w:pgSz w:w="11906" w:h="16838"/>
          <w:pgMar w:top="1440" w:right="1803" w:bottom="1440" w:left="1803" w:header="851" w:footer="992" w:gutter="0"/>
          <w:paperSrc/>
          <w:pgNumType w:fmt="numberInDash"/>
          <w:cols w:space="0" w:num="1"/>
          <w:rtlGutter w:val="0"/>
          <w:docGrid w:type="lines" w:linePitch="312" w:charSpace="0"/>
        </w:sectPr>
      </w:pPr>
    </w:p>
    <w:p>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600" w:lineRule="exact"/>
        <w:ind w:left="0"/>
        <w:jc w:val="left"/>
        <w:textAlignment w:val="auto"/>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附件1</w:t>
      </w:r>
    </w:p>
    <w:p>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600" w:lineRule="exact"/>
        <w:ind w:left="0"/>
        <w:jc w:val="center"/>
        <w:textAlignment w:val="auto"/>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pPr>
      <w:r>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t>部门整体支出绩效评价基础数据表</w:t>
      </w:r>
    </w:p>
    <w:p>
      <w:pPr>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pacing w:line="600" w:lineRule="exact"/>
        <w:ind w:left="0" w:leftChars="0"/>
        <w:jc w:val="left"/>
        <w:textAlignment w:val="auto"/>
        <w:rPr>
          <w:rFonts w:hint="default" w:ascii="Times New Roman" w:hAnsi="Times New Roman" w:eastAsia="仿宋_GB2312" w:cs="Times New Roman"/>
          <w:color w:val="auto"/>
          <w:kern w:val="0"/>
          <w:sz w:val="24"/>
          <w:lang w:val="en-US" w:eastAsia="zh-CN"/>
        </w:rPr>
      </w:pPr>
      <w:r>
        <w:rPr>
          <w:rFonts w:hint="default" w:ascii="Times New Roman" w:hAnsi="Times New Roman" w:eastAsia="仿宋_GB2312" w:cs="Times New Roman"/>
          <w:color w:val="000000" w:themeColor="text1"/>
          <w:kern w:val="0"/>
          <w:sz w:val="24"/>
          <w:szCs w:val="24"/>
          <w:lang w:val="en-US" w:eastAsia="zh-CN" w:bidi="ar-SA"/>
          <w14:textFill>
            <w14:solidFill>
              <w14:schemeClr w14:val="tx1"/>
            </w14:solidFill>
          </w14:textFill>
        </w:rPr>
        <w:t xml:space="preserve">填报单位：怀化市工业和信息化局                                      </w:t>
      </w:r>
    </w:p>
    <w:tbl>
      <w:tblPr>
        <w:tblStyle w:val="13"/>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3"/>
        <w:gridCol w:w="815"/>
        <w:gridCol w:w="835"/>
        <w:gridCol w:w="867"/>
        <w:gridCol w:w="1019"/>
        <w:gridCol w:w="1157"/>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063"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财政供养人员情况</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编制数</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20</w:t>
            </w:r>
            <w:r>
              <w:rPr>
                <w:rFonts w:hint="default" w:ascii="Times New Roman" w:hAnsi="Times New Roman" w:eastAsia="黑体" w:cs="Times New Roman"/>
                <w:b w:val="0"/>
                <w:bCs w:val="0"/>
                <w:color w:val="auto"/>
                <w:kern w:val="0"/>
                <w:sz w:val="21"/>
                <w:szCs w:val="21"/>
                <w:lang w:val="en-US" w:eastAsia="zh-CN"/>
              </w:rPr>
              <w:t>23</w:t>
            </w:r>
            <w:r>
              <w:rPr>
                <w:rFonts w:hint="default" w:ascii="Times New Roman" w:hAnsi="Times New Roman" w:eastAsia="黑体" w:cs="Times New Roman"/>
                <w:b w:val="0"/>
                <w:bCs w:val="0"/>
                <w:color w:val="auto"/>
                <w:kern w:val="0"/>
                <w:sz w:val="21"/>
                <w:szCs w:val="21"/>
              </w:rPr>
              <w:t>年实际在职人数</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blHeader/>
          <w:jc w:val="center"/>
        </w:trPr>
        <w:tc>
          <w:tcPr>
            <w:tcW w:w="406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黑体" w:cs="Times New Roman"/>
                <w:b w:val="0"/>
                <w:bCs w:val="0"/>
                <w:color w:val="auto"/>
                <w:kern w:val="0"/>
                <w:sz w:val="21"/>
                <w:szCs w:val="21"/>
              </w:rPr>
            </w:pP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lang w:val="en-US" w:eastAsia="zh-CN"/>
              </w:rPr>
              <w:t>95</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lang w:val="en-US" w:eastAsia="zh-CN"/>
              </w:rPr>
              <w:t>92</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lang w:val="en-US" w:eastAsia="zh-CN"/>
              </w:rPr>
              <w:t>96.84%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经费控制情况</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20</w:t>
            </w:r>
            <w:r>
              <w:rPr>
                <w:rFonts w:hint="default" w:ascii="Times New Roman" w:hAnsi="Times New Roman" w:eastAsia="黑体" w:cs="Times New Roman"/>
                <w:b w:val="0"/>
                <w:bCs w:val="0"/>
                <w:color w:val="auto"/>
                <w:kern w:val="0"/>
                <w:sz w:val="21"/>
                <w:szCs w:val="21"/>
                <w:lang w:val="en-US" w:eastAsia="zh-CN"/>
              </w:rPr>
              <w:t>22</w:t>
            </w:r>
            <w:r>
              <w:rPr>
                <w:rFonts w:hint="default" w:ascii="Times New Roman" w:hAnsi="Times New Roman" w:eastAsia="黑体" w:cs="Times New Roman"/>
                <w:b w:val="0"/>
                <w:bCs w:val="0"/>
                <w:color w:val="auto"/>
                <w:kern w:val="0"/>
                <w:sz w:val="21"/>
                <w:szCs w:val="21"/>
              </w:rPr>
              <w:t>年决算数</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20</w:t>
            </w:r>
            <w:r>
              <w:rPr>
                <w:rFonts w:hint="default" w:ascii="Times New Roman" w:hAnsi="Times New Roman" w:eastAsia="黑体" w:cs="Times New Roman"/>
                <w:b w:val="0"/>
                <w:bCs w:val="0"/>
                <w:color w:val="auto"/>
                <w:kern w:val="0"/>
                <w:sz w:val="21"/>
                <w:szCs w:val="21"/>
                <w:lang w:val="en-US" w:eastAsia="zh-CN"/>
              </w:rPr>
              <w:t>23</w:t>
            </w:r>
            <w:r>
              <w:rPr>
                <w:rFonts w:hint="default" w:ascii="Times New Roman" w:hAnsi="Times New Roman" w:eastAsia="黑体" w:cs="Times New Roman"/>
                <w:b w:val="0"/>
                <w:bCs w:val="0"/>
                <w:color w:val="auto"/>
                <w:kern w:val="0"/>
                <w:sz w:val="21"/>
                <w:szCs w:val="21"/>
              </w:rPr>
              <w:t>年预算数</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eastAsia="黑体" w:cs="Times New Roman"/>
                <w:b w:val="0"/>
                <w:bCs w:val="0"/>
                <w:color w:val="auto"/>
                <w:kern w:val="0"/>
                <w:sz w:val="21"/>
                <w:szCs w:val="21"/>
              </w:rPr>
            </w:pPr>
            <w:r>
              <w:rPr>
                <w:rFonts w:hint="default" w:ascii="Times New Roman" w:hAnsi="Times New Roman" w:eastAsia="黑体" w:cs="Times New Roman"/>
                <w:b w:val="0"/>
                <w:bCs w:val="0"/>
                <w:color w:val="auto"/>
                <w:kern w:val="0"/>
                <w:sz w:val="21"/>
                <w:szCs w:val="21"/>
              </w:rPr>
              <w:t>20</w:t>
            </w:r>
            <w:r>
              <w:rPr>
                <w:rFonts w:hint="default" w:ascii="Times New Roman" w:hAnsi="Times New Roman" w:eastAsia="黑体" w:cs="Times New Roman"/>
                <w:b w:val="0"/>
                <w:bCs w:val="0"/>
                <w:color w:val="auto"/>
                <w:kern w:val="0"/>
                <w:sz w:val="21"/>
                <w:szCs w:val="21"/>
                <w:lang w:val="en-US" w:eastAsia="zh-CN"/>
              </w:rPr>
              <w:t>23</w:t>
            </w:r>
            <w:r>
              <w:rPr>
                <w:rFonts w:hint="default" w:ascii="Times New Roman" w:hAnsi="Times New Roman" w:eastAsia="黑体" w:cs="Times New Roman"/>
                <w:b w:val="0"/>
                <w:bCs w:val="0"/>
                <w:color w:val="auto"/>
                <w:kern w:val="0"/>
                <w:sz w:val="21"/>
                <w:szCs w:val="21"/>
              </w:rPr>
              <w:t>年决算数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三公经费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21.42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27</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rPr>
            </w:pPr>
            <w:r>
              <w:rPr>
                <w:rFonts w:hint="default" w:ascii="Times New Roman" w:hAnsi="Times New Roman" w:cs="Times New Roman" w:eastAsiaTheme="minorEastAsia"/>
                <w:b w:val="0"/>
                <w:bCs w:val="0"/>
                <w:color w:val="auto"/>
                <w:kern w:val="0"/>
                <w:sz w:val="21"/>
                <w:szCs w:val="21"/>
                <w:lang w:val="en-US" w:eastAsia="zh-CN"/>
              </w:rPr>
              <w:t>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1、公务用车购置和维护经费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18.91</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21</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其中：公车购置</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公车运行维护</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18.91</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21</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2、出国经费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3、公务接待</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2.51</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6</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项目支出：</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377.12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265.1</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1232.93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1、业务工作经费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rPr>
            </w:pPr>
            <w:r>
              <w:rPr>
                <w:rFonts w:hint="default" w:ascii="Times New Roman" w:hAnsi="Times New Roman" w:cs="Times New Roman" w:eastAsiaTheme="minorEastAsia"/>
                <w:b w:val="0"/>
                <w:bCs w:val="0"/>
                <w:color w:val="auto"/>
                <w:kern w:val="0"/>
                <w:sz w:val="21"/>
                <w:szCs w:val="21"/>
                <w:lang w:val="en-US" w:eastAsia="zh-CN"/>
              </w:rPr>
              <w:t>221.52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186</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rPr>
            </w:pPr>
            <w:r>
              <w:rPr>
                <w:rFonts w:hint="default" w:ascii="Times New Roman" w:hAnsi="Times New Roman" w:cs="Times New Roman" w:eastAsiaTheme="minorEastAsia"/>
                <w:b w:val="0"/>
                <w:bCs w:val="0"/>
                <w:color w:val="auto"/>
                <w:kern w:val="0"/>
                <w:sz w:val="21"/>
                <w:szCs w:val="21"/>
                <w:lang w:val="en-US" w:eastAsia="zh-CN"/>
              </w:rPr>
              <w:t>147.2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节能监察工作经费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highlight w:val="none"/>
                <w:lang w:eastAsia="zh-CN"/>
              </w:rPr>
              <w:t>推进</w:t>
            </w:r>
            <w:r>
              <w:rPr>
                <w:rFonts w:hint="default" w:ascii="Times New Roman" w:hAnsi="Times New Roman" w:cs="Times New Roman" w:eastAsiaTheme="minorEastAsia"/>
                <w:b w:val="0"/>
                <w:bCs w:val="0"/>
                <w:color w:val="auto"/>
                <w:kern w:val="0"/>
                <w:sz w:val="21"/>
                <w:szCs w:val="21"/>
                <w:highlight w:val="none"/>
                <w:lang w:val="en-US" w:eastAsia="zh-CN"/>
              </w:rPr>
              <w:t>军JMRH</w:t>
            </w:r>
            <w:r>
              <w:rPr>
                <w:rFonts w:hint="default" w:ascii="Times New Roman" w:hAnsi="Times New Roman" w:cs="Times New Roman" w:eastAsiaTheme="minorEastAsia"/>
                <w:b w:val="0"/>
                <w:bCs w:val="0"/>
                <w:color w:val="auto"/>
                <w:kern w:val="0"/>
                <w:sz w:val="21"/>
                <w:szCs w:val="21"/>
                <w:highlight w:val="none"/>
                <w:lang w:eastAsia="zh-CN"/>
              </w:rPr>
              <w:t>深度发展专项业务工作经费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lang w:val="en-US" w:eastAsia="zh-CN"/>
              </w:rPr>
              <w:t>29.52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highlight w:val="none"/>
                <w:lang w:eastAsia="zh-CN"/>
              </w:rPr>
              <w:t>新型基础设施建设专项工作经费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lang w:val="en-US" w:eastAsia="zh-CN"/>
              </w:rPr>
              <w:t>30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19.72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highlight w:val="none"/>
                <w:lang w:eastAsia="zh-CN"/>
              </w:rPr>
              <w:t>新型墙体材料及散装水泥推广经费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lang w:val="en-US" w:eastAsia="zh-CN"/>
              </w:rPr>
              <w:t>24</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16.16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highlight w:val="none"/>
                <w:lang w:eastAsia="zh-CN"/>
              </w:rPr>
              <w:t>安全生产工作经费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rPr>
            </w:pPr>
            <w:r>
              <w:rPr>
                <w:rFonts w:hint="default" w:ascii="Times New Roman" w:hAnsi="Times New Roman" w:cs="Times New Roman" w:eastAsiaTheme="minorEastAsia"/>
                <w:b w:val="0"/>
                <w:bCs w:val="0"/>
                <w:color w:val="auto"/>
                <w:kern w:val="0"/>
                <w:sz w:val="21"/>
                <w:szCs w:val="21"/>
                <w:lang w:val="en-US" w:eastAsia="zh-CN"/>
              </w:rPr>
              <w:t>12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11.99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eastAsia="zh-CN"/>
              </w:rPr>
              <w:t>工业运行监测协调经费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20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11</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eastAsia="zh-CN"/>
              </w:rPr>
              <w:t>全市电网供电能力提升三年行动计划专项业务工作经费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18</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eastAsia="zh-CN"/>
              </w:rPr>
              <w:t>室内装饰行馆办工作经费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18</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eastAsia="zh-CN"/>
              </w:rPr>
            </w:pPr>
            <w:r>
              <w:rPr>
                <w:rFonts w:hint="default" w:ascii="Times New Roman" w:hAnsi="Times New Roman" w:cs="Times New Roman" w:eastAsiaTheme="minorEastAsia"/>
                <w:b w:val="0"/>
                <w:bCs w:val="0"/>
                <w:color w:val="auto"/>
                <w:kern w:val="0"/>
                <w:sz w:val="21"/>
                <w:szCs w:val="21"/>
                <w:highlight w:val="none"/>
                <w:lang w:val="en-US" w:eastAsia="zh-CN"/>
              </w:rPr>
              <w:t>技改及第三方评价经费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30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eastAsia="zh-CN"/>
              </w:rPr>
            </w:pPr>
            <w:r>
              <w:rPr>
                <w:rFonts w:hint="default" w:ascii="Times New Roman" w:hAnsi="Times New Roman" w:cs="Times New Roman" w:eastAsiaTheme="minorEastAsia"/>
                <w:b w:val="0"/>
                <w:bCs w:val="0"/>
                <w:color w:val="auto"/>
                <w:kern w:val="0"/>
                <w:sz w:val="21"/>
                <w:szCs w:val="21"/>
                <w:highlight w:val="none"/>
                <w:lang w:val="en-US" w:eastAsia="zh-CN"/>
              </w:rPr>
              <w:t>产业园区三年提升经费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30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eastAsia="zh-CN"/>
              </w:rPr>
            </w:pPr>
            <w:r>
              <w:rPr>
                <w:rFonts w:hint="default" w:ascii="Times New Roman" w:hAnsi="Times New Roman" w:cs="Times New Roman" w:eastAsiaTheme="minorEastAsia"/>
                <w:b w:val="0"/>
                <w:bCs w:val="0"/>
                <w:color w:val="auto"/>
                <w:kern w:val="0"/>
                <w:sz w:val="21"/>
                <w:szCs w:val="21"/>
              </w:rPr>
              <w:t xml:space="preserve"> 2、运行维护经费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3、</w:t>
            </w:r>
            <w:r>
              <w:rPr>
                <w:rFonts w:hint="default" w:ascii="Times New Roman" w:hAnsi="Times New Roman" w:cs="Times New Roman" w:eastAsiaTheme="minorEastAsia"/>
                <w:b w:val="0"/>
                <w:bCs w:val="0"/>
                <w:color w:val="auto"/>
                <w:kern w:val="0"/>
                <w:sz w:val="21"/>
                <w:szCs w:val="21"/>
                <w:lang w:val="en-US" w:eastAsia="zh-CN"/>
              </w:rPr>
              <w:t>市级</w:t>
            </w:r>
            <w:r>
              <w:rPr>
                <w:rFonts w:hint="default" w:ascii="Times New Roman" w:hAnsi="Times New Roman" w:cs="Times New Roman" w:eastAsiaTheme="minorEastAsia"/>
                <w:b w:val="0"/>
                <w:bCs w:val="0"/>
                <w:color w:val="auto"/>
                <w:kern w:val="0"/>
                <w:sz w:val="21"/>
                <w:szCs w:val="21"/>
              </w:rPr>
              <w:t>专项资金</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eastAsia="zh-CN"/>
              </w:rPr>
            </w:pPr>
            <w:r>
              <w:rPr>
                <w:rFonts w:hint="default" w:ascii="Times New Roman" w:hAnsi="Times New Roman" w:cs="Times New Roman" w:eastAsiaTheme="minorEastAsia"/>
                <w:b w:val="0"/>
                <w:bCs w:val="0"/>
                <w:color w:val="auto"/>
                <w:kern w:val="0"/>
                <w:sz w:val="21"/>
                <w:szCs w:val="21"/>
              </w:rPr>
              <w:t>（一个专项一行）</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155.6</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79.1</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1085.73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退休管理维稳专项经费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24.5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关停并转退职费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15.5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真抓实干成效明显地区奖励经费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产业链专项工作经费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第四批湖南省先进制造业高地建设专项资金（市州规模工业企业培育发展奖励</w:t>
            </w:r>
            <w:r>
              <w:rPr>
                <w:rFonts w:hint="default" w:ascii="Times New Roman" w:hAnsi="Times New Roman" w:cs="Times New Roman" w:eastAsiaTheme="minorEastAsia"/>
                <w:color w:val="auto"/>
                <w:sz w:val="21"/>
                <w:szCs w:val="21"/>
                <w:highlight w:val="none"/>
              </w:rPr>
              <w:t xml:space="preserve">  </w:t>
            </w:r>
            <w:r>
              <w:rPr>
                <w:rFonts w:hint="default" w:ascii="Times New Roman" w:hAnsi="Times New Roman" w:cs="Times New Roman" w:eastAsiaTheme="minorEastAsia"/>
                <w:b w:val="0"/>
                <w:bCs w:val="0"/>
                <w:color w:val="auto"/>
                <w:kern w:val="0"/>
                <w:sz w:val="21"/>
                <w:szCs w:val="21"/>
                <w:highlight w:val="none"/>
                <w:lang w:val="en-US" w:eastAsia="zh-CN"/>
              </w:rPr>
              <w:t>）</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96.43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2023创客中国湖南省中小微企业创新创业大赛怀化赛区工作经费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智赋千企专项工作经费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2023年助企纾困工作经费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38.34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预拌砂浆专项规划编制项目资金</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建国初期退休干部医疗补贴</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智慧怀化工作经费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30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产业园区十四五规划编制</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31.6</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网络信息安全</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结转2022年人才资源开发专项资金</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19-20柔性引进工作补助（人才资源开发专项资金）</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结转2022年财政税政法制专项经费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highlight w:val="none"/>
                <w:lang w:val="en-US" w:eastAsia="zh-CN"/>
              </w:rPr>
            </w:pPr>
            <w:r>
              <w:rPr>
                <w:rFonts w:hint="default" w:ascii="Times New Roman" w:hAnsi="Times New Roman" w:cs="Times New Roman" w:eastAsiaTheme="minorEastAsia"/>
                <w:b w:val="0"/>
                <w:bCs w:val="0"/>
                <w:color w:val="auto"/>
                <w:kern w:val="0"/>
                <w:sz w:val="21"/>
                <w:szCs w:val="21"/>
                <w:highlight w:val="none"/>
                <w:lang w:val="en-US" w:eastAsia="zh-CN"/>
              </w:rPr>
              <w:t>结转2022年度智慧怀化相关项目经费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智能交通一期</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372.38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怀化市人大常委会2016年信息化项目</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52.78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怀化市云计算中心算力平台建设项目</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怀化惠企通平台项目</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怀化市全民健康信息平台建设项目</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85.48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spacing w:val="-6"/>
                <w:kern w:val="0"/>
                <w:sz w:val="21"/>
                <w:szCs w:val="21"/>
                <w:lang w:val="en-US" w:eastAsia="zh-CN"/>
              </w:rPr>
              <w:t>怀化市乡村“雪亮工程”市本级基础平台建设</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29.93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智慧怀化云计算中心电费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82</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eastAsia="zh-CN"/>
              </w:rPr>
            </w:pPr>
            <w:r>
              <w:rPr>
                <w:rFonts w:hint="default" w:ascii="Times New Roman" w:hAnsi="Times New Roman" w:cs="Times New Roman" w:eastAsiaTheme="minorEastAsia"/>
                <w:b w:val="0"/>
                <w:bCs w:val="0"/>
                <w:color w:val="auto"/>
                <w:kern w:val="0"/>
                <w:sz w:val="21"/>
                <w:szCs w:val="21"/>
                <w:lang w:eastAsia="zh-CN"/>
              </w:rPr>
              <w:t>职称评审工作经费（纳入一般公共预算管理的非税收入拨款）</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5.7</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eastAsia="zh-CN"/>
              </w:rPr>
            </w:pPr>
            <w:r>
              <w:rPr>
                <w:rFonts w:hint="default" w:ascii="Times New Roman" w:hAnsi="Times New Roman" w:cs="Times New Roman" w:eastAsiaTheme="minorEastAsia"/>
                <w:b w:val="0"/>
                <w:bCs w:val="0"/>
                <w:color w:val="auto"/>
                <w:kern w:val="0"/>
                <w:sz w:val="21"/>
                <w:szCs w:val="21"/>
                <w:lang w:eastAsia="zh-CN"/>
              </w:rPr>
              <w:t>计算机考试经费（纳入一般公共预算管理的非税收入拨款）</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12.35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eastAsia="zh-CN"/>
              </w:rPr>
            </w:pPr>
            <w:r>
              <w:rPr>
                <w:rFonts w:hint="default" w:ascii="Times New Roman" w:hAnsi="Times New Roman" w:cs="Times New Roman" w:eastAsiaTheme="minorEastAsia"/>
                <w:b w:val="0"/>
                <w:bCs w:val="0"/>
                <w:color w:val="auto"/>
                <w:kern w:val="0"/>
                <w:sz w:val="21"/>
                <w:szCs w:val="21"/>
                <w:lang w:eastAsia="zh-CN"/>
              </w:rPr>
              <w:t>电力执法工作经费（纳入一般公共预算管理的非税收入拨款）</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1.05</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eastAsia="zh-CN"/>
              </w:rPr>
            </w:pPr>
            <w:r>
              <w:rPr>
                <w:rFonts w:hint="default" w:ascii="Times New Roman" w:hAnsi="Times New Roman" w:cs="Times New Roman" w:eastAsiaTheme="minorEastAsia"/>
                <w:b w:val="0"/>
                <w:bCs w:val="0"/>
                <w:color w:val="auto"/>
                <w:kern w:val="0"/>
                <w:sz w:val="21"/>
                <w:szCs w:val="21"/>
                <w:lang w:eastAsia="zh-CN"/>
              </w:rPr>
              <w:t>国家重大工业专项节能补助经费（单位资金预算）</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20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firstLine="630" w:firstLineChars="300"/>
              <w:jc w:val="left"/>
              <w:textAlignment w:val="auto"/>
              <w:rPr>
                <w:rFonts w:hint="default" w:ascii="Times New Roman" w:hAnsi="Times New Roman" w:cs="Times New Roman" w:eastAsiaTheme="minorEastAsia"/>
                <w:b w:val="0"/>
                <w:bCs w:val="0"/>
                <w:color w:val="auto"/>
                <w:kern w:val="0"/>
                <w:sz w:val="21"/>
                <w:szCs w:val="21"/>
              </w:rPr>
            </w:pP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firstLine="420" w:firstLineChars="20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4、其他事业类发展资金</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公用经费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134.49</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156.48</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153.21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其中：办公费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color w:val="auto"/>
                <w:sz w:val="21"/>
                <w:szCs w:val="21"/>
                <w:lang w:val="en-US" w:eastAsia="zh-CN"/>
              </w:rPr>
              <w:t>0.37</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水费、电费、差旅费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color w:val="auto"/>
                <w:sz w:val="21"/>
                <w:szCs w:val="21"/>
                <w:lang w:val="en-US" w:eastAsia="zh-CN"/>
              </w:rPr>
              <w:t>0</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          会议费、培训费</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color w:val="auto"/>
                <w:sz w:val="21"/>
                <w:szCs w:val="21"/>
                <w:lang w:val="en-US" w:eastAsia="zh-CN"/>
              </w:rPr>
              <w:t>0.79</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政府采购金额</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9.08</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 xml:space="preserve">部门基本支出预算调整 </w:t>
            </w:r>
          </w:p>
        </w:tc>
        <w:tc>
          <w:tcPr>
            <w:tcW w:w="1650"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w:t>
            </w:r>
          </w:p>
        </w:tc>
        <w:tc>
          <w:tcPr>
            <w:tcW w:w="1886"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2127.84</w:t>
            </w:r>
          </w:p>
        </w:tc>
        <w:tc>
          <w:tcPr>
            <w:tcW w:w="1924" w:type="dxa"/>
            <w:gridSpan w:val="2"/>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rPr>
            </w:pPr>
            <w:r>
              <w:rPr>
                <w:rFonts w:hint="default" w:ascii="Times New Roman" w:hAnsi="Times New Roman" w:cs="Times New Roman" w:eastAsiaTheme="minorEastAsia"/>
                <w:b w:val="0"/>
                <w:bCs w:val="0"/>
                <w:color w:val="auto"/>
                <w:kern w:val="0"/>
                <w:sz w:val="21"/>
                <w:szCs w:val="21"/>
                <w:lang w:val="en-US" w:eastAsia="zh-CN"/>
              </w:rPr>
              <w:t>2008.88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4063" w:type="dxa"/>
            <w:vMerge w:val="restart"/>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楼堂馆所控制情况</w:t>
            </w:r>
            <w:r>
              <w:rPr>
                <w:rFonts w:hint="default" w:ascii="Times New Roman" w:hAnsi="Times New Roman" w:cs="Times New Roman" w:eastAsiaTheme="minorEastAsia"/>
                <w:b w:val="0"/>
                <w:bCs w:val="0"/>
                <w:color w:val="auto"/>
                <w:kern w:val="0"/>
                <w:sz w:val="21"/>
                <w:szCs w:val="21"/>
              </w:rPr>
              <w:br w:type="textWrapping"/>
            </w:r>
          </w:p>
        </w:tc>
        <w:tc>
          <w:tcPr>
            <w:tcW w:w="815"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批复规模（㎡）</w:t>
            </w:r>
          </w:p>
        </w:tc>
        <w:tc>
          <w:tcPr>
            <w:tcW w:w="835"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实际规模（㎡）</w:t>
            </w:r>
          </w:p>
        </w:tc>
        <w:tc>
          <w:tcPr>
            <w:tcW w:w="867"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规模</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控制率</w:t>
            </w:r>
          </w:p>
        </w:tc>
        <w:tc>
          <w:tcPr>
            <w:tcW w:w="1019"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预算</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投资</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（万元）</w:t>
            </w:r>
          </w:p>
        </w:tc>
        <w:tc>
          <w:tcPr>
            <w:tcW w:w="1157"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实际</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投资</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（万元）</w:t>
            </w:r>
          </w:p>
        </w:tc>
        <w:tc>
          <w:tcPr>
            <w:tcW w:w="767"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投资概算控制率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063" w:type="dxa"/>
            <w:vMerge w:val="continue"/>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p>
        </w:tc>
        <w:tc>
          <w:tcPr>
            <w:tcW w:w="815"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val="en-US" w:eastAsia="zh-CN"/>
              </w:rPr>
              <w:t>0</w:t>
            </w:r>
          </w:p>
        </w:tc>
        <w:tc>
          <w:tcPr>
            <w:tcW w:w="835"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0</w:t>
            </w:r>
          </w:p>
        </w:tc>
        <w:tc>
          <w:tcPr>
            <w:tcW w:w="867"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0</w:t>
            </w:r>
          </w:p>
        </w:tc>
        <w:tc>
          <w:tcPr>
            <w:tcW w:w="1019"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0</w:t>
            </w:r>
          </w:p>
        </w:tc>
        <w:tc>
          <w:tcPr>
            <w:tcW w:w="1157"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r>
              <w:rPr>
                <w:rFonts w:hint="default" w:ascii="Times New Roman" w:hAnsi="Times New Roman" w:cs="Times New Roman" w:eastAsiaTheme="minorEastAsia"/>
                <w:b w:val="0"/>
                <w:bCs w:val="0"/>
                <w:color w:val="auto"/>
                <w:kern w:val="0"/>
                <w:sz w:val="21"/>
                <w:szCs w:val="21"/>
                <w:lang w:val="en-US" w:eastAsia="zh-CN"/>
              </w:rPr>
              <w:t>0</w:t>
            </w:r>
          </w:p>
        </w:tc>
        <w:tc>
          <w:tcPr>
            <w:tcW w:w="767"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b w:val="0"/>
                <w:bCs w:val="0"/>
                <w:color w:val="auto"/>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063" w:type="dxa"/>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rPr>
              <w:t>厉行节约保障措施</w:t>
            </w:r>
          </w:p>
        </w:tc>
        <w:tc>
          <w:tcPr>
            <w:tcW w:w="5460" w:type="dxa"/>
            <w:gridSpan w:val="6"/>
            <w:noWrap w:val="0"/>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b w:val="0"/>
                <w:bCs w:val="0"/>
                <w:color w:val="auto"/>
                <w:kern w:val="0"/>
                <w:sz w:val="21"/>
                <w:szCs w:val="21"/>
              </w:rPr>
            </w:pPr>
            <w:r>
              <w:rPr>
                <w:rFonts w:hint="default" w:ascii="Times New Roman" w:hAnsi="Times New Roman" w:cs="Times New Roman" w:eastAsiaTheme="minorEastAsia"/>
                <w:b w:val="0"/>
                <w:bCs w:val="0"/>
                <w:color w:val="auto"/>
                <w:kern w:val="0"/>
                <w:sz w:val="21"/>
                <w:szCs w:val="21"/>
                <w:lang w:eastAsia="zh-CN"/>
              </w:rPr>
              <w:t>完善管理制度，强化监督管理，严格办文办会办事，控制“三公”经费支出等</w:t>
            </w:r>
            <w:r>
              <w:rPr>
                <w:rFonts w:hint="default" w:ascii="Times New Roman" w:hAnsi="Times New Roman" w:cs="Times New Roman" w:eastAsiaTheme="minorEastAsia"/>
                <w:b w:val="0"/>
                <w:bCs w:val="0"/>
                <w:color w:val="auto"/>
                <w:kern w:val="0"/>
                <w:sz w:val="21"/>
                <w:szCs w:val="21"/>
              </w:rPr>
              <w:t>　</w:t>
            </w:r>
          </w:p>
        </w:tc>
      </w:tr>
    </w:tbl>
    <w:p>
      <w:pPr>
        <w:pStyle w:val="16"/>
        <w:keepNext/>
        <w:keepLines/>
        <w:pageBreakBefore w:val="0"/>
        <w:widowControl w:val="0"/>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eastAsia="仿宋_GB2312" w:cs="Times New Roman"/>
          <w:b w:val="0"/>
          <w:bCs w:val="0"/>
          <w:color w:val="000000" w:themeColor="text1"/>
          <w:kern w:val="0"/>
          <w:sz w:val="20"/>
          <w:szCs w:val="20"/>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kern w:val="0"/>
          <w:sz w:val="20"/>
          <w:szCs w:val="20"/>
          <w:lang w:val="en-US" w:eastAsia="zh-CN" w:bidi="ar-SA"/>
          <w14:textFill>
            <w14:solidFill>
              <w14:schemeClr w14:val="tx1"/>
            </w14:solidFill>
          </w14:textFill>
        </w:rPr>
        <w:t>说明：“项目支出”需要填报基本支出以外的所有项目支出情况，“公用经费”填报基本支出中的一般商品和服务支出。</w:t>
      </w:r>
    </w:p>
    <w:p>
      <w:pPr>
        <w:pageBreakBefore w:val="0"/>
        <w:widowControl w:val="0"/>
        <w:shd w:val="clear"/>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pP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填表人：周小龙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填报日期：2024年6月25日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w:t>
      </w:r>
      <w:r>
        <w:rPr>
          <w:rFonts w:hint="default" w:ascii="Times New Roman" w:hAnsi="Times New Roman" w:eastAsia="仿宋_GB2312" w:cs="Times New Roman"/>
          <w:snapToGrid/>
          <w:color w:val="000000" w:themeColor="text1"/>
          <w:kern w:val="0"/>
          <w:sz w:val="24"/>
          <w:szCs w:val="24"/>
          <w:lang w:val="en-US" w:eastAsia="zh-CN" w:bidi="ar-SA"/>
          <w14:textFill>
            <w14:solidFill>
              <w14:schemeClr w14:val="tx1"/>
            </w14:solidFill>
          </w14:textFill>
        </w:rPr>
        <w:t xml:space="preserve">    联系电话：2731302 </w:t>
      </w:r>
    </w:p>
    <w:p>
      <w:pPr>
        <w:pageBreakBefore w:val="0"/>
        <w:shd w:val="clear"/>
        <w:kinsoku/>
        <w:wordWrap/>
        <w:overflowPunct/>
        <w:topLinePunct w:val="0"/>
        <w:autoSpaceDE/>
        <w:autoSpaceDN/>
        <w:bidi w:val="0"/>
        <w:adjustRightInd/>
        <w:spacing w:line="600" w:lineRule="exact"/>
        <w:ind w:left="0" w:leftChars="0"/>
        <w:jc w:val="left"/>
        <w:textAlignment w:val="auto"/>
        <w:rPr>
          <w:rFonts w:hint="default" w:ascii="Times New Roman" w:hAnsi="Times New Roman" w:cs="Times New Roman"/>
          <w:color w:val="auto"/>
        </w:rPr>
      </w:pPr>
    </w:p>
    <w:p>
      <w:pPr>
        <w:pStyle w:val="2"/>
        <w:pageBreakBefore w:val="0"/>
        <w:shd w:val="clear"/>
        <w:kinsoku/>
        <w:wordWrap/>
        <w:overflowPunct/>
        <w:topLinePunct w:val="0"/>
        <w:autoSpaceDE/>
        <w:autoSpaceDN/>
        <w:bidi w:val="0"/>
        <w:adjustRightInd/>
        <w:spacing w:line="600" w:lineRule="exact"/>
        <w:ind w:left="0" w:leftChars="0"/>
        <w:textAlignment w:val="auto"/>
        <w:rPr>
          <w:rFonts w:hint="default" w:ascii="Times New Roman" w:hAnsi="Times New Roman" w:cs="Times New Roman"/>
          <w:color w:val="auto"/>
        </w:rPr>
      </w:pPr>
    </w:p>
    <w:p>
      <w:pPr>
        <w:pageBreakBefore w:val="0"/>
        <w:shd w:val="clear"/>
        <w:kinsoku/>
        <w:wordWrap/>
        <w:overflowPunct/>
        <w:topLinePunct w:val="0"/>
        <w:autoSpaceDE/>
        <w:autoSpaceDN/>
        <w:bidi w:val="0"/>
        <w:adjustRightInd/>
        <w:spacing w:line="600" w:lineRule="exact"/>
        <w:ind w:left="0" w:leftChars="0"/>
        <w:textAlignment w:val="auto"/>
        <w:rPr>
          <w:rFonts w:hint="default" w:ascii="Times New Roman" w:hAnsi="Times New Roman" w:cs="Times New Roman"/>
          <w:color w:val="auto"/>
        </w:rPr>
      </w:pPr>
    </w:p>
    <w:p>
      <w:pPr>
        <w:pStyle w:val="2"/>
        <w:pageBreakBefore w:val="0"/>
        <w:shd w:val="clear"/>
        <w:kinsoku/>
        <w:wordWrap/>
        <w:overflowPunct/>
        <w:topLinePunct w:val="0"/>
        <w:autoSpaceDE/>
        <w:autoSpaceDN/>
        <w:bidi w:val="0"/>
        <w:adjustRightInd/>
        <w:spacing w:line="600" w:lineRule="exact"/>
        <w:ind w:left="0" w:leftChars="0"/>
        <w:textAlignment w:val="auto"/>
        <w:rPr>
          <w:rFonts w:hint="default" w:ascii="Times New Roman" w:hAnsi="Times New Roman" w:cs="Times New Roman"/>
          <w:color w:val="auto"/>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600" w:lineRule="exact"/>
        <w:ind w:left="0"/>
        <w:jc w:val="left"/>
        <w:textAlignment w:val="auto"/>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kern w:val="0"/>
          <w:sz w:val="32"/>
          <w:szCs w:val="32"/>
          <w:lang w:val="en-US" w:eastAsia="zh-CN"/>
          <w14:textFill>
            <w14:solidFill>
              <w14:schemeClr w14:val="tx1"/>
            </w14:solidFill>
          </w14:textFill>
        </w:rPr>
        <w:t>附件2</w:t>
      </w:r>
    </w:p>
    <w:p>
      <w:pPr>
        <w:keepNext w:val="0"/>
        <w:keepLines w:val="0"/>
        <w:pageBreakBefore w:val="0"/>
        <w:widowControl/>
        <w:shd w:val="clear"/>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600" w:lineRule="exact"/>
        <w:ind w:left="0" w:leftChars="0"/>
        <w:jc w:val="center"/>
        <w:textAlignment w:val="auto"/>
        <w:rPr>
          <w:rFonts w:hint="default" w:ascii="Times New Roman" w:hAnsi="Times New Roman" w:eastAsia="方正小标宋简体" w:cs="Times New Roman"/>
          <w:color w:val="auto"/>
          <w:kern w:val="0"/>
          <w:sz w:val="44"/>
          <w:szCs w:val="44"/>
        </w:rPr>
      </w:pPr>
      <w:r>
        <w:rPr>
          <w:rFonts w:hint="default" w:ascii="Times New Roman" w:hAnsi="Times New Roman" w:eastAsia="方正小标宋简体" w:cs="Times New Roman"/>
          <w:color w:val="auto"/>
          <w:kern w:val="0"/>
          <w:sz w:val="44"/>
          <w:szCs w:val="44"/>
        </w:rPr>
        <w:t>整体支出绩效自评表</w:t>
      </w:r>
    </w:p>
    <w:tbl>
      <w:tblPr>
        <w:tblStyle w:val="13"/>
        <w:tblW w:w="9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982"/>
        <w:gridCol w:w="1106"/>
        <w:gridCol w:w="1016"/>
        <w:gridCol w:w="322"/>
        <w:gridCol w:w="1120"/>
        <w:gridCol w:w="1309"/>
        <w:gridCol w:w="595"/>
        <w:gridCol w:w="1029"/>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045" w:type="dxa"/>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预算单位名称</w:t>
            </w:r>
          </w:p>
        </w:tc>
        <w:tc>
          <w:tcPr>
            <w:tcW w:w="8570" w:type="dxa"/>
            <w:gridSpan w:val="9"/>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怀化市工业和信息化局本级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045"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年度</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预算</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申请</w:t>
            </w:r>
            <w:r>
              <w:rPr>
                <w:rFonts w:hint="default" w:ascii="Times New Roman" w:hAnsi="Times New Roman" w:cs="Times New Roman" w:eastAsiaTheme="minorEastAsia"/>
                <w:color w:val="auto"/>
                <w:kern w:val="0"/>
                <w:sz w:val="21"/>
                <w:szCs w:val="21"/>
              </w:rPr>
              <w:br w:type="textWrapping"/>
            </w:r>
            <w:r>
              <w:rPr>
                <w:rFonts w:hint="default" w:ascii="Times New Roman" w:hAnsi="Times New Roman" w:cs="Times New Roman" w:eastAsiaTheme="minorEastAsia"/>
                <w:color w:val="auto"/>
                <w:kern w:val="0"/>
                <w:sz w:val="21"/>
                <w:szCs w:val="21"/>
              </w:rPr>
              <w:t>（万元）</w:t>
            </w:r>
          </w:p>
        </w:tc>
        <w:tc>
          <w:tcPr>
            <w:tcW w:w="2088"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left"/>
              <w:textAlignment w:val="auto"/>
              <w:rPr>
                <w:rFonts w:hint="default" w:ascii="Times New Roman" w:hAnsi="Times New Roman" w:cs="Times New Roman" w:eastAsiaTheme="minorEastAsia"/>
                <w:color w:val="auto"/>
                <w:sz w:val="21"/>
                <w:szCs w:val="21"/>
              </w:rPr>
            </w:pPr>
          </w:p>
        </w:tc>
        <w:tc>
          <w:tcPr>
            <w:tcW w:w="1338"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年初</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预算数</w:t>
            </w:r>
          </w:p>
        </w:tc>
        <w:tc>
          <w:tcPr>
            <w:tcW w:w="1120" w:type="dxa"/>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全年</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预算数</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全年</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执行数</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分值</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执行率</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2088"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kern w:val="0"/>
                <w:sz w:val="21"/>
                <w:szCs w:val="21"/>
              </w:rPr>
              <w:t>年度资金总额</w:t>
            </w:r>
          </w:p>
        </w:tc>
        <w:tc>
          <w:tcPr>
            <w:tcW w:w="1338"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2392.94</w:t>
            </w:r>
          </w:p>
        </w:tc>
        <w:tc>
          <w:tcPr>
            <w:tcW w:w="1120" w:type="dxa"/>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3241.81</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3241.81</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10</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0"/>
                <w:sz w:val="21"/>
                <w:szCs w:val="21"/>
              </w:rPr>
              <w:t>135.42%</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4546" w:type="dxa"/>
            <w:gridSpan w:val="5"/>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按收入性质分：</w:t>
            </w:r>
          </w:p>
        </w:tc>
        <w:tc>
          <w:tcPr>
            <w:tcW w:w="4024" w:type="dxa"/>
            <w:gridSpan w:val="4"/>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按支出性质分：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4546" w:type="dxa"/>
            <w:gridSpan w:val="5"/>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其中：一般公共预算：3233.51</w:t>
            </w:r>
          </w:p>
        </w:tc>
        <w:tc>
          <w:tcPr>
            <w:tcW w:w="4024" w:type="dxa"/>
            <w:gridSpan w:val="4"/>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其中：基本支出：2008.88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4546" w:type="dxa"/>
            <w:gridSpan w:val="5"/>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firstLine="840" w:firstLineChars="40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政府性基金拨款：</w:t>
            </w:r>
          </w:p>
        </w:tc>
        <w:tc>
          <w:tcPr>
            <w:tcW w:w="4024" w:type="dxa"/>
            <w:gridSpan w:val="4"/>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firstLine="630" w:firstLineChars="30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项目支出：1232.93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4546" w:type="dxa"/>
            <w:gridSpan w:val="5"/>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纳入专户管理的非税收入拨款：</w:t>
            </w:r>
          </w:p>
        </w:tc>
        <w:tc>
          <w:tcPr>
            <w:tcW w:w="4024" w:type="dxa"/>
            <w:gridSpan w:val="4"/>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4546" w:type="dxa"/>
            <w:gridSpan w:val="5"/>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firstLine="1470" w:firstLineChars="70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其他资金：8.3</w:t>
            </w:r>
          </w:p>
        </w:tc>
        <w:tc>
          <w:tcPr>
            <w:tcW w:w="4024" w:type="dxa"/>
            <w:gridSpan w:val="4"/>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年度</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总体</w:t>
            </w:r>
          </w:p>
          <w:p>
            <w:pPr>
              <w:keepNext w:val="0"/>
              <w:keepLines w:val="0"/>
              <w:pageBreakBefore w:val="0"/>
              <w:widowControl/>
              <w:shd w:val="clear"/>
              <w:kinsoku/>
              <w:wordWrap/>
              <w:overflowPunct/>
              <w:topLinePunct w:val="0"/>
              <w:autoSpaceDE/>
              <w:autoSpaceDN/>
              <w:bidi w:val="0"/>
              <w:adjustRightInd/>
              <w:snapToGrid/>
              <w:spacing w:line="36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目标</w:t>
            </w:r>
          </w:p>
        </w:tc>
        <w:tc>
          <w:tcPr>
            <w:tcW w:w="4546" w:type="dxa"/>
            <w:gridSpan w:val="5"/>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预期目标</w:t>
            </w:r>
          </w:p>
        </w:tc>
        <w:tc>
          <w:tcPr>
            <w:tcW w:w="4024" w:type="dxa"/>
            <w:gridSpan w:val="4"/>
            <w:noWrap/>
            <w:vAlign w:val="center"/>
          </w:tcPr>
          <w:p>
            <w:pPr>
              <w:keepNext w:val="0"/>
              <w:keepLines w:val="0"/>
              <w:pageBreakBefore w:val="0"/>
              <w:widowControl/>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5" w:hRule="atLeast"/>
          <w:jc w:val="center"/>
        </w:trPr>
        <w:tc>
          <w:tcPr>
            <w:tcW w:w="1045" w:type="dxa"/>
            <w:vMerge w:val="continue"/>
            <w:noWrap/>
            <w:vAlign w:val="center"/>
          </w:tcPr>
          <w:p>
            <w:pPr>
              <w:keepNext w:val="0"/>
              <w:keepLines w:val="0"/>
              <w:pageBreakBefore w:val="0"/>
              <w:widowControl/>
              <w:shd w:val="clear"/>
              <w:kinsoku/>
              <w:wordWrap/>
              <w:overflowPunct/>
              <w:topLinePunct w:val="0"/>
              <w:autoSpaceDE/>
              <w:autoSpaceDN/>
              <w:bidi w:val="0"/>
              <w:adjustRightInd/>
              <w:spacing w:line="40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4546" w:type="dxa"/>
            <w:gridSpan w:val="5"/>
            <w:noWrap/>
            <w:vAlign w:val="center"/>
          </w:tcPr>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400" w:lineRule="exact"/>
              <w:ind w:left="0" w:leftChars="0" w:firstLine="422" w:firstLineChars="200"/>
              <w:jc w:val="both"/>
              <w:textAlignment w:val="auto"/>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eastAsiaTheme="minorEastAsia"/>
                <w:b/>
                <w:bCs w:val="0"/>
                <w:color w:val="auto"/>
                <w:kern w:val="2"/>
                <w:sz w:val="21"/>
                <w:szCs w:val="21"/>
                <w:lang w:val="en-US" w:eastAsia="zh-CN" w:bidi="ar-SA"/>
              </w:rPr>
              <w:t>目标1：</w:t>
            </w:r>
            <w:r>
              <w:rPr>
                <w:rFonts w:hint="default" w:ascii="Times New Roman" w:hAnsi="Times New Roman" w:cs="Times New Roman" w:eastAsiaTheme="minorEastAsia"/>
                <w:bCs/>
                <w:color w:val="auto"/>
                <w:kern w:val="2"/>
                <w:sz w:val="21"/>
                <w:szCs w:val="21"/>
                <w:lang w:val="en-US" w:eastAsia="zh-CN" w:bidi="ar-SA"/>
              </w:rPr>
              <w:t>对标对表省委省政府“4×4”现代化产业体系和市委、市政府加快构建“5+N”现代化产业新体系要求，聚焦新型产业链高质量发展，以商招商和以链招商,以项目建设和工业招商为抓手，做大工业总量。</w:t>
            </w:r>
          </w:p>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400" w:lineRule="exact"/>
              <w:ind w:left="0" w:leftChars="0" w:firstLine="422" w:firstLineChars="200"/>
              <w:jc w:val="both"/>
              <w:textAlignment w:val="auto"/>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eastAsiaTheme="minorEastAsia"/>
                <w:b/>
                <w:bCs w:val="0"/>
                <w:color w:val="auto"/>
                <w:kern w:val="2"/>
                <w:sz w:val="21"/>
                <w:szCs w:val="21"/>
                <w:lang w:val="en-US" w:eastAsia="zh-CN" w:bidi="ar-SA"/>
              </w:rPr>
              <w:t>目标2：</w:t>
            </w:r>
            <w:r>
              <w:rPr>
                <w:rFonts w:hint="default" w:ascii="Times New Roman" w:hAnsi="Times New Roman" w:cs="Times New Roman" w:eastAsiaTheme="minorEastAsia"/>
                <w:bCs/>
                <w:color w:val="auto"/>
                <w:kern w:val="2"/>
                <w:sz w:val="21"/>
                <w:szCs w:val="21"/>
                <w:lang w:val="en-US" w:eastAsia="zh-CN" w:bidi="ar-SA"/>
              </w:rPr>
              <w:t>推进“五好”园区建设，开展产业园区高质量发展三年行动，健全完善亩均效益评价机制，打造产业集群,以园区倍增为契机，做强园区经济。</w:t>
            </w:r>
          </w:p>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400" w:lineRule="exact"/>
              <w:ind w:left="0" w:leftChars="0" w:firstLine="422" w:firstLineChars="200"/>
              <w:jc w:val="both"/>
              <w:textAlignment w:val="auto"/>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eastAsiaTheme="minorEastAsia"/>
                <w:b/>
                <w:bCs w:val="0"/>
                <w:color w:val="auto"/>
                <w:kern w:val="2"/>
                <w:sz w:val="21"/>
                <w:szCs w:val="21"/>
                <w:lang w:val="en-US" w:eastAsia="zh-CN" w:bidi="ar-SA"/>
              </w:rPr>
              <w:t>目标3：</w:t>
            </w:r>
            <w:r>
              <w:rPr>
                <w:rFonts w:hint="default" w:ascii="Times New Roman" w:hAnsi="Times New Roman" w:cs="Times New Roman" w:eastAsiaTheme="minorEastAsia"/>
                <w:bCs/>
                <w:color w:val="auto"/>
                <w:kern w:val="2"/>
                <w:sz w:val="21"/>
                <w:szCs w:val="21"/>
                <w:lang w:val="en-US" w:eastAsia="zh-CN" w:bidi="ar-SA"/>
              </w:rPr>
              <w:t>以产业发展为突破，优化工业产业结构，发展特色支柱产业。</w:t>
            </w:r>
          </w:p>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400" w:lineRule="exact"/>
              <w:ind w:left="0" w:leftChars="0" w:firstLine="422" w:firstLineChars="200"/>
              <w:jc w:val="both"/>
              <w:textAlignment w:val="auto"/>
              <w:rPr>
                <w:rFonts w:hint="default" w:ascii="Times New Roman" w:hAnsi="Times New Roman" w:cs="Times New Roman" w:eastAsiaTheme="minorEastAsia"/>
                <w:bCs/>
                <w:color w:val="auto"/>
                <w:kern w:val="2"/>
                <w:sz w:val="21"/>
                <w:szCs w:val="21"/>
                <w:lang w:val="en-US" w:eastAsia="zh-CN" w:bidi="ar-SA"/>
              </w:rPr>
            </w:pPr>
            <w:r>
              <w:rPr>
                <w:rFonts w:hint="default" w:ascii="Times New Roman" w:hAnsi="Times New Roman" w:cs="Times New Roman" w:eastAsiaTheme="minorEastAsia"/>
                <w:b/>
                <w:bCs w:val="0"/>
                <w:color w:val="auto"/>
                <w:kern w:val="2"/>
                <w:sz w:val="21"/>
                <w:szCs w:val="21"/>
                <w:lang w:val="en-US" w:eastAsia="zh-CN" w:bidi="ar-SA"/>
              </w:rPr>
              <w:t>目标4：</w:t>
            </w:r>
            <w:r>
              <w:rPr>
                <w:rFonts w:hint="default" w:ascii="Times New Roman" w:hAnsi="Times New Roman" w:cs="Times New Roman" w:eastAsiaTheme="minorEastAsia"/>
                <w:bCs/>
                <w:color w:val="auto"/>
                <w:kern w:val="2"/>
                <w:sz w:val="21"/>
                <w:szCs w:val="21"/>
                <w:lang w:val="en-US" w:eastAsia="zh-CN" w:bidi="ar-SA"/>
              </w:rPr>
              <w:t>推进数字产业化和产业数字化，出台《怀化市关于推进数字经济发展的实施意见》，推动数字经济稳步发展。</w:t>
            </w:r>
          </w:p>
          <w:p>
            <w:pPr>
              <w:pStyle w:val="11"/>
              <w:keepNext w:val="0"/>
              <w:keepLines w:val="0"/>
              <w:pageBreakBefore w:val="0"/>
              <w:widowControl/>
              <w:shd w:val="clear" w:color="auto"/>
              <w:kinsoku/>
              <w:wordWrap/>
              <w:overflowPunct/>
              <w:topLinePunct w:val="0"/>
              <w:autoSpaceDE/>
              <w:autoSpaceDN/>
              <w:bidi w:val="0"/>
              <w:adjustRightInd/>
              <w:snapToGrid w:val="0"/>
              <w:spacing w:beforeAutospacing="0" w:afterAutospacing="0" w:line="400" w:lineRule="exact"/>
              <w:ind w:left="0" w:leftChars="0" w:firstLine="422" w:firstLineChars="200"/>
              <w:jc w:val="both"/>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b/>
                <w:bCs w:val="0"/>
                <w:color w:val="auto"/>
                <w:kern w:val="2"/>
                <w:sz w:val="21"/>
                <w:szCs w:val="21"/>
                <w:lang w:val="en-US" w:eastAsia="zh-CN" w:bidi="ar-SA"/>
              </w:rPr>
              <w:t>目标5：</w:t>
            </w:r>
            <w:r>
              <w:rPr>
                <w:rFonts w:hint="default" w:ascii="Times New Roman" w:hAnsi="Times New Roman" w:cs="Times New Roman" w:eastAsiaTheme="minorEastAsia"/>
                <w:bCs/>
                <w:color w:val="auto"/>
                <w:kern w:val="2"/>
                <w:sz w:val="21"/>
                <w:szCs w:val="21"/>
                <w:lang w:val="en-US" w:eastAsia="zh-CN" w:bidi="ar-SA"/>
              </w:rPr>
              <w:t>以开展“三送三解三优”行动为契机，深入推进“送政策解难题优服务”助企纾困行动，开设“政企面对面”电视访谈专栏，举办税务金融、数字赋能等专场服务,搭建怀化“惠企通”大数据服务平台，为企业提供全链条、全天候、全过程、一站式服务，解决服务企业“最后一公里”问题。</w:t>
            </w:r>
          </w:p>
        </w:tc>
        <w:tc>
          <w:tcPr>
            <w:tcW w:w="4024" w:type="dxa"/>
            <w:gridSpan w:val="4"/>
            <w:noWrap/>
            <w:vAlign w:val="center"/>
          </w:tcPr>
          <w:p>
            <w:pPr>
              <w:pStyle w:val="12"/>
              <w:keepNext w:val="0"/>
              <w:keepLines w:val="0"/>
              <w:pageBreakBefore w:val="0"/>
              <w:shd w:val="clear"/>
              <w:kinsoku/>
              <w:wordWrap/>
              <w:overflowPunct/>
              <w:topLinePunct w:val="0"/>
              <w:autoSpaceDE/>
              <w:autoSpaceDN/>
              <w:bidi w:val="0"/>
              <w:adjustRightInd/>
              <w:spacing w:line="400" w:lineRule="exact"/>
              <w:ind w:left="0" w:leftChars="0" w:firstLine="422" w:firstLineChars="200"/>
              <w:jc w:val="both"/>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目标1：</w:t>
            </w:r>
            <w:r>
              <w:rPr>
                <w:rFonts w:hint="default" w:ascii="Times New Roman" w:hAnsi="Times New Roman" w:cs="Times New Roman" w:eastAsiaTheme="minorEastAsia"/>
                <w:color w:val="auto"/>
                <w:sz w:val="21"/>
                <w:szCs w:val="21"/>
              </w:rPr>
              <w:t>聚焦新型显示、精细化工新材料、新能源及装备、箱包皮具等9条制造业产业链高质量发展；编制产业链三年行动计划（2023年-2025年，组织参加首届湖南(怀化)RCEP经贸博览会，推行以商招商和以链招商。目前，在谈项目69个，在建项目91个，投产项目50个。</w:t>
            </w:r>
          </w:p>
          <w:p>
            <w:pPr>
              <w:pStyle w:val="12"/>
              <w:keepNext w:val="0"/>
              <w:keepLines w:val="0"/>
              <w:pageBreakBefore w:val="0"/>
              <w:shd w:val="clear"/>
              <w:kinsoku/>
              <w:wordWrap/>
              <w:overflowPunct/>
              <w:topLinePunct w:val="0"/>
              <w:autoSpaceDE/>
              <w:autoSpaceDN/>
              <w:bidi w:val="0"/>
              <w:adjustRightInd/>
              <w:spacing w:line="400" w:lineRule="exact"/>
              <w:ind w:left="0" w:leftChars="0" w:firstLine="422" w:firstLineChars="200"/>
              <w:jc w:val="both"/>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目标2：</w:t>
            </w:r>
            <w:r>
              <w:rPr>
                <w:rFonts w:hint="default" w:ascii="Times New Roman" w:hAnsi="Times New Roman" w:cs="Times New Roman" w:eastAsiaTheme="minorEastAsia"/>
                <w:color w:val="auto"/>
                <w:sz w:val="21"/>
                <w:szCs w:val="21"/>
              </w:rPr>
              <w:t>新增箱包企业34家、总投资突破30亿元。1-11月，全市产业园区规模工业增加值同比增长4.6%，占全市规模工业增加值比重71.32%。</w:t>
            </w:r>
          </w:p>
          <w:p>
            <w:pPr>
              <w:pStyle w:val="12"/>
              <w:keepNext w:val="0"/>
              <w:keepLines w:val="0"/>
              <w:pageBreakBefore w:val="0"/>
              <w:shd w:val="clear"/>
              <w:kinsoku/>
              <w:wordWrap/>
              <w:overflowPunct/>
              <w:topLinePunct w:val="0"/>
              <w:autoSpaceDE/>
              <w:autoSpaceDN/>
              <w:bidi w:val="0"/>
              <w:adjustRightInd/>
              <w:spacing w:line="400" w:lineRule="exact"/>
              <w:ind w:left="0" w:leftChars="0" w:firstLine="422" w:firstLineChars="200"/>
              <w:jc w:val="both"/>
              <w:textAlignment w:val="auto"/>
              <w:rPr>
                <w:rFonts w:hint="default" w:ascii="Times New Roman" w:hAnsi="Times New Roman" w:cs="Times New Roman" w:eastAsiaTheme="minorEastAsia"/>
                <w:bCs w:val="0"/>
                <w:color w:val="auto"/>
                <w:sz w:val="21"/>
                <w:szCs w:val="21"/>
              </w:rPr>
            </w:pPr>
            <w:r>
              <w:rPr>
                <w:rFonts w:hint="default" w:ascii="Times New Roman" w:hAnsi="Times New Roman" w:cs="Times New Roman" w:eastAsiaTheme="minorEastAsia"/>
                <w:b/>
                <w:color w:val="auto"/>
                <w:sz w:val="21"/>
                <w:szCs w:val="21"/>
              </w:rPr>
              <w:t>目标3：</w:t>
            </w:r>
            <w:r>
              <w:rPr>
                <w:rFonts w:hint="default" w:ascii="Times New Roman" w:hAnsi="Times New Roman" w:cs="Times New Roman" w:eastAsiaTheme="minorEastAsia"/>
                <w:bCs w:val="0"/>
                <w:color w:val="auto"/>
                <w:sz w:val="21"/>
                <w:szCs w:val="21"/>
              </w:rPr>
              <w:t>企业上云3565家、上平台306家，建成智能制造企业25家、智能制造车间46个、智能制造工位279个，新增5G基站1830个、千兆光纤端口82322个。</w:t>
            </w:r>
          </w:p>
          <w:p>
            <w:pPr>
              <w:pStyle w:val="12"/>
              <w:keepNext w:val="0"/>
              <w:keepLines w:val="0"/>
              <w:pageBreakBefore w:val="0"/>
              <w:shd w:val="clear"/>
              <w:kinsoku/>
              <w:wordWrap/>
              <w:overflowPunct/>
              <w:topLinePunct w:val="0"/>
              <w:autoSpaceDE/>
              <w:autoSpaceDN/>
              <w:bidi w:val="0"/>
              <w:adjustRightInd/>
              <w:spacing w:line="400" w:lineRule="exact"/>
              <w:ind w:left="0" w:leftChars="0" w:firstLine="422" w:firstLineChars="200"/>
              <w:jc w:val="both"/>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b/>
                <w:color w:val="auto"/>
                <w:sz w:val="21"/>
                <w:szCs w:val="21"/>
              </w:rPr>
              <w:t>目标</w:t>
            </w:r>
            <w:r>
              <w:rPr>
                <w:rFonts w:hint="default" w:ascii="Times New Roman" w:hAnsi="Times New Roman" w:cs="Times New Roman" w:eastAsiaTheme="minorEastAsia"/>
                <w:b/>
                <w:bCs w:val="0"/>
                <w:color w:val="auto"/>
                <w:sz w:val="21"/>
                <w:szCs w:val="21"/>
              </w:rPr>
              <w:t>4</w:t>
            </w:r>
            <w:r>
              <w:rPr>
                <w:rFonts w:hint="default" w:ascii="Times New Roman" w:hAnsi="Times New Roman" w:cs="Times New Roman" w:eastAsiaTheme="minorEastAsia"/>
                <w:b/>
                <w:color w:val="auto"/>
                <w:sz w:val="21"/>
                <w:szCs w:val="21"/>
              </w:rPr>
              <w:t>:</w:t>
            </w:r>
            <w:r>
              <w:rPr>
                <w:rFonts w:hint="default" w:ascii="Times New Roman" w:hAnsi="Times New Roman" w:cs="Times New Roman" w:eastAsiaTheme="minorEastAsia"/>
                <w:color w:val="auto"/>
                <w:sz w:val="21"/>
                <w:szCs w:val="21"/>
              </w:rPr>
              <w:t>全市规模工业增加值增长4.8%,连续7个月实现环比正增长；工业投资增长39.9%，高出全省平均31.8个百分点，排名全省第一。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5"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绩</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效</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标</w:t>
            </w:r>
          </w:p>
        </w:tc>
        <w:tc>
          <w:tcPr>
            <w:tcW w:w="982"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一级</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二级</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三级</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年度</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指标值</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实际</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完成值</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分值</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得分</w:t>
            </w:r>
          </w:p>
        </w:tc>
        <w:tc>
          <w:tcPr>
            <w:tcW w:w="1091" w:type="dxa"/>
            <w:noWrap/>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产出</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（50分)</w:t>
            </w:r>
          </w:p>
        </w:tc>
        <w:tc>
          <w:tcPr>
            <w:tcW w:w="1106"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数量</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招商引资项目</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pacing w:val="-6"/>
                <w:sz w:val="21"/>
                <w:szCs w:val="21"/>
              </w:rPr>
              <w:t>1在谈项目69个。2.在建项目91个。3.投产项目50个。</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1．在谈项目69个。2.在建项目91个。3.投产项目50个。</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新增规模企业</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17"/>
                <w:sz w:val="21"/>
                <w:szCs w:val="21"/>
              </w:rPr>
              <w:t>新增入规工业企业143家，净增122家。</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pacing w:val="-17"/>
                <w:sz w:val="21"/>
                <w:szCs w:val="21"/>
              </w:rPr>
              <w:t>新增入规工业企业143家，净增122家。</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产业园区建设</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新增箱包企业34家、总投资突破30亿元。</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17"/>
                <w:sz w:val="21"/>
                <w:szCs w:val="21"/>
              </w:rPr>
              <w:t>新增箱包企业34家、总投资突破30亿</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数字</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产业化</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企业上云3565家、上平台306家，建成智能制造企业25家、智能制造车间46个、智能制造工位279个</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pacing w:val="-6"/>
                <w:sz w:val="21"/>
                <w:szCs w:val="21"/>
              </w:rPr>
              <w:t>企业上云3565家、上平台306家，建成智能制造企业25家、智能制造车间46个、智能制造工位279个</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质量</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全市</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规模</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工业</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增加值增长4.8%,连续7个月实现环比正增长；工业投资增长39.9%。</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增加值增长4.8%,连续7个月实现环比正增长；工业投资增长39.9%。</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产业</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园区</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规模</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bookmarkStart w:id="0" w:name="_GoBack"/>
            <w:bookmarkEnd w:id="0"/>
            <w:r>
              <w:rPr>
                <w:rFonts w:hint="default" w:ascii="Times New Roman" w:hAnsi="Times New Roman" w:cs="Times New Roman" w:eastAsiaTheme="minorEastAsia"/>
                <w:color w:val="auto"/>
                <w:sz w:val="21"/>
                <w:szCs w:val="21"/>
              </w:rPr>
              <w:t>工业</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增加值同比增长4.6%（全年数据未出），占全市规模工业增加值比重71.32%。</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增加值同比增长4.6%（全年数据未出），占全市规模工业增加值比重71.32%。</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新增入规工业企业</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=100%</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完成省定任务的260%</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时效</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目标完成时效指标</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2023年12月31日前</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2023年12月31日前</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5</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成本</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pacing w:val="-6"/>
                <w:kern w:val="0"/>
                <w:sz w:val="21"/>
                <w:szCs w:val="21"/>
              </w:rPr>
              <w:t>全年预算执行数</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≤3241.81</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w:t>
            </w:r>
            <w:r>
              <w:rPr>
                <w:rFonts w:hint="default" w:ascii="Times New Roman" w:hAnsi="Times New Roman" w:cs="Times New Roman" w:eastAsiaTheme="minorEastAsia"/>
                <w:color w:val="auto"/>
                <w:sz w:val="21"/>
                <w:szCs w:val="21"/>
              </w:rPr>
              <w:t>3241.81</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10</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10</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45"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绩</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效</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标</w:t>
            </w:r>
          </w:p>
        </w:tc>
        <w:tc>
          <w:tcPr>
            <w:tcW w:w="982"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一级</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指标</w:t>
            </w: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二级</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三级</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指标</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年度</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指标值</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实际</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完成值</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分值</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得分</w:t>
            </w:r>
          </w:p>
        </w:tc>
        <w:tc>
          <w:tcPr>
            <w:tcW w:w="1091" w:type="dxa"/>
            <w:noWrap/>
            <w:vAlign w:val="top"/>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 w:val="21"/>
                <w:szCs w:val="21"/>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restart"/>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效益</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（30分）</w:t>
            </w: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经济效</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益指标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全市工业经济发展</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成效明显</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成效明显</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8</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8</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社会效</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益指标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助企纾困，发展环境</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持续优化</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持续优化</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8</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8</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生态效</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益指标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sz w:val="21"/>
                <w:szCs w:val="21"/>
              </w:rPr>
              <w:t>促进工业高质量发展</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效果明显</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效果明显</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8</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8</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vMerge w:val="continue"/>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可持续影响指标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可持续影响</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可持续</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可持续</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6</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6</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45" w:type="dxa"/>
            <w:vMerge w:val="continue"/>
            <w:tcBorders/>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c>
          <w:tcPr>
            <w:tcW w:w="982"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满意度</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（10分）</w:t>
            </w:r>
          </w:p>
        </w:tc>
        <w:tc>
          <w:tcPr>
            <w:tcW w:w="110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服务对象满意度</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指标</w:t>
            </w:r>
          </w:p>
        </w:tc>
        <w:tc>
          <w:tcPr>
            <w:tcW w:w="1016"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服务</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对象</w:t>
            </w:r>
          </w:p>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满意度</w:t>
            </w:r>
          </w:p>
        </w:tc>
        <w:tc>
          <w:tcPr>
            <w:tcW w:w="1442" w:type="dxa"/>
            <w:gridSpan w:val="2"/>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95%以上</w:t>
            </w:r>
          </w:p>
        </w:tc>
        <w:tc>
          <w:tcPr>
            <w:tcW w:w="130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95%以上</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10</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10</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900" w:type="dxa"/>
            <w:gridSpan w:val="7"/>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总分</w:t>
            </w:r>
          </w:p>
        </w:tc>
        <w:tc>
          <w:tcPr>
            <w:tcW w:w="595"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100</w:t>
            </w:r>
          </w:p>
        </w:tc>
        <w:tc>
          <w:tcPr>
            <w:tcW w:w="1029"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center"/>
              <w:textAlignment w:val="auto"/>
              <w:rPr>
                <w:rFonts w:hint="default" w:ascii="Times New Roman" w:hAnsi="Times New Roman" w:cs="Times New Roman" w:eastAsiaTheme="minorEastAsia"/>
                <w:color w:val="auto"/>
                <w:kern w:val="0"/>
                <w:sz w:val="21"/>
                <w:szCs w:val="21"/>
              </w:rPr>
            </w:pPr>
            <w:r>
              <w:rPr>
                <w:rFonts w:hint="default" w:ascii="Times New Roman" w:hAnsi="Times New Roman" w:cs="Times New Roman" w:eastAsiaTheme="minorEastAsia"/>
                <w:color w:val="auto"/>
                <w:kern w:val="0"/>
                <w:sz w:val="21"/>
                <w:szCs w:val="21"/>
              </w:rPr>
              <w:t>99</w:t>
            </w:r>
          </w:p>
        </w:tc>
        <w:tc>
          <w:tcPr>
            <w:tcW w:w="1091" w:type="dxa"/>
            <w:noWrap/>
            <w:vAlign w:val="center"/>
          </w:tcPr>
          <w:p>
            <w:pPr>
              <w:keepNext w:val="0"/>
              <w:keepLines w:val="0"/>
              <w:pageBreakBefore w:val="0"/>
              <w:widowControl/>
              <w:shd w:val="clear"/>
              <w:kinsoku/>
              <w:wordWrap/>
              <w:overflowPunct/>
              <w:topLinePunct w:val="0"/>
              <w:autoSpaceDE/>
              <w:autoSpaceDN/>
              <w:bidi w:val="0"/>
              <w:adjustRightInd/>
              <w:snapToGrid/>
              <w:spacing w:line="320" w:lineRule="exact"/>
              <w:ind w:left="0" w:leftChars="0"/>
              <w:jc w:val="left"/>
              <w:textAlignment w:val="auto"/>
              <w:rPr>
                <w:rFonts w:hint="default" w:ascii="Times New Roman" w:hAnsi="Times New Roman" w:cs="Times New Roman" w:eastAsiaTheme="minorEastAsia"/>
                <w:color w:val="auto"/>
                <w:kern w:val="0"/>
                <w:sz w:val="21"/>
                <w:szCs w:val="21"/>
              </w:rPr>
            </w:pPr>
          </w:p>
        </w:tc>
      </w:tr>
    </w:tbl>
    <w:p>
      <w:pPr>
        <w:keepNext w:val="0"/>
        <w:keepLines w:val="0"/>
        <w:pageBreakBefore w:val="0"/>
        <w:widowControl w:val="0"/>
        <w:shd w:val="clear"/>
        <w:kinsoku/>
        <w:wordWrap/>
        <w:overflowPunct/>
        <w:topLinePunct w:val="0"/>
        <w:autoSpaceDE/>
        <w:autoSpaceDN/>
        <w:bidi w:val="0"/>
        <w:adjustRightInd/>
        <w:snapToGrid/>
        <w:spacing w:line="400" w:lineRule="exact"/>
        <w:ind w:left="0" w:leftChars="0"/>
        <w:jc w:val="left"/>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kern w:val="0"/>
          <w:sz w:val="24"/>
        </w:rPr>
        <w:t xml:space="preserve">填表人：周小龙  </w:t>
      </w:r>
      <w:r>
        <w:rPr>
          <w:rFonts w:hint="eastAsia" w:ascii="Times New Roman" w:hAnsi="Times New Roman" w:eastAsia="仿宋_GB2312" w:cs="Times New Roman"/>
          <w:color w:val="auto"/>
          <w:kern w:val="0"/>
          <w:sz w:val="24"/>
          <w:lang w:val="en-US" w:eastAsia="zh-CN"/>
        </w:rPr>
        <w:t xml:space="preserve">   </w:t>
      </w:r>
      <w:r>
        <w:rPr>
          <w:rFonts w:hint="default" w:ascii="Times New Roman" w:hAnsi="Times New Roman" w:eastAsia="仿宋_GB2312" w:cs="Times New Roman"/>
          <w:color w:val="auto"/>
          <w:kern w:val="0"/>
          <w:sz w:val="24"/>
        </w:rPr>
        <w:t xml:space="preserve"> </w:t>
      </w:r>
      <w:r>
        <w:rPr>
          <w:rFonts w:hint="eastAsia" w:ascii="Times New Roman" w:hAnsi="Times New Roman" w:eastAsia="仿宋_GB2312" w:cs="Times New Roman"/>
          <w:color w:val="auto"/>
          <w:kern w:val="0"/>
          <w:sz w:val="24"/>
          <w:lang w:val="en-US" w:eastAsia="zh-CN"/>
        </w:rPr>
        <w:t xml:space="preserve">   </w:t>
      </w:r>
      <w:r>
        <w:rPr>
          <w:rFonts w:hint="default" w:ascii="Times New Roman" w:hAnsi="Times New Roman" w:eastAsia="仿宋_GB2312" w:cs="Times New Roman"/>
          <w:color w:val="auto"/>
          <w:kern w:val="0"/>
          <w:sz w:val="24"/>
          <w:lang w:val="en-US" w:eastAsia="zh-CN"/>
        </w:rPr>
        <w:t xml:space="preserve">  </w:t>
      </w:r>
      <w:r>
        <w:rPr>
          <w:rFonts w:hint="default" w:ascii="Times New Roman" w:hAnsi="Times New Roman" w:eastAsia="仿宋_GB2312" w:cs="Times New Roman"/>
          <w:color w:val="auto"/>
          <w:kern w:val="0"/>
          <w:sz w:val="24"/>
        </w:rPr>
        <w:t xml:space="preserve">填报日期：2024年6月20日   </w:t>
      </w:r>
      <w:r>
        <w:rPr>
          <w:rFonts w:hint="default" w:ascii="Times New Roman" w:hAnsi="Times New Roman" w:eastAsia="仿宋_GB2312" w:cs="Times New Roman"/>
          <w:color w:val="auto"/>
          <w:kern w:val="0"/>
          <w:sz w:val="24"/>
          <w:lang w:val="en-US" w:eastAsia="zh-CN"/>
        </w:rPr>
        <w:t xml:space="preserve">   </w:t>
      </w:r>
      <w:r>
        <w:rPr>
          <w:rFonts w:hint="eastAsia" w:ascii="Times New Roman" w:hAnsi="Times New Roman" w:eastAsia="仿宋_GB2312" w:cs="Times New Roman"/>
          <w:color w:val="auto"/>
          <w:kern w:val="0"/>
          <w:sz w:val="24"/>
          <w:lang w:val="en-US" w:eastAsia="zh-CN"/>
        </w:rPr>
        <w:t xml:space="preserve">      </w:t>
      </w:r>
      <w:r>
        <w:rPr>
          <w:rFonts w:hint="default" w:ascii="Times New Roman" w:hAnsi="Times New Roman" w:eastAsia="仿宋_GB2312" w:cs="Times New Roman"/>
          <w:color w:val="auto"/>
          <w:kern w:val="0"/>
          <w:sz w:val="24"/>
          <w:lang w:val="en-US" w:eastAsia="zh-CN"/>
        </w:rPr>
        <w:t xml:space="preserve"> </w:t>
      </w:r>
      <w:r>
        <w:rPr>
          <w:rFonts w:hint="default" w:ascii="Times New Roman" w:hAnsi="Times New Roman" w:eastAsia="仿宋_GB2312" w:cs="Times New Roman"/>
          <w:color w:val="auto"/>
          <w:kern w:val="0"/>
          <w:sz w:val="24"/>
        </w:rPr>
        <w:t>联系电话：</w:t>
      </w:r>
      <w:r>
        <w:rPr>
          <w:rFonts w:hint="default" w:ascii="Times New Roman" w:hAnsi="Times New Roman" w:eastAsia="仿宋_GB2312" w:cs="Times New Roman"/>
          <w:color w:val="auto"/>
          <w:kern w:val="0"/>
          <w:sz w:val="24"/>
          <w:lang w:val="en-US" w:eastAsia="zh-CN"/>
        </w:rPr>
        <w:t>2731302</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pacing w:before="0" w:beforeAutospacing="0" w:after="0" w:afterAutospacing="0" w:line="600" w:lineRule="exact"/>
        <w:ind w:left="0" w:leftChars="0" w:right="0" w:firstLine="0"/>
        <w:jc w:val="left"/>
        <w:textAlignment w:val="auto"/>
        <w:rPr>
          <w:rFonts w:hint="default" w:ascii="Times New Roman" w:hAnsi="Times New Roman" w:cs="Times New Roman"/>
          <w:i w:val="0"/>
          <w:iCs w:val="0"/>
          <w:caps w:val="0"/>
          <w:color w:val="auto"/>
          <w:spacing w:val="0"/>
          <w:sz w:val="24"/>
          <w:szCs w:val="24"/>
        </w:rPr>
      </w:pPr>
    </w:p>
    <w:p>
      <w:pPr>
        <w:pageBreakBefore w:val="0"/>
        <w:shd w:val="clear"/>
        <w:kinsoku/>
        <w:wordWrap/>
        <w:overflowPunct/>
        <w:topLinePunct w:val="0"/>
        <w:autoSpaceDE/>
        <w:autoSpaceDN/>
        <w:bidi w:val="0"/>
        <w:adjustRightInd/>
        <w:spacing w:line="600" w:lineRule="exact"/>
        <w:ind w:left="0" w:leftChars="0"/>
        <w:jc w:val="left"/>
        <w:textAlignment w:val="auto"/>
        <w:rPr>
          <w:rFonts w:hint="default" w:ascii="Times New Roman" w:hAnsi="Times New Roman" w:cs="Times New Roman"/>
          <w:color w:val="auto"/>
        </w:rPr>
      </w:pPr>
    </w:p>
    <w:p>
      <w:pPr>
        <w:pStyle w:val="2"/>
        <w:rPr>
          <w:rFonts w:hint="default" w:ascii="Times New Roman" w:hAnsi="Times New Roman" w:cs="Times New Roman"/>
        </w:rPr>
      </w:pPr>
    </w:p>
    <w:sectPr>
      <w:pgSz w:w="11906" w:h="16838"/>
      <w:pgMar w:top="1134" w:right="1134" w:bottom="1134" w:left="113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A36BBE"/>
    <w:multiLevelType w:val="singleLevel"/>
    <w:tmpl w:val="17A36BBE"/>
    <w:lvl w:ilvl="0" w:tentative="0">
      <w:start w:val="8"/>
      <w:numFmt w:val="chineseCounting"/>
      <w:suff w:val="nothing"/>
      <w:lvlText w:val="%1、"/>
      <w:lvlJc w:val="left"/>
      <w:rPr>
        <w:rFonts w:hint="eastAsia"/>
      </w:rPr>
    </w:lvl>
  </w:abstractNum>
  <w:abstractNum w:abstractNumId="1">
    <w:nsid w:val="587AF2CC"/>
    <w:multiLevelType w:val="singleLevel"/>
    <w:tmpl w:val="587AF2CC"/>
    <w:lvl w:ilvl="0" w:tentative="0">
      <w:start w:val="3"/>
      <w:numFmt w:val="chineseCounting"/>
      <w:suff w:val="nothing"/>
      <w:lvlText w:val="（%1）"/>
      <w:lvlJc w:val="left"/>
      <w:pPr>
        <w:ind w:left="640" w:leftChars="0" w:firstLine="0" w:firstLineChars="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jOGYwOTliNTNhNDFjZTI2YWI2NGU2ZGJiODE5ZDMifQ=="/>
  </w:docVars>
  <w:rsids>
    <w:rsidRoot w:val="7D6B7AB6"/>
    <w:rsid w:val="01514C6E"/>
    <w:rsid w:val="066047AF"/>
    <w:rsid w:val="0C0815C7"/>
    <w:rsid w:val="0F1D4C55"/>
    <w:rsid w:val="0F8F6F95"/>
    <w:rsid w:val="110E357C"/>
    <w:rsid w:val="1258002E"/>
    <w:rsid w:val="129863FD"/>
    <w:rsid w:val="1409136D"/>
    <w:rsid w:val="183A5004"/>
    <w:rsid w:val="1B9907D4"/>
    <w:rsid w:val="1BA17641"/>
    <w:rsid w:val="1DEE691B"/>
    <w:rsid w:val="1EE559BD"/>
    <w:rsid w:val="1F16618C"/>
    <w:rsid w:val="1F8C2552"/>
    <w:rsid w:val="20506302"/>
    <w:rsid w:val="208E18CC"/>
    <w:rsid w:val="21E52AA7"/>
    <w:rsid w:val="238060CC"/>
    <w:rsid w:val="24BD3555"/>
    <w:rsid w:val="25AB575C"/>
    <w:rsid w:val="25E104B8"/>
    <w:rsid w:val="274C7086"/>
    <w:rsid w:val="27B1262E"/>
    <w:rsid w:val="29277635"/>
    <w:rsid w:val="299F1807"/>
    <w:rsid w:val="2CC86FAF"/>
    <w:rsid w:val="2CCB6C14"/>
    <w:rsid w:val="2DD84AB5"/>
    <w:rsid w:val="30A30058"/>
    <w:rsid w:val="30C60BDA"/>
    <w:rsid w:val="30DD0FE7"/>
    <w:rsid w:val="3650732A"/>
    <w:rsid w:val="37287311"/>
    <w:rsid w:val="37445638"/>
    <w:rsid w:val="38A44B5A"/>
    <w:rsid w:val="3BC74FE0"/>
    <w:rsid w:val="3CEE2AEC"/>
    <w:rsid w:val="3E1E3B2A"/>
    <w:rsid w:val="3E801A65"/>
    <w:rsid w:val="3F5D704C"/>
    <w:rsid w:val="420E7020"/>
    <w:rsid w:val="42544BAE"/>
    <w:rsid w:val="4339149F"/>
    <w:rsid w:val="44D8093C"/>
    <w:rsid w:val="44ED680C"/>
    <w:rsid w:val="46936E40"/>
    <w:rsid w:val="46E41725"/>
    <w:rsid w:val="47C92554"/>
    <w:rsid w:val="4A0D4317"/>
    <w:rsid w:val="4B96481D"/>
    <w:rsid w:val="516E0CBC"/>
    <w:rsid w:val="522105B9"/>
    <w:rsid w:val="53F765F4"/>
    <w:rsid w:val="541170FC"/>
    <w:rsid w:val="54273E81"/>
    <w:rsid w:val="54281E47"/>
    <w:rsid w:val="5497222F"/>
    <w:rsid w:val="586E66A0"/>
    <w:rsid w:val="5A4501D7"/>
    <w:rsid w:val="5A5F5173"/>
    <w:rsid w:val="5C5E4398"/>
    <w:rsid w:val="5CD5691D"/>
    <w:rsid w:val="5F9B23C7"/>
    <w:rsid w:val="60286181"/>
    <w:rsid w:val="60637208"/>
    <w:rsid w:val="61793A00"/>
    <w:rsid w:val="61D22B10"/>
    <w:rsid w:val="62E81D53"/>
    <w:rsid w:val="64640955"/>
    <w:rsid w:val="67A6044B"/>
    <w:rsid w:val="6B0D3509"/>
    <w:rsid w:val="6D6868F1"/>
    <w:rsid w:val="6EFE4E26"/>
    <w:rsid w:val="7047527A"/>
    <w:rsid w:val="70683CFB"/>
    <w:rsid w:val="727D2E62"/>
    <w:rsid w:val="72E934CF"/>
    <w:rsid w:val="746D116A"/>
    <w:rsid w:val="75653527"/>
    <w:rsid w:val="75B96BD7"/>
    <w:rsid w:val="760A16D7"/>
    <w:rsid w:val="777A2C11"/>
    <w:rsid w:val="781A1483"/>
    <w:rsid w:val="7A34668D"/>
    <w:rsid w:val="7D6B7AB6"/>
    <w:rsid w:val="7FAE0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0"/>
    </w:pPr>
    <w:rPr>
      <w:rFonts w:ascii="????" w:hAnsi="????" w:eastAsia="方正小标宋_GBK"/>
      <w:sz w:val="24"/>
    </w:rPr>
  </w:style>
  <w:style w:type="paragraph" w:styleId="4">
    <w:name w:val="Normal Indent"/>
    <w:basedOn w:val="1"/>
    <w:qFormat/>
    <w:uiPriority w:val="0"/>
    <w:pPr>
      <w:ind w:firstLine="420" w:firstLineChars="200"/>
    </w:pPr>
    <w:rPr>
      <w:rFonts w:ascii="Calibri" w:hAnsi="Calibri" w:eastAsia="仿宋_GB2312" w:cs="Times New Roman"/>
      <w:sz w:val="32"/>
    </w:rPr>
  </w:style>
  <w:style w:type="paragraph" w:styleId="5">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after="120"/>
      <w:ind w:left="420" w:leftChars="200"/>
    </w:pPr>
  </w:style>
  <w:style w:type="paragraph" w:styleId="7">
    <w:name w:val="Block Text"/>
    <w:basedOn w:val="1"/>
    <w:unhideWhenUsed/>
    <w:qFormat/>
    <w:uiPriority w:val="99"/>
    <w:pPr>
      <w:ind w:firstLine="64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6"/>
    <w:qFormat/>
    <w:uiPriority w:val="0"/>
    <w:pPr>
      <w:spacing w:after="0"/>
      <w:ind w:firstLine="420" w:firstLineChars="200"/>
    </w:pPr>
    <w:rPr>
      <w:rFonts w:eastAsia="仿宋_GB2312" w:cs="黑体"/>
      <w:sz w:val="32"/>
    </w:rPr>
  </w:style>
  <w:style w:type="paragraph" w:customStyle="1" w:styleId="15">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标题1"/>
    <w:basedOn w:val="3"/>
    <w:qFormat/>
    <w:uiPriority w:val="0"/>
    <w:rPr>
      <w:rFonts w:eastAsia="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11109</Words>
  <Characters>12234</Characters>
  <Lines>0</Lines>
  <Paragraphs>0</Paragraphs>
  <TotalTime>19</TotalTime>
  <ScaleCrop>false</ScaleCrop>
  <LinksUpToDate>false</LinksUpToDate>
  <CharactersWithSpaces>12537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2024-06-23T04:13:00Z</dcterms:created>
  <dc:creator>pcpc</dc:creator>
  <cp:lastModifiedBy>小宋</cp:lastModifiedBy>
  <cp:lastPrinted>2024-06-28T17:05:00Z</cp:lastPrinted>
  <dcterms:modified xsi:type="dcterms:W3CDTF">2024-07-17T01:24:27Z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1B2F9DE234244451969DB4CF616CF1F8</vt:lpwstr>
  </property>
</Properties>
</file>