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E39F85">
      <w:pPr>
        <w:pStyle w:val="15"/>
        <w:jc w:val="center"/>
        <w:rPr>
          <w:rFonts w:hint="default" w:ascii="Times New Roman" w:hAnsi="Times New Roman" w:cs="Times New Roman"/>
          <w:color w:val="auto"/>
          <w:sz w:val="56"/>
          <w:szCs w:val="56"/>
        </w:rPr>
      </w:pPr>
    </w:p>
    <w:p w14:paraId="76C35935">
      <w:pPr>
        <w:pStyle w:val="15"/>
        <w:jc w:val="center"/>
        <w:rPr>
          <w:rFonts w:hint="default" w:ascii="Times New Roman" w:hAnsi="Times New Roman" w:cs="Times New Roman"/>
          <w:color w:val="auto"/>
          <w:sz w:val="84"/>
          <w:szCs w:val="84"/>
        </w:rPr>
      </w:pPr>
    </w:p>
    <w:p w14:paraId="5C5AA196">
      <w:pPr>
        <w:pStyle w:val="15"/>
        <w:jc w:val="center"/>
        <w:rPr>
          <w:rFonts w:hint="default" w:ascii="Times New Roman" w:hAnsi="Times New Roman" w:cs="Times New Roman"/>
          <w:color w:val="auto"/>
          <w:sz w:val="84"/>
          <w:szCs w:val="84"/>
        </w:rPr>
      </w:pPr>
    </w:p>
    <w:p w14:paraId="69CA217A">
      <w:pPr>
        <w:pStyle w:val="15"/>
        <w:jc w:val="center"/>
        <w:rPr>
          <w:rFonts w:hint="default" w:ascii="Times New Roman" w:hAnsi="Times New Roman" w:eastAsia="方正小标宋简体" w:cs="Times New Roman"/>
          <w:color w:val="auto"/>
          <w:sz w:val="72"/>
          <w:szCs w:val="72"/>
        </w:rPr>
      </w:pPr>
      <w:r>
        <w:rPr>
          <w:rFonts w:hint="default" w:ascii="Times New Roman" w:hAnsi="Times New Roman" w:eastAsia="方正小标宋简体" w:cs="Times New Roman"/>
          <w:color w:val="auto"/>
          <w:sz w:val="72"/>
          <w:szCs w:val="72"/>
        </w:rPr>
        <w:t>2024年度</w:t>
      </w:r>
    </w:p>
    <w:p w14:paraId="2737F6F2">
      <w:pPr>
        <w:pStyle w:val="15"/>
        <w:jc w:val="center"/>
        <w:rPr>
          <w:rFonts w:hint="default" w:ascii="Times New Roman" w:hAnsi="Times New Roman" w:eastAsia="方正小标宋简体" w:cs="Times New Roman"/>
          <w:color w:val="auto"/>
          <w:sz w:val="72"/>
          <w:szCs w:val="72"/>
        </w:rPr>
      </w:pPr>
      <w:r>
        <w:rPr>
          <w:rFonts w:hint="default" w:ascii="Times New Roman" w:hAnsi="Times New Roman" w:eastAsia="方正小标宋简体" w:cs="Times New Roman"/>
          <w:color w:val="auto"/>
          <w:sz w:val="72"/>
          <w:szCs w:val="72"/>
        </w:rPr>
        <w:t>怀化市无线电监测站</w:t>
      </w:r>
    </w:p>
    <w:p w14:paraId="2A19EE78">
      <w:pPr>
        <w:pStyle w:val="15"/>
        <w:jc w:val="center"/>
        <w:rPr>
          <w:rFonts w:hint="default" w:ascii="Times New Roman" w:hAnsi="Times New Roman" w:eastAsia="方正小标宋简体" w:cs="Times New Roman"/>
          <w:color w:val="auto"/>
          <w:sz w:val="72"/>
          <w:szCs w:val="72"/>
        </w:rPr>
      </w:pPr>
      <w:r>
        <w:rPr>
          <w:rFonts w:hint="default" w:ascii="Times New Roman" w:hAnsi="Times New Roman" w:eastAsia="方正小标宋简体" w:cs="Times New Roman"/>
          <w:color w:val="auto"/>
          <w:sz w:val="72"/>
          <w:szCs w:val="72"/>
        </w:rPr>
        <w:t>部门决算</w:t>
      </w:r>
    </w:p>
    <w:p w14:paraId="79988908">
      <w:pPr>
        <w:pStyle w:val="15"/>
        <w:spacing w:line="600" w:lineRule="exact"/>
        <w:jc w:val="both"/>
        <w:rPr>
          <w:rFonts w:hint="default" w:ascii="Times New Roman" w:hAnsi="Times New Roman" w:cs="Times New Roman"/>
          <w:b/>
          <w:color w:val="auto"/>
          <w:sz w:val="36"/>
          <w:szCs w:val="28"/>
        </w:rPr>
        <w:sectPr>
          <w:footerReference r:id="rId3" w:type="default"/>
          <w:pgSz w:w="11906" w:h="16838"/>
          <w:pgMar w:top="1417" w:right="1588" w:bottom="1417" w:left="1588" w:header="851" w:footer="992" w:gutter="0"/>
          <w:pgNumType w:fmt="numberInDash" w:start="1"/>
          <w:cols w:space="425" w:num="1"/>
          <w:docGrid w:type="lines" w:linePitch="312" w:charSpace="0"/>
        </w:sectPr>
      </w:pPr>
    </w:p>
    <w:p w14:paraId="1306E62A">
      <w:pPr>
        <w:pStyle w:val="15"/>
        <w:spacing w:line="60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目  录</w:t>
      </w:r>
    </w:p>
    <w:p w14:paraId="16B91770">
      <w:pPr>
        <w:pStyle w:val="15"/>
        <w:spacing w:line="600" w:lineRule="exact"/>
        <w:jc w:val="center"/>
        <w:rPr>
          <w:rFonts w:hint="default" w:ascii="Times New Roman" w:hAnsi="Times New Roman" w:cs="Times New Roman"/>
          <w:b/>
          <w:color w:val="auto"/>
          <w:sz w:val="36"/>
          <w:szCs w:val="28"/>
        </w:rPr>
      </w:pPr>
    </w:p>
    <w:p w14:paraId="12115486">
      <w:pPr>
        <w:pStyle w:val="15"/>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第一部分 怀化市无线电监测站概况</w:t>
      </w:r>
    </w:p>
    <w:p w14:paraId="0DAEF50C">
      <w:pPr>
        <w:pStyle w:val="15"/>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一、部门职责</w:t>
      </w:r>
    </w:p>
    <w:p w14:paraId="625AB5A7">
      <w:pPr>
        <w:pStyle w:val="15"/>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二、机构设置及决算单位构成</w:t>
      </w:r>
    </w:p>
    <w:p w14:paraId="0CE73FE8">
      <w:pPr>
        <w:pStyle w:val="15"/>
        <w:spacing w:beforeLines="50" w:afterLines="50" w:line="600" w:lineRule="exact"/>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第二部分 部门决算表</w:t>
      </w:r>
    </w:p>
    <w:p w14:paraId="04BEC5F2">
      <w:pPr>
        <w:pStyle w:val="15"/>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一、收入支出决算总表</w:t>
      </w:r>
    </w:p>
    <w:p w14:paraId="636CA192">
      <w:pPr>
        <w:pStyle w:val="15"/>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二、收入决算表</w:t>
      </w:r>
    </w:p>
    <w:p w14:paraId="6B97A1D4">
      <w:pPr>
        <w:pStyle w:val="15"/>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三、支出决算表</w:t>
      </w:r>
    </w:p>
    <w:p w14:paraId="7B74C734">
      <w:pPr>
        <w:pStyle w:val="15"/>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四、财政拨款收入支出决算总表</w:t>
      </w:r>
    </w:p>
    <w:p w14:paraId="3B06100F">
      <w:pPr>
        <w:pStyle w:val="15"/>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五、一般公共预算财政拨款支出决算表</w:t>
      </w:r>
    </w:p>
    <w:p w14:paraId="7AC371FF">
      <w:pPr>
        <w:pStyle w:val="15"/>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六、一般公共预算财政拨款基本支出决算明细表</w:t>
      </w:r>
    </w:p>
    <w:p w14:paraId="46AF20AA">
      <w:pPr>
        <w:pStyle w:val="15"/>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七、政府性基金预算财政拨款收入支出决算表</w:t>
      </w:r>
    </w:p>
    <w:p w14:paraId="3BC1A16B">
      <w:pPr>
        <w:pStyle w:val="15"/>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八、国有资本经营预算财政拨款支出决算表</w:t>
      </w:r>
    </w:p>
    <w:p w14:paraId="644629BE">
      <w:pPr>
        <w:pStyle w:val="15"/>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九、财政拨款“三公”经费支出决算表</w:t>
      </w:r>
    </w:p>
    <w:p w14:paraId="2A4F8FF6">
      <w:pPr>
        <w:pStyle w:val="15"/>
        <w:spacing w:beforeLines="50" w:afterLines="50" w:line="600" w:lineRule="exact"/>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第三部分 部门决算情况说明</w:t>
      </w:r>
    </w:p>
    <w:p w14:paraId="0A5F4F8E">
      <w:pPr>
        <w:pStyle w:val="15"/>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一、收入支出决算总体情况说明</w:t>
      </w:r>
    </w:p>
    <w:p w14:paraId="2D806225">
      <w:pPr>
        <w:spacing w:line="600" w:lineRule="exact"/>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二、收入决算情况说明</w:t>
      </w:r>
    </w:p>
    <w:p w14:paraId="1D43D829">
      <w:pPr>
        <w:autoSpaceDE w:val="0"/>
        <w:autoSpaceDN w:val="0"/>
        <w:adjustRightInd w:val="0"/>
        <w:spacing w:line="600" w:lineRule="exact"/>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三、支出决算情况说明</w:t>
      </w:r>
    </w:p>
    <w:p w14:paraId="1B114D5E">
      <w:pPr>
        <w:autoSpaceDE w:val="0"/>
        <w:autoSpaceDN w:val="0"/>
        <w:adjustRightInd w:val="0"/>
        <w:spacing w:line="600" w:lineRule="exact"/>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四、财政拨款收入支出决算总体情况说明</w:t>
      </w:r>
    </w:p>
    <w:p w14:paraId="5C5CE036">
      <w:pPr>
        <w:autoSpaceDE w:val="0"/>
        <w:autoSpaceDN w:val="0"/>
        <w:adjustRightInd w:val="0"/>
        <w:spacing w:line="600" w:lineRule="exact"/>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五、一般公共预算财政拨款支出决算情况说明</w:t>
      </w:r>
    </w:p>
    <w:p w14:paraId="1D443FCB">
      <w:pPr>
        <w:autoSpaceDE w:val="0"/>
        <w:autoSpaceDN w:val="0"/>
        <w:adjustRightInd w:val="0"/>
        <w:spacing w:line="600" w:lineRule="exact"/>
        <w:jc w:val="left"/>
        <w:rPr>
          <w:rFonts w:hint="default" w:ascii="Times New Roman" w:hAnsi="Times New Roman" w:eastAsia="仿宋_GB2312" w:cs="Times New Roman"/>
          <w:color w:val="auto"/>
          <w:kern w:val="0"/>
          <w:sz w:val="32"/>
          <w:szCs w:val="32"/>
        </w:rPr>
        <w:sectPr>
          <w:footerReference r:id="rId4" w:type="default"/>
          <w:pgSz w:w="11906" w:h="16838"/>
          <w:pgMar w:top="1417" w:right="1588" w:bottom="1417" w:left="1588" w:header="851" w:footer="992" w:gutter="0"/>
          <w:pgNumType w:fmt="numberInDash" w:start="2"/>
          <w:cols w:space="425" w:num="1"/>
          <w:docGrid w:type="lines" w:linePitch="312" w:charSpace="0"/>
        </w:sectPr>
      </w:pPr>
    </w:p>
    <w:p w14:paraId="6AB5B1CA">
      <w:pPr>
        <w:autoSpaceDE w:val="0"/>
        <w:autoSpaceDN w:val="0"/>
        <w:adjustRightInd w:val="0"/>
        <w:spacing w:line="600" w:lineRule="exact"/>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六、一般公共预算财政拨款基本支出决算情况说明</w:t>
      </w:r>
    </w:p>
    <w:p w14:paraId="5401E2F8">
      <w:pPr>
        <w:autoSpaceDE w:val="0"/>
        <w:autoSpaceDN w:val="0"/>
        <w:adjustRightInd w:val="0"/>
        <w:spacing w:line="600" w:lineRule="exact"/>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七、财政拨款“三公”经费支出决算情况说明</w:t>
      </w:r>
    </w:p>
    <w:p w14:paraId="6C7EA64C">
      <w:pPr>
        <w:autoSpaceDE w:val="0"/>
        <w:autoSpaceDN w:val="0"/>
        <w:adjustRightInd w:val="0"/>
        <w:spacing w:line="600" w:lineRule="exact"/>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八、政府性基金预算收入支出决算情况</w:t>
      </w:r>
    </w:p>
    <w:p w14:paraId="6B30A364">
      <w:pPr>
        <w:pStyle w:val="15"/>
        <w:spacing w:line="5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九、国有资本经营预算财政拨款支出决算表</w:t>
      </w:r>
    </w:p>
    <w:p w14:paraId="737A4E52">
      <w:pPr>
        <w:autoSpaceDE w:val="0"/>
        <w:autoSpaceDN w:val="0"/>
        <w:adjustRightInd w:val="0"/>
        <w:spacing w:line="600" w:lineRule="exact"/>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十、关于机关运行经费支出说明</w:t>
      </w:r>
    </w:p>
    <w:p w14:paraId="18FE9046">
      <w:pPr>
        <w:autoSpaceDE w:val="0"/>
        <w:autoSpaceDN w:val="0"/>
        <w:adjustRightInd w:val="0"/>
        <w:spacing w:line="600" w:lineRule="exact"/>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十一、一般性支出情况说明</w:t>
      </w:r>
    </w:p>
    <w:p w14:paraId="165DF81F">
      <w:pPr>
        <w:autoSpaceDE w:val="0"/>
        <w:autoSpaceDN w:val="0"/>
        <w:adjustRightInd w:val="0"/>
        <w:spacing w:line="600" w:lineRule="exact"/>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十二、关于政府采购支出说明</w:t>
      </w:r>
    </w:p>
    <w:p w14:paraId="0B77B27F">
      <w:pPr>
        <w:pStyle w:val="15"/>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十三、关于国有资产占用情况说明</w:t>
      </w:r>
    </w:p>
    <w:p w14:paraId="2D5AFADD">
      <w:pPr>
        <w:pStyle w:val="15"/>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十四、关于2024年度预算绩效管理情况的说明</w:t>
      </w:r>
    </w:p>
    <w:p w14:paraId="462EA404">
      <w:pPr>
        <w:pStyle w:val="15"/>
        <w:spacing w:beforeLines="50" w:afterLines="50" w:line="600" w:lineRule="exact"/>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第四部分 名词解释</w:t>
      </w:r>
    </w:p>
    <w:p w14:paraId="6A5C34D8">
      <w:pPr>
        <w:pStyle w:val="15"/>
        <w:spacing w:beforeLines="50" w:afterLines="50" w:line="600" w:lineRule="exact"/>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第五部分 附件</w:t>
      </w:r>
    </w:p>
    <w:p w14:paraId="3D00F74A">
      <w:pPr>
        <w:pStyle w:val="15"/>
        <w:spacing w:line="600" w:lineRule="exact"/>
        <w:rPr>
          <w:rFonts w:hint="default" w:ascii="Times New Roman" w:hAnsi="Times New Roman" w:cs="Times New Roman"/>
          <w:bCs/>
          <w:color w:val="auto"/>
          <w:sz w:val="28"/>
          <w:szCs w:val="28"/>
        </w:rPr>
      </w:pPr>
    </w:p>
    <w:p w14:paraId="721DA43C">
      <w:pPr>
        <w:jc w:val="center"/>
        <w:rPr>
          <w:rFonts w:hint="default" w:ascii="Times New Roman" w:hAnsi="Times New Roman" w:cs="Times New Roman"/>
          <w:color w:val="auto"/>
          <w:sz w:val="72"/>
          <w:szCs w:val="72"/>
        </w:rPr>
      </w:pPr>
    </w:p>
    <w:p w14:paraId="50985DD9">
      <w:pPr>
        <w:jc w:val="center"/>
        <w:rPr>
          <w:rFonts w:hint="default" w:ascii="Times New Roman" w:hAnsi="Times New Roman" w:cs="Times New Roman"/>
          <w:color w:val="auto"/>
          <w:sz w:val="72"/>
          <w:szCs w:val="72"/>
        </w:rPr>
      </w:pPr>
    </w:p>
    <w:p w14:paraId="5C606FB4">
      <w:pPr>
        <w:jc w:val="center"/>
        <w:rPr>
          <w:rFonts w:hint="default" w:ascii="Times New Roman" w:hAnsi="Times New Roman" w:cs="Times New Roman"/>
          <w:color w:val="auto"/>
          <w:sz w:val="72"/>
          <w:szCs w:val="72"/>
        </w:rPr>
      </w:pPr>
    </w:p>
    <w:p w14:paraId="41A24BFD">
      <w:pPr>
        <w:pStyle w:val="6"/>
        <w:rPr>
          <w:rFonts w:hint="default" w:ascii="Times New Roman" w:hAnsi="Times New Roman" w:cs="Times New Roman"/>
          <w:color w:val="auto"/>
        </w:rPr>
        <w:sectPr>
          <w:footerReference r:id="rId5" w:type="default"/>
          <w:pgSz w:w="11906" w:h="16838"/>
          <w:pgMar w:top="1417" w:right="1588" w:bottom="1417" w:left="1588" w:header="851" w:footer="992" w:gutter="0"/>
          <w:pgNumType w:fmt="numberInDash" w:start="3"/>
          <w:cols w:space="425" w:num="1"/>
          <w:docGrid w:type="lines" w:linePitch="312" w:charSpace="0"/>
        </w:sectPr>
      </w:pPr>
    </w:p>
    <w:p w14:paraId="62A946B7">
      <w:pPr>
        <w:rPr>
          <w:rFonts w:hint="default" w:ascii="Times New Roman" w:hAnsi="Times New Roman" w:eastAsia="方正小标宋_GBK" w:cs="Times New Roman"/>
          <w:color w:val="auto"/>
          <w:sz w:val="72"/>
          <w:szCs w:val="72"/>
        </w:rPr>
      </w:pPr>
    </w:p>
    <w:p w14:paraId="66C8CD79">
      <w:pPr>
        <w:pStyle w:val="15"/>
        <w:jc w:val="center"/>
        <w:rPr>
          <w:rFonts w:hint="default" w:ascii="Times New Roman" w:hAnsi="Times New Roman" w:eastAsia="方正小标宋简体" w:cs="Times New Roman"/>
          <w:color w:val="auto"/>
          <w:sz w:val="72"/>
          <w:szCs w:val="72"/>
        </w:rPr>
      </w:pPr>
    </w:p>
    <w:p w14:paraId="1FDE4B09">
      <w:pPr>
        <w:pStyle w:val="15"/>
        <w:jc w:val="center"/>
        <w:rPr>
          <w:rFonts w:hint="default" w:ascii="Times New Roman" w:hAnsi="Times New Roman" w:eastAsia="方正小标宋简体" w:cs="Times New Roman"/>
          <w:color w:val="auto"/>
          <w:sz w:val="72"/>
          <w:szCs w:val="72"/>
        </w:rPr>
      </w:pPr>
    </w:p>
    <w:p w14:paraId="538A2D71">
      <w:pPr>
        <w:pStyle w:val="15"/>
        <w:jc w:val="center"/>
        <w:rPr>
          <w:rFonts w:hint="default" w:ascii="Times New Roman" w:hAnsi="Times New Roman" w:eastAsia="方正小标宋简体" w:cs="Times New Roman"/>
          <w:color w:val="auto"/>
          <w:sz w:val="72"/>
          <w:szCs w:val="72"/>
        </w:rPr>
      </w:pPr>
      <w:r>
        <w:rPr>
          <w:rFonts w:hint="default" w:ascii="Times New Roman" w:hAnsi="Times New Roman" w:eastAsia="方正小标宋简体" w:cs="Times New Roman"/>
          <w:color w:val="auto"/>
          <w:sz w:val="72"/>
          <w:szCs w:val="72"/>
        </w:rPr>
        <w:t>第一部分</w:t>
      </w:r>
    </w:p>
    <w:p w14:paraId="03D9B48B">
      <w:pPr>
        <w:pStyle w:val="15"/>
        <w:jc w:val="center"/>
        <w:rPr>
          <w:rFonts w:hint="default" w:ascii="Times New Roman" w:hAnsi="Times New Roman" w:eastAsia="方正小标宋简体" w:cs="Times New Roman"/>
          <w:color w:val="auto"/>
          <w:sz w:val="72"/>
          <w:szCs w:val="72"/>
        </w:rPr>
      </w:pPr>
      <w:r>
        <w:rPr>
          <w:rFonts w:hint="default" w:ascii="Times New Roman" w:hAnsi="Times New Roman" w:eastAsia="方正小标宋简体" w:cs="Times New Roman"/>
          <w:color w:val="auto"/>
          <w:sz w:val="72"/>
          <w:szCs w:val="72"/>
        </w:rPr>
        <w:t>怀化市无线电监测站</w:t>
      </w:r>
    </w:p>
    <w:p w14:paraId="16F0BB00">
      <w:pPr>
        <w:pStyle w:val="15"/>
        <w:ind w:firstLine="3600" w:firstLineChars="500"/>
        <w:jc w:val="both"/>
        <w:rPr>
          <w:rFonts w:hint="default" w:ascii="Times New Roman" w:hAnsi="Times New Roman" w:eastAsia="方正小标宋简体" w:cs="Times New Roman"/>
          <w:color w:val="auto"/>
          <w:sz w:val="72"/>
          <w:szCs w:val="72"/>
        </w:rPr>
      </w:pPr>
      <w:r>
        <w:rPr>
          <w:rFonts w:hint="default" w:ascii="Times New Roman" w:hAnsi="Times New Roman" w:eastAsia="方正小标宋简体" w:cs="Times New Roman"/>
          <w:color w:val="auto"/>
          <w:sz w:val="72"/>
          <w:szCs w:val="72"/>
        </w:rPr>
        <w:t>概况</w:t>
      </w:r>
    </w:p>
    <w:p w14:paraId="413E9035">
      <w:pPr>
        <w:pStyle w:val="7"/>
        <w:ind w:left="0" w:leftChars="0" w:firstLine="0" w:firstLineChars="0"/>
        <w:rPr>
          <w:rFonts w:hint="default" w:ascii="Times New Roman" w:hAnsi="Times New Roman" w:cs="Times New Roman"/>
          <w:color w:val="auto"/>
        </w:rPr>
      </w:pPr>
    </w:p>
    <w:p w14:paraId="3F3674D2">
      <w:pPr>
        <w:pStyle w:val="16"/>
        <w:spacing w:line="600" w:lineRule="exact"/>
        <w:ind w:firstLine="0" w:firstLineChars="0"/>
        <w:jc w:val="left"/>
        <w:rPr>
          <w:rFonts w:hint="default" w:ascii="Times New Roman" w:hAnsi="Times New Roman" w:eastAsia="黑体" w:cs="Times New Roman"/>
          <w:color w:val="auto"/>
          <w:sz w:val="32"/>
          <w:szCs w:val="32"/>
        </w:rPr>
      </w:pPr>
    </w:p>
    <w:p w14:paraId="49B26305">
      <w:pPr>
        <w:pStyle w:val="16"/>
        <w:spacing w:line="600" w:lineRule="exact"/>
        <w:ind w:firstLine="0" w:firstLineChars="0"/>
        <w:jc w:val="left"/>
        <w:rPr>
          <w:rFonts w:hint="default" w:ascii="Times New Roman" w:hAnsi="Times New Roman" w:eastAsia="黑体" w:cs="Times New Roman"/>
          <w:color w:val="auto"/>
          <w:sz w:val="32"/>
          <w:szCs w:val="32"/>
        </w:rPr>
      </w:pPr>
    </w:p>
    <w:p w14:paraId="2D677569">
      <w:pPr>
        <w:pStyle w:val="16"/>
        <w:spacing w:line="600" w:lineRule="exact"/>
        <w:ind w:firstLine="0" w:firstLineChars="0"/>
        <w:jc w:val="left"/>
        <w:rPr>
          <w:rFonts w:hint="default" w:ascii="Times New Roman" w:hAnsi="Times New Roman" w:eastAsia="黑体" w:cs="Times New Roman"/>
          <w:color w:val="auto"/>
          <w:sz w:val="32"/>
          <w:szCs w:val="32"/>
        </w:rPr>
      </w:pPr>
    </w:p>
    <w:p w14:paraId="5B663D13">
      <w:pPr>
        <w:pStyle w:val="16"/>
        <w:spacing w:line="600" w:lineRule="exact"/>
        <w:ind w:firstLine="0" w:firstLineChars="0"/>
        <w:jc w:val="left"/>
        <w:rPr>
          <w:rFonts w:hint="default" w:ascii="Times New Roman" w:hAnsi="Times New Roman" w:eastAsia="黑体" w:cs="Times New Roman"/>
          <w:color w:val="auto"/>
          <w:sz w:val="32"/>
          <w:szCs w:val="32"/>
        </w:rPr>
      </w:pPr>
    </w:p>
    <w:p w14:paraId="6733B0E8">
      <w:pPr>
        <w:pStyle w:val="16"/>
        <w:spacing w:line="600" w:lineRule="exact"/>
        <w:ind w:firstLine="0" w:firstLineChars="0"/>
        <w:jc w:val="left"/>
        <w:rPr>
          <w:rFonts w:hint="default" w:ascii="Times New Roman" w:hAnsi="Times New Roman" w:eastAsia="黑体" w:cs="Times New Roman"/>
          <w:color w:val="auto"/>
          <w:sz w:val="32"/>
          <w:szCs w:val="32"/>
        </w:rPr>
      </w:pPr>
    </w:p>
    <w:p w14:paraId="3BC989E4">
      <w:pPr>
        <w:pStyle w:val="16"/>
        <w:spacing w:line="600" w:lineRule="exact"/>
        <w:ind w:firstLine="0" w:firstLineChars="0"/>
        <w:jc w:val="left"/>
        <w:rPr>
          <w:rFonts w:hint="default" w:ascii="Times New Roman" w:hAnsi="Times New Roman" w:eastAsia="黑体" w:cs="Times New Roman"/>
          <w:color w:val="auto"/>
          <w:sz w:val="32"/>
          <w:szCs w:val="32"/>
        </w:rPr>
      </w:pPr>
    </w:p>
    <w:p w14:paraId="2EA84167">
      <w:pPr>
        <w:pStyle w:val="16"/>
        <w:spacing w:line="600" w:lineRule="exact"/>
        <w:ind w:firstLine="0" w:firstLineChars="0"/>
        <w:jc w:val="left"/>
        <w:rPr>
          <w:rFonts w:hint="default" w:ascii="Times New Roman" w:hAnsi="Times New Roman" w:eastAsia="黑体" w:cs="Times New Roman"/>
          <w:color w:val="auto"/>
          <w:sz w:val="32"/>
          <w:szCs w:val="32"/>
        </w:rPr>
      </w:pPr>
    </w:p>
    <w:p w14:paraId="5B27E3A1">
      <w:pPr>
        <w:pStyle w:val="16"/>
        <w:spacing w:line="600" w:lineRule="exact"/>
        <w:ind w:firstLine="0" w:firstLineChars="0"/>
        <w:jc w:val="left"/>
        <w:rPr>
          <w:rFonts w:hint="default" w:ascii="Times New Roman" w:hAnsi="Times New Roman" w:eastAsia="黑体" w:cs="Times New Roman"/>
          <w:color w:val="auto"/>
          <w:sz w:val="32"/>
          <w:szCs w:val="32"/>
        </w:rPr>
      </w:pPr>
    </w:p>
    <w:p w14:paraId="13280DFD">
      <w:pPr>
        <w:pStyle w:val="16"/>
        <w:spacing w:line="600" w:lineRule="exact"/>
        <w:ind w:firstLine="0" w:firstLineChars="0"/>
        <w:jc w:val="left"/>
        <w:rPr>
          <w:rFonts w:hint="default" w:ascii="Times New Roman" w:hAnsi="Times New Roman" w:eastAsia="黑体" w:cs="Times New Roman"/>
          <w:color w:val="auto"/>
          <w:sz w:val="32"/>
          <w:szCs w:val="32"/>
        </w:rPr>
      </w:pPr>
    </w:p>
    <w:p w14:paraId="0F9012B7">
      <w:pPr>
        <w:pStyle w:val="16"/>
        <w:spacing w:line="600" w:lineRule="exact"/>
        <w:ind w:firstLine="0" w:firstLineChars="0"/>
        <w:jc w:val="left"/>
        <w:rPr>
          <w:rFonts w:hint="default" w:ascii="Times New Roman" w:hAnsi="Times New Roman" w:eastAsia="黑体" w:cs="Times New Roman"/>
          <w:color w:val="auto"/>
          <w:sz w:val="32"/>
          <w:szCs w:val="32"/>
        </w:rPr>
      </w:pPr>
    </w:p>
    <w:p w14:paraId="07CEA09A">
      <w:pPr>
        <w:pStyle w:val="16"/>
        <w:spacing w:line="600" w:lineRule="exact"/>
        <w:ind w:firstLine="0" w:firstLineChars="0"/>
        <w:jc w:val="left"/>
        <w:rPr>
          <w:rFonts w:hint="default" w:ascii="Times New Roman" w:hAnsi="Times New Roman" w:eastAsia="黑体" w:cs="Times New Roman"/>
          <w:color w:val="auto"/>
          <w:sz w:val="32"/>
          <w:szCs w:val="32"/>
        </w:rPr>
      </w:pPr>
    </w:p>
    <w:p w14:paraId="103F637F">
      <w:pPr>
        <w:pStyle w:val="16"/>
        <w:keepNext w:val="0"/>
        <w:keepLines w:val="0"/>
        <w:pageBreakBefore w:val="0"/>
        <w:kinsoku/>
        <w:wordWrap/>
        <w:overflowPunct/>
        <w:topLinePunct w:val="0"/>
        <w:autoSpaceDE/>
        <w:autoSpaceDN/>
        <w:bidi w:val="0"/>
        <w:adjustRightInd/>
        <w:spacing w:line="640" w:lineRule="exact"/>
        <w:ind w:firstLine="640" w:firstLineChars="200"/>
        <w:jc w:val="left"/>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一、部门职责</w:t>
      </w:r>
    </w:p>
    <w:p w14:paraId="09CB52D1">
      <w:pPr>
        <w:keepNext w:val="0"/>
        <w:keepLines w:val="0"/>
        <w:pageBreakBefore w:val="0"/>
        <w:widowControl/>
        <w:kinsoku/>
        <w:wordWrap/>
        <w:overflowPunct/>
        <w:topLinePunct w:val="0"/>
        <w:autoSpaceDE/>
        <w:autoSpaceDN/>
        <w:bidi w:val="0"/>
        <w:adjustRightInd/>
        <w:spacing w:line="640" w:lineRule="exact"/>
        <w:ind w:firstLine="640" w:firstLineChars="200"/>
        <w:textAlignment w:val="auto"/>
        <w:rPr>
          <w:rFonts w:hint="default" w:ascii="Times New Roman" w:hAnsi="Times New Roman" w:eastAsia="仿宋_GB2312" w:cs="Times New Roman"/>
          <w:bCs/>
          <w:color w:val="auto"/>
          <w:kern w:val="0"/>
          <w:sz w:val="32"/>
          <w:szCs w:val="32"/>
        </w:rPr>
      </w:pPr>
      <w:r>
        <w:rPr>
          <w:rFonts w:hint="default" w:ascii="Times New Roman" w:hAnsi="Times New Roman" w:eastAsia="仿宋_GB2312" w:cs="Times New Roman"/>
          <w:bCs/>
          <w:color w:val="auto"/>
          <w:kern w:val="0"/>
          <w:sz w:val="32"/>
          <w:szCs w:val="32"/>
        </w:rPr>
        <w:t>负责无线电监测、干扰查处和涉外无线电管理等工作，协调处理无线电管理相关事宜。</w:t>
      </w:r>
    </w:p>
    <w:p w14:paraId="74AE7250">
      <w:pPr>
        <w:keepNext w:val="0"/>
        <w:keepLines w:val="0"/>
        <w:pageBreakBefore w:val="0"/>
        <w:widowControl/>
        <w:kinsoku/>
        <w:wordWrap/>
        <w:overflowPunct/>
        <w:topLinePunct w:val="0"/>
        <w:autoSpaceDE/>
        <w:autoSpaceDN/>
        <w:bidi w:val="0"/>
        <w:adjustRightInd/>
        <w:spacing w:line="640" w:lineRule="exact"/>
        <w:ind w:firstLine="640" w:firstLineChars="200"/>
        <w:textAlignment w:val="auto"/>
        <w:rPr>
          <w:rFonts w:hint="default" w:ascii="Times New Roman" w:hAnsi="Times New Roman" w:eastAsia="黑体" w:cs="Times New Roman"/>
          <w:bCs/>
          <w:color w:val="auto"/>
          <w:kern w:val="0"/>
          <w:sz w:val="32"/>
          <w:szCs w:val="32"/>
        </w:rPr>
      </w:pPr>
      <w:r>
        <w:rPr>
          <w:rFonts w:hint="default" w:ascii="Times New Roman" w:hAnsi="Times New Roman" w:eastAsia="黑体" w:cs="Times New Roman"/>
          <w:bCs/>
          <w:color w:val="auto"/>
          <w:kern w:val="0"/>
          <w:sz w:val="32"/>
          <w:szCs w:val="32"/>
        </w:rPr>
        <w:t>二、机构设置及决算单位构成</w:t>
      </w:r>
    </w:p>
    <w:p w14:paraId="148C55AF">
      <w:pPr>
        <w:keepNext w:val="0"/>
        <w:keepLines w:val="0"/>
        <w:pageBreakBefore w:val="0"/>
        <w:widowControl/>
        <w:kinsoku/>
        <w:wordWrap/>
        <w:overflowPunct/>
        <w:topLinePunct w:val="0"/>
        <w:autoSpaceDE/>
        <w:autoSpaceDN/>
        <w:bidi w:val="0"/>
        <w:adjustRightInd/>
        <w:spacing w:line="640" w:lineRule="exact"/>
        <w:ind w:firstLine="643" w:firstLineChars="200"/>
        <w:textAlignment w:val="auto"/>
        <w:rPr>
          <w:rFonts w:hint="eastAsia" w:ascii="楷体_GB2312" w:hAnsi="楷体_GB2312" w:eastAsia="楷体_GB2312" w:cs="楷体_GB2312"/>
          <w:b/>
          <w:bCs w:val="0"/>
          <w:color w:val="auto"/>
          <w:kern w:val="0"/>
          <w:sz w:val="32"/>
          <w:szCs w:val="32"/>
        </w:rPr>
      </w:pPr>
      <w:r>
        <w:rPr>
          <w:rFonts w:hint="eastAsia" w:ascii="楷体_GB2312" w:hAnsi="楷体_GB2312" w:eastAsia="楷体_GB2312" w:cs="楷体_GB2312"/>
          <w:b/>
          <w:bCs w:val="0"/>
          <w:color w:val="auto"/>
          <w:kern w:val="0"/>
          <w:sz w:val="32"/>
          <w:szCs w:val="32"/>
        </w:rPr>
        <w:t>（一）内设机构设置。</w:t>
      </w:r>
    </w:p>
    <w:p w14:paraId="57AAEDC8">
      <w:pPr>
        <w:pStyle w:val="6"/>
        <w:keepNext w:val="0"/>
        <w:keepLines w:val="0"/>
        <w:pageBreakBefore w:val="0"/>
        <w:kinsoku/>
        <w:wordWrap/>
        <w:overflowPunct/>
        <w:topLinePunct w:val="0"/>
        <w:autoSpaceDE/>
        <w:autoSpaceDN/>
        <w:bidi w:val="0"/>
        <w:adjustRightInd/>
        <w:spacing w:line="640" w:lineRule="exact"/>
        <w:ind w:firstLine="640" w:firstLineChars="200"/>
        <w:textAlignment w:val="auto"/>
        <w:rPr>
          <w:rFonts w:hint="default" w:ascii="Times New Roman" w:hAnsi="Times New Roman" w:eastAsia="仿宋_GB2312" w:cs="Times New Roman"/>
          <w:bCs/>
          <w:color w:val="auto"/>
          <w:kern w:val="0"/>
          <w:sz w:val="32"/>
          <w:szCs w:val="32"/>
        </w:rPr>
      </w:pPr>
      <w:r>
        <w:rPr>
          <w:rFonts w:hint="default" w:ascii="Times New Roman" w:hAnsi="Times New Roman" w:eastAsia="仿宋_GB2312" w:cs="Times New Roman"/>
          <w:bCs/>
          <w:color w:val="auto"/>
          <w:kern w:val="0"/>
          <w:sz w:val="32"/>
          <w:szCs w:val="32"/>
        </w:rPr>
        <w:t>怀化市无线电监测站为二级预算单位。怀化市无线电监测站属怀化市工业和信息化局内设二级机构，无内设科室。</w:t>
      </w:r>
    </w:p>
    <w:p w14:paraId="781587FF">
      <w:pPr>
        <w:pStyle w:val="6"/>
        <w:keepNext w:val="0"/>
        <w:keepLines w:val="0"/>
        <w:pageBreakBefore w:val="0"/>
        <w:kinsoku/>
        <w:wordWrap/>
        <w:overflowPunct/>
        <w:topLinePunct w:val="0"/>
        <w:autoSpaceDE/>
        <w:autoSpaceDN/>
        <w:bidi w:val="0"/>
        <w:adjustRightInd/>
        <w:spacing w:line="640" w:lineRule="exact"/>
        <w:ind w:firstLine="640" w:firstLineChars="200"/>
        <w:textAlignment w:val="auto"/>
        <w:rPr>
          <w:rFonts w:hint="default" w:ascii="Times New Roman" w:hAnsi="Times New Roman" w:cs="Times New Roman"/>
          <w:color w:val="auto"/>
        </w:rPr>
      </w:pPr>
      <w:r>
        <w:rPr>
          <w:rFonts w:hint="default" w:ascii="Times New Roman" w:hAnsi="Times New Roman" w:eastAsia="仿宋_GB2312" w:cs="Times New Roman"/>
          <w:bCs/>
          <w:color w:val="auto"/>
          <w:kern w:val="0"/>
          <w:sz w:val="32"/>
          <w:szCs w:val="32"/>
        </w:rPr>
        <w:t>怀化市无线电监测站2024年年末编制内实有人数15人。</w:t>
      </w:r>
      <w:r>
        <w:rPr>
          <w:rFonts w:hint="eastAsia" w:ascii="Times New Roman" w:hAnsi="Times New Roman" w:eastAsia="仿宋_GB2312" w:cs="Times New Roman"/>
          <w:bCs/>
          <w:color w:val="auto"/>
          <w:kern w:val="0"/>
          <w:sz w:val="32"/>
          <w:szCs w:val="32"/>
          <w:lang w:val="en-US" w:eastAsia="zh-CN"/>
        </w:rPr>
        <w:t>实有</w:t>
      </w:r>
      <w:r>
        <w:rPr>
          <w:rFonts w:hint="default" w:ascii="Times New Roman" w:hAnsi="Times New Roman" w:eastAsia="仿宋_GB2312" w:cs="Times New Roman"/>
          <w:bCs/>
          <w:color w:val="auto"/>
          <w:kern w:val="0"/>
          <w:sz w:val="32"/>
          <w:szCs w:val="32"/>
        </w:rPr>
        <w:t>在职人员15人，退休人员10人。</w:t>
      </w:r>
    </w:p>
    <w:p w14:paraId="37177572">
      <w:pPr>
        <w:keepNext w:val="0"/>
        <w:keepLines w:val="0"/>
        <w:pageBreakBefore w:val="0"/>
        <w:widowControl/>
        <w:kinsoku/>
        <w:wordWrap/>
        <w:overflowPunct/>
        <w:topLinePunct w:val="0"/>
        <w:autoSpaceDE/>
        <w:autoSpaceDN/>
        <w:bidi w:val="0"/>
        <w:adjustRightInd/>
        <w:spacing w:line="640" w:lineRule="exact"/>
        <w:ind w:firstLine="643" w:firstLineChars="200"/>
        <w:textAlignment w:val="auto"/>
        <w:rPr>
          <w:rFonts w:hint="default" w:ascii="楷体_GB2312" w:hAnsi="楷体_GB2312" w:eastAsia="楷体_GB2312" w:cs="楷体_GB2312"/>
          <w:b/>
          <w:bCs w:val="0"/>
          <w:color w:val="auto"/>
          <w:kern w:val="0"/>
          <w:sz w:val="32"/>
          <w:szCs w:val="32"/>
        </w:rPr>
      </w:pPr>
      <w:r>
        <w:rPr>
          <w:rFonts w:hint="eastAsia" w:ascii="楷体_GB2312" w:hAnsi="楷体_GB2312" w:eastAsia="楷体_GB2312" w:cs="楷体_GB2312"/>
          <w:b/>
          <w:bCs w:val="0"/>
          <w:color w:val="auto"/>
          <w:kern w:val="0"/>
          <w:sz w:val="32"/>
          <w:szCs w:val="32"/>
          <w:lang w:val="en-US" w:eastAsia="zh-CN"/>
        </w:rPr>
        <w:t>（二）</w:t>
      </w:r>
      <w:r>
        <w:rPr>
          <w:rFonts w:hint="default" w:ascii="楷体_GB2312" w:hAnsi="楷体_GB2312" w:eastAsia="楷体_GB2312" w:cs="楷体_GB2312"/>
          <w:b/>
          <w:bCs w:val="0"/>
          <w:color w:val="auto"/>
          <w:kern w:val="0"/>
          <w:sz w:val="32"/>
          <w:szCs w:val="32"/>
        </w:rPr>
        <w:t>决算单位构成。</w:t>
      </w:r>
    </w:p>
    <w:p w14:paraId="04D148C0">
      <w:pPr>
        <w:keepNext w:val="0"/>
        <w:keepLines w:val="0"/>
        <w:pageBreakBefore w:val="0"/>
        <w:widowControl/>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方正小标宋_GBK" w:cs="Times New Roman"/>
          <w:color w:val="auto"/>
          <w:sz w:val="84"/>
          <w:szCs w:val="84"/>
        </w:rPr>
      </w:pPr>
      <w:r>
        <w:rPr>
          <w:rFonts w:hint="default" w:ascii="Times New Roman" w:hAnsi="Times New Roman" w:eastAsia="仿宋_GB2312" w:cs="Times New Roman"/>
          <w:bCs/>
          <w:color w:val="auto"/>
          <w:kern w:val="0"/>
          <w:sz w:val="32"/>
          <w:szCs w:val="32"/>
        </w:rPr>
        <w:t>怀化市无线电监测站2024年部门决算汇总公开单位构成包括：怀化市无线电监测站本级。</w:t>
      </w:r>
    </w:p>
    <w:p w14:paraId="64034782">
      <w:pPr>
        <w:keepNext w:val="0"/>
        <w:keepLines w:val="0"/>
        <w:pageBreakBefore w:val="0"/>
        <w:widowControl/>
        <w:kinsoku/>
        <w:wordWrap/>
        <w:overflowPunct/>
        <w:topLinePunct w:val="0"/>
        <w:autoSpaceDE/>
        <w:autoSpaceDN/>
        <w:bidi w:val="0"/>
        <w:adjustRightInd/>
        <w:spacing w:line="640" w:lineRule="exact"/>
        <w:ind w:firstLine="640" w:firstLineChars="200"/>
        <w:textAlignment w:val="auto"/>
        <w:rPr>
          <w:rFonts w:hint="default" w:ascii="Times New Roman" w:hAnsi="Times New Roman" w:eastAsia="仿宋_GB2312" w:cs="Times New Roman"/>
          <w:bCs/>
          <w:color w:val="auto"/>
          <w:kern w:val="0"/>
          <w:sz w:val="32"/>
          <w:szCs w:val="32"/>
        </w:rPr>
      </w:pPr>
    </w:p>
    <w:p w14:paraId="6175BE6C">
      <w:pPr>
        <w:keepNext w:val="0"/>
        <w:keepLines w:val="0"/>
        <w:pageBreakBefore w:val="0"/>
        <w:kinsoku/>
        <w:wordWrap/>
        <w:overflowPunct/>
        <w:topLinePunct w:val="0"/>
        <w:autoSpaceDE/>
        <w:autoSpaceDN/>
        <w:bidi w:val="0"/>
        <w:adjustRightInd/>
        <w:spacing w:line="640" w:lineRule="exact"/>
        <w:ind w:firstLine="560" w:firstLineChars="200"/>
        <w:jc w:val="left"/>
        <w:textAlignment w:val="auto"/>
        <w:rPr>
          <w:rFonts w:hint="default" w:ascii="Times New Roman" w:hAnsi="Times New Roman" w:eastAsia="仿宋_GB2312" w:cs="Times New Roman"/>
          <w:color w:val="auto"/>
          <w:sz w:val="28"/>
          <w:szCs w:val="32"/>
        </w:rPr>
      </w:pPr>
    </w:p>
    <w:p w14:paraId="20400238">
      <w:pPr>
        <w:pStyle w:val="6"/>
        <w:keepNext w:val="0"/>
        <w:keepLines w:val="0"/>
        <w:pageBreakBefore w:val="0"/>
        <w:kinsoku/>
        <w:wordWrap/>
        <w:overflowPunct/>
        <w:topLinePunct w:val="0"/>
        <w:autoSpaceDE/>
        <w:autoSpaceDN/>
        <w:bidi w:val="0"/>
        <w:adjustRightInd/>
        <w:spacing w:line="640" w:lineRule="exact"/>
        <w:ind w:firstLine="1440" w:firstLineChars="200"/>
        <w:textAlignment w:val="auto"/>
        <w:rPr>
          <w:rFonts w:hint="default" w:ascii="Times New Roman" w:hAnsi="Times New Roman" w:eastAsia="方正小标宋简体" w:cs="Times New Roman"/>
          <w:color w:val="auto"/>
          <w:sz w:val="72"/>
          <w:szCs w:val="72"/>
        </w:rPr>
        <w:sectPr>
          <w:footerReference r:id="rId6" w:type="default"/>
          <w:pgSz w:w="11906" w:h="16838"/>
          <w:pgMar w:top="1417" w:right="1588" w:bottom="1417" w:left="1588" w:header="851" w:footer="992" w:gutter="0"/>
          <w:pgNumType w:fmt="numberInDash" w:start="4"/>
          <w:cols w:space="425" w:num="1"/>
          <w:docGrid w:type="lines" w:linePitch="312" w:charSpace="0"/>
        </w:sectPr>
      </w:pPr>
    </w:p>
    <w:p w14:paraId="5A1E744A">
      <w:pPr>
        <w:pStyle w:val="15"/>
        <w:spacing w:line="360" w:lineRule="auto"/>
        <w:ind w:firstLine="2080" w:firstLineChars="400"/>
        <w:jc w:val="both"/>
        <w:rPr>
          <w:rFonts w:hint="default" w:ascii="Times New Roman" w:hAnsi="Times New Roman" w:eastAsia="方正小标宋_GBK" w:cs="Times New Roman"/>
          <w:color w:val="auto"/>
          <w:sz w:val="52"/>
          <w:szCs w:val="52"/>
        </w:rPr>
      </w:pPr>
    </w:p>
    <w:p w14:paraId="231BCAFB">
      <w:pPr>
        <w:pStyle w:val="15"/>
        <w:spacing w:line="360" w:lineRule="auto"/>
        <w:ind w:firstLine="2080" w:firstLineChars="400"/>
        <w:jc w:val="both"/>
        <w:rPr>
          <w:rFonts w:hint="default" w:ascii="Times New Roman" w:hAnsi="Times New Roman" w:eastAsia="方正小标宋_GBK" w:cs="Times New Roman"/>
          <w:color w:val="auto"/>
          <w:sz w:val="52"/>
          <w:szCs w:val="52"/>
        </w:rPr>
      </w:pPr>
    </w:p>
    <w:p w14:paraId="7BB1E9F2">
      <w:pPr>
        <w:pStyle w:val="15"/>
        <w:jc w:val="center"/>
        <w:rPr>
          <w:rFonts w:hint="default" w:ascii="Times New Roman" w:hAnsi="Times New Roman" w:eastAsia="方正小标宋简体" w:cs="Times New Roman"/>
          <w:color w:val="auto"/>
          <w:sz w:val="72"/>
          <w:szCs w:val="72"/>
        </w:rPr>
      </w:pPr>
    </w:p>
    <w:p w14:paraId="2813E027">
      <w:pPr>
        <w:pStyle w:val="15"/>
        <w:jc w:val="center"/>
        <w:rPr>
          <w:rFonts w:hint="default" w:ascii="Times New Roman" w:hAnsi="Times New Roman" w:eastAsia="方正小标宋简体" w:cs="Times New Roman"/>
          <w:color w:val="auto"/>
          <w:sz w:val="72"/>
          <w:szCs w:val="72"/>
        </w:rPr>
      </w:pPr>
      <w:r>
        <w:rPr>
          <w:rFonts w:hint="default" w:ascii="Times New Roman" w:hAnsi="Times New Roman" w:eastAsia="方正小标宋简体" w:cs="Times New Roman"/>
          <w:color w:val="auto"/>
          <w:sz w:val="72"/>
          <w:szCs w:val="72"/>
        </w:rPr>
        <w:t>第二部分</w:t>
      </w:r>
    </w:p>
    <w:p w14:paraId="0FA7C056">
      <w:pPr>
        <w:pStyle w:val="15"/>
        <w:jc w:val="center"/>
        <w:rPr>
          <w:rFonts w:hint="default" w:ascii="Times New Roman" w:hAnsi="Times New Roman" w:eastAsia="方正小标宋简体" w:cs="Times New Roman"/>
          <w:color w:val="auto"/>
          <w:sz w:val="72"/>
          <w:szCs w:val="72"/>
        </w:rPr>
      </w:pPr>
      <w:r>
        <w:rPr>
          <w:rFonts w:hint="default" w:ascii="Times New Roman" w:hAnsi="Times New Roman" w:eastAsia="方正小标宋简体" w:cs="Times New Roman"/>
          <w:color w:val="auto"/>
          <w:sz w:val="72"/>
          <w:szCs w:val="72"/>
        </w:rPr>
        <w:t>部门决算表</w:t>
      </w:r>
    </w:p>
    <w:p w14:paraId="06C25C7E">
      <w:pPr>
        <w:pStyle w:val="15"/>
        <w:keepNext w:val="0"/>
        <w:keepLines w:val="0"/>
        <w:pageBreakBefore w:val="0"/>
        <w:shd w:val="clear"/>
        <w:kinsoku/>
        <w:wordWrap/>
        <w:topLinePunct w:val="0"/>
        <w:bidi w:val="0"/>
        <w:spacing w:line="600" w:lineRule="exact"/>
        <w:ind w:firstLine="1040" w:firstLineChars="200"/>
        <w:jc w:val="both"/>
        <w:textAlignment w:val="auto"/>
        <w:rPr>
          <w:rFonts w:hint="default" w:ascii="Times New Roman" w:hAnsi="Times New Roman" w:eastAsia="方正小标宋_GBK" w:cs="Times New Roman"/>
          <w:color w:val="auto"/>
          <w:sz w:val="52"/>
          <w:szCs w:val="52"/>
        </w:rPr>
      </w:pPr>
    </w:p>
    <w:p w14:paraId="24E89A12">
      <w:pPr>
        <w:pStyle w:val="15"/>
        <w:keepNext w:val="0"/>
        <w:keepLines w:val="0"/>
        <w:pageBreakBefore w:val="0"/>
        <w:shd w:val="clear"/>
        <w:kinsoku/>
        <w:wordWrap/>
        <w:topLinePunct w:val="0"/>
        <w:bidi w:val="0"/>
        <w:spacing w:line="600" w:lineRule="exact"/>
        <w:ind w:firstLine="1040" w:firstLineChars="200"/>
        <w:jc w:val="both"/>
        <w:textAlignment w:val="auto"/>
        <w:rPr>
          <w:rFonts w:hint="default" w:ascii="Times New Roman" w:hAnsi="Times New Roman" w:eastAsia="方正小标宋_GBK" w:cs="Times New Roman"/>
          <w:color w:val="auto"/>
          <w:sz w:val="52"/>
          <w:szCs w:val="52"/>
        </w:rPr>
      </w:pPr>
    </w:p>
    <w:p w14:paraId="26FFA0E3">
      <w:pPr>
        <w:pStyle w:val="15"/>
        <w:keepNext w:val="0"/>
        <w:keepLines w:val="0"/>
        <w:pageBreakBefore w:val="0"/>
        <w:shd w:val="clear"/>
        <w:kinsoku/>
        <w:wordWrap/>
        <w:topLinePunct w:val="0"/>
        <w:bidi w:val="0"/>
        <w:spacing w:line="600" w:lineRule="exact"/>
        <w:ind w:firstLine="1040" w:firstLineChars="200"/>
        <w:jc w:val="both"/>
        <w:textAlignment w:val="auto"/>
        <w:rPr>
          <w:rFonts w:hint="default" w:ascii="Times New Roman" w:hAnsi="Times New Roman" w:eastAsia="方正小标宋_GBK" w:cs="Times New Roman"/>
          <w:color w:val="auto"/>
          <w:sz w:val="52"/>
          <w:szCs w:val="52"/>
        </w:rPr>
      </w:pPr>
    </w:p>
    <w:p w14:paraId="566F6F4B">
      <w:pPr>
        <w:pStyle w:val="15"/>
        <w:keepNext w:val="0"/>
        <w:keepLines w:val="0"/>
        <w:pageBreakBefore w:val="0"/>
        <w:shd w:val="clear"/>
        <w:kinsoku/>
        <w:wordWrap/>
        <w:topLinePunct w:val="0"/>
        <w:bidi w:val="0"/>
        <w:spacing w:line="600" w:lineRule="exact"/>
        <w:jc w:val="center"/>
        <w:textAlignment w:val="auto"/>
        <w:rPr>
          <w:rFonts w:hint="default" w:ascii="Times New Roman" w:hAnsi="Times New Roman" w:eastAsia="方正小标宋_GBK" w:cs="Times New Roman"/>
          <w:color w:val="auto"/>
          <w:sz w:val="52"/>
          <w:szCs w:val="52"/>
        </w:rPr>
      </w:pPr>
      <w:r>
        <w:rPr>
          <w:rFonts w:hint="default" w:ascii="Times New Roman" w:hAnsi="Times New Roman" w:eastAsia="方正小标宋_GBK" w:cs="Times New Roman"/>
          <w:color w:val="auto"/>
          <w:sz w:val="52"/>
          <w:szCs w:val="52"/>
        </w:rPr>
        <w:t>（公开表格详见附件）</w:t>
      </w:r>
    </w:p>
    <w:p w14:paraId="799CF07D">
      <w:pPr>
        <w:pStyle w:val="15"/>
        <w:keepNext w:val="0"/>
        <w:keepLines w:val="0"/>
        <w:pageBreakBefore w:val="0"/>
        <w:shd w:val="clear"/>
        <w:kinsoku/>
        <w:wordWrap/>
        <w:topLinePunct w:val="0"/>
        <w:bidi w:val="0"/>
        <w:spacing w:line="600" w:lineRule="exact"/>
        <w:ind w:firstLine="1040" w:firstLineChars="200"/>
        <w:jc w:val="both"/>
        <w:textAlignment w:val="auto"/>
        <w:rPr>
          <w:rFonts w:hint="default" w:ascii="Times New Roman" w:hAnsi="Times New Roman" w:eastAsia="方正小标宋_GBK" w:cs="Times New Roman"/>
          <w:color w:val="auto"/>
          <w:sz w:val="52"/>
          <w:szCs w:val="52"/>
        </w:rPr>
      </w:pPr>
    </w:p>
    <w:p w14:paraId="2C658820">
      <w:pPr>
        <w:pStyle w:val="15"/>
        <w:keepNext w:val="0"/>
        <w:keepLines w:val="0"/>
        <w:pageBreakBefore w:val="0"/>
        <w:shd w:val="clear"/>
        <w:kinsoku/>
        <w:wordWrap/>
        <w:topLinePunct w:val="0"/>
        <w:bidi w:val="0"/>
        <w:spacing w:line="600" w:lineRule="exact"/>
        <w:ind w:firstLine="1040" w:firstLineChars="200"/>
        <w:jc w:val="both"/>
        <w:textAlignment w:val="auto"/>
        <w:rPr>
          <w:rFonts w:hint="default" w:ascii="Times New Roman" w:hAnsi="Times New Roman" w:eastAsia="方正小标宋_GBK" w:cs="Times New Roman"/>
          <w:color w:val="auto"/>
          <w:sz w:val="52"/>
          <w:szCs w:val="52"/>
        </w:rPr>
      </w:pPr>
    </w:p>
    <w:p w14:paraId="2378D91E">
      <w:pPr>
        <w:pStyle w:val="15"/>
        <w:keepNext w:val="0"/>
        <w:keepLines w:val="0"/>
        <w:pageBreakBefore w:val="0"/>
        <w:shd w:val="clear"/>
        <w:kinsoku/>
        <w:wordWrap/>
        <w:topLinePunct w:val="0"/>
        <w:bidi w:val="0"/>
        <w:spacing w:line="600" w:lineRule="exact"/>
        <w:ind w:firstLine="1040" w:firstLineChars="200"/>
        <w:jc w:val="both"/>
        <w:textAlignment w:val="auto"/>
        <w:rPr>
          <w:rFonts w:hint="default" w:ascii="Times New Roman" w:hAnsi="Times New Roman" w:eastAsia="方正小标宋_GBK" w:cs="Times New Roman"/>
          <w:color w:val="auto"/>
          <w:sz w:val="52"/>
          <w:szCs w:val="52"/>
        </w:rPr>
      </w:pPr>
    </w:p>
    <w:p w14:paraId="7BF4C653">
      <w:pPr>
        <w:pStyle w:val="15"/>
        <w:keepNext w:val="0"/>
        <w:keepLines w:val="0"/>
        <w:pageBreakBefore w:val="0"/>
        <w:shd w:val="clear"/>
        <w:kinsoku/>
        <w:wordWrap/>
        <w:topLinePunct w:val="0"/>
        <w:bidi w:val="0"/>
        <w:spacing w:line="600" w:lineRule="exact"/>
        <w:ind w:firstLine="1040" w:firstLineChars="200"/>
        <w:jc w:val="both"/>
        <w:textAlignment w:val="auto"/>
        <w:rPr>
          <w:rFonts w:hint="default" w:ascii="Times New Roman" w:hAnsi="Times New Roman" w:eastAsia="方正小标宋_GBK" w:cs="Times New Roman"/>
          <w:color w:val="auto"/>
          <w:sz w:val="52"/>
          <w:szCs w:val="52"/>
        </w:rPr>
      </w:pPr>
    </w:p>
    <w:p w14:paraId="085E9369">
      <w:pPr>
        <w:pStyle w:val="15"/>
        <w:keepNext w:val="0"/>
        <w:keepLines w:val="0"/>
        <w:pageBreakBefore w:val="0"/>
        <w:shd w:val="clear"/>
        <w:kinsoku/>
        <w:wordWrap/>
        <w:topLinePunct w:val="0"/>
        <w:bidi w:val="0"/>
        <w:spacing w:line="600" w:lineRule="exact"/>
        <w:ind w:firstLine="1040" w:firstLineChars="200"/>
        <w:jc w:val="both"/>
        <w:textAlignment w:val="auto"/>
        <w:rPr>
          <w:rFonts w:hint="default" w:ascii="Times New Roman" w:hAnsi="Times New Roman" w:eastAsia="方正小标宋_GBK" w:cs="Times New Roman"/>
          <w:color w:val="auto"/>
          <w:sz w:val="52"/>
          <w:szCs w:val="52"/>
        </w:rPr>
      </w:pPr>
    </w:p>
    <w:p w14:paraId="557DFBF3">
      <w:pPr>
        <w:pStyle w:val="15"/>
        <w:keepNext w:val="0"/>
        <w:keepLines w:val="0"/>
        <w:pageBreakBefore w:val="0"/>
        <w:shd w:val="clear"/>
        <w:kinsoku/>
        <w:wordWrap/>
        <w:topLinePunct w:val="0"/>
        <w:bidi w:val="0"/>
        <w:spacing w:line="600" w:lineRule="exact"/>
        <w:ind w:firstLine="1040" w:firstLineChars="200"/>
        <w:jc w:val="both"/>
        <w:textAlignment w:val="auto"/>
        <w:rPr>
          <w:rFonts w:hint="default" w:ascii="Times New Roman" w:hAnsi="Times New Roman" w:eastAsia="方正小标宋_GBK" w:cs="Times New Roman"/>
          <w:color w:val="auto"/>
          <w:sz w:val="52"/>
          <w:szCs w:val="52"/>
        </w:rPr>
      </w:pPr>
    </w:p>
    <w:p w14:paraId="70A538BC">
      <w:pPr>
        <w:pStyle w:val="15"/>
        <w:keepNext w:val="0"/>
        <w:keepLines w:val="0"/>
        <w:pageBreakBefore w:val="0"/>
        <w:shd w:val="clear"/>
        <w:kinsoku/>
        <w:wordWrap/>
        <w:topLinePunct w:val="0"/>
        <w:bidi w:val="0"/>
        <w:spacing w:line="600" w:lineRule="exact"/>
        <w:ind w:firstLine="1040" w:firstLineChars="200"/>
        <w:jc w:val="both"/>
        <w:textAlignment w:val="auto"/>
        <w:rPr>
          <w:rFonts w:hint="default" w:ascii="Times New Roman" w:hAnsi="Times New Roman" w:eastAsia="方正小标宋_GBK" w:cs="Times New Roman"/>
          <w:color w:val="auto"/>
          <w:sz w:val="52"/>
          <w:szCs w:val="52"/>
        </w:rPr>
      </w:pPr>
    </w:p>
    <w:p w14:paraId="61DCBAC3">
      <w:pPr>
        <w:pStyle w:val="15"/>
        <w:keepNext w:val="0"/>
        <w:keepLines w:val="0"/>
        <w:pageBreakBefore w:val="0"/>
        <w:shd w:val="clear"/>
        <w:kinsoku/>
        <w:wordWrap/>
        <w:topLinePunct w:val="0"/>
        <w:bidi w:val="0"/>
        <w:spacing w:line="600" w:lineRule="exact"/>
        <w:ind w:firstLine="1040" w:firstLineChars="200"/>
        <w:jc w:val="both"/>
        <w:textAlignment w:val="auto"/>
        <w:rPr>
          <w:rFonts w:hint="default" w:ascii="Times New Roman" w:hAnsi="Times New Roman" w:eastAsia="方正小标宋_GBK" w:cs="Times New Roman"/>
          <w:color w:val="auto"/>
          <w:sz w:val="52"/>
          <w:szCs w:val="52"/>
        </w:rPr>
      </w:pPr>
    </w:p>
    <w:p w14:paraId="4C342912">
      <w:pPr>
        <w:pStyle w:val="15"/>
        <w:keepNext w:val="0"/>
        <w:keepLines w:val="0"/>
        <w:pageBreakBefore w:val="0"/>
        <w:shd w:val="clear"/>
        <w:kinsoku/>
        <w:wordWrap/>
        <w:topLinePunct w:val="0"/>
        <w:bidi w:val="0"/>
        <w:spacing w:line="600" w:lineRule="exact"/>
        <w:ind w:firstLine="1040" w:firstLineChars="200"/>
        <w:jc w:val="both"/>
        <w:textAlignment w:val="auto"/>
        <w:rPr>
          <w:rFonts w:hint="default" w:ascii="Times New Roman" w:hAnsi="Times New Roman" w:eastAsia="方正小标宋_GBK" w:cs="Times New Roman"/>
          <w:color w:val="auto"/>
          <w:sz w:val="52"/>
          <w:szCs w:val="52"/>
        </w:rPr>
      </w:pPr>
    </w:p>
    <w:p w14:paraId="47D4F523">
      <w:pPr>
        <w:pStyle w:val="15"/>
        <w:keepNext w:val="0"/>
        <w:keepLines w:val="0"/>
        <w:pageBreakBefore w:val="0"/>
        <w:shd w:val="clear"/>
        <w:kinsoku/>
        <w:wordWrap/>
        <w:topLinePunct w:val="0"/>
        <w:bidi w:val="0"/>
        <w:spacing w:line="600" w:lineRule="exact"/>
        <w:ind w:firstLine="1040" w:firstLineChars="200"/>
        <w:jc w:val="both"/>
        <w:textAlignment w:val="auto"/>
        <w:rPr>
          <w:rFonts w:hint="default" w:ascii="Times New Roman" w:hAnsi="Times New Roman" w:eastAsia="方正小标宋_GBK" w:cs="Times New Roman"/>
          <w:color w:val="auto"/>
          <w:sz w:val="52"/>
          <w:szCs w:val="52"/>
        </w:rPr>
      </w:pPr>
    </w:p>
    <w:p w14:paraId="1FAE94E5">
      <w:pPr>
        <w:pStyle w:val="15"/>
        <w:keepNext w:val="0"/>
        <w:keepLines w:val="0"/>
        <w:pageBreakBefore w:val="0"/>
        <w:shd w:val="clear"/>
        <w:kinsoku/>
        <w:wordWrap/>
        <w:topLinePunct w:val="0"/>
        <w:bidi w:val="0"/>
        <w:spacing w:line="600" w:lineRule="exact"/>
        <w:ind w:firstLine="1040" w:firstLineChars="200"/>
        <w:jc w:val="both"/>
        <w:textAlignment w:val="auto"/>
        <w:rPr>
          <w:rFonts w:hint="default" w:ascii="Times New Roman" w:hAnsi="Times New Roman" w:eastAsia="方正小标宋_GBK" w:cs="Times New Roman"/>
          <w:color w:val="auto"/>
          <w:sz w:val="52"/>
          <w:szCs w:val="52"/>
        </w:rPr>
      </w:pPr>
    </w:p>
    <w:p w14:paraId="117AB174">
      <w:pPr>
        <w:pStyle w:val="15"/>
        <w:keepNext w:val="0"/>
        <w:keepLines w:val="0"/>
        <w:pageBreakBefore w:val="0"/>
        <w:shd w:val="clear"/>
        <w:kinsoku/>
        <w:wordWrap/>
        <w:topLinePunct w:val="0"/>
        <w:bidi w:val="0"/>
        <w:spacing w:line="600" w:lineRule="exact"/>
        <w:ind w:firstLine="1040" w:firstLineChars="200"/>
        <w:jc w:val="both"/>
        <w:textAlignment w:val="auto"/>
        <w:rPr>
          <w:rFonts w:hint="default" w:ascii="Times New Roman" w:hAnsi="Times New Roman" w:eastAsia="方正小标宋_GBK" w:cs="Times New Roman"/>
          <w:color w:val="auto"/>
          <w:sz w:val="52"/>
          <w:szCs w:val="52"/>
        </w:rPr>
      </w:pPr>
    </w:p>
    <w:p w14:paraId="08B88C9E">
      <w:pPr>
        <w:pStyle w:val="15"/>
        <w:keepNext w:val="0"/>
        <w:keepLines w:val="0"/>
        <w:pageBreakBefore w:val="0"/>
        <w:shd w:val="clear"/>
        <w:kinsoku/>
        <w:wordWrap/>
        <w:topLinePunct w:val="0"/>
        <w:bidi w:val="0"/>
        <w:spacing w:line="600" w:lineRule="exact"/>
        <w:ind w:firstLine="1040" w:firstLineChars="200"/>
        <w:jc w:val="both"/>
        <w:textAlignment w:val="auto"/>
        <w:rPr>
          <w:rFonts w:hint="default" w:ascii="Times New Roman" w:hAnsi="Times New Roman" w:eastAsia="方正小标宋_GBK" w:cs="Times New Roman"/>
          <w:color w:val="auto"/>
          <w:sz w:val="52"/>
          <w:szCs w:val="52"/>
        </w:rPr>
      </w:pPr>
    </w:p>
    <w:p w14:paraId="3DD67A0D">
      <w:pPr>
        <w:pStyle w:val="15"/>
        <w:keepNext w:val="0"/>
        <w:keepLines w:val="0"/>
        <w:pageBreakBefore w:val="0"/>
        <w:shd w:val="clear"/>
        <w:kinsoku/>
        <w:wordWrap/>
        <w:topLinePunct w:val="0"/>
        <w:bidi w:val="0"/>
        <w:spacing w:line="600" w:lineRule="exact"/>
        <w:ind w:firstLine="1040" w:firstLineChars="200"/>
        <w:jc w:val="both"/>
        <w:textAlignment w:val="auto"/>
        <w:rPr>
          <w:rFonts w:hint="default" w:ascii="Times New Roman" w:hAnsi="Times New Roman" w:eastAsia="方正小标宋_GBK" w:cs="Times New Roman"/>
          <w:color w:val="auto"/>
          <w:sz w:val="52"/>
          <w:szCs w:val="52"/>
        </w:rPr>
      </w:pPr>
    </w:p>
    <w:p w14:paraId="5AD64822">
      <w:pPr>
        <w:pStyle w:val="15"/>
        <w:keepNext w:val="0"/>
        <w:keepLines w:val="0"/>
        <w:pageBreakBefore w:val="0"/>
        <w:shd w:val="clear"/>
        <w:kinsoku/>
        <w:wordWrap/>
        <w:topLinePunct w:val="0"/>
        <w:bidi w:val="0"/>
        <w:spacing w:line="600" w:lineRule="exact"/>
        <w:ind w:firstLine="1040" w:firstLineChars="200"/>
        <w:jc w:val="both"/>
        <w:textAlignment w:val="auto"/>
        <w:rPr>
          <w:rFonts w:hint="default" w:ascii="Times New Roman" w:hAnsi="Times New Roman" w:eastAsia="方正小标宋_GBK" w:cs="Times New Roman"/>
          <w:color w:val="auto"/>
          <w:sz w:val="52"/>
          <w:szCs w:val="52"/>
        </w:rPr>
      </w:pPr>
    </w:p>
    <w:p w14:paraId="700B166E">
      <w:pPr>
        <w:pStyle w:val="15"/>
        <w:jc w:val="center"/>
        <w:rPr>
          <w:rFonts w:hint="default" w:ascii="Times New Roman" w:hAnsi="Times New Roman" w:eastAsia="方正小标宋简体" w:cs="Times New Roman"/>
          <w:color w:val="auto"/>
          <w:sz w:val="72"/>
          <w:szCs w:val="72"/>
        </w:rPr>
      </w:pPr>
      <w:r>
        <w:rPr>
          <w:rFonts w:hint="default" w:ascii="Times New Roman" w:hAnsi="Times New Roman" w:eastAsia="方正小标宋简体" w:cs="Times New Roman"/>
          <w:color w:val="auto"/>
          <w:sz w:val="72"/>
          <w:szCs w:val="72"/>
        </w:rPr>
        <w:t>第三部分</w:t>
      </w:r>
    </w:p>
    <w:p w14:paraId="79D71C9C">
      <w:pPr>
        <w:pStyle w:val="15"/>
        <w:jc w:val="center"/>
        <w:rPr>
          <w:rFonts w:hint="default" w:ascii="Times New Roman" w:hAnsi="Times New Roman" w:eastAsia="方正小标宋简体" w:cs="Times New Roman"/>
          <w:color w:val="auto"/>
          <w:sz w:val="72"/>
          <w:szCs w:val="72"/>
        </w:rPr>
      </w:pPr>
      <w:r>
        <w:rPr>
          <w:rFonts w:hint="default" w:ascii="Times New Roman" w:hAnsi="Times New Roman" w:eastAsia="方正小标宋简体" w:cs="Times New Roman"/>
          <w:color w:val="auto"/>
          <w:sz w:val="72"/>
          <w:szCs w:val="72"/>
        </w:rPr>
        <w:t>2024年度部门决算情况说明</w:t>
      </w:r>
    </w:p>
    <w:p w14:paraId="1AC1AFB1">
      <w:pPr>
        <w:pStyle w:val="15"/>
        <w:keepNext w:val="0"/>
        <w:keepLines w:val="0"/>
        <w:pageBreakBefore w:val="0"/>
        <w:shd w:val="clear"/>
        <w:kinsoku/>
        <w:wordWrap/>
        <w:topLinePunct w:val="0"/>
        <w:bidi w:val="0"/>
        <w:spacing w:line="600" w:lineRule="exact"/>
        <w:ind w:firstLine="1440" w:firstLineChars="200"/>
        <w:jc w:val="both"/>
        <w:textAlignment w:val="auto"/>
        <w:rPr>
          <w:rFonts w:hint="default" w:ascii="Times New Roman" w:hAnsi="Times New Roman" w:eastAsia="方正小标宋简体" w:cs="Times New Roman"/>
          <w:color w:val="auto"/>
          <w:sz w:val="72"/>
          <w:szCs w:val="72"/>
        </w:rPr>
      </w:pPr>
      <w:r>
        <w:rPr>
          <w:rFonts w:hint="default" w:ascii="Times New Roman" w:hAnsi="Times New Roman" w:eastAsia="方正小标宋简体" w:cs="Times New Roman"/>
          <w:color w:val="auto"/>
          <w:sz w:val="72"/>
          <w:szCs w:val="72"/>
        </w:rPr>
        <w:br w:type="page"/>
      </w:r>
    </w:p>
    <w:p w14:paraId="0519C6F4">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一、收入支出决算总体情况说明</w:t>
      </w:r>
    </w:p>
    <w:p w14:paraId="57E01785">
      <w:pPr>
        <w:keepNext w:val="0"/>
        <w:keepLines w:val="0"/>
        <w:pageBreakBefore w:val="0"/>
        <w:shd w:val="clear"/>
        <w:kinsoku/>
        <w:wordWrap/>
        <w:topLinePunct w:val="0"/>
        <w:bidi w:val="0"/>
        <w:snapToGrid w:val="0"/>
        <w:spacing w:line="600" w:lineRule="exact"/>
        <w:ind w:firstLine="640" w:firstLineChars="200"/>
        <w:jc w:val="left"/>
        <w:textAlignment w:val="auto"/>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rPr>
        <w:t>2024年度收、支总计299.5万元。与上年相比，减少124.96万元，降低29.44%，主要是因为本年</w:t>
      </w:r>
      <w:r>
        <w:rPr>
          <w:rFonts w:hint="default" w:ascii="Times New Roman" w:hAnsi="Times New Roman" w:eastAsia="仿宋_GB2312" w:cs="Times New Roman"/>
          <w:color w:val="auto"/>
          <w:sz w:val="32"/>
          <w:szCs w:val="32"/>
          <w:shd w:val="clear" w:color="auto" w:fill="FFFFFF"/>
        </w:rPr>
        <w:t>较上年减少</w:t>
      </w:r>
      <w:r>
        <w:rPr>
          <w:rFonts w:hint="default" w:ascii="Times New Roman" w:hAnsi="Times New Roman" w:eastAsia="仿宋_GB2312" w:cs="Times New Roman"/>
          <w:color w:val="auto"/>
          <w:sz w:val="32"/>
          <w:szCs w:val="32"/>
        </w:rPr>
        <w:t>湖南省固定监测网提升覆盖率建设项目（三期）专项经费及</w:t>
      </w:r>
      <w:r>
        <w:rPr>
          <w:rFonts w:hint="default" w:ascii="Times New Roman" w:hAnsi="Times New Roman" w:eastAsia="仿宋_GB2312" w:cs="Times New Roman"/>
          <w:color w:val="auto"/>
          <w:sz w:val="32"/>
          <w:szCs w:val="32"/>
          <w:shd w:val="clear" w:color="auto" w:fill="FFFFFF"/>
        </w:rPr>
        <w:t>高考等考试侦测压制设备采购经费支出建设。</w:t>
      </w:r>
    </w:p>
    <w:p w14:paraId="77C8E2EC">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二、收入决算情况说明</w:t>
      </w:r>
    </w:p>
    <w:p w14:paraId="42002796">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2024年度收入合计299.5万元，其中：财政拨款收入299.5万元，占收入合计100%。</w:t>
      </w:r>
    </w:p>
    <w:p w14:paraId="353A4A4F">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三、支出决算情况说明</w:t>
      </w:r>
    </w:p>
    <w:p w14:paraId="350D2196">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2024年度支出合计299.5万元，其中：基本支出211.9万元，占70.75%；项目支出87.6万元，占29.25%。</w:t>
      </w:r>
    </w:p>
    <w:p w14:paraId="1368C143">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四、财政拨款收入支出决算总体情况说明</w:t>
      </w:r>
    </w:p>
    <w:p w14:paraId="317C3F03">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2024年度财政拨款收、支总计299.5万元，与上年相比，</w:t>
      </w:r>
      <w:r>
        <w:rPr>
          <w:rFonts w:hint="default" w:ascii="Times New Roman" w:hAnsi="Times New Roman" w:eastAsia="仿宋_GB2312" w:cs="Times New Roman"/>
          <w:color w:val="auto"/>
          <w:spacing w:val="-6"/>
          <w:sz w:val="32"/>
          <w:szCs w:val="32"/>
        </w:rPr>
        <w:t>减少124.96万元</w:t>
      </w:r>
      <w:r>
        <w:rPr>
          <w:rFonts w:hint="eastAsia" w:ascii="Times New Roman" w:hAnsi="Times New Roman" w:eastAsia="仿宋_GB2312" w:cs="Times New Roman"/>
          <w:color w:val="auto"/>
          <w:spacing w:val="-6"/>
          <w:sz w:val="32"/>
          <w:szCs w:val="32"/>
          <w:lang w:eastAsia="zh-CN"/>
        </w:rPr>
        <w:t>，</w:t>
      </w:r>
      <w:r>
        <w:rPr>
          <w:rFonts w:hint="default" w:ascii="Times New Roman" w:hAnsi="Times New Roman" w:eastAsia="仿宋_GB2312" w:cs="Times New Roman"/>
          <w:color w:val="auto"/>
          <w:spacing w:val="-6"/>
          <w:sz w:val="32"/>
          <w:szCs w:val="32"/>
        </w:rPr>
        <w:t>降低29.44%，主要是因为项目支出较上年减少。</w:t>
      </w:r>
    </w:p>
    <w:p w14:paraId="61673ACD">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五、一般公共预算财政拨款支出决算情况说明</w:t>
      </w:r>
    </w:p>
    <w:p w14:paraId="29FF0856">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（一）一般公共预算财政拨款支出决算总体情况</w:t>
      </w:r>
    </w:p>
    <w:p w14:paraId="08BEAEEB">
      <w:pPr>
        <w:keepNext w:val="0"/>
        <w:keepLines w:val="0"/>
        <w:pageBreakBefore w:val="0"/>
        <w:shd w:val="clear"/>
        <w:kinsoku/>
        <w:wordWrap/>
        <w:topLinePunct w:val="0"/>
        <w:bidi w:val="0"/>
        <w:snapToGrid w:val="0"/>
        <w:spacing w:line="600" w:lineRule="exact"/>
        <w:ind w:firstLine="640" w:firstLineChars="200"/>
        <w:jc w:val="left"/>
        <w:textAlignment w:val="auto"/>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rPr>
        <w:t>2024年度财政拨款支出299.5万元，占本年支出合计的100%，与上年相比，财政拨款支出减少124.96万元，降低29.44%，主要是因为</w:t>
      </w:r>
      <w:r>
        <w:rPr>
          <w:rFonts w:hint="default" w:ascii="Times New Roman" w:hAnsi="Times New Roman" w:eastAsia="仿宋_GB2312" w:cs="Times New Roman"/>
          <w:color w:val="auto"/>
          <w:sz w:val="32"/>
          <w:szCs w:val="32"/>
          <w:shd w:val="clear" w:color="auto" w:fill="FFFFFF"/>
        </w:rPr>
        <w:t>本年减少湖南省固定监测网提升覆盖率建</w:t>
      </w:r>
      <w:r>
        <w:rPr>
          <w:rFonts w:hint="default" w:ascii="Times New Roman" w:hAnsi="Times New Roman" w:eastAsia="仿宋_GB2312" w:cs="Times New Roman"/>
          <w:color w:val="auto"/>
          <w:spacing w:val="-6"/>
          <w:kern w:val="0"/>
          <w:sz w:val="32"/>
          <w:szCs w:val="32"/>
          <w:lang w:val="en-US" w:eastAsia="zh-CN" w:bidi="ar-SA"/>
        </w:rPr>
        <w:t>设项目（三期）、高考等考试侦测压制设备采购经费等项目支出。</w:t>
      </w:r>
    </w:p>
    <w:p w14:paraId="03ADE0B6">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（二）一般公共预算财政拨款支出决算结构情况</w:t>
      </w:r>
    </w:p>
    <w:p w14:paraId="4E12BAC2">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2024年度财政拨款支出299.5万元，主要用于以下方面：卫生健康支出（类）支出8.01万元，占2.67%；社会保障和就业支出（类）支出19.16万元，占6.4%；资源勘探工业信息等支出（类）支出256.74万元，占85.72%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住房保障支出（类）支出15.59万元，占5.21%。</w:t>
      </w:r>
    </w:p>
    <w:p w14:paraId="62E87D36">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（三）一般公共预算财政拨款支出决算具体情况</w:t>
      </w:r>
    </w:p>
    <w:p w14:paraId="4926ECEF">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2024年度财政拨款支出年初预算数为221.4万元，支出决算数为299.5万元，完成年初预算的135.28%，其中：</w:t>
      </w:r>
    </w:p>
    <w:p w14:paraId="38F80180">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社会保障和就业支出（类）行政事业单位养老支出（款）机关事业单位基本养老保险缴费支出（项）。</w:t>
      </w:r>
    </w:p>
    <w:p w14:paraId="73E5E292">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年初预算为19.27万元，支出决算为19.16万元，完成年初预算的99.43%，决算数与年初预算数基本持平，主要用于本单位在职人员基本养老保险缴费单位部分支出。</w:t>
      </w:r>
    </w:p>
    <w:p w14:paraId="3888AD0D">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卫生健康支出（类）行政事业单位医疗（款）事业单位医疗（项）。</w:t>
      </w:r>
    </w:p>
    <w:p w14:paraId="6ECA90B7">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年初预算为8.01万元，支出决算为8.01万元，完成年初预算的100%，决算数与年初预算数一致，主要用于本单位在职人员基本医疗保险缴费单位部分支出。</w:t>
      </w:r>
    </w:p>
    <w:p w14:paraId="78FE7168">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资源勘探工业信息等支出（类）工业和信息产业监管（款）行政运行（项）。</w:t>
      </w:r>
    </w:p>
    <w:p w14:paraId="0A7A06BD">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年初预算为177.64万元，支出决算为169.14万元，完成年初预算的95.22%，决算数小于年初预算数的主要原因是：其他商品服务支出较年初预算减少13.45万元、工资福利支出较年初预算增加4.96万元，年初预算其他商品服务支出减少部分用于其他社会保障缴费支出。</w:t>
      </w:r>
    </w:p>
    <w:p w14:paraId="05DCB879">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资源勘探工业信息等支出（类）工业和信息产业监管（款）无线电及信息通信监管（项）。</w:t>
      </w:r>
    </w:p>
    <w:p w14:paraId="76EC1D68">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年初预算为0万元，支出决算为49.51万元，决算数大于年初预算数的主要原因是：年初追加无线电及信息通信监管项目支出。</w:t>
      </w:r>
    </w:p>
    <w:p w14:paraId="086BC456">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资源勘探工业信息等支出（类）其他资源勘探工业信息等支出（款） 其他资源勘探工业信息等支出（项）。</w:t>
      </w:r>
    </w:p>
    <w:p w14:paraId="45C70BDD">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年初预算为0万元，支出决算为38.09万元，决算数大于年初预算数的主要原因是：年初追加无线电运行经费，用于办公费、差旅费、劳务费、无线电监测特种车运行维护费等支出。</w:t>
      </w:r>
    </w:p>
    <w:p w14:paraId="75430B8C">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住房保障支出（类）住房改革支出（款）住房公积金（项）。</w:t>
      </w:r>
    </w:p>
    <w:p w14:paraId="6B21206E">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年初预算为16.47万元，支出决算为15.59万元，完成年初预算的94.66%，决算数与年初预算数基本持平，主要用于本单位在职人员住房公积金单位配套部分支出。</w:t>
      </w:r>
    </w:p>
    <w:p w14:paraId="1299013B">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六、一般公共预算财政拨款基本支出决算情况说明</w:t>
      </w:r>
    </w:p>
    <w:p w14:paraId="3C26E80E">
      <w:pPr>
        <w:pStyle w:val="15"/>
        <w:keepNext w:val="0"/>
        <w:keepLines w:val="0"/>
        <w:pageBreakBefore w:val="0"/>
        <w:shd w:val="clear"/>
        <w:kinsoku/>
        <w:wordWrap/>
        <w:overflowPunct w:val="0"/>
        <w:topLinePunct w:val="0"/>
        <w:autoSpaceDE/>
        <w:autoSpaceDN/>
        <w:bidi w:val="0"/>
        <w:spacing w:line="600" w:lineRule="exact"/>
        <w:ind w:firstLine="616" w:firstLineChars="200"/>
        <w:jc w:val="both"/>
        <w:textAlignment w:val="auto"/>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pacing w:val="-6"/>
          <w:sz w:val="32"/>
          <w:szCs w:val="32"/>
        </w:rPr>
        <w:t>2024年度一般公共预算财政拨款基本支出211.9万元，其中：</w:t>
      </w:r>
    </w:p>
    <w:p w14:paraId="56AFA8F5">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人员经费</w:t>
      </w:r>
      <w:r>
        <w:rPr>
          <w:rFonts w:hint="default" w:ascii="Times New Roman" w:hAnsi="Times New Roman" w:eastAsia="仿宋_GB2312" w:cs="Times New Roman"/>
          <w:color w:val="auto"/>
          <w:sz w:val="32"/>
          <w:szCs w:val="32"/>
        </w:rPr>
        <w:t>198.47万元，占基本支出的93.66%,主要包括基本工资、津贴补贴、奖金、伙食补助费、绩效工资、基本养老保险缴费、基本医疗保险缴费、其他社会保险缴费、住房公积金及对个人和家庭的补助。</w:t>
      </w:r>
    </w:p>
    <w:p w14:paraId="4119B07B">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公用经费</w:t>
      </w:r>
      <w:r>
        <w:rPr>
          <w:rFonts w:hint="default" w:ascii="Times New Roman" w:hAnsi="Times New Roman" w:eastAsia="仿宋_GB2312" w:cs="Times New Roman"/>
          <w:color w:val="auto"/>
          <w:sz w:val="32"/>
          <w:szCs w:val="32"/>
        </w:rPr>
        <w:t>13.43万元，占基本支出的6.34%，主要包括办公费、接待费、工会经费、公务用车运行维护费及其他交通费等支出。</w:t>
      </w:r>
    </w:p>
    <w:p w14:paraId="619CC822">
      <w:pPr>
        <w:pStyle w:val="15"/>
        <w:keepNext w:val="0"/>
        <w:keepLines w:val="0"/>
        <w:pageBreakBefore w:val="0"/>
        <w:numPr>
          <w:ilvl w:val="0"/>
          <w:numId w:val="1"/>
        </w:numPr>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财政拨款“三公”经费支出决算情况说明</w:t>
      </w:r>
    </w:p>
    <w:p w14:paraId="2E6747EF">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（一）“三公”经费财政拨款支出决算总体情况说明</w:t>
      </w:r>
    </w:p>
    <w:p w14:paraId="708C8454">
      <w:pPr>
        <w:keepNext w:val="0"/>
        <w:keepLines w:val="0"/>
        <w:pageBreakBefore w:val="0"/>
        <w:shd w:val="clear"/>
        <w:kinsoku/>
        <w:wordWrap/>
        <w:topLinePunct w:val="0"/>
        <w:bidi w:val="0"/>
        <w:snapToGrid w:val="0"/>
        <w:spacing w:line="600" w:lineRule="exact"/>
        <w:ind w:firstLine="640" w:firstLineChars="200"/>
        <w:jc w:val="lef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rPr>
        <w:t>2024年度“三公”经费财政拨款支出预算为0.9万元，支出决算为10.32万元，完成预算的1146.67%；与上年相比减少50.81万元，降低83.12%。决算数大于预算数的主要原因是年初追加</w:t>
      </w:r>
      <w:r>
        <w:rPr>
          <w:rFonts w:hint="default" w:ascii="Times New Roman" w:hAnsi="Times New Roman" w:eastAsia="仿宋_GB2312" w:cs="Times New Roman"/>
          <w:color w:val="auto"/>
          <w:sz w:val="32"/>
          <w:szCs w:val="32"/>
          <w:shd w:val="clear" w:color="auto" w:fill="FFFFFF"/>
        </w:rPr>
        <w:t>中央无线电管理经费核定的无线电监测特种车辆维护费。</w:t>
      </w:r>
      <w:r>
        <w:rPr>
          <w:rFonts w:hint="default" w:ascii="Times New Roman" w:hAnsi="Times New Roman" w:eastAsia="仿宋_GB2312" w:cs="Times New Roman"/>
          <w:color w:val="auto"/>
          <w:sz w:val="32"/>
          <w:szCs w:val="32"/>
        </w:rPr>
        <w:t>决算数小于上年数的主要原因是上年新购置特种车一辆，价值48.9万元。</w:t>
      </w:r>
    </w:p>
    <w:p w14:paraId="2F7AFB7E">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（二）“三公”经费财政拨款支出决算具体情况说明</w:t>
      </w:r>
    </w:p>
    <w:p w14:paraId="3E0B57C1">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b/>
          <w:bCs/>
          <w:i/>
          <w:color w:val="auto"/>
          <w:sz w:val="32"/>
          <w:szCs w:val="32"/>
        </w:rPr>
      </w:pPr>
      <w:r>
        <w:rPr>
          <w:rFonts w:hint="default" w:ascii="Times New Roman" w:hAnsi="Times New Roman" w:eastAsia="仿宋_GB2312" w:cs="Times New Roman"/>
          <w:color w:val="auto"/>
          <w:sz w:val="32"/>
          <w:szCs w:val="32"/>
        </w:rPr>
        <w:t>1.因公出国（境）费支出预算为0万元，支出决算为0万元，本年无因公出国（境）费支出。</w:t>
      </w:r>
    </w:p>
    <w:p w14:paraId="1D0010A4">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2.公务用车购置费及运行维护费支出预算为0万元，支出决</w:t>
      </w:r>
      <w:r>
        <w:rPr>
          <w:rFonts w:hint="default" w:ascii="Times New Roman" w:hAnsi="Times New Roman" w:eastAsia="仿宋_GB2312" w:cs="Times New Roman"/>
          <w:color w:val="auto"/>
          <w:spacing w:val="-6"/>
          <w:sz w:val="32"/>
          <w:szCs w:val="32"/>
        </w:rPr>
        <w:t>算为9.63万元，与上年相比减少51.47万元，降低84.24%。其中：</w:t>
      </w:r>
    </w:p>
    <w:p w14:paraId="2C0EBBF4">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公务用车购置费支出预算为0万元，支出决算为0万元，与上年相比减少48.9万元，本年无公务用车购置费支出。</w:t>
      </w:r>
    </w:p>
    <w:p w14:paraId="56F612A5">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rPr>
        <w:t>公务用车运行维护费支出预算为0万元，支出决算为9.63万元，主要是因为2024年追加中央无线电管理经费，包含</w:t>
      </w:r>
      <w:r>
        <w:rPr>
          <w:rFonts w:hint="default" w:ascii="Times New Roman" w:hAnsi="Times New Roman" w:eastAsia="仿宋_GB2312" w:cs="Times New Roman"/>
          <w:color w:val="auto"/>
          <w:sz w:val="32"/>
          <w:szCs w:val="32"/>
          <w:shd w:val="clear" w:color="auto" w:fill="FFFFFF"/>
        </w:rPr>
        <w:t>中央无线电管理经费核定的无线电监测特种车辆维护费，不在本级预算内。</w:t>
      </w:r>
    </w:p>
    <w:p w14:paraId="090CD8F3">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rPr>
        <w:t>截止2024年12月31日，我单位开支财政拨款的</w:t>
      </w:r>
      <w:r>
        <w:rPr>
          <w:rFonts w:hint="default" w:ascii="Times New Roman" w:hAnsi="Times New Roman" w:eastAsia="仿宋_GB2312" w:cs="Times New Roman"/>
          <w:color w:val="auto"/>
          <w:sz w:val="32"/>
          <w:szCs w:val="32"/>
          <w:shd w:val="clear" w:color="auto" w:fill="FFFFFF"/>
        </w:rPr>
        <w:t>无线电监测特种车辆</w:t>
      </w:r>
      <w:r>
        <w:rPr>
          <w:rFonts w:hint="default" w:ascii="Times New Roman" w:hAnsi="Times New Roman" w:eastAsia="仿宋_GB2312" w:cs="Times New Roman"/>
          <w:color w:val="auto"/>
          <w:sz w:val="32"/>
          <w:szCs w:val="32"/>
        </w:rPr>
        <w:t>保有量为3辆。</w:t>
      </w:r>
    </w:p>
    <w:p w14:paraId="4BD4382A">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公务接待费支出预算为0.9万元，支出决算为0.69万元，完成预算的76.67%；与上年相比减少0.14万元，降低16.87%。决算数小于预算数的主要原因是严格预算管理，控制接待费支出。决算数小于上年数的主要原因是本年接待来访团组较上年减少6个，来宾较上年减少37人。2024年度共接待来访团组7</w:t>
      </w:r>
      <w:r>
        <w:rPr>
          <w:rFonts w:hint="default" w:ascii="Times New Roman" w:hAnsi="Times New Roman" w:eastAsia="仿宋_GB2312" w:cs="Times New Roman"/>
          <w:color w:val="auto"/>
          <w:spacing w:val="6"/>
          <w:sz w:val="32"/>
          <w:szCs w:val="32"/>
        </w:rPr>
        <w:t>个、来宾53人次，主要是</w:t>
      </w:r>
      <w:r>
        <w:rPr>
          <w:rFonts w:hint="default" w:ascii="Times New Roman" w:hAnsi="Times New Roman" w:eastAsia="仿宋_GB2312" w:cs="Times New Roman"/>
          <w:color w:val="auto"/>
          <w:spacing w:val="6"/>
          <w:sz w:val="32"/>
          <w:szCs w:val="32"/>
          <w:lang w:val="en-US" w:eastAsia="zh-CN"/>
        </w:rPr>
        <w:t>无线电业务交流活动等</w:t>
      </w:r>
      <w:r>
        <w:rPr>
          <w:rFonts w:hint="default" w:ascii="Times New Roman" w:hAnsi="Times New Roman" w:eastAsia="仿宋_GB2312" w:cs="Times New Roman"/>
          <w:color w:val="auto"/>
          <w:spacing w:val="6"/>
          <w:sz w:val="32"/>
          <w:szCs w:val="32"/>
        </w:rPr>
        <w:t>发生的接待支出。</w:t>
      </w:r>
    </w:p>
    <w:p w14:paraId="623FC3D7">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八、政府性基金预算收入支出决算情况</w:t>
      </w:r>
    </w:p>
    <w:p w14:paraId="68354406">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2024年度本单位无政府性基金收支。</w:t>
      </w:r>
    </w:p>
    <w:p w14:paraId="6FF11473">
      <w:pPr>
        <w:pStyle w:val="15"/>
        <w:keepNext w:val="0"/>
        <w:keepLines w:val="0"/>
        <w:pageBreakBefore w:val="0"/>
        <w:numPr>
          <w:ilvl w:val="0"/>
          <w:numId w:val="2"/>
        </w:numPr>
        <w:shd w:val="clear"/>
        <w:kinsoku/>
        <w:wordWrap/>
        <w:topLinePunct w:val="0"/>
        <w:bidi w:val="0"/>
        <w:spacing w:line="600" w:lineRule="exact"/>
        <w:ind w:firstLine="640" w:firstLineChars="200"/>
        <w:textAlignment w:val="auto"/>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国有资本经营预算收入支出决算情况</w:t>
      </w:r>
    </w:p>
    <w:p w14:paraId="0F06A2F7">
      <w:pPr>
        <w:pStyle w:val="15"/>
        <w:keepNext w:val="0"/>
        <w:keepLines w:val="0"/>
        <w:pageBreakBefore w:val="0"/>
        <w:shd w:val="clear"/>
        <w:kinsoku/>
        <w:wordWrap/>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2024年度本单位无国有资本经营预算收支。</w:t>
      </w:r>
    </w:p>
    <w:p w14:paraId="172D55D2">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十、关于机关运行经费支出说明</w:t>
      </w:r>
    </w:p>
    <w:p w14:paraId="34314A10">
      <w:pPr>
        <w:pStyle w:val="15"/>
        <w:keepNext w:val="0"/>
        <w:keepLines w:val="0"/>
        <w:pageBreakBefore w:val="0"/>
        <w:shd w:val="clear"/>
        <w:kinsoku/>
        <w:wordWrap/>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本单位是财政补助事业单位，无机关运行经费。</w:t>
      </w:r>
    </w:p>
    <w:p w14:paraId="3A314EE7">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十一、一般性支出情况说明</w:t>
      </w:r>
    </w:p>
    <w:p w14:paraId="1E0D0D66">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2024年本单位无会议费、培训费支出；无节庆、晚会、论坛、赛事活动开支。</w:t>
      </w:r>
    </w:p>
    <w:p w14:paraId="679844E8">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十二、关于政府采购支出说明</w:t>
      </w:r>
    </w:p>
    <w:p w14:paraId="415751B5">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本部门2024年度政府采购支出总额35.82万元，其中：政府采购货物支出32.82 万元、政府采购工程支出0万元、政府采购服务支出3万元。授予中小企业合同金额35.82万元，占政府采购支出总额的100%，其中：授予小微企业合同金额35.82万元，占授予中小企业合同金额的100%。货物采购授予中小企业合同金额占货物支出金额的32.82%，工程采购授予中小企业合同金额占工程支出金额的0，服务采购授予中小企业合同金额占服务支出金额的100%。</w:t>
      </w:r>
    </w:p>
    <w:p w14:paraId="24FDC086">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十</w:t>
      </w:r>
      <w:r>
        <w:rPr>
          <w:rFonts w:hint="default" w:ascii="Times New Roman" w:hAnsi="Times New Roman" w:cs="Times New Roman"/>
          <w:bCs/>
          <w:color w:val="auto"/>
          <w:sz w:val="32"/>
          <w:szCs w:val="32"/>
          <w:lang w:val="en-US" w:eastAsia="zh-CN"/>
        </w:rPr>
        <w:t>三</w:t>
      </w:r>
      <w:r>
        <w:rPr>
          <w:rFonts w:hint="default" w:ascii="Times New Roman" w:hAnsi="Times New Roman" w:cs="Times New Roman"/>
          <w:bCs/>
          <w:color w:val="auto"/>
          <w:sz w:val="32"/>
          <w:szCs w:val="32"/>
        </w:rPr>
        <w:t>、关于国有资产占用情况说明</w:t>
      </w:r>
    </w:p>
    <w:p w14:paraId="65B3F7E6">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截至2024年12月31日，部门（单位）共有车辆3辆，其中，副部（省）级及以上领导用车0辆、主要负责人用车0辆、机要通信用车0辆、应急保障用车0辆、执法执勤用车0辆、特种专业技术用车3辆、离退休干部服务用车0辆、其他用车0辆；单位价值100万元以上设备（不含车辆）0台（套）。</w:t>
      </w:r>
    </w:p>
    <w:p w14:paraId="6D702BA4">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十</w:t>
      </w:r>
      <w:r>
        <w:rPr>
          <w:rFonts w:hint="default" w:ascii="Times New Roman" w:hAnsi="Times New Roman" w:cs="Times New Roman"/>
          <w:bCs/>
          <w:color w:val="auto"/>
          <w:sz w:val="32"/>
          <w:szCs w:val="32"/>
          <w:lang w:val="en-US" w:eastAsia="zh-CN"/>
        </w:rPr>
        <w:t>四</w:t>
      </w:r>
      <w:r>
        <w:rPr>
          <w:rFonts w:hint="default" w:ascii="Times New Roman" w:hAnsi="Times New Roman" w:cs="Times New Roman"/>
          <w:bCs/>
          <w:color w:val="auto"/>
          <w:sz w:val="32"/>
          <w:szCs w:val="32"/>
        </w:rPr>
        <w:t>、关于</w:t>
      </w:r>
      <w:r>
        <w:rPr>
          <w:rFonts w:hint="default" w:ascii="Times New Roman" w:hAnsi="Times New Roman" w:eastAsia="仿宋_GB2312" w:cs="Times New Roman"/>
          <w:color w:val="auto"/>
          <w:sz w:val="32"/>
          <w:szCs w:val="32"/>
        </w:rPr>
        <w:t>2024</w:t>
      </w:r>
      <w:r>
        <w:rPr>
          <w:rFonts w:hint="default" w:ascii="Times New Roman" w:hAnsi="Times New Roman" w:cs="Times New Roman"/>
          <w:bCs/>
          <w:color w:val="auto"/>
          <w:sz w:val="32"/>
          <w:szCs w:val="32"/>
        </w:rPr>
        <w:t>年度预算绩效情况的说明</w:t>
      </w:r>
    </w:p>
    <w:p w14:paraId="611FEDF7">
      <w:pPr>
        <w:keepNext w:val="0"/>
        <w:keepLines w:val="0"/>
        <w:pageBreakBefore w:val="0"/>
        <w:shd w:val="clear"/>
        <w:kinsoku/>
        <w:wordWrap/>
        <w:overflowPunct w:val="0"/>
        <w:topLinePunct w:val="0"/>
        <w:bidi w:val="0"/>
        <w:spacing w:line="600" w:lineRule="exact"/>
        <w:ind w:firstLine="640"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（一）绩效评价工作开展情况。</w:t>
      </w:r>
    </w:p>
    <w:p w14:paraId="10F56FCC">
      <w:pPr>
        <w:keepNext w:val="0"/>
        <w:keepLines w:val="0"/>
        <w:pageBreakBefore w:val="0"/>
        <w:shd w:val="clear"/>
        <w:kinsoku/>
        <w:wordWrap/>
        <w:overflowPunct w:val="0"/>
        <w:topLinePunct w:val="0"/>
        <w:bidi w:val="0"/>
        <w:spacing w:line="60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sz w:val="32"/>
          <w:szCs w:val="32"/>
        </w:rPr>
        <w:t>根据《怀化市财政局关于开展2024年度市级预算部门绩效自评和部门评价的通知》[怀财绩</w:t>
      </w:r>
      <w:r>
        <w:rPr>
          <w:rFonts w:hint="eastAsia" w:ascii="Times New Roman" w:hAnsi="Times New Roman" w:eastAsia="仿宋_GB2312" w:cs="Times New Roman"/>
          <w:color w:val="auto"/>
          <w:sz w:val="32"/>
          <w:szCs w:val="32"/>
          <w:lang w:eastAsia="zh-CN"/>
        </w:rPr>
        <w:t>〔2025〕32号</w:t>
      </w:r>
      <w:r>
        <w:rPr>
          <w:rFonts w:hint="default" w:ascii="Times New Roman" w:hAnsi="Times New Roman" w:eastAsia="仿宋_GB2312" w:cs="Times New Roman"/>
          <w:color w:val="auto"/>
          <w:sz w:val="32"/>
          <w:szCs w:val="32"/>
        </w:rPr>
        <w:t>]的文件精神，我站</w:t>
      </w:r>
      <w:r>
        <w:rPr>
          <w:rFonts w:hint="default" w:ascii="Times New Roman" w:hAnsi="Times New Roman" w:eastAsia="仿宋_GB2312" w:cs="Times New Roman"/>
          <w:color w:val="auto"/>
          <w:kern w:val="0"/>
          <w:sz w:val="32"/>
          <w:szCs w:val="32"/>
        </w:rPr>
        <w:t>组织对2024年度本单位整体支出开展绩效自评，涉及项目1 个，共涉及资金87.6万元。其中，一般公共预算项目1 个87.6 万元，占一般公共预算支出总额的100%。本单位2024年无政府性基金预算、国有资本经营预算、社会保险基金预算项目支出。</w:t>
      </w:r>
    </w:p>
    <w:p w14:paraId="32C16D3E">
      <w:pPr>
        <w:keepNext w:val="0"/>
        <w:keepLines w:val="0"/>
        <w:pageBreakBefore w:val="0"/>
        <w:widowControl/>
        <w:shd w:val="clear" w:color="auto"/>
        <w:kinsoku/>
        <w:wordWrap/>
        <w:topLinePunct w:val="0"/>
        <w:bidi w:val="0"/>
        <w:spacing w:line="600" w:lineRule="exact"/>
        <w:ind w:firstLine="640"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（二）绩效评价结果。</w:t>
      </w:r>
    </w:p>
    <w:p w14:paraId="0B4DA06A">
      <w:pPr>
        <w:keepNext w:val="0"/>
        <w:keepLines w:val="0"/>
        <w:pageBreakBefore w:val="0"/>
        <w:widowControl/>
        <w:shd w:val="clear" w:color="auto"/>
        <w:kinsoku/>
        <w:wordWrap/>
        <w:topLinePunct w:val="0"/>
        <w:bidi w:val="0"/>
        <w:spacing w:line="60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2024年度本单位整体支出</w:t>
      </w:r>
      <w:r>
        <w:rPr>
          <w:rFonts w:hint="default" w:ascii="Times New Roman" w:hAnsi="Times New Roman" w:eastAsia="仿宋_GB2312" w:cs="Times New Roman"/>
          <w:color w:val="auto"/>
          <w:sz w:val="32"/>
          <w:szCs w:val="32"/>
        </w:rPr>
        <w:t>全年预算数</w:t>
      </w:r>
      <w:r>
        <w:rPr>
          <w:rFonts w:hint="default" w:ascii="Times New Roman" w:hAnsi="Times New Roman" w:eastAsia="仿宋" w:cs="Times New Roman"/>
          <w:color w:val="auto"/>
          <w:kern w:val="0"/>
          <w:sz w:val="30"/>
          <w:szCs w:val="30"/>
          <w:shd w:val="clear" w:color="auto" w:fill="FFFFFF"/>
        </w:rPr>
        <w:t>221.4</w:t>
      </w:r>
      <w:r>
        <w:rPr>
          <w:rFonts w:hint="default" w:ascii="Times New Roman" w:hAnsi="Times New Roman" w:eastAsia="仿宋_GB2312" w:cs="Times New Roman"/>
          <w:color w:val="auto"/>
          <w:sz w:val="32"/>
          <w:szCs w:val="32"/>
        </w:rPr>
        <w:t>万元，执行数</w:t>
      </w:r>
      <w:r>
        <w:rPr>
          <w:rFonts w:hint="default" w:ascii="Times New Roman" w:hAnsi="Times New Roman" w:eastAsia="仿宋" w:cs="Times New Roman"/>
          <w:color w:val="auto"/>
          <w:kern w:val="0"/>
          <w:sz w:val="30"/>
          <w:szCs w:val="30"/>
          <w:shd w:val="clear" w:color="auto" w:fill="FFFFFF"/>
        </w:rPr>
        <w:t>299.5</w:t>
      </w:r>
      <w:r>
        <w:rPr>
          <w:rFonts w:hint="default" w:ascii="Times New Roman" w:hAnsi="Times New Roman" w:eastAsia="仿宋_GB2312" w:cs="Times New Roman"/>
          <w:color w:val="auto"/>
          <w:sz w:val="32"/>
          <w:szCs w:val="32"/>
        </w:rPr>
        <w:t>万元，完成预算的</w:t>
      </w:r>
      <w:r>
        <w:rPr>
          <w:rFonts w:hint="default" w:ascii="Times New Roman" w:hAnsi="Times New Roman" w:eastAsia="仿宋" w:cs="Times New Roman"/>
          <w:color w:val="auto"/>
          <w:kern w:val="0"/>
          <w:sz w:val="30"/>
          <w:szCs w:val="30"/>
          <w:shd w:val="clear" w:color="auto" w:fill="FFFFFF"/>
        </w:rPr>
        <w:t>134.97</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kern w:val="0"/>
          <w:sz w:val="32"/>
          <w:szCs w:val="32"/>
        </w:rPr>
        <w:t>，绩效自评得分</w:t>
      </w:r>
      <w:r>
        <w:rPr>
          <w:rFonts w:hint="default" w:ascii="Times New Roman" w:hAnsi="Times New Roman" w:eastAsia="仿宋_GB2312" w:cs="Times New Roman"/>
          <w:color w:val="auto"/>
          <w:sz w:val="32"/>
          <w:szCs w:val="32"/>
        </w:rPr>
        <w:t>98分</w:t>
      </w:r>
      <w:r>
        <w:rPr>
          <w:rFonts w:hint="default" w:ascii="Times New Roman" w:hAnsi="Times New Roman" w:eastAsia="仿宋_GB2312" w:cs="Times New Roman"/>
          <w:color w:val="auto"/>
          <w:kern w:val="0"/>
          <w:sz w:val="32"/>
          <w:szCs w:val="32"/>
        </w:rPr>
        <w:t>，评价等级为</w:t>
      </w:r>
      <w:r>
        <w:rPr>
          <w:rFonts w:hint="default" w:ascii="Times New Roman" w:hAnsi="Times New Roman" w:eastAsia="仿宋_GB2312" w:cs="Times New Roman"/>
          <w:color w:val="auto"/>
          <w:sz w:val="32"/>
          <w:szCs w:val="32"/>
        </w:rPr>
        <w:t>“优”。绩效目标完成情况：一是结合频率台（站）数据档案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对航空导航、广电、机场等单位无线电台（站）进行核查，对通信营运公司上报的数据及时审查并核发电子执照，保障数据库中频率台（站）数据的完整和准确，做好两表一单上报。同时按照省无委办的部署安排，对过期的无线电频率和无线电台站进行了许可证封存和执照封存，并指导芷江机场、怀化市气象局、怀化市广电部门、怀化电信、怀化联通等相关单位重新申办频率许可证和台（站）执照；二是在局官网上公布无线电干扰投诉受理电话2712978，对辖区内的干扰投诉及时排查，积极开展打击“黑广播“伪基站”及违法设台等工作，按时向省无委报送干扰查处月报和照片、频谱图等佐证材料。辖区内受理的无线电干扰投诉查处率100%，投诉处理形成闭环，完整记录查处过程并向投诉人反馈结果，2024年查处未经许可使用无线电频率、设置无线电台站案件数量为3起，查处和没收非法干扰设备的简易案卷一件；三是2024年组织开展打击“黑广播、伪基站、GoIP诈骗”专项活动2次，保障了我市无线电环境的安全稳定。完成了怀化湘商大会，怀化旅游发展大会及通道县70周年县庆等3次四级重大活动，以及国家组织的高考、研究生招考、自学考试、成人高考、公务员考试、司法考试、会计资格考试等七大重要考试无线电安全保障工作。旅发大会筹备期间对会场、高速路口、民宿区、高铁站客运站、雪峰山旅游景区等重点区域开展干扰排查及通信覆盖情况测试，获得市政府领导的肯定；四是年初制定了年度无线电频率使用和在用无线电台（站）监督检查计划，按检查频次及比例开展各类台站检查，如实记录检查情况，规范填写监测、检测报告，并提供照片等佐证</w:t>
      </w:r>
      <w:r>
        <w:rPr>
          <w:rFonts w:hint="eastAsia" w:ascii="Times New Roman" w:hAnsi="Times New Roman" w:eastAsia="仿宋_GB2312" w:cs="Times New Roman"/>
          <w:color w:val="auto"/>
          <w:sz w:val="32"/>
          <w:szCs w:val="32"/>
          <w:lang w:eastAsia="zh-CN"/>
        </w:rPr>
        <w:t>材料</w:t>
      </w:r>
      <w:r>
        <w:rPr>
          <w:rFonts w:hint="default" w:ascii="Times New Roman" w:hAnsi="Times New Roman" w:eastAsia="仿宋_GB2312" w:cs="Times New Roman"/>
          <w:color w:val="auto"/>
          <w:sz w:val="32"/>
          <w:szCs w:val="32"/>
        </w:rPr>
        <w:t>。同时，组织开展了业余无线电台（站）专项检查和无线电发射设备销售企业销售备案情况监督检查；五是主动加强与相关部门的协调积极开展军地协调工作，配合驻军做好无线电保障工作。与通信、公安等部门保持良好的协调工作。同时主动加强与市场监管局的工作衔接，加强无线电发射设备销售企业销售备案的监督管理；主动加强与通信部门和其他设台部门联系，督促及时注销过期台站及新建或延期台站执照申请。发现的主要问题及原因：一是对绩效目标概念认识不足，绩效考评资料收集不全，影响绩效自评准确度；二是绩效评价结果未很好</w:t>
      </w:r>
      <w:r>
        <w:rPr>
          <w:rFonts w:hint="eastAsia" w:ascii="Times New Roman" w:hAnsi="Times New Roman" w:eastAsia="仿宋_GB2312" w:cs="Times New Roman"/>
          <w:color w:val="auto"/>
          <w:sz w:val="32"/>
          <w:szCs w:val="32"/>
          <w:lang w:eastAsia="zh-CN"/>
        </w:rPr>
        <w:t>地</w:t>
      </w:r>
      <w:r>
        <w:rPr>
          <w:rFonts w:hint="default" w:ascii="Times New Roman" w:hAnsi="Times New Roman" w:eastAsia="仿宋_GB2312" w:cs="Times New Roman"/>
          <w:color w:val="auto"/>
          <w:sz w:val="32"/>
          <w:szCs w:val="32"/>
        </w:rPr>
        <w:t>运用在预算安排上，部分绩效指标及目标有待进一步细化和量化。下一步改进措施：一是强化资金使用和绩效目标管理意识；二是根据单位职能科学合理地设置绩效指标，提高预算绩效指标的针对性和可测性，充分发挥预算绩效目标管理的导向作用。</w:t>
      </w:r>
    </w:p>
    <w:p w14:paraId="0AD2EB5E">
      <w:pPr>
        <w:pStyle w:val="15"/>
        <w:keepNext w:val="0"/>
        <w:keepLines w:val="0"/>
        <w:pageBreakBefore w:val="0"/>
        <w:numPr>
          <w:ilvl w:val="0"/>
          <w:numId w:val="0"/>
        </w:numPr>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楷体_GB2312" w:cs="Times New Roman"/>
          <w:b/>
          <w:bCs/>
          <w:color w:val="auto"/>
          <w:kern w:val="2"/>
          <w:sz w:val="32"/>
          <w:szCs w:val="32"/>
        </w:rPr>
      </w:pPr>
      <w:r>
        <w:rPr>
          <w:rFonts w:hint="eastAsia" w:ascii="Times New Roman" w:hAnsi="Times New Roman" w:eastAsia="楷体_GB2312" w:cs="Times New Roman"/>
          <w:b/>
          <w:bCs/>
          <w:color w:val="auto"/>
          <w:kern w:val="2"/>
          <w:sz w:val="32"/>
          <w:szCs w:val="32"/>
          <w:lang w:val="en-US" w:eastAsia="zh-CN" w:bidi="ar-SA"/>
        </w:rPr>
        <w:t>（三）</w:t>
      </w:r>
      <w:r>
        <w:rPr>
          <w:rFonts w:hint="default" w:ascii="Times New Roman" w:hAnsi="Times New Roman" w:eastAsia="楷体_GB2312" w:cs="Times New Roman"/>
          <w:b/>
          <w:bCs/>
          <w:color w:val="auto"/>
          <w:kern w:val="2"/>
          <w:sz w:val="32"/>
          <w:szCs w:val="32"/>
        </w:rPr>
        <w:t>评价结果应用情况。</w:t>
      </w:r>
    </w:p>
    <w:p w14:paraId="19B3C822">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将绩效自评结果作为本单位完善制度和改进管理的重要依据，根据绩效自评结果，对比设定目标和实际完成情况，及时调整工作重点，提高工作效率，根据绩效自评结果，制定发展计划，提高财政资金支出决策水平和管理水平。</w:t>
      </w:r>
    </w:p>
    <w:p w14:paraId="301E1F63">
      <w:pPr>
        <w:pStyle w:val="15"/>
        <w:keepNext w:val="0"/>
        <w:keepLines w:val="0"/>
        <w:pageBreakBefore w:val="0"/>
        <w:shd w:val="clear"/>
        <w:kinsoku/>
        <w:wordWrap/>
        <w:overflowPunct w:val="0"/>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（见附件《2024年度部门整体支出绩效自评报告》）</w:t>
      </w:r>
    </w:p>
    <w:p w14:paraId="2CEB465E">
      <w:pPr>
        <w:pStyle w:val="15"/>
        <w:keepNext w:val="0"/>
        <w:keepLines w:val="0"/>
        <w:pageBreakBefore w:val="0"/>
        <w:shd w:val="clear"/>
        <w:kinsoku/>
        <w:wordWrap/>
        <w:topLinePunct w:val="0"/>
        <w:bidi w:val="0"/>
        <w:spacing w:line="600" w:lineRule="exact"/>
        <w:ind w:firstLine="1440" w:firstLineChars="200"/>
        <w:jc w:val="center"/>
        <w:textAlignment w:val="auto"/>
        <w:rPr>
          <w:rFonts w:hint="default" w:ascii="Times New Roman" w:hAnsi="Times New Roman" w:cs="Times New Roman"/>
          <w:color w:val="auto"/>
          <w:sz w:val="72"/>
          <w:szCs w:val="72"/>
        </w:rPr>
      </w:pPr>
    </w:p>
    <w:p w14:paraId="490AAF46">
      <w:pPr>
        <w:pStyle w:val="15"/>
        <w:keepNext w:val="0"/>
        <w:keepLines w:val="0"/>
        <w:pageBreakBefore w:val="0"/>
        <w:shd w:val="clear"/>
        <w:kinsoku/>
        <w:wordWrap/>
        <w:topLinePunct w:val="0"/>
        <w:bidi w:val="0"/>
        <w:spacing w:line="600" w:lineRule="exact"/>
        <w:ind w:firstLine="1440" w:firstLineChars="200"/>
        <w:jc w:val="center"/>
        <w:textAlignment w:val="auto"/>
        <w:rPr>
          <w:rFonts w:hint="default" w:ascii="Times New Roman" w:hAnsi="Times New Roman" w:cs="Times New Roman"/>
          <w:color w:val="auto"/>
          <w:sz w:val="72"/>
          <w:szCs w:val="72"/>
        </w:rPr>
      </w:pPr>
      <w:bookmarkStart w:id="0" w:name="_GoBack"/>
      <w:bookmarkEnd w:id="0"/>
    </w:p>
    <w:p w14:paraId="6018950C">
      <w:pPr>
        <w:pStyle w:val="15"/>
        <w:jc w:val="center"/>
        <w:rPr>
          <w:rFonts w:hint="default" w:ascii="Times New Roman" w:hAnsi="Times New Roman" w:cs="Times New Roman"/>
          <w:color w:val="auto"/>
          <w:sz w:val="72"/>
          <w:szCs w:val="72"/>
        </w:rPr>
      </w:pPr>
    </w:p>
    <w:p w14:paraId="1BA67DD3">
      <w:pPr>
        <w:pStyle w:val="15"/>
        <w:jc w:val="center"/>
        <w:rPr>
          <w:rFonts w:hint="default" w:ascii="Times New Roman" w:hAnsi="Times New Roman" w:cs="Times New Roman"/>
          <w:color w:val="auto"/>
          <w:sz w:val="72"/>
          <w:szCs w:val="72"/>
        </w:rPr>
      </w:pPr>
    </w:p>
    <w:p w14:paraId="6AD74EAB">
      <w:pPr>
        <w:pStyle w:val="15"/>
        <w:jc w:val="center"/>
        <w:rPr>
          <w:rFonts w:hint="default" w:ascii="Times New Roman" w:hAnsi="Times New Roman" w:cs="Times New Roman"/>
          <w:color w:val="auto"/>
          <w:sz w:val="72"/>
          <w:szCs w:val="72"/>
        </w:rPr>
      </w:pPr>
    </w:p>
    <w:p w14:paraId="666D2D50">
      <w:pPr>
        <w:pStyle w:val="15"/>
        <w:spacing w:line="360" w:lineRule="auto"/>
        <w:jc w:val="center"/>
        <w:rPr>
          <w:rFonts w:hint="default" w:ascii="Times New Roman" w:hAnsi="Times New Roman" w:eastAsia="方正小标宋_GBK" w:cs="Times New Roman"/>
          <w:color w:val="auto"/>
          <w:sz w:val="52"/>
          <w:szCs w:val="52"/>
        </w:rPr>
      </w:pPr>
    </w:p>
    <w:p w14:paraId="5048C3D7">
      <w:pPr>
        <w:pStyle w:val="15"/>
        <w:spacing w:line="360" w:lineRule="auto"/>
        <w:jc w:val="center"/>
        <w:rPr>
          <w:rFonts w:hint="default" w:ascii="Times New Roman" w:hAnsi="Times New Roman" w:eastAsia="方正小标宋_GBK" w:cs="Times New Roman"/>
          <w:color w:val="auto"/>
          <w:sz w:val="52"/>
          <w:szCs w:val="52"/>
        </w:rPr>
      </w:pPr>
    </w:p>
    <w:p w14:paraId="14F371FB">
      <w:pPr>
        <w:pStyle w:val="15"/>
        <w:spacing w:line="360" w:lineRule="auto"/>
        <w:jc w:val="center"/>
        <w:rPr>
          <w:rFonts w:hint="default" w:ascii="Times New Roman" w:hAnsi="Times New Roman" w:eastAsia="方正小标宋_GBK" w:cs="Times New Roman"/>
          <w:color w:val="auto"/>
          <w:sz w:val="52"/>
          <w:szCs w:val="52"/>
        </w:rPr>
      </w:pPr>
    </w:p>
    <w:p w14:paraId="0ECD3457">
      <w:pPr>
        <w:pStyle w:val="15"/>
        <w:spacing w:line="360" w:lineRule="auto"/>
        <w:jc w:val="center"/>
        <w:rPr>
          <w:rFonts w:hint="default" w:ascii="Times New Roman" w:hAnsi="Times New Roman" w:eastAsia="方正小标宋_GBK" w:cs="Times New Roman"/>
          <w:color w:val="auto"/>
          <w:sz w:val="52"/>
          <w:szCs w:val="52"/>
        </w:rPr>
      </w:pPr>
    </w:p>
    <w:p w14:paraId="51C35659">
      <w:pPr>
        <w:pStyle w:val="15"/>
        <w:spacing w:line="360" w:lineRule="auto"/>
        <w:jc w:val="center"/>
        <w:rPr>
          <w:rFonts w:hint="default" w:ascii="Times New Roman" w:hAnsi="Times New Roman" w:eastAsia="方正小标宋_GBK" w:cs="Times New Roman"/>
          <w:color w:val="auto"/>
          <w:sz w:val="52"/>
          <w:szCs w:val="52"/>
        </w:rPr>
      </w:pPr>
      <w:r>
        <w:rPr>
          <w:rFonts w:hint="default" w:ascii="Times New Roman" w:hAnsi="Times New Roman" w:eastAsia="方正小标宋简体" w:cs="Times New Roman"/>
          <w:color w:val="auto"/>
          <w:sz w:val="72"/>
          <w:szCs w:val="72"/>
        </w:rPr>
        <w:t>第四部分</w:t>
      </w:r>
    </w:p>
    <w:p w14:paraId="096CF3B0">
      <w:pPr>
        <w:pStyle w:val="15"/>
        <w:spacing w:line="360" w:lineRule="auto"/>
        <w:jc w:val="center"/>
        <w:rPr>
          <w:rFonts w:hint="default" w:ascii="Times New Roman" w:hAnsi="Times New Roman" w:eastAsia="方正小标宋简体" w:cs="Times New Roman"/>
          <w:color w:val="auto"/>
          <w:sz w:val="72"/>
          <w:szCs w:val="72"/>
        </w:rPr>
      </w:pPr>
      <w:r>
        <w:rPr>
          <w:rFonts w:hint="default" w:ascii="Times New Roman" w:hAnsi="Times New Roman" w:eastAsia="方正小标宋简体" w:cs="Times New Roman"/>
          <w:color w:val="auto"/>
          <w:sz w:val="72"/>
          <w:szCs w:val="72"/>
        </w:rPr>
        <w:t>名词解释</w:t>
      </w:r>
    </w:p>
    <w:p w14:paraId="7B95C60B">
      <w:pPr>
        <w:widowControl/>
        <w:jc w:val="left"/>
        <w:rPr>
          <w:rFonts w:hint="default" w:ascii="Times New Roman" w:hAnsi="Times New Roman" w:cs="Times New Roman"/>
          <w:color w:val="auto"/>
          <w:kern w:val="0"/>
          <w:sz w:val="32"/>
          <w:szCs w:val="32"/>
        </w:rPr>
      </w:pPr>
    </w:p>
    <w:p w14:paraId="18742C56">
      <w:pPr>
        <w:widowControl/>
        <w:ind w:firstLine="640" w:firstLineChars="200"/>
        <w:jc w:val="left"/>
        <w:rPr>
          <w:rFonts w:hint="default" w:ascii="Times New Roman" w:hAnsi="Times New Roman" w:eastAsia="仿宋_GB2312" w:cs="Times New Roman"/>
          <w:color w:val="auto"/>
          <w:kern w:val="0"/>
          <w:sz w:val="32"/>
          <w:szCs w:val="32"/>
        </w:rPr>
      </w:pPr>
    </w:p>
    <w:p w14:paraId="2704A605">
      <w:pPr>
        <w:widowControl/>
        <w:ind w:firstLine="640" w:firstLineChars="200"/>
        <w:jc w:val="left"/>
        <w:rPr>
          <w:rFonts w:hint="default" w:ascii="Times New Roman" w:hAnsi="Times New Roman" w:eastAsia="仿宋_GB2312" w:cs="Times New Roman"/>
          <w:color w:val="auto"/>
          <w:kern w:val="0"/>
          <w:sz w:val="32"/>
          <w:szCs w:val="32"/>
        </w:rPr>
      </w:pPr>
    </w:p>
    <w:p w14:paraId="1201CE8D">
      <w:pPr>
        <w:widowControl/>
        <w:ind w:firstLine="640" w:firstLineChars="200"/>
        <w:jc w:val="left"/>
        <w:rPr>
          <w:rFonts w:hint="default" w:ascii="Times New Roman" w:hAnsi="Times New Roman" w:eastAsia="仿宋_GB2312" w:cs="Times New Roman"/>
          <w:color w:val="auto"/>
          <w:kern w:val="0"/>
          <w:sz w:val="32"/>
          <w:szCs w:val="32"/>
        </w:rPr>
      </w:pPr>
    </w:p>
    <w:p w14:paraId="543BFF90">
      <w:pPr>
        <w:widowControl/>
        <w:ind w:firstLine="640" w:firstLineChars="200"/>
        <w:jc w:val="left"/>
        <w:rPr>
          <w:rFonts w:hint="default" w:ascii="Times New Roman" w:hAnsi="Times New Roman" w:eastAsia="仿宋_GB2312" w:cs="Times New Roman"/>
          <w:color w:val="auto"/>
          <w:kern w:val="0"/>
          <w:sz w:val="32"/>
          <w:szCs w:val="32"/>
        </w:rPr>
      </w:pPr>
    </w:p>
    <w:p w14:paraId="64DB1ACD">
      <w:pPr>
        <w:widowControl/>
        <w:ind w:firstLine="640" w:firstLineChars="200"/>
        <w:jc w:val="left"/>
        <w:rPr>
          <w:rFonts w:hint="default" w:ascii="Times New Roman" w:hAnsi="Times New Roman" w:eastAsia="仿宋_GB2312" w:cs="Times New Roman"/>
          <w:color w:val="auto"/>
          <w:kern w:val="0"/>
          <w:sz w:val="32"/>
          <w:szCs w:val="32"/>
        </w:rPr>
      </w:pPr>
    </w:p>
    <w:p w14:paraId="1048966A">
      <w:pPr>
        <w:widowControl/>
        <w:ind w:firstLine="640" w:firstLineChars="200"/>
        <w:jc w:val="left"/>
        <w:rPr>
          <w:rFonts w:hint="default" w:ascii="Times New Roman" w:hAnsi="Times New Roman" w:eastAsia="仿宋_GB2312" w:cs="Times New Roman"/>
          <w:color w:val="auto"/>
          <w:kern w:val="0"/>
          <w:sz w:val="32"/>
          <w:szCs w:val="32"/>
        </w:rPr>
      </w:pPr>
    </w:p>
    <w:p w14:paraId="0A84CCDB">
      <w:pPr>
        <w:widowControl/>
        <w:ind w:firstLine="640" w:firstLineChars="200"/>
        <w:jc w:val="left"/>
        <w:rPr>
          <w:rFonts w:hint="default" w:ascii="Times New Roman" w:hAnsi="Times New Roman" w:eastAsia="仿宋_GB2312" w:cs="Times New Roman"/>
          <w:color w:val="auto"/>
          <w:kern w:val="0"/>
          <w:sz w:val="32"/>
          <w:szCs w:val="32"/>
        </w:rPr>
      </w:pPr>
    </w:p>
    <w:p w14:paraId="2D32B62C">
      <w:pPr>
        <w:widowControl/>
        <w:ind w:firstLine="640" w:firstLineChars="200"/>
        <w:jc w:val="left"/>
        <w:rPr>
          <w:rFonts w:hint="default" w:ascii="Times New Roman" w:hAnsi="Times New Roman" w:eastAsia="仿宋_GB2312" w:cs="Times New Roman"/>
          <w:color w:val="auto"/>
          <w:kern w:val="0"/>
          <w:sz w:val="32"/>
          <w:szCs w:val="32"/>
        </w:rPr>
      </w:pPr>
    </w:p>
    <w:p w14:paraId="7B22A671">
      <w:pPr>
        <w:widowControl/>
        <w:ind w:firstLine="640" w:firstLineChars="200"/>
        <w:jc w:val="left"/>
        <w:rPr>
          <w:rFonts w:hint="default" w:ascii="Times New Roman" w:hAnsi="Times New Roman" w:eastAsia="仿宋_GB2312" w:cs="Times New Roman"/>
          <w:color w:val="auto"/>
          <w:kern w:val="0"/>
          <w:sz w:val="32"/>
          <w:szCs w:val="32"/>
        </w:rPr>
      </w:pPr>
    </w:p>
    <w:p w14:paraId="53B81362">
      <w:pPr>
        <w:widowControl/>
        <w:ind w:firstLine="640" w:firstLineChars="200"/>
        <w:jc w:val="left"/>
        <w:rPr>
          <w:rFonts w:hint="default" w:ascii="Times New Roman" w:hAnsi="Times New Roman" w:eastAsia="仿宋_GB2312" w:cs="Times New Roman"/>
          <w:color w:val="auto"/>
          <w:kern w:val="0"/>
          <w:sz w:val="32"/>
          <w:szCs w:val="32"/>
        </w:rPr>
      </w:pPr>
    </w:p>
    <w:p w14:paraId="6B78DE81">
      <w:pPr>
        <w:widowControl/>
        <w:ind w:firstLine="640" w:firstLineChars="200"/>
        <w:jc w:val="left"/>
        <w:rPr>
          <w:rFonts w:hint="default" w:ascii="Times New Roman" w:hAnsi="Times New Roman" w:eastAsia="仿宋_GB2312" w:cs="Times New Roman"/>
          <w:color w:val="auto"/>
          <w:kern w:val="0"/>
          <w:sz w:val="32"/>
          <w:szCs w:val="32"/>
        </w:rPr>
      </w:pPr>
    </w:p>
    <w:p w14:paraId="1ACA3D6F">
      <w:pPr>
        <w:widowControl/>
        <w:ind w:firstLine="640" w:firstLineChars="200"/>
        <w:jc w:val="left"/>
        <w:rPr>
          <w:rFonts w:hint="default" w:ascii="Times New Roman" w:hAnsi="Times New Roman" w:eastAsia="仿宋_GB2312" w:cs="Times New Roman"/>
          <w:color w:val="auto"/>
          <w:kern w:val="0"/>
          <w:sz w:val="32"/>
          <w:szCs w:val="32"/>
        </w:rPr>
      </w:pPr>
    </w:p>
    <w:p w14:paraId="5E0FB5F8">
      <w:pPr>
        <w:pStyle w:val="8"/>
        <w:keepNext w:val="0"/>
        <w:keepLines w:val="0"/>
        <w:pageBreakBefore w:val="0"/>
        <w:widowControl/>
        <w:shd w:val="clear" w:color="auto"/>
        <w:kinsoku/>
        <w:wordWrap/>
        <w:overflowPunct/>
        <w:topLinePunct w:val="0"/>
        <w:autoSpaceDE/>
        <w:autoSpaceDN/>
        <w:bidi w:val="0"/>
        <w:adjustRightInd/>
        <w:snapToGrid/>
        <w:spacing w:beforeAutospacing="0" w:afterAutospacing="0" w:line="255" w:lineRule="atLeas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bCs/>
          <w:color w:val="auto"/>
          <w:kern w:val="0"/>
          <w:sz w:val="32"/>
          <w:szCs w:val="32"/>
          <w:lang w:val="en-US" w:eastAsia="zh-CN" w:bidi="ar-SA"/>
        </w:rPr>
        <w:t>一、机关运行经费：</w:t>
      </w:r>
      <w:r>
        <w:rPr>
          <w:rFonts w:hint="default" w:ascii="Times New Roman" w:hAnsi="Times New Roman" w:eastAsia="仿宋_GB2312" w:cs="Times New Roman"/>
          <w:color w:val="auto"/>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w:t>
      </w:r>
      <w:r>
        <w:rPr>
          <w:rFonts w:hint="default" w:ascii="Times New Roman" w:hAnsi="Times New Roman" w:eastAsia="仿宋_GB2312" w:cs="Times New Roman"/>
          <w:color w:val="auto"/>
          <w:spacing w:val="-6"/>
          <w:sz w:val="32"/>
          <w:szCs w:val="32"/>
        </w:rPr>
        <w:t>暖费、办公用房物业管理费、公务用车运行维护费以及其他费用。</w:t>
      </w:r>
    </w:p>
    <w:p w14:paraId="21979BDC">
      <w:pPr>
        <w:pStyle w:val="8"/>
        <w:keepNext w:val="0"/>
        <w:keepLines w:val="0"/>
        <w:pageBreakBefore w:val="0"/>
        <w:widowControl/>
        <w:shd w:val="clear" w:color="auto"/>
        <w:kinsoku/>
        <w:wordWrap/>
        <w:overflowPunct/>
        <w:topLinePunct w:val="0"/>
        <w:autoSpaceDE/>
        <w:autoSpaceDN/>
        <w:bidi w:val="0"/>
        <w:adjustRightInd/>
        <w:snapToGrid/>
        <w:spacing w:beforeAutospacing="0" w:after="38" w:afterAutospacing="0" w:line="255" w:lineRule="atLeas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bCs/>
          <w:color w:val="auto"/>
          <w:kern w:val="0"/>
          <w:sz w:val="32"/>
          <w:szCs w:val="32"/>
          <w:lang w:val="en-US" w:eastAsia="zh-CN" w:bidi="ar-SA"/>
        </w:rPr>
        <w:t>二、“三公”经费：</w:t>
      </w:r>
      <w:r>
        <w:rPr>
          <w:rFonts w:hint="default" w:ascii="Times New Roman" w:hAnsi="Times New Roman" w:eastAsia="仿宋_GB2312" w:cs="Times New Roman"/>
          <w:color w:val="auto"/>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C9ABFD1">
      <w:pPr>
        <w:pStyle w:val="15"/>
        <w:jc w:val="center"/>
        <w:rPr>
          <w:rFonts w:hint="default" w:ascii="Times New Roman" w:hAnsi="Times New Roman" w:cs="Times New Roman"/>
          <w:color w:val="auto"/>
          <w:sz w:val="72"/>
          <w:szCs w:val="72"/>
        </w:rPr>
      </w:pPr>
    </w:p>
    <w:p w14:paraId="3D4B43A5">
      <w:pPr>
        <w:pStyle w:val="15"/>
        <w:jc w:val="center"/>
        <w:rPr>
          <w:rFonts w:hint="default" w:ascii="Times New Roman" w:hAnsi="Times New Roman" w:cs="Times New Roman"/>
          <w:color w:val="auto"/>
          <w:sz w:val="72"/>
          <w:szCs w:val="72"/>
        </w:rPr>
      </w:pPr>
    </w:p>
    <w:p w14:paraId="01BBB583">
      <w:pPr>
        <w:pStyle w:val="15"/>
        <w:jc w:val="center"/>
        <w:rPr>
          <w:rFonts w:hint="default" w:ascii="Times New Roman" w:hAnsi="Times New Roman" w:cs="Times New Roman"/>
          <w:color w:val="auto"/>
          <w:sz w:val="72"/>
          <w:szCs w:val="72"/>
        </w:rPr>
      </w:pPr>
    </w:p>
    <w:p w14:paraId="0B70841F">
      <w:pPr>
        <w:pStyle w:val="15"/>
        <w:jc w:val="center"/>
        <w:rPr>
          <w:rFonts w:hint="default" w:ascii="Times New Roman" w:hAnsi="Times New Roman" w:cs="Times New Roman"/>
          <w:color w:val="auto"/>
          <w:sz w:val="72"/>
          <w:szCs w:val="72"/>
        </w:rPr>
      </w:pPr>
    </w:p>
    <w:p w14:paraId="47D27140">
      <w:pPr>
        <w:pStyle w:val="15"/>
        <w:jc w:val="center"/>
        <w:rPr>
          <w:rFonts w:hint="default" w:ascii="Times New Roman" w:hAnsi="Times New Roman" w:cs="Times New Roman"/>
          <w:color w:val="auto"/>
          <w:sz w:val="72"/>
          <w:szCs w:val="72"/>
        </w:rPr>
      </w:pPr>
    </w:p>
    <w:p w14:paraId="30482558">
      <w:pPr>
        <w:pStyle w:val="15"/>
        <w:jc w:val="center"/>
        <w:rPr>
          <w:rFonts w:hint="default" w:ascii="Times New Roman" w:hAnsi="Times New Roman" w:cs="Times New Roman"/>
          <w:color w:val="auto"/>
          <w:sz w:val="72"/>
          <w:szCs w:val="72"/>
        </w:rPr>
      </w:pPr>
    </w:p>
    <w:p w14:paraId="79E4F367">
      <w:pPr>
        <w:pStyle w:val="15"/>
        <w:jc w:val="center"/>
        <w:rPr>
          <w:rFonts w:hint="default" w:ascii="Times New Roman" w:hAnsi="Times New Roman" w:cs="Times New Roman"/>
          <w:color w:val="auto"/>
          <w:sz w:val="72"/>
          <w:szCs w:val="72"/>
        </w:rPr>
      </w:pPr>
    </w:p>
    <w:p w14:paraId="5F565BA5">
      <w:pPr>
        <w:pStyle w:val="15"/>
        <w:jc w:val="center"/>
        <w:rPr>
          <w:rFonts w:hint="default" w:ascii="Times New Roman" w:hAnsi="Times New Roman" w:cs="Times New Roman"/>
          <w:color w:val="auto"/>
          <w:sz w:val="72"/>
          <w:szCs w:val="72"/>
        </w:rPr>
      </w:pPr>
    </w:p>
    <w:p w14:paraId="44CD81F6">
      <w:pPr>
        <w:pStyle w:val="15"/>
        <w:jc w:val="both"/>
        <w:rPr>
          <w:rFonts w:hint="default" w:ascii="Times New Roman" w:hAnsi="Times New Roman" w:cs="Times New Roman"/>
          <w:color w:val="auto"/>
          <w:sz w:val="72"/>
          <w:szCs w:val="72"/>
        </w:rPr>
      </w:pPr>
    </w:p>
    <w:p w14:paraId="5AEEB31B">
      <w:pPr>
        <w:pStyle w:val="15"/>
        <w:numPr>
          <w:ilvl w:val="0"/>
          <w:numId w:val="3"/>
        </w:numPr>
        <w:spacing w:line="360" w:lineRule="auto"/>
        <w:jc w:val="center"/>
        <w:rPr>
          <w:rFonts w:hint="default" w:ascii="Times New Roman" w:hAnsi="Times New Roman" w:eastAsia="方正小标宋简体" w:cs="Times New Roman"/>
          <w:color w:val="auto"/>
          <w:sz w:val="72"/>
          <w:szCs w:val="72"/>
        </w:rPr>
      </w:pPr>
    </w:p>
    <w:p w14:paraId="68E6B63B">
      <w:pPr>
        <w:pStyle w:val="15"/>
        <w:spacing w:line="360" w:lineRule="auto"/>
        <w:ind w:firstLine="2880" w:firstLineChars="400"/>
        <w:jc w:val="both"/>
        <w:rPr>
          <w:rFonts w:hint="default" w:ascii="Times New Roman" w:hAnsi="Times New Roman" w:eastAsia="方正小标宋简体" w:cs="Times New Roman"/>
          <w:color w:val="auto"/>
          <w:sz w:val="72"/>
          <w:szCs w:val="72"/>
        </w:rPr>
      </w:pPr>
      <w:r>
        <w:rPr>
          <w:rFonts w:hint="default" w:ascii="Times New Roman" w:hAnsi="Times New Roman" w:eastAsia="方正小标宋简体" w:cs="Times New Roman"/>
          <w:color w:val="auto"/>
          <w:sz w:val="72"/>
          <w:szCs w:val="72"/>
        </w:rPr>
        <w:t xml:space="preserve"> 附 件</w:t>
      </w:r>
    </w:p>
    <w:p w14:paraId="0932EC04">
      <w:pPr>
        <w:rPr>
          <w:rFonts w:hint="default" w:ascii="Times New Roman" w:hAnsi="Times New Roman" w:cs="Times New Roman"/>
          <w:color w:val="auto"/>
          <w:sz w:val="72"/>
          <w:szCs w:val="72"/>
        </w:rPr>
      </w:pPr>
    </w:p>
    <w:p w14:paraId="33F41DF4">
      <w:pPr>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br w:type="page"/>
      </w:r>
    </w:p>
    <w:p w14:paraId="38B086A9">
      <w:pPr>
        <w:pStyle w:val="15"/>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一、</w:t>
      </w:r>
      <w:r>
        <w:rPr>
          <w:rFonts w:hint="default" w:ascii="Times New Roman" w:hAnsi="Times New Roman" w:eastAsia="仿宋_GB2312" w:cs="Times New Roman"/>
          <w:color w:val="auto"/>
          <w:sz w:val="32"/>
          <w:szCs w:val="32"/>
        </w:rPr>
        <w:t>2024年度部门整体支出绩效自评报告。</w:t>
      </w:r>
    </w:p>
    <w:p w14:paraId="1147B2CF">
      <w:pPr>
        <w:pStyle w:val="15"/>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楷体" w:cs="Times New Roman"/>
          <w:b/>
          <w:bCs/>
          <w:color w:val="auto"/>
          <w:sz w:val="32"/>
          <w:szCs w:val="32"/>
        </w:rPr>
        <w:t>二、</w:t>
      </w:r>
      <w:r>
        <w:rPr>
          <w:rFonts w:hint="default" w:ascii="Times New Roman" w:hAnsi="Times New Roman" w:eastAsia="仿宋_GB2312" w:cs="Times New Roman"/>
          <w:color w:val="auto"/>
          <w:sz w:val="32"/>
          <w:szCs w:val="32"/>
        </w:rPr>
        <w:t>2024年部门决算公开表</w:t>
      </w:r>
    </w:p>
    <w:p w14:paraId="18B61287">
      <w:pPr>
        <w:pStyle w:val="15"/>
        <w:spacing w:line="600" w:lineRule="exact"/>
        <w:ind w:firstLine="640" w:firstLineChars="200"/>
        <w:rPr>
          <w:rFonts w:hint="default" w:ascii="Times New Roman" w:hAnsi="Times New Roman" w:eastAsia="仿宋_GB2312" w:cs="Times New Roman"/>
          <w:color w:val="auto"/>
          <w:sz w:val="32"/>
          <w:szCs w:val="32"/>
        </w:rPr>
      </w:pPr>
    </w:p>
    <w:p w14:paraId="31229BBF">
      <w:pPr>
        <w:pStyle w:val="15"/>
        <w:jc w:val="center"/>
        <w:rPr>
          <w:rFonts w:hint="default" w:ascii="Times New Roman" w:hAnsi="Times New Roman" w:cs="Times New Roman"/>
          <w:color w:val="auto"/>
          <w:sz w:val="72"/>
          <w:szCs w:val="72"/>
        </w:rPr>
      </w:pPr>
    </w:p>
    <w:p w14:paraId="25FFBB51">
      <w:pPr>
        <w:pStyle w:val="15"/>
        <w:jc w:val="center"/>
        <w:rPr>
          <w:rFonts w:hint="default" w:ascii="Times New Roman" w:hAnsi="Times New Roman" w:cs="Times New Roman"/>
          <w:color w:val="auto"/>
          <w:sz w:val="72"/>
          <w:szCs w:val="72"/>
        </w:rPr>
      </w:pPr>
    </w:p>
    <w:p w14:paraId="0369A8FC">
      <w:pPr>
        <w:jc w:val="left"/>
        <w:rPr>
          <w:rFonts w:hint="default" w:ascii="Times New Roman" w:hAnsi="Times New Roman" w:cs="Times New Roman"/>
          <w:color w:val="auto"/>
          <w:kern w:val="0"/>
          <w:sz w:val="32"/>
          <w:szCs w:val="32"/>
        </w:rPr>
      </w:pPr>
    </w:p>
    <w:sectPr>
      <w:pgSz w:w="11906" w:h="16838"/>
      <w:pgMar w:top="1417" w:right="1588" w:bottom="1417" w:left="1588"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300B6">
    <w:pPr>
      <w:pStyle w:val="4"/>
    </w:pPr>
    <w:r>
      <w:rPr>
        <w:sz w:val="18"/>
      </w:rPr>
      <w:pict>
        <v:shape id="_x0000_s4098" o:spid="_x0000_s4098"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C6EDBD6">
                <w:pPr>
                  <w:pStyle w:val="4"/>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1BE33">
    <w:pPr>
      <w:pStyle w:val="4"/>
    </w:pPr>
    <w:r>
      <w:rPr>
        <w:sz w:val="18"/>
      </w:rPr>
      <w:pict>
        <v:shape id="_x0000_s4099" o:spid="_x0000_s4099"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005B66A3">
                <w:pPr>
                  <w:pStyle w:val="4"/>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667F6">
    <w:pPr>
      <w:pStyle w:val="4"/>
    </w:pPr>
    <w:r>
      <w:rPr>
        <w:sz w:val="18"/>
      </w:rPr>
      <w:pict>
        <v:shape id="_x0000_s4100" o:spid="_x0000_s4100"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1BDE80A1">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1D3F4">
    <w:pPr>
      <w:pStyle w:val="4"/>
    </w:pPr>
    <w:r>
      <w:pict>
        <v:shape id="文本框 5"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weight="0.5pt"/>
          <v:imagedata o:title=""/>
          <o:lock v:ext="edit" aspectratio="f"/>
          <v:textbox inset="0mm,0mm,0mm,0mm" style="mso-fit-shape-to-text:t;">
            <w:txbxContent>
              <w:p w14:paraId="3A7FC019">
                <w:pPr>
                  <w:pStyle w:val="4"/>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16</w:t>
                </w:r>
                <w:r>
                  <w:rPr>
                    <w:rFonts w:hint="eastAsia" w:asciiTheme="majorEastAsia" w:hAnsiTheme="majorEastAsia" w:eastAsiaTheme="majorEastAsia" w:cstheme="majorEastAsia"/>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B36A3A"/>
    <w:multiLevelType w:val="singleLevel"/>
    <w:tmpl w:val="98B36A3A"/>
    <w:lvl w:ilvl="0" w:tentative="0">
      <w:start w:val="7"/>
      <w:numFmt w:val="chineseCounting"/>
      <w:suff w:val="nothing"/>
      <w:lvlText w:val="%1、"/>
      <w:lvlJc w:val="left"/>
      <w:rPr>
        <w:rFonts w:hint="eastAsia"/>
      </w:rPr>
    </w:lvl>
  </w:abstractNum>
  <w:abstractNum w:abstractNumId="1">
    <w:nsid w:val="E6A459FD"/>
    <w:multiLevelType w:val="singleLevel"/>
    <w:tmpl w:val="E6A459FD"/>
    <w:lvl w:ilvl="0" w:tentative="0">
      <w:start w:val="9"/>
      <w:numFmt w:val="chineseCounting"/>
      <w:suff w:val="nothing"/>
      <w:lvlText w:val="%1、"/>
      <w:lvlJc w:val="left"/>
      <w:rPr>
        <w:rFonts w:hint="eastAsia"/>
      </w:rPr>
    </w:lvl>
  </w:abstractNum>
  <w:abstractNum w:abstractNumId="2">
    <w:nsid w:val="034217EF"/>
    <w:multiLevelType w:val="singleLevel"/>
    <w:tmpl w:val="034217EF"/>
    <w:lvl w:ilvl="0" w:tentative="0">
      <w:start w:val="5"/>
      <w:numFmt w:val="chineseCounting"/>
      <w:suff w:val="space"/>
      <w:lvlText w:val="第%1部分"/>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95534"/>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B4BEE"/>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5C375FE"/>
    <w:rsid w:val="07A72EEE"/>
    <w:rsid w:val="087641AC"/>
    <w:rsid w:val="18C941FB"/>
    <w:rsid w:val="1D503071"/>
    <w:rsid w:val="1D97DEFF"/>
    <w:rsid w:val="1DFF72E5"/>
    <w:rsid w:val="1EFC6F07"/>
    <w:rsid w:val="20886AFD"/>
    <w:rsid w:val="26607278"/>
    <w:rsid w:val="2B2D4A4E"/>
    <w:rsid w:val="2F057055"/>
    <w:rsid w:val="2FDF85B8"/>
    <w:rsid w:val="2FFFEE04"/>
    <w:rsid w:val="34DF85B0"/>
    <w:rsid w:val="38673C95"/>
    <w:rsid w:val="3A9B5E78"/>
    <w:rsid w:val="3B8F36BC"/>
    <w:rsid w:val="41140732"/>
    <w:rsid w:val="43B1111A"/>
    <w:rsid w:val="491FF225"/>
    <w:rsid w:val="4BC114B6"/>
    <w:rsid w:val="4FFD214C"/>
    <w:rsid w:val="5777D4F5"/>
    <w:rsid w:val="59DD8326"/>
    <w:rsid w:val="5DEF592A"/>
    <w:rsid w:val="5FBC2BEC"/>
    <w:rsid w:val="5FC6BB1E"/>
    <w:rsid w:val="5FF720F1"/>
    <w:rsid w:val="6112339F"/>
    <w:rsid w:val="61CE3B8D"/>
    <w:rsid w:val="6309241D"/>
    <w:rsid w:val="657A4758"/>
    <w:rsid w:val="66EC6F90"/>
    <w:rsid w:val="67FF5C0B"/>
    <w:rsid w:val="6B2455E7"/>
    <w:rsid w:val="6E661BB1"/>
    <w:rsid w:val="6EBA5BC5"/>
    <w:rsid w:val="6EFC0924"/>
    <w:rsid w:val="6FB74722"/>
    <w:rsid w:val="6FEF8B7E"/>
    <w:rsid w:val="71A6591B"/>
    <w:rsid w:val="737D59BA"/>
    <w:rsid w:val="77BE0D98"/>
    <w:rsid w:val="77C37683"/>
    <w:rsid w:val="7883171E"/>
    <w:rsid w:val="79D19834"/>
    <w:rsid w:val="79FF515B"/>
    <w:rsid w:val="7D2A094C"/>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3">
    <w:name w:val="Balloon Text"/>
    <w:basedOn w:val="1"/>
    <w:link w:val="17"/>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next w:val="7"/>
    <w:semiHidden/>
    <w:qFormat/>
    <w:uiPriority w:val="0"/>
    <w:pPr>
      <w:snapToGrid w:val="0"/>
      <w:jc w:val="left"/>
    </w:pPr>
    <w:rPr>
      <w:sz w:val="18"/>
      <w:szCs w:val="18"/>
    </w:rPr>
  </w:style>
  <w:style w:type="paragraph" w:styleId="7">
    <w:name w:val="Body Text First Indent 2"/>
    <w:basedOn w:val="2"/>
    <w:unhideWhenUsed/>
    <w:qFormat/>
    <w:uiPriority w:val="99"/>
    <w:pPr>
      <w:ind w:firstLine="420" w:firstLineChars="200"/>
    </w:pPr>
  </w:style>
  <w:style w:type="paragraph" w:styleId="8">
    <w:name w:val="Normal (Web)"/>
    <w:basedOn w:val="1"/>
    <w:qFormat/>
    <w:uiPriority w:val="0"/>
    <w:pPr>
      <w:spacing w:beforeAutospacing="1" w:afterAutospacing="1"/>
      <w:jc w:val="left"/>
    </w:pPr>
    <w:rPr>
      <w:rFonts w:cs="Times New Roman"/>
      <w:kern w:val="0"/>
      <w:sz w:val="24"/>
    </w:rPr>
  </w:style>
  <w:style w:type="paragraph" w:customStyle="1" w:styleId="11">
    <w:name w:val="正文-公1"/>
    <w:basedOn w:val="12"/>
    <w:next w:val="1"/>
    <w:qFormat/>
    <w:uiPriority w:val="0"/>
    <w:pPr>
      <w:ind w:firstLine="200" w:firstLineChars="200"/>
    </w:pPr>
  </w:style>
  <w:style w:type="paragraph" w:customStyle="1" w:styleId="1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3">
    <w:name w:val="页眉 Char"/>
    <w:basedOn w:val="10"/>
    <w:link w:val="5"/>
    <w:qFormat/>
    <w:uiPriority w:val="99"/>
    <w:rPr>
      <w:sz w:val="18"/>
      <w:szCs w:val="18"/>
    </w:rPr>
  </w:style>
  <w:style w:type="character" w:customStyle="1" w:styleId="14">
    <w:name w:val="页脚 Char"/>
    <w:basedOn w:val="10"/>
    <w:link w:val="4"/>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0"/>
    <w:link w:val="3"/>
    <w:semiHidden/>
    <w:qFormat/>
    <w:uiPriority w:val="99"/>
    <w:rPr>
      <w:sz w:val="18"/>
      <w:szCs w:val="18"/>
    </w:rPr>
  </w:style>
  <w:style w:type="character" w:customStyle="1" w:styleId="18">
    <w:name w:val="font01"/>
    <w:basedOn w:val="10"/>
    <w:qFormat/>
    <w:uiPriority w:val="0"/>
    <w:rPr>
      <w:rFonts w:hint="eastAsia" w:ascii="宋体" w:hAnsi="宋体" w:eastAsia="宋体" w:cs="宋体"/>
      <w:color w:val="000000"/>
      <w:sz w:val="22"/>
      <w:szCs w:val="22"/>
      <w:u w:val="none"/>
    </w:rPr>
  </w:style>
  <w:style w:type="character" w:customStyle="1" w:styleId="19">
    <w:name w:val="font21"/>
    <w:basedOn w:val="10"/>
    <w:qFormat/>
    <w:uiPriority w:val="0"/>
    <w:rPr>
      <w:rFonts w:hint="eastAsia" w:ascii="宋体" w:hAnsi="宋体" w:eastAsia="宋体" w:cs="宋体"/>
      <w:color w:val="000000"/>
      <w:sz w:val="24"/>
      <w:szCs w:val="24"/>
      <w:u w:val="none"/>
    </w:rPr>
  </w:style>
  <w:style w:type="character" w:customStyle="1" w:styleId="20">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8" textRotate="1"/>
    <customShpInfo spid="_x0000_s4099" textRotate="1"/>
    <customShpInfo spid="_x0000_s4100" textRotate="1"/>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4984</Words>
  <Characters>5441</Characters>
  <Lines>40</Lines>
  <Paragraphs>11</Paragraphs>
  <TotalTime>35</TotalTime>
  <ScaleCrop>false</ScaleCrop>
  <LinksUpToDate>false</LinksUpToDate>
  <CharactersWithSpaces>5457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奋斗兔</cp:lastModifiedBy>
  <cp:lastPrinted>2024-08-08T18:20:00Z</cp:lastPrinted>
  <dcterms:modified xsi:type="dcterms:W3CDTF">2025-09-25T03:35:20Z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73ADF4FF6C4645D9A1D64F114809C268_13</vt:lpwstr>
  </property>
  <property fmtid="{D5CDD505-2E9C-101B-9397-08002B2CF9AE}" pid="4" name="KSOTemplateDocerSaveRecord">
    <vt:lpwstr>eyJoZGlkIjoiN2ExNjRmZDRjMjYzOWQyOWI4NzRhYjNmZjRkYzQ0OTIiLCJ1c2VySWQiOiIzMDU0MjI5MzMifQ==</vt:lpwstr>
  </property>
</Properties>
</file>