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1D16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附件3</w:t>
      </w:r>
    </w:p>
    <w:p w14:paraId="7B52D602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项目支出绩效自评表</w:t>
      </w:r>
    </w:p>
    <w:p w14:paraId="7CB00677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napToGrid/>
          <w:color w:val="auto"/>
          <w:kern w:val="0"/>
          <w:sz w:val="24"/>
          <w:szCs w:val="24"/>
          <w:lang w:val="en-US" w:eastAsia="zh-CN" w:bidi="ar-SA"/>
        </w:rPr>
        <w:t>填表人：周小龙          填报日期：2025年6月10日        联系电话：2731302</w:t>
      </w:r>
    </w:p>
    <w:tbl>
      <w:tblPr>
        <w:tblStyle w:val="9"/>
        <w:tblW w:w="9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083"/>
        <w:gridCol w:w="1012"/>
        <w:gridCol w:w="1223"/>
        <w:gridCol w:w="1213"/>
        <w:gridCol w:w="1237"/>
        <w:gridCol w:w="730"/>
        <w:gridCol w:w="875"/>
        <w:gridCol w:w="1423"/>
      </w:tblGrid>
      <w:tr w14:paraId="5256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083" w:type="dxa"/>
            <w:noWrap w:val="0"/>
            <w:vAlign w:val="center"/>
          </w:tcPr>
          <w:p w14:paraId="02E1A1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项目支</w:t>
            </w:r>
          </w:p>
          <w:p w14:paraId="2C8ADDA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796" w:type="dxa"/>
            <w:gridSpan w:val="8"/>
            <w:noWrap w:val="0"/>
            <w:vAlign w:val="center"/>
          </w:tcPr>
          <w:p w14:paraId="074B5C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安全生产专项经费（含春运安全）</w:t>
            </w:r>
          </w:p>
        </w:tc>
      </w:tr>
      <w:tr w14:paraId="58494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083" w:type="dxa"/>
            <w:noWrap w:val="0"/>
            <w:vAlign w:val="center"/>
          </w:tcPr>
          <w:p w14:paraId="322DCF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531" w:type="dxa"/>
            <w:gridSpan w:val="4"/>
            <w:noWrap w:val="0"/>
            <w:vAlign w:val="center"/>
          </w:tcPr>
          <w:p w14:paraId="388B0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怀化市工业和信息化局</w:t>
            </w:r>
          </w:p>
        </w:tc>
        <w:tc>
          <w:tcPr>
            <w:tcW w:w="1237" w:type="dxa"/>
            <w:noWrap w:val="0"/>
            <w:vAlign w:val="center"/>
          </w:tcPr>
          <w:p w14:paraId="4851F68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3028" w:type="dxa"/>
            <w:gridSpan w:val="3"/>
            <w:noWrap w:val="0"/>
            <w:vAlign w:val="center"/>
          </w:tcPr>
          <w:p w14:paraId="4FD13D8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怀化市工业和信息化局</w:t>
            </w:r>
          </w:p>
        </w:tc>
      </w:tr>
      <w:tr w14:paraId="61AA8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083" w:type="dxa"/>
            <w:vMerge w:val="restart"/>
            <w:noWrap w:val="0"/>
            <w:vAlign w:val="center"/>
          </w:tcPr>
          <w:p w14:paraId="0CEA0C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095" w:type="dxa"/>
            <w:gridSpan w:val="2"/>
            <w:noWrap w:val="0"/>
            <w:vAlign w:val="center"/>
          </w:tcPr>
          <w:p w14:paraId="73F403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23" w:type="dxa"/>
            <w:noWrap w:val="0"/>
            <w:vAlign w:val="center"/>
          </w:tcPr>
          <w:p w14:paraId="349AC07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年初</w:t>
            </w:r>
          </w:p>
          <w:p w14:paraId="79E99D1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13" w:type="dxa"/>
            <w:noWrap w:val="0"/>
            <w:vAlign w:val="center"/>
          </w:tcPr>
          <w:p w14:paraId="6FD79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全年</w:t>
            </w:r>
          </w:p>
          <w:p w14:paraId="7CCA08B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预算数</w:t>
            </w:r>
          </w:p>
        </w:tc>
        <w:tc>
          <w:tcPr>
            <w:tcW w:w="1237" w:type="dxa"/>
            <w:noWrap w:val="0"/>
            <w:vAlign w:val="center"/>
          </w:tcPr>
          <w:p w14:paraId="11F661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全年</w:t>
            </w:r>
          </w:p>
          <w:p w14:paraId="7BB96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执行数</w:t>
            </w:r>
          </w:p>
        </w:tc>
        <w:tc>
          <w:tcPr>
            <w:tcW w:w="730" w:type="dxa"/>
            <w:noWrap w:val="0"/>
            <w:vAlign w:val="center"/>
          </w:tcPr>
          <w:p w14:paraId="6B0F3D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分值</w:t>
            </w:r>
          </w:p>
        </w:tc>
        <w:tc>
          <w:tcPr>
            <w:tcW w:w="875" w:type="dxa"/>
            <w:noWrap w:val="0"/>
            <w:vAlign w:val="center"/>
          </w:tcPr>
          <w:p w14:paraId="0D8A427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执行率</w:t>
            </w:r>
          </w:p>
        </w:tc>
        <w:tc>
          <w:tcPr>
            <w:tcW w:w="1423" w:type="dxa"/>
            <w:noWrap w:val="0"/>
            <w:vAlign w:val="center"/>
          </w:tcPr>
          <w:p w14:paraId="0FF5740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  <w:t>得分</w:t>
            </w:r>
          </w:p>
        </w:tc>
      </w:tr>
      <w:tr w14:paraId="3C8F5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6CB6BE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95" w:type="dxa"/>
            <w:gridSpan w:val="2"/>
            <w:noWrap w:val="0"/>
            <w:vAlign w:val="center"/>
          </w:tcPr>
          <w:p w14:paraId="024BCD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年度资金总额　</w:t>
            </w:r>
          </w:p>
        </w:tc>
        <w:tc>
          <w:tcPr>
            <w:tcW w:w="1223" w:type="dxa"/>
            <w:noWrap w:val="0"/>
            <w:vAlign w:val="center"/>
          </w:tcPr>
          <w:p w14:paraId="465E55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15万元</w:t>
            </w:r>
          </w:p>
        </w:tc>
        <w:tc>
          <w:tcPr>
            <w:tcW w:w="1213" w:type="dxa"/>
            <w:noWrap w:val="0"/>
            <w:vAlign w:val="center"/>
          </w:tcPr>
          <w:p w14:paraId="3784AA9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13.87万元</w:t>
            </w:r>
          </w:p>
        </w:tc>
        <w:tc>
          <w:tcPr>
            <w:tcW w:w="1237" w:type="dxa"/>
            <w:noWrap w:val="0"/>
            <w:vAlign w:val="center"/>
          </w:tcPr>
          <w:p w14:paraId="549E236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13.87万元</w:t>
            </w:r>
          </w:p>
        </w:tc>
        <w:tc>
          <w:tcPr>
            <w:tcW w:w="730" w:type="dxa"/>
            <w:noWrap w:val="0"/>
            <w:vAlign w:val="center"/>
          </w:tcPr>
          <w:p w14:paraId="3A8CEB9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10</w:t>
            </w:r>
          </w:p>
        </w:tc>
        <w:tc>
          <w:tcPr>
            <w:tcW w:w="875" w:type="dxa"/>
            <w:noWrap w:val="0"/>
            <w:vAlign w:val="center"/>
          </w:tcPr>
          <w:p w14:paraId="045A47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92.47%</w:t>
            </w:r>
          </w:p>
        </w:tc>
        <w:tc>
          <w:tcPr>
            <w:tcW w:w="1423" w:type="dxa"/>
            <w:noWrap w:val="0"/>
            <w:vAlign w:val="center"/>
          </w:tcPr>
          <w:p w14:paraId="74BB612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</w:tr>
      <w:tr w14:paraId="66122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0F52F9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95" w:type="dxa"/>
            <w:gridSpan w:val="2"/>
            <w:noWrap w:val="0"/>
            <w:vAlign w:val="center"/>
          </w:tcPr>
          <w:p w14:paraId="0ED8701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其中：当年财政拨款　</w:t>
            </w:r>
          </w:p>
        </w:tc>
        <w:tc>
          <w:tcPr>
            <w:tcW w:w="1223" w:type="dxa"/>
            <w:noWrap w:val="0"/>
            <w:vAlign w:val="center"/>
          </w:tcPr>
          <w:p w14:paraId="50AF6ED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15万元</w:t>
            </w:r>
          </w:p>
        </w:tc>
        <w:tc>
          <w:tcPr>
            <w:tcW w:w="1213" w:type="dxa"/>
            <w:noWrap w:val="0"/>
            <w:vAlign w:val="center"/>
          </w:tcPr>
          <w:p w14:paraId="1FB31A1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37" w:type="dxa"/>
            <w:noWrap w:val="0"/>
            <w:vAlign w:val="center"/>
          </w:tcPr>
          <w:p w14:paraId="044E39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30" w:type="dxa"/>
            <w:noWrap w:val="0"/>
            <w:vAlign w:val="center"/>
          </w:tcPr>
          <w:p w14:paraId="1704CCD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75" w:type="dxa"/>
            <w:noWrap w:val="0"/>
            <w:vAlign w:val="center"/>
          </w:tcPr>
          <w:p w14:paraId="2E665F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423" w:type="dxa"/>
            <w:noWrap w:val="0"/>
            <w:vAlign w:val="center"/>
          </w:tcPr>
          <w:p w14:paraId="43E6E9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34FE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7BD417E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95" w:type="dxa"/>
            <w:gridSpan w:val="2"/>
            <w:noWrap w:val="0"/>
            <w:vAlign w:val="center"/>
          </w:tcPr>
          <w:p w14:paraId="666ED1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594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</w:rPr>
              <w:t>上年结转资金　</w:t>
            </w:r>
          </w:p>
        </w:tc>
        <w:tc>
          <w:tcPr>
            <w:tcW w:w="1223" w:type="dxa"/>
            <w:noWrap w:val="0"/>
            <w:vAlign w:val="center"/>
          </w:tcPr>
          <w:p w14:paraId="7EA19A2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13" w:type="dxa"/>
            <w:noWrap w:val="0"/>
            <w:vAlign w:val="center"/>
          </w:tcPr>
          <w:p w14:paraId="1E88A94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37" w:type="dxa"/>
            <w:noWrap w:val="0"/>
            <w:vAlign w:val="center"/>
          </w:tcPr>
          <w:p w14:paraId="34B412A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30" w:type="dxa"/>
            <w:noWrap w:val="0"/>
            <w:vAlign w:val="center"/>
          </w:tcPr>
          <w:p w14:paraId="54CD2C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75" w:type="dxa"/>
            <w:noWrap w:val="0"/>
            <w:vAlign w:val="center"/>
          </w:tcPr>
          <w:p w14:paraId="1963720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423" w:type="dxa"/>
            <w:noWrap w:val="0"/>
            <w:vAlign w:val="center"/>
          </w:tcPr>
          <w:p w14:paraId="472902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26CE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472B04F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2095" w:type="dxa"/>
            <w:gridSpan w:val="2"/>
            <w:noWrap w:val="0"/>
            <w:vAlign w:val="center"/>
          </w:tcPr>
          <w:p w14:paraId="452B813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63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223" w:type="dxa"/>
            <w:noWrap w:val="0"/>
            <w:vAlign w:val="center"/>
          </w:tcPr>
          <w:p w14:paraId="4ED53C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13" w:type="dxa"/>
            <w:noWrap w:val="0"/>
            <w:vAlign w:val="center"/>
          </w:tcPr>
          <w:p w14:paraId="49E934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237" w:type="dxa"/>
            <w:noWrap w:val="0"/>
            <w:vAlign w:val="center"/>
          </w:tcPr>
          <w:p w14:paraId="66AF21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730" w:type="dxa"/>
            <w:noWrap w:val="0"/>
            <w:vAlign w:val="center"/>
          </w:tcPr>
          <w:p w14:paraId="49CB7D9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875" w:type="dxa"/>
            <w:noWrap w:val="0"/>
            <w:vAlign w:val="center"/>
          </w:tcPr>
          <w:p w14:paraId="0814EB4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  <w:tc>
          <w:tcPr>
            <w:tcW w:w="1423" w:type="dxa"/>
            <w:noWrap w:val="0"/>
            <w:vAlign w:val="center"/>
          </w:tcPr>
          <w:p w14:paraId="5209D55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</w:p>
        </w:tc>
      </w:tr>
      <w:tr w14:paraId="6F17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083" w:type="dxa"/>
            <w:vMerge w:val="restart"/>
            <w:noWrap w:val="0"/>
            <w:vAlign w:val="center"/>
          </w:tcPr>
          <w:p w14:paraId="3F980A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年度总体目标</w:t>
            </w:r>
          </w:p>
        </w:tc>
        <w:tc>
          <w:tcPr>
            <w:tcW w:w="4531" w:type="dxa"/>
            <w:gridSpan w:val="4"/>
            <w:noWrap w:val="0"/>
            <w:vAlign w:val="center"/>
          </w:tcPr>
          <w:p w14:paraId="48820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预期目标</w:t>
            </w:r>
          </w:p>
        </w:tc>
        <w:tc>
          <w:tcPr>
            <w:tcW w:w="4265" w:type="dxa"/>
            <w:gridSpan w:val="4"/>
            <w:noWrap w:val="0"/>
            <w:vAlign w:val="center"/>
          </w:tcPr>
          <w:p w14:paraId="1600B40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实际完成情况　</w:t>
            </w:r>
          </w:p>
        </w:tc>
      </w:tr>
      <w:tr w14:paraId="5821F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40F11F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4531" w:type="dxa"/>
            <w:gridSpan w:val="4"/>
            <w:noWrap w:val="0"/>
            <w:vAlign w:val="center"/>
          </w:tcPr>
          <w:p w14:paraId="23D205E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负责工业企业、通信业安全生产管理工作，组织推广安全生产责任保险工作，参与有关生产安全事故的调查处理。　　</w:t>
            </w:r>
          </w:p>
        </w:tc>
        <w:tc>
          <w:tcPr>
            <w:tcW w:w="4265" w:type="dxa"/>
            <w:gridSpan w:val="4"/>
            <w:noWrap w:val="0"/>
            <w:vAlign w:val="center"/>
          </w:tcPr>
          <w:p w14:paraId="37FCB3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　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组织开展安全生产法律法规专题学习，“开工第一课讲安全”活动，全市400余家工业企业，逾19000人参与，进一步筑牢安全底线思维。全年累计派出各级检查组347个，发现工业行业重大隐患数230，整改重大隐患225个，重大隐患到期整改率97.30%。</w:t>
            </w:r>
          </w:p>
        </w:tc>
      </w:tr>
      <w:tr w14:paraId="44A3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083" w:type="dxa"/>
            <w:vMerge w:val="restart"/>
            <w:noWrap w:val="0"/>
            <w:vAlign w:val="center"/>
          </w:tcPr>
          <w:p w14:paraId="47E21EA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绩</w:t>
            </w:r>
          </w:p>
          <w:p w14:paraId="28232E1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效</w:t>
            </w:r>
          </w:p>
          <w:p w14:paraId="18E5670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</w:t>
            </w:r>
          </w:p>
          <w:p w14:paraId="389450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标</w:t>
            </w:r>
          </w:p>
        </w:tc>
        <w:tc>
          <w:tcPr>
            <w:tcW w:w="1083" w:type="dxa"/>
            <w:noWrap w:val="0"/>
            <w:vAlign w:val="center"/>
          </w:tcPr>
          <w:p w14:paraId="2CCE1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012" w:type="dxa"/>
            <w:noWrap w:val="0"/>
            <w:vAlign w:val="center"/>
          </w:tcPr>
          <w:p w14:paraId="7314051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二级</w:t>
            </w:r>
          </w:p>
          <w:p w14:paraId="5EA9A2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3" w:type="dxa"/>
            <w:noWrap w:val="0"/>
            <w:vAlign w:val="center"/>
          </w:tcPr>
          <w:p w14:paraId="0A830ED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213" w:type="dxa"/>
            <w:noWrap w:val="0"/>
            <w:vAlign w:val="center"/>
          </w:tcPr>
          <w:p w14:paraId="014E0F3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年度</w:t>
            </w:r>
          </w:p>
          <w:p w14:paraId="371D2B2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指标值</w:t>
            </w:r>
          </w:p>
        </w:tc>
        <w:tc>
          <w:tcPr>
            <w:tcW w:w="1237" w:type="dxa"/>
            <w:noWrap w:val="0"/>
            <w:vAlign w:val="center"/>
          </w:tcPr>
          <w:p w14:paraId="4EF1F58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实际</w:t>
            </w:r>
          </w:p>
          <w:p w14:paraId="3876174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完成值</w:t>
            </w:r>
          </w:p>
        </w:tc>
        <w:tc>
          <w:tcPr>
            <w:tcW w:w="730" w:type="dxa"/>
            <w:noWrap w:val="0"/>
            <w:vAlign w:val="center"/>
          </w:tcPr>
          <w:p w14:paraId="0B04B0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分值</w:t>
            </w:r>
          </w:p>
        </w:tc>
        <w:tc>
          <w:tcPr>
            <w:tcW w:w="875" w:type="dxa"/>
            <w:noWrap w:val="0"/>
            <w:vAlign w:val="center"/>
          </w:tcPr>
          <w:p w14:paraId="6566B59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得分</w:t>
            </w:r>
          </w:p>
        </w:tc>
        <w:tc>
          <w:tcPr>
            <w:tcW w:w="1423" w:type="dxa"/>
            <w:noWrap w:val="0"/>
            <w:vAlign w:val="center"/>
          </w:tcPr>
          <w:p w14:paraId="15DA3B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偏差原因</w:t>
            </w:r>
          </w:p>
          <w:p w14:paraId="05495B1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分析及</w:t>
            </w:r>
          </w:p>
          <w:p w14:paraId="5E67942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改进措施</w:t>
            </w:r>
          </w:p>
        </w:tc>
      </w:tr>
      <w:tr w14:paraId="5110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18E9717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noWrap w:val="0"/>
            <w:vAlign w:val="center"/>
          </w:tcPr>
          <w:p w14:paraId="360E1F6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  <w:t>成本指标</w:t>
            </w:r>
          </w:p>
        </w:tc>
        <w:tc>
          <w:tcPr>
            <w:tcW w:w="1012" w:type="dxa"/>
            <w:noWrap w:val="0"/>
            <w:vAlign w:val="center"/>
          </w:tcPr>
          <w:p w14:paraId="71D307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  <w:t>经济成本指标</w:t>
            </w:r>
          </w:p>
        </w:tc>
        <w:tc>
          <w:tcPr>
            <w:tcW w:w="1223" w:type="dxa"/>
            <w:noWrap w:val="0"/>
            <w:vAlign w:val="center"/>
          </w:tcPr>
          <w:p w14:paraId="59FEF31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经济成本控制额</w:t>
            </w:r>
          </w:p>
        </w:tc>
        <w:tc>
          <w:tcPr>
            <w:tcW w:w="1213" w:type="dxa"/>
            <w:noWrap w:val="0"/>
            <w:vAlign w:val="center"/>
          </w:tcPr>
          <w:p w14:paraId="555DACE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≤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15万元</w:t>
            </w:r>
          </w:p>
        </w:tc>
        <w:tc>
          <w:tcPr>
            <w:tcW w:w="1237" w:type="dxa"/>
            <w:noWrap w:val="0"/>
            <w:vAlign w:val="center"/>
          </w:tcPr>
          <w:p w14:paraId="6A63BC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13.87万元</w:t>
            </w:r>
          </w:p>
        </w:tc>
        <w:tc>
          <w:tcPr>
            <w:tcW w:w="730" w:type="dxa"/>
            <w:noWrap w:val="0"/>
            <w:vAlign w:val="center"/>
          </w:tcPr>
          <w:p w14:paraId="40AF507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5" w:type="dxa"/>
            <w:noWrap w:val="0"/>
            <w:vAlign w:val="center"/>
          </w:tcPr>
          <w:p w14:paraId="20EAA99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3" w:type="dxa"/>
            <w:noWrap w:val="0"/>
            <w:vAlign w:val="center"/>
          </w:tcPr>
          <w:p w14:paraId="3FF075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9C8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466155A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vMerge w:val="restart"/>
            <w:noWrap w:val="0"/>
            <w:vAlign w:val="center"/>
          </w:tcPr>
          <w:p w14:paraId="6EF2DF2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产出指标</w:t>
            </w:r>
          </w:p>
          <w:p w14:paraId="136402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12" w:type="dxa"/>
            <w:vMerge w:val="restart"/>
            <w:noWrap w:val="0"/>
            <w:vAlign w:val="center"/>
          </w:tcPr>
          <w:p w14:paraId="5726990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数量</w:t>
            </w:r>
          </w:p>
          <w:p w14:paraId="5189E2A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3" w:type="dxa"/>
            <w:noWrap w:val="0"/>
            <w:vAlign w:val="center"/>
          </w:tcPr>
          <w:p w14:paraId="161181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组织全市工业企业安全生产法律法规学习，参学人数</w:t>
            </w:r>
          </w:p>
        </w:tc>
        <w:tc>
          <w:tcPr>
            <w:tcW w:w="1213" w:type="dxa"/>
            <w:noWrap w:val="0"/>
            <w:vAlign w:val="center"/>
          </w:tcPr>
          <w:p w14:paraId="13F9EE7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1万人</w:t>
            </w:r>
          </w:p>
        </w:tc>
        <w:tc>
          <w:tcPr>
            <w:tcW w:w="1237" w:type="dxa"/>
            <w:noWrap w:val="0"/>
            <w:vAlign w:val="center"/>
          </w:tcPr>
          <w:p w14:paraId="022FDC3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=1.9万人</w:t>
            </w:r>
          </w:p>
        </w:tc>
        <w:tc>
          <w:tcPr>
            <w:tcW w:w="730" w:type="dxa"/>
            <w:noWrap w:val="0"/>
            <w:vAlign w:val="center"/>
          </w:tcPr>
          <w:p w14:paraId="25F2497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5" w:type="dxa"/>
            <w:noWrap w:val="0"/>
            <w:vAlign w:val="center"/>
          </w:tcPr>
          <w:p w14:paraId="79E37BB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3" w:type="dxa"/>
            <w:noWrap w:val="0"/>
            <w:vAlign w:val="center"/>
          </w:tcPr>
          <w:p w14:paraId="0332733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36F7E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1C60DB9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79BF2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12" w:type="dxa"/>
            <w:vMerge w:val="continue"/>
            <w:noWrap w:val="0"/>
            <w:vAlign w:val="center"/>
          </w:tcPr>
          <w:p w14:paraId="1B0D37A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223" w:type="dxa"/>
            <w:noWrap w:val="0"/>
            <w:vAlign w:val="center"/>
          </w:tcPr>
          <w:p w14:paraId="01A3AB5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全年累计派出各级检查组</w:t>
            </w:r>
          </w:p>
        </w:tc>
        <w:tc>
          <w:tcPr>
            <w:tcW w:w="1213" w:type="dxa"/>
            <w:noWrap w:val="0"/>
            <w:vAlign w:val="center"/>
          </w:tcPr>
          <w:p w14:paraId="32B5DE2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300个</w:t>
            </w:r>
          </w:p>
        </w:tc>
        <w:tc>
          <w:tcPr>
            <w:tcW w:w="1237" w:type="dxa"/>
            <w:noWrap w:val="0"/>
            <w:vAlign w:val="center"/>
          </w:tcPr>
          <w:p w14:paraId="6E85D8C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=347个</w:t>
            </w:r>
          </w:p>
        </w:tc>
        <w:tc>
          <w:tcPr>
            <w:tcW w:w="730" w:type="dxa"/>
            <w:noWrap w:val="0"/>
            <w:vAlign w:val="center"/>
          </w:tcPr>
          <w:p w14:paraId="365B24C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5" w:type="dxa"/>
            <w:noWrap w:val="0"/>
            <w:vAlign w:val="center"/>
          </w:tcPr>
          <w:p w14:paraId="39780F2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3" w:type="dxa"/>
            <w:noWrap w:val="0"/>
            <w:vAlign w:val="center"/>
          </w:tcPr>
          <w:p w14:paraId="1B97EB8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6D3A5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5204697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63E47D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16A8A2F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质量</w:t>
            </w:r>
          </w:p>
          <w:p w14:paraId="4A874C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3" w:type="dxa"/>
            <w:noWrap w:val="0"/>
            <w:vAlign w:val="center"/>
          </w:tcPr>
          <w:p w14:paraId="4E6AEB6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安全检查重大隐患整改比例</w:t>
            </w:r>
          </w:p>
        </w:tc>
        <w:tc>
          <w:tcPr>
            <w:tcW w:w="1213" w:type="dxa"/>
            <w:noWrap w:val="0"/>
            <w:vAlign w:val="center"/>
          </w:tcPr>
          <w:p w14:paraId="11C5244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237" w:type="dxa"/>
            <w:noWrap w:val="0"/>
            <w:vAlign w:val="center"/>
          </w:tcPr>
          <w:p w14:paraId="0A25A6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=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97.30%。</w:t>
            </w:r>
          </w:p>
        </w:tc>
        <w:tc>
          <w:tcPr>
            <w:tcW w:w="730" w:type="dxa"/>
            <w:noWrap w:val="0"/>
            <w:vAlign w:val="center"/>
          </w:tcPr>
          <w:p w14:paraId="5E4735A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5" w:type="dxa"/>
            <w:noWrap w:val="0"/>
            <w:vAlign w:val="center"/>
          </w:tcPr>
          <w:p w14:paraId="3848481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3" w:type="dxa"/>
            <w:noWrap w:val="0"/>
            <w:vAlign w:val="center"/>
          </w:tcPr>
          <w:p w14:paraId="69538F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54CB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4D1C006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25073D8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3E1968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时效</w:t>
            </w:r>
          </w:p>
          <w:p w14:paraId="154B96B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</w:t>
            </w:r>
          </w:p>
        </w:tc>
        <w:tc>
          <w:tcPr>
            <w:tcW w:w="1223" w:type="dxa"/>
            <w:noWrap w:val="0"/>
            <w:vAlign w:val="center"/>
          </w:tcPr>
          <w:p w14:paraId="3FDFB2E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完成时间</w:t>
            </w:r>
          </w:p>
        </w:tc>
        <w:tc>
          <w:tcPr>
            <w:tcW w:w="1213" w:type="dxa"/>
            <w:noWrap w:val="0"/>
            <w:vAlign w:val="center"/>
          </w:tcPr>
          <w:p w14:paraId="6AC608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2024年12月31日前</w:t>
            </w:r>
          </w:p>
        </w:tc>
        <w:tc>
          <w:tcPr>
            <w:tcW w:w="1237" w:type="dxa"/>
            <w:noWrap w:val="0"/>
            <w:vAlign w:val="center"/>
          </w:tcPr>
          <w:p w14:paraId="21C0153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2024年12月31日</w:t>
            </w:r>
          </w:p>
        </w:tc>
        <w:tc>
          <w:tcPr>
            <w:tcW w:w="730" w:type="dxa"/>
            <w:noWrap w:val="0"/>
            <w:vAlign w:val="center"/>
          </w:tcPr>
          <w:p w14:paraId="53E0C37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5" w:type="dxa"/>
            <w:noWrap w:val="0"/>
            <w:vAlign w:val="center"/>
          </w:tcPr>
          <w:p w14:paraId="6A5A2F0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3" w:type="dxa"/>
            <w:noWrap w:val="0"/>
            <w:vAlign w:val="center"/>
          </w:tcPr>
          <w:p w14:paraId="79EB184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2FE75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3CC82E2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vMerge w:val="restart"/>
            <w:noWrap w:val="0"/>
            <w:vAlign w:val="center"/>
          </w:tcPr>
          <w:p w14:paraId="2692F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效益指标</w:t>
            </w:r>
          </w:p>
          <w:p w14:paraId="16B1706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652064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经济效</w:t>
            </w:r>
          </w:p>
          <w:p w14:paraId="3F5381A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3" w:type="dxa"/>
            <w:noWrap w:val="0"/>
            <w:vAlign w:val="center"/>
          </w:tcPr>
          <w:p w14:paraId="076ED65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为全市工业企业提供生产安全保障</w:t>
            </w:r>
          </w:p>
        </w:tc>
        <w:tc>
          <w:tcPr>
            <w:tcW w:w="1213" w:type="dxa"/>
            <w:noWrap w:val="0"/>
            <w:vAlign w:val="center"/>
          </w:tcPr>
          <w:p w14:paraId="4FD1250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7" w:type="dxa"/>
            <w:noWrap w:val="0"/>
            <w:vAlign w:val="center"/>
          </w:tcPr>
          <w:p w14:paraId="50C75DF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30" w:type="dxa"/>
            <w:noWrap w:val="0"/>
            <w:vAlign w:val="center"/>
          </w:tcPr>
          <w:p w14:paraId="1071A38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5" w:type="dxa"/>
            <w:noWrap w:val="0"/>
            <w:vAlign w:val="center"/>
          </w:tcPr>
          <w:p w14:paraId="78CD07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23" w:type="dxa"/>
            <w:noWrap w:val="0"/>
            <w:vAlign w:val="center"/>
          </w:tcPr>
          <w:p w14:paraId="2B19F8A2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F3DB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18329D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518804F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0328C7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社会效</w:t>
            </w:r>
          </w:p>
          <w:p w14:paraId="7269056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3" w:type="dxa"/>
            <w:noWrap w:val="0"/>
            <w:vAlign w:val="center"/>
          </w:tcPr>
          <w:p w14:paraId="51EF1D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/>
              </w:rPr>
              <w:t>稳定全市工业企业生产安全</w:t>
            </w:r>
          </w:p>
        </w:tc>
        <w:tc>
          <w:tcPr>
            <w:tcW w:w="1213" w:type="dxa"/>
            <w:noWrap w:val="0"/>
            <w:vAlign w:val="center"/>
          </w:tcPr>
          <w:p w14:paraId="1EDD281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7" w:type="dxa"/>
            <w:noWrap w:val="0"/>
            <w:vAlign w:val="center"/>
          </w:tcPr>
          <w:p w14:paraId="756FA94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730" w:type="dxa"/>
            <w:noWrap w:val="0"/>
            <w:vAlign w:val="center"/>
          </w:tcPr>
          <w:p w14:paraId="7173458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5" w:type="dxa"/>
            <w:noWrap w:val="0"/>
            <w:vAlign w:val="center"/>
          </w:tcPr>
          <w:p w14:paraId="7891C74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423" w:type="dxa"/>
            <w:noWrap w:val="0"/>
            <w:vAlign w:val="center"/>
          </w:tcPr>
          <w:p w14:paraId="54A8213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7A3F7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3C5DE9E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2ACFF6B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1C7A93E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生态效</w:t>
            </w:r>
          </w:p>
          <w:p w14:paraId="3AF3463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益指标</w:t>
            </w:r>
          </w:p>
        </w:tc>
        <w:tc>
          <w:tcPr>
            <w:tcW w:w="1223" w:type="dxa"/>
            <w:noWrap w:val="0"/>
            <w:vAlign w:val="center"/>
          </w:tcPr>
          <w:p w14:paraId="03F182B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提高全市工业企业生产效益和质量</w:t>
            </w:r>
          </w:p>
        </w:tc>
        <w:tc>
          <w:tcPr>
            <w:tcW w:w="1213" w:type="dxa"/>
            <w:shd w:val="clear" w:color="auto" w:fill="auto"/>
            <w:noWrap w:val="0"/>
            <w:vAlign w:val="center"/>
          </w:tcPr>
          <w:p w14:paraId="53B58DB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效果明显</w:t>
            </w:r>
          </w:p>
        </w:tc>
        <w:tc>
          <w:tcPr>
            <w:tcW w:w="1237" w:type="dxa"/>
            <w:shd w:val="clear" w:color="auto" w:fill="auto"/>
            <w:noWrap w:val="0"/>
            <w:vAlign w:val="center"/>
          </w:tcPr>
          <w:p w14:paraId="351DB60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效果良好</w:t>
            </w:r>
          </w:p>
        </w:tc>
        <w:tc>
          <w:tcPr>
            <w:tcW w:w="730" w:type="dxa"/>
            <w:noWrap w:val="0"/>
            <w:vAlign w:val="center"/>
          </w:tcPr>
          <w:p w14:paraId="4A26566D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5" w:type="dxa"/>
            <w:noWrap w:val="0"/>
            <w:vAlign w:val="center"/>
          </w:tcPr>
          <w:p w14:paraId="40DDE4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23" w:type="dxa"/>
            <w:noWrap w:val="0"/>
            <w:vAlign w:val="center"/>
          </w:tcPr>
          <w:p w14:paraId="4499090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50571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24B6DAA8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vMerge w:val="continue"/>
            <w:noWrap w:val="0"/>
            <w:vAlign w:val="center"/>
          </w:tcPr>
          <w:p w14:paraId="51316DEB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4CC858F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可持续影响指标</w:t>
            </w:r>
          </w:p>
        </w:tc>
        <w:tc>
          <w:tcPr>
            <w:tcW w:w="1223" w:type="dxa"/>
            <w:noWrap w:val="0"/>
            <w:vAlign w:val="center"/>
          </w:tcPr>
          <w:p w14:paraId="761B0563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项目开展可持续性</w:t>
            </w:r>
          </w:p>
        </w:tc>
        <w:tc>
          <w:tcPr>
            <w:tcW w:w="1213" w:type="dxa"/>
            <w:noWrap w:val="0"/>
            <w:vAlign w:val="center"/>
          </w:tcPr>
          <w:p w14:paraId="5579C52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1237" w:type="dxa"/>
            <w:noWrap w:val="0"/>
            <w:vAlign w:val="center"/>
          </w:tcPr>
          <w:p w14:paraId="361092E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可持续</w:t>
            </w:r>
          </w:p>
        </w:tc>
        <w:tc>
          <w:tcPr>
            <w:tcW w:w="730" w:type="dxa"/>
            <w:noWrap w:val="0"/>
            <w:vAlign w:val="center"/>
          </w:tcPr>
          <w:p w14:paraId="203F0DD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5" w:type="dxa"/>
            <w:noWrap w:val="0"/>
            <w:vAlign w:val="center"/>
          </w:tcPr>
          <w:p w14:paraId="44B7A60A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23" w:type="dxa"/>
            <w:noWrap w:val="0"/>
            <w:vAlign w:val="center"/>
          </w:tcPr>
          <w:p w14:paraId="3089AC3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1AE5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 w14:paraId="6D677CC6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83" w:type="dxa"/>
            <w:noWrap w:val="0"/>
            <w:vAlign w:val="center"/>
          </w:tcPr>
          <w:p w14:paraId="7896E25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满意度</w:t>
            </w:r>
          </w:p>
          <w:p w14:paraId="5092CAA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指标</w:t>
            </w:r>
          </w:p>
          <w:p w14:paraId="33FEDDAC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12" w:type="dxa"/>
            <w:noWrap w:val="0"/>
            <w:vAlign w:val="center"/>
          </w:tcPr>
          <w:p w14:paraId="4B3A3C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服务对象满意度指标</w:t>
            </w:r>
          </w:p>
        </w:tc>
        <w:tc>
          <w:tcPr>
            <w:tcW w:w="1223" w:type="dxa"/>
            <w:noWrap w:val="0"/>
            <w:vAlign w:val="center"/>
          </w:tcPr>
          <w:p w14:paraId="0FFBF22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服务对象满意度</w:t>
            </w:r>
          </w:p>
        </w:tc>
        <w:tc>
          <w:tcPr>
            <w:tcW w:w="1213" w:type="dxa"/>
            <w:noWrap w:val="0"/>
            <w:vAlign w:val="center"/>
          </w:tcPr>
          <w:p w14:paraId="082091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1237" w:type="dxa"/>
            <w:noWrap w:val="0"/>
            <w:vAlign w:val="center"/>
          </w:tcPr>
          <w:p w14:paraId="1FF8F1B4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≥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730" w:type="dxa"/>
            <w:noWrap w:val="0"/>
            <w:vAlign w:val="center"/>
          </w:tcPr>
          <w:p w14:paraId="70604E55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5" w:type="dxa"/>
            <w:noWrap w:val="0"/>
            <w:vAlign w:val="center"/>
          </w:tcPr>
          <w:p w14:paraId="7774F0E9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423" w:type="dxa"/>
            <w:noWrap w:val="0"/>
            <w:vAlign w:val="center"/>
          </w:tcPr>
          <w:p w14:paraId="3BA7DE3F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30172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6851" w:type="dxa"/>
            <w:gridSpan w:val="6"/>
            <w:noWrap w:val="0"/>
            <w:vAlign w:val="center"/>
          </w:tcPr>
          <w:p w14:paraId="66DD9321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总分</w:t>
            </w:r>
          </w:p>
        </w:tc>
        <w:tc>
          <w:tcPr>
            <w:tcW w:w="730" w:type="dxa"/>
            <w:noWrap w:val="0"/>
            <w:vAlign w:val="center"/>
          </w:tcPr>
          <w:p w14:paraId="7A1CDED7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100</w:t>
            </w:r>
          </w:p>
        </w:tc>
        <w:tc>
          <w:tcPr>
            <w:tcW w:w="875" w:type="dxa"/>
            <w:noWrap w:val="0"/>
            <w:vAlign w:val="center"/>
          </w:tcPr>
          <w:p w14:paraId="76998BE0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99</w:t>
            </w:r>
          </w:p>
        </w:tc>
        <w:tc>
          <w:tcPr>
            <w:tcW w:w="1423" w:type="dxa"/>
            <w:noWrap w:val="0"/>
            <w:vAlign w:val="center"/>
          </w:tcPr>
          <w:p w14:paraId="1A47532E">
            <w:pPr>
              <w:keepNext w:val="0"/>
              <w:keepLines w:val="0"/>
              <w:pageBreakBefore w:val="0"/>
              <w:widowControl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</w:p>
        </w:tc>
      </w:tr>
    </w:tbl>
    <w:p w14:paraId="67F1B798">
      <w:pPr>
        <w:widowControl w:val="0"/>
        <w:shd w:val="clear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587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3A9B683-AF98-46D4-BA73-8FBD21B3931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4B50E73-788B-4D4F-9455-1A2A3FBE775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1A66CC7-DDFC-4761-A9B0-D84F25BE3E2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3F22CE7"/>
    <w:rsid w:val="04104682"/>
    <w:rsid w:val="05E95AA6"/>
    <w:rsid w:val="0990355B"/>
    <w:rsid w:val="0C180A78"/>
    <w:rsid w:val="0D276746"/>
    <w:rsid w:val="0D464D9C"/>
    <w:rsid w:val="0DD52794"/>
    <w:rsid w:val="0E956870"/>
    <w:rsid w:val="0F2477F3"/>
    <w:rsid w:val="10C666A5"/>
    <w:rsid w:val="1223366A"/>
    <w:rsid w:val="143877FD"/>
    <w:rsid w:val="165247B2"/>
    <w:rsid w:val="175E2FB9"/>
    <w:rsid w:val="17FCFFF6"/>
    <w:rsid w:val="19E805B2"/>
    <w:rsid w:val="1C200EAE"/>
    <w:rsid w:val="1CBF872E"/>
    <w:rsid w:val="22FE234B"/>
    <w:rsid w:val="277E6F02"/>
    <w:rsid w:val="2854472F"/>
    <w:rsid w:val="2902642B"/>
    <w:rsid w:val="29990575"/>
    <w:rsid w:val="2AF6742D"/>
    <w:rsid w:val="2F780147"/>
    <w:rsid w:val="312A2265"/>
    <w:rsid w:val="31B80AAD"/>
    <w:rsid w:val="333F3E43"/>
    <w:rsid w:val="33791178"/>
    <w:rsid w:val="36FC0F5D"/>
    <w:rsid w:val="375773F8"/>
    <w:rsid w:val="382C5E8C"/>
    <w:rsid w:val="393E32BB"/>
    <w:rsid w:val="3A8056BB"/>
    <w:rsid w:val="3C666012"/>
    <w:rsid w:val="3EFDDE87"/>
    <w:rsid w:val="419B2857"/>
    <w:rsid w:val="41D71DA8"/>
    <w:rsid w:val="438D0328"/>
    <w:rsid w:val="45DD452D"/>
    <w:rsid w:val="46A533E2"/>
    <w:rsid w:val="48AC7787"/>
    <w:rsid w:val="4B360391"/>
    <w:rsid w:val="4C6611ED"/>
    <w:rsid w:val="4D5D3BD3"/>
    <w:rsid w:val="4E1554DE"/>
    <w:rsid w:val="4EB7F892"/>
    <w:rsid w:val="4F0A0725"/>
    <w:rsid w:val="4F2A1121"/>
    <w:rsid w:val="51C26780"/>
    <w:rsid w:val="54B716A8"/>
    <w:rsid w:val="54CA6A02"/>
    <w:rsid w:val="552A0475"/>
    <w:rsid w:val="55BF6A67"/>
    <w:rsid w:val="566724D3"/>
    <w:rsid w:val="578D10CB"/>
    <w:rsid w:val="5836254D"/>
    <w:rsid w:val="5A5915AC"/>
    <w:rsid w:val="5ABBC979"/>
    <w:rsid w:val="5BFC7B3B"/>
    <w:rsid w:val="5CC037AD"/>
    <w:rsid w:val="5DA83682"/>
    <w:rsid w:val="5E77C7C6"/>
    <w:rsid w:val="5FFFAAE0"/>
    <w:rsid w:val="61A657A9"/>
    <w:rsid w:val="65784102"/>
    <w:rsid w:val="66347B2F"/>
    <w:rsid w:val="667FD72C"/>
    <w:rsid w:val="696E0130"/>
    <w:rsid w:val="6A12486A"/>
    <w:rsid w:val="6ABE64BE"/>
    <w:rsid w:val="6B5F16C5"/>
    <w:rsid w:val="6CB93DB8"/>
    <w:rsid w:val="6CF3EA5A"/>
    <w:rsid w:val="6D68758C"/>
    <w:rsid w:val="6D707205"/>
    <w:rsid w:val="6FC05772"/>
    <w:rsid w:val="72D00EF6"/>
    <w:rsid w:val="74561A35"/>
    <w:rsid w:val="753C4E9B"/>
    <w:rsid w:val="75596138"/>
    <w:rsid w:val="769B7804"/>
    <w:rsid w:val="779FCBF0"/>
    <w:rsid w:val="77F7E21B"/>
    <w:rsid w:val="781113A7"/>
    <w:rsid w:val="785426BD"/>
    <w:rsid w:val="788E7812"/>
    <w:rsid w:val="791E6510"/>
    <w:rsid w:val="796B468C"/>
    <w:rsid w:val="79E2F975"/>
    <w:rsid w:val="7B134407"/>
    <w:rsid w:val="7B3BDBF2"/>
    <w:rsid w:val="7C8D4A41"/>
    <w:rsid w:val="7DB3604F"/>
    <w:rsid w:val="7EBDCBBF"/>
    <w:rsid w:val="7EC74CC1"/>
    <w:rsid w:val="7EE6408F"/>
    <w:rsid w:val="7F3EB32E"/>
    <w:rsid w:val="7F5F3F3B"/>
    <w:rsid w:val="7F5FE5E8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标题1"/>
    <w:basedOn w:val="3"/>
    <w:qFormat/>
    <w:uiPriority w:val="0"/>
    <w:rPr>
      <w:rFonts w:eastAsia="黑体"/>
    </w:rPr>
  </w:style>
  <w:style w:type="paragraph" w:customStyle="1" w:styleId="13">
    <w:name w:val="首行缩进"/>
    <w:basedOn w:val="1"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640</Words>
  <Characters>741</Characters>
  <Lines>0</Lines>
  <Paragraphs>0</Paragraphs>
  <TotalTime>0</TotalTime>
  <ScaleCrop>false</ScaleCrop>
  <LinksUpToDate>false</LinksUpToDate>
  <CharactersWithSpaces>788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奋斗兔</cp:lastModifiedBy>
  <cp:lastPrinted>2025-04-10T10:25:00Z</cp:lastPrinted>
  <dcterms:modified xsi:type="dcterms:W3CDTF">2025-08-15T01:01:54Z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eyJoZGlkIjoiN2ExNjRmZDRjMjYzOWQyOWI4NzRhYjNmZjRkYzQ0OTIiLCJ1c2VySWQiOiIzMDU0MjI5MzMifQ==</vt:lpwstr>
  </property>
</Properties>
</file>