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line="600" w:lineRule="exact"/>
        <w:ind w:firstLine="960" w:firstLineChars="200"/>
        <w:jc w:val="center"/>
        <w:textAlignment w:val="auto"/>
        <w:rPr>
          <w:b/>
          <w:bCs/>
          <w:i w:val="0"/>
          <w:iCs w:val="0"/>
          <w:caps w:val="0"/>
          <w:color w:val="333333"/>
          <w:spacing w:val="0"/>
          <w:sz w:val="45"/>
          <w:szCs w:val="45"/>
        </w:rPr>
      </w:pPr>
      <w:r>
        <w:rPr>
          <w:rFonts w:hint="eastAsia" w:ascii="黑体" w:hAnsi="黑体" w:eastAsia="黑体" w:cs="黑体"/>
          <w:bCs/>
          <w:kern w:val="0"/>
          <w:sz w:val="48"/>
          <w:szCs w:val="48"/>
          <w:lang w:val="en-US" w:eastAsia="zh-CN"/>
        </w:rPr>
        <w:t>2021</w:t>
      </w:r>
      <w:r>
        <w:rPr>
          <w:rFonts w:hint="eastAsia" w:ascii="黑体" w:hAnsi="黑体" w:eastAsia="黑体" w:cs="黑体"/>
          <w:bCs/>
          <w:kern w:val="0"/>
          <w:sz w:val="48"/>
          <w:szCs w:val="48"/>
        </w:rPr>
        <w:t>年</w:t>
      </w:r>
      <w:r>
        <w:rPr>
          <w:b/>
          <w:bCs/>
          <w:i w:val="0"/>
          <w:iCs w:val="0"/>
          <w:caps w:val="0"/>
          <w:color w:val="333333"/>
          <w:spacing w:val="0"/>
          <w:sz w:val="45"/>
          <w:szCs w:val="45"/>
        </w:rPr>
        <w:t>怀化市商业企业改制服务办公室</w:t>
      </w:r>
    </w:p>
    <w:p>
      <w:pPr>
        <w:keepNext w:val="0"/>
        <w:keepLines w:val="0"/>
        <w:pageBreakBefore w:val="0"/>
        <w:widowControl/>
        <w:kinsoku/>
        <w:wordWrap/>
        <w:overflowPunct/>
        <w:topLinePunct w:val="0"/>
        <w:bidi w:val="0"/>
        <w:snapToGrid/>
        <w:spacing w:line="600" w:lineRule="exact"/>
        <w:ind w:firstLine="904" w:firstLineChars="200"/>
        <w:jc w:val="center"/>
        <w:textAlignment w:val="auto"/>
        <w:rPr>
          <w:b/>
          <w:bCs/>
          <w:i w:val="0"/>
          <w:iCs w:val="0"/>
          <w:caps w:val="0"/>
          <w:color w:val="333333"/>
          <w:spacing w:val="0"/>
          <w:sz w:val="45"/>
          <w:szCs w:val="45"/>
        </w:rPr>
      </w:pPr>
      <w:r>
        <w:rPr>
          <w:rFonts w:hint="eastAsia"/>
          <w:b/>
          <w:bCs/>
          <w:i w:val="0"/>
          <w:iCs w:val="0"/>
          <w:caps w:val="0"/>
          <w:color w:val="333333"/>
          <w:spacing w:val="0"/>
          <w:sz w:val="45"/>
          <w:szCs w:val="45"/>
        </w:rPr>
        <w:t>决算</w:t>
      </w:r>
    </w:p>
    <w:p>
      <w:pPr>
        <w:keepNext w:val="0"/>
        <w:keepLines w:val="0"/>
        <w:pageBreakBefore w:val="0"/>
        <w:widowControl/>
        <w:kinsoku/>
        <w:wordWrap/>
        <w:overflowPunct/>
        <w:topLinePunct w:val="0"/>
        <w:bidi w:val="0"/>
        <w:snapToGrid/>
        <w:spacing w:line="600" w:lineRule="exact"/>
        <w:ind w:firstLine="640" w:firstLineChars="200"/>
        <w:jc w:val="center"/>
        <w:textAlignment w:val="auto"/>
        <w:rPr>
          <w:rFonts w:eastAsia="楷体_GB2312"/>
          <w:bCs/>
          <w:kern w:val="0"/>
          <w:sz w:val="32"/>
          <w:szCs w:val="32"/>
        </w:rPr>
      </w:pPr>
    </w:p>
    <w:p>
      <w:pPr>
        <w:keepNext w:val="0"/>
        <w:keepLines w:val="0"/>
        <w:pageBreakBefore w:val="0"/>
        <w:widowControl/>
        <w:kinsoku/>
        <w:wordWrap/>
        <w:overflowPunct/>
        <w:topLinePunct w:val="0"/>
        <w:bidi w:val="0"/>
        <w:snapToGrid/>
        <w:spacing w:line="600" w:lineRule="exact"/>
        <w:ind w:firstLine="640" w:firstLineChars="200"/>
        <w:jc w:val="center"/>
        <w:textAlignment w:val="auto"/>
        <w:rPr>
          <w:rFonts w:eastAsia="黑体"/>
          <w:bCs/>
          <w:kern w:val="0"/>
          <w:sz w:val="32"/>
          <w:szCs w:val="32"/>
        </w:rPr>
      </w:pPr>
      <w:r>
        <w:rPr>
          <w:rFonts w:eastAsia="黑体"/>
          <w:bCs/>
          <w:kern w:val="0"/>
          <w:sz w:val="32"/>
          <w:szCs w:val="32"/>
        </w:rPr>
        <w:t>目录</w:t>
      </w:r>
    </w:p>
    <w:p>
      <w:pPr>
        <w:keepNext w:val="0"/>
        <w:keepLines w:val="0"/>
        <w:pageBreakBefore w:val="0"/>
        <w:widowControl/>
        <w:kinsoku/>
        <w:wordWrap/>
        <w:overflowPunct/>
        <w:topLinePunct w:val="0"/>
        <w:bidi w:val="0"/>
        <w:snapToGrid/>
        <w:spacing w:line="600" w:lineRule="exact"/>
        <w:ind w:firstLine="640" w:firstLineChars="200"/>
        <w:jc w:val="center"/>
        <w:textAlignment w:val="auto"/>
        <w:rPr>
          <w:rFonts w:eastAsia="黑体"/>
          <w:bCs/>
          <w:kern w:val="0"/>
          <w:sz w:val="32"/>
          <w:szCs w:val="32"/>
        </w:rPr>
      </w:pP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第一部分怀化市商业企业改制服务部门概况</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第二部分</w:t>
      </w:r>
      <w:r>
        <w:rPr>
          <w:rFonts w:hint="eastAsia" w:ascii="黑体" w:hAnsi="黑体" w:eastAsia="黑体" w:cs="黑体"/>
          <w:b/>
          <w:bCs/>
          <w:kern w:val="0"/>
          <w:sz w:val="32"/>
          <w:szCs w:val="32"/>
          <w:lang w:val="en-US" w:eastAsia="zh-CN"/>
        </w:rPr>
        <w:t>2021年度</w:t>
      </w:r>
      <w:r>
        <w:rPr>
          <w:rFonts w:hint="eastAsia" w:ascii="黑体" w:hAnsi="黑体" w:eastAsia="黑体" w:cs="黑体"/>
          <w:b/>
          <w:bCs/>
          <w:kern w:val="0"/>
          <w:sz w:val="32"/>
          <w:szCs w:val="32"/>
        </w:rPr>
        <w:t>部门决算表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w:t>
      </w:r>
      <w:r>
        <w:rPr>
          <w:rFonts w:hint="eastAsia" w:ascii="仿宋" w:hAnsi="仿宋" w:eastAsia="仿宋" w:cs="仿宋"/>
          <w:sz w:val="32"/>
          <w:szCs w:val="32"/>
          <w:highlight w:val="none"/>
        </w:rPr>
        <w:t>国有资本经营预算财政拨款支出决算表</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eastAsia="仿宋_GB2312"/>
          <w:b/>
          <w:bCs/>
          <w:kern w:val="0"/>
          <w:sz w:val="32"/>
          <w:szCs w:val="32"/>
        </w:rPr>
      </w:pPr>
      <w:r>
        <w:rPr>
          <w:rFonts w:hint="eastAsia" w:ascii="黑体" w:hAnsi="黑体" w:eastAsia="黑体" w:cs="黑体"/>
          <w:b/>
          <w:bCs/>
          <w:kern w:val="0"/>
          <w:sz w:val="32"/>
          <w:szCs w:val="32"/>
        </w:rPr>
        <w:t>第三部分</w:t>
      </w:r>
      <w:r>
        <w:rPr>
          <w:rFonts w:hint="eastAsia" w:ascii="黑体" w:hAnsi="黑体" w:eastAsia="黑体" w:cs="黑体"/>
          <w:b/>
          <w:bCs/>
          <w:kern w:val="0"/>
          <w:sz w:val="32"/>
          <w:szCs w:val="32"/>
          <w:lang w:val="en-US" w:eastAsia="zh-CN"/>
        </w:rPr>
        <w:t>2021</w:t>
      </w:r>
      <w:r>
        <w:rPr>
          <w:rFonts w:hint="eastAsia" w:ascii="黑体" w:hAnsi="黑体" w:eastAsia="黑体" w:cs="黑体"/>
          <w:b/>
          <w:bCs/>
          <w:kern w:val="0"/>
          <w:sz w:val="32"/>
          <w:szCs w:val="32"/>
        </w:rPr>
        <w:t>年度部门决算情况说明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八、政府性基金预算收入支出决算情况</w:t>
      </w:r>
      <w:r>
        <w:rPr>
          <w:rFonts w:hint="eastAsia" w:ascii="仿宋" w:hAnsi="仿宋" w:eastAsia="仿宋" w:cs="仿宋"/>
          <w:sz w:val="32"/>
          <w:szCs w:val="32"/>
          <w:highlight w:val="none"/>
          <w:lang w:val="en-US" w:eastAsia="zh-CN"/>
        </w:rPr>
        <w:t>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九、国有资本经营预算财政拨款支出</w:t>
      </w:r>
      <w:r>
        <w:rPr>
          <w:rFonts w:hint="eastAsia" w:ascii="仿宋" w:hAnsi="仿宋" w:eastAsia="仿宋" w:cs="仿宋"/>
          <w:sz w:val="32"/>
          <w:szCs w:val="32"/>
          <w:highlight w:val="none"/>
        </w:rPr>
        <w:t>决算情况</w:t>
      </w:r>
      <w:r>
        <w:rPr>
          <w:rFonts w:hint="eastAsia" w:ascii="仿宋" w:hAnsi="仿宋" w:eastAsia="仿宋" w:cs="仿宋"/>
          <w:sz w:val="32"/>
          <w:szCs w:val="32"/>
          <w:highlight w:val="none"/>
          <w:lang w:val="en-US" w:eastAsia="zh-CN"/>
        </w:rPr>
        <w:t>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lang w:val="en-US" w:eastAsia="zh-CN"/>
        </w:rPr>
        <w:t>十</w:t>
      </w:r>
      <w:r>
        <w:rPr>
          <w:rFonts w:hint="eastAsia" w:ascii="仿宋" w:hAnsi="仿宋" w:eastAsia="仿宋" w:cs="仿宋"/>
          <w:i w:val="0"/>
          <w:iCs w:val="0"/>
          <w:caps w:val="0"/>
          <w:color w:val="333333"/>
          <w:spacing w:val="0"/>
          <w:sz w:val="32"/>
          <w:szCs w:val="32"/>
          <w:highlight w:val="none"/>
          <w:shd w:val="clear" w:color="auto" w:fill="FFFFFF"/>
        </w:rPr>
        <w:t>、关于机关运行经费支出说明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lang w:val="en-US" w:eastAsia="zh-CN"/>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一</w:t>
      </w:r>
      <w:r>
        <w:rPr>
          <w:rFonts w:hint="eastAsia" w:ascii="仿宋" w:hAnsi="仿宋" w:eastAsia="仿宋" w:cs="仿宋"/>
          <w:i w:val="0"/>
          <w:iCs w:val="0"/>
          <w:caps w:val="0"/>
          <w:color w:val="333333"/>
          <w:spacing w:val="0"/>
          <w:sz w:val="32"/>
          <w:szCs w:val="32"/>
          <w:highlight w:val="none"/>
          <w:shd w:val="clear" w:color="auto" w:fill="FFFFFF"/>
        </w:rPr>
        <w:t>、一般性支出情况</w:t>
      </w:r>
      <w:r>
        <w:rPr>
          <w:rFonts w:hint="eastAsia" w:ascii="仿宋" w:hAnsi="仿宋" w:eastAsia="仿宋" w:cs="仿宋"/>
          <w:i w:val="0"/>
          <w:iCs w:val="0"/>
          <w:caps w:val="0"/>
          <w:color w:val="333333"/>
          <w:spacing w:val="0"/>
          <w:sz w:val="32"/>
          <w:szCs w:val="32"/>
          <w:highlight w:val="none"/>
          <w:shd w:val="clear" w:color="auto" w:fill="FFFFFF"/>
          <w:lang w:val="en-US" w:eastAsia="zh-CN"/>
        </w:rPr>
        <w:t>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二</w:t>
      </w:r>
      <w:r>
        <w:rPr>
          <w:rFonts w:hint="eastAsia" w:ascii="仿宋" w:hAnsi="仿宋" w:eastAsia="仿宋" w:cs="仿宋"/>
          <w:i w:val="0"/>
          <w:iCs w:val="0"/>
          <w:caps w:val="0"/>
          <w:color w:val="333333"/>
          <w:spacing w:val="0"/>
          <w:sz w:val="32"/>
          <w:szCs w:val="32"/>
          <w:highlight w:val="none"/>
          <w:shd w:val="clear" w:color="auto" w:fill="FFFFFF"/>
        </w:rPr>
        <w:t>、关于政府采购支出说明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三</w:t>
      </w:r>
      <w:r>
        <w:rPr>
          <w:rFonts w:hint="eastAsia" w:ascii="仿宋" w:hAnsi="仿宋" w:eastAsia="仿宋" w:cs="仿宋"/>
          <w:i w:val="0"/>
          <w:iCs w:val="0"/>
          <w:caps w:val="0"/>
          <w:color w:val="333333"/>
          <w:spacing w:val="0"/>
          <w:sz w:val="32"/>
          <w:szCs w:val="32"/>
          <w:highlight w:val="none"/>
          <w:shd w:val="clear" w:color="auto" w:fill="FFFFFF"/>
        </w:rPr>
        <w:t>、关于国有资产占用情况说明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w:t>
      </w:r>
      <w:r>
        <w:rPr>
          <w:rFonts w:hint="eastAsia" w:ascii="仿宋" w:hAnsi="仿宋" w:eastAsia="仿宋" w:cs="仿宋"/>
          <w:i w:val="0"/>
          <w:iCs w:val="0"/>
          <w:caps w:val="0"/>
          <w:color w:val="333333"/>
          <w:spacing w:val="0"/>
          <w:sz w:val="32"/>
          <w:szCs w:val="32"/>
          <w:highlight w:val="none"/>
          <w:shd w:val="clear" w:color="auto" w:fill="FFFFFF"/>
          <w:lang w:val="en-US" w:eastAsia="zh-CN"/>
        </w:rPr>
        <w:t>四</w:t>
      </w:r>
      <w:r>
        <w:rPr>
          <w:rFonts w:hint="eastAsia" w:ascii="仿宋" w:hAnsi="仿宋" w:eastAsia="仿宋" w:cs="仿宋"/>
          <w:i w:val="0"/>
          <w:iCs w:val="0"/>
          <w:caps w:val="0"/>
          <w:color w:val="333333"/>
          <w:spacing w:val="0"/>
          <w:sz w:val="32"/>
          <w:szCs w:val="32"/>
          <w:highlight w:val="none"/>
          <w:shd w:val="clear" w:color="auto" w:fill="FFFFFF"/>
        </w:rPr>
        <w:t>、关于2021年度预算绩效情况的说明</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第四部分名词解释</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第五部分附件</w:t>
      </w: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p>
    <w:p>
      <w:pPr>
        <w:pStyle w:val="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w:t>
      </w:r>
      <w:r>
        <w:rPr>
          <w:rFonts w:hint="eastAsia" w:ascii="仿宋" w:hAnsi="仿宋" w:eastAsia="仿宋" w:cs="仿宋"/>
          <w:b/>
          <w:bCs/>
          <w:i w:val="0"/>
          <w:iCs w:val="0"/>
          <w:caps w:val="0"/>
          <w:color w:val="333333"/>
          <w:spacing w:val="0"/>
          <w:sz w:val="32"/>
          <w:szCs w:val="32"/>
          <w:highlight w:val="none"/>
          <w:shd w:val="clear" w:color="auto" w:fill="FFFFFF"/>
        </w:rPr>
        <w:t>            第一部分</w:t>
      </w:r>
    </w:p>
    <w:p>
      <w:pPr>
        <w:pStyle w:val="7"/>
        <w:keepNext w:val="0"/>
        <w:keepLines w:val="0"/>
        <w:pageBreakBefore w:val="0"/>
        <w:kinsoku/>
        <w:wordWrap/>
        <w:overflowPunct/>
        <w:topLinePunct w:val="0"/>
        <w:bidi w:val="0"/>
        <w:snapToGrid/>
        <w:spacing w:line="600" w:lineRule="exact"/>
        <w:ind w:firstLine="643"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b/>
          <w:bCs/>
          <w:i w:val="0"/>
          <w:iCs w:val="0"/>
          <w:caps w:val="0"/>
          <w:color w:val="333333"/>
          <w:spacing w:val="0"/>
          <w:sz w:val="32"/>
          <w:szCs w:val="32"/>
          <w:highlight w:val="none"/>
          <w:shd w:val="clear" w:color="auto" w:fill="FFFFFF"/>
        </w:rPr>
        <w:t>         怀化市商业企业改制服务办公室概况</w:t>
      </w:r>
    </w:p>
    <w:p>
      <w:pPr>
        <w:pStyle w:val="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一、部门职责</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我办是2015年市政府机构改革时，由原怀化市商业行业管理办公室和原怀化市物资行业管理办公室撤并为怀化市商业企业改制服务办公室，是参照公务员法管理的财政全额拨款事业单位。</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 (一)负责指导全市国有商业企业的改制工作，承担市直国有商业、物资企业的改制服务工作，协调处理市直国有商业、物资企业的改制问题及改制遗留等问题；</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（二）负责所属离、退休人员的管理与服务工作；</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（三）受国有资产监督管理委员会委托，负责所属企业的国有资产管理与监督； 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（四）负责商贸流通改制企业无房户职工安置； 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（五）承办市委、市人民政府交办的其他事项。 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 二、机构设置及决算单位构成  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 (一)内设机构设置。本部门作为一级部门预算单位，内设机构包括：综合科、改制科、人事科3个科室。</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（二）决算单位构成。怀化市商业企业改制服务办公室2021年部门决算汇总公开单位构成包括：怀化市商业企业改制服务办公室部门本级，无二级部门预算单位。</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center"/>
        <w:textAlignment w:val="auto"/>
        <w:rPr>
          <w:rFonts w:hint="eastAsia" w:ascii="仿宋" w:hAnsi="仿宋" w:eastAsia="仿宋" w:cs="仿宋"/>
          <w:b/>
          <w:bCs/>
          <w:i w:val="0"/>
          <w:iCs w:val="0"/>
          <w:caps w:val="0"/>
          <w:color w:val="333333"/>
          <w:spacing w:val="0"/>
          <w:sz w:val="32"/>
          <w:szCs w:val="32"/>
          <w:highlight w:val="none"/>
          <w:shd w:val="clear" w:color="auto" w:fill="FFFFFF"/>
        </w:rPr>
      </w:pPr>
      <w:r>
        <w:rPr>
          <w:rFonts w:hint="eastAsia" w:ascii="仿宋" w:hAnsi="仿宋" w:eastAsia="仿宋" w:cs="仿宋"/>
          <w:b/>
          <w:bCs/>
          <w:i w:val="0"/>
          <w:iCs w:val="0"/>
          <w:caps w:val="0"/>
          <w:color w:val="333333"/>
          <w:spacing w:val="0"/>
          <w:sz w:val="32"/>
          <w:szCs w:val="32"/>
          <w:highlight w:val="none"/>
          <w:shd w:val="clear" w:color="auto" w:fill="FFFFFF"/>
        </w:rPr>
        <w:t>第二部分</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详情见附件）</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center"/>
        <w:textAlignment w:val="auto"/>
        <w:rPr>
          <w:rFonts w:hint="eastAsia" w:ascii="仿宋" w:hAnsi="仿宋" w:eastAsia="仿宋" w:cs="仿宋"/>
          <w:b/>
          <w:bCs/>
          <w:i w:val="0"/>
          <w:iCs w:val="0"/>
          <w:caps w:val="0"/>
          <w:color w:val="333333"/>
          <w:spacing w:val="0"/>
          <w:sz w:val="32"/>
          <w:szCs w:val="32"/>
          <w:highlight w:val="none"/>
          <w:shd w:val="clear" w:color="auto" w:fill="FFFFFF"/>
        </w:rPr>
      </w:pPr>
      <w:r>
        <w:rPr>
          <w:rFonts w:hint="eastAsia" w:ascii="仿宋" w:hAnsi="仿宋" w:eastAsia="仿宋" w:cs="仿宋"/>
          <w:b/>
          <w:bCs/>
          <w:i w:val="0"/>
          <w:iCs w:val="0"/>
          <w:caps w:val="0"/>
          <w:color w:val="333333"/>
          <w:spacing w:val="0"/>
          <w:sz w:val="32"/>
          <w:szCs w:val="32"/>
          <w:highlight w:val="none"/>
          <w:shd w:val="clear" w:color="auto" w:fill="FFFFFF"/>
        </w:rPr>
        <w:t>第三部分</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center"/>
        <w:textAlignment w:val="auto"/>
        <w:rPr>
          <w:rFonts w:hint="eastAsia" w:ascii="仿宋" w:hAnsi="仿宋" w:eastAsia="仿宋" w:cs="仿宋"/>
          <w:b/>
          <w:bCs/>
          <w:i w:val="0"/>
          <w:iCs w:val="0"/>
          <w:caps w:val="0"/>
          <w:color w:val="333333"/>
          <w:spacing w:val="0"/>
          <w:sz w:val="32"/>
          <w:szCs w:val="32"/>
          <w:highlight w:val="none"/>
          <w:shd w:val="clear" w:color="auto" w:fill="FFFFFF"/>
        </w:rPr>
      </w:pPr>
      <w:r>
        <w:rPr>
          <w:rFonts w:hint="eastAsia" w:ascii="仿宋" w:hAnsi="仿宋" w:eastAsia="仿宋" w:cs="仿宋"/>
          <w:b/>
          <w:bCs/>
          <w:i w:val="0"/>
          <w:iCs w:val="0"/>
          <w:caps w:val="0"/>
          <w:color w:val="333333"/>
          <w:spacing w:val="0"/>
          <w:sz w:val="32"/>
          <w:szCs w:val="32"/>
          <w:highlight w:val="none"/>
          <w:shd w:val="clear" w:color="auto" w:fill="FFFFFF"/>
        </w:rPr>
        <w:t>202</w:t>
      </w:r>
      <w:r>
        <w:rPr>
          <w:rFonts w:hint="eastAsia" w:ascii="仿宋" w:hAnsi="仿宋" w:eastAsia="仿宋" w:cs="仿宋"/>
          <w:b/>
          <w:bCs/>
          <w:i w:val="0"/>
          <w:iCs w:val="0"/>
          <w:caps w:val="0"/>
          <w:color w:val="333333"/>
          <w:spacing w:val="0"/>
          <w:sz w:val="32"/>
          <w:szCs w:val="32"/>
          <w:highlight w:val="none"/>
          <w:shd w:val="clear" w:color="auto" w:fill="FFFFFF"/>
          <w:lang w:val="en-US" w:eastAsia="zh-CN"/>
        </w:rPr>
        <w:t>1</w:t>
      </w:r>
      <w:r>
        <w:rPr>
          <w:rFonts w:hint="eastAsia" w:ascii="仿宋" w:hAnsi="仿宋" w:eastAsia="仿宋" w:cs="仿宋"/>
          <w:b/>
          <w:bCs/>
          <w:i w:val="0"/>
          <w:iCs w:val="0"/>
          <w:caps w:val="0"/>
          <w:color w:val="333333"/>
          <w:spacing w:val="0"/>
          <w:sz w:val="32"/>
          <w:szCs w:val="32"/>
          <w:highlight w:val="none"/>
          <w:shd w:val="clear" w:color="auto" w:fill="FFFFFF"/>
        </w:rPr>
        <w:t>年度部门决算情况说明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center"/>
        <w:textAlignment w:val="auto"/>
        <w:rPr>
          <w:rFonts w:hint="eastAsia" w:ascii="仿宋" w:hAnsi="仿宋" w:eastAsia="仿宋" w:cs="仿宋"/>
          <w:b/>
          <w:bCs/>
          <w:i w:val="0"/>
          <w:iCs w:val="0"/>
          <w:caps w:val="0"/>
          <w:color w:val="333333"/>
          <w:spacing w:val="0"/>
          <w:sz w:val="32"/>
          <w:szCs w:val="32"/>
          <w:highlight w:val="none"/>
          <w:shd w:val="clear" w:color="auto" w:fill="FFFFFF"/>
        </w:rPr>
      </w:pPr>
      <w:r>
        <w:rPr>
          <w:rFonts w:hint="eastAsia" w:ascii="仿宋" w:hAnsi="仿宋" w:eastAsia="仿宋" w:cs="仿宋"/>
          <w:b/>
          <w:bCs/>
          <w:i w:val="0"/>
          <w:iCs w:val="0"/>
          <w:caps w:val="0"/>
          <w:color w:val="333333"/>
          <w:spacing w:val="0"/>
          <w:sz w:val="32"/>
          <w:szCs w:val="32"/>
          <w:highlight w:val="none"/>
          <w:shd w:val="clear" w:color="auto" w:fill="FFFFFF"/>
        </w:rPr>
        <w:t>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一、收入支出决算总体情况说明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2021年度收入、支出总计</w:t>
      </w:r>
      <w:r>
        <w:rPr>
          <w:rFonts w:hint="eastAsia" w:ascii="仿宋" w:hAnsi="仿宋" w:eastAsia="仿宋" w:cs="仿宋"/>
          <w:i w:val="0"/>
          <w:iCs w:val="0"/>
          <w:caps w:val="0"/>
          <w:color w:val="333333"/>
          <w:spacing w:val="0"/>
          <w:sz w:val="32"/>
          <w:szCs w:val="32"/>
          <w:highlight w:val="none"/>
          <w:shd w:val="clear" w:color="auto" w:fill="FFFFFF"/>
          <w:lang w:val="en-US" w:eastAsia="zh-CN"/>
        </w:rPr>
        <w:t>各1653.85</w:t>
      </w:r>
      <w:r>
        <w:rPr>
          <w:rFonts w:hint="eastAsia" w:ascii="仿宋" w:hAnsi="仿宋" w:eastAsia="仿宋" w:cs="仿宋"/>
          <w:i w:val="0"/>
          <w:iCs w:val="0"/>
          <w:caps w:val="0"/>
          <w:color w:val="333333"/>
          <w:spacing w:val="0"/>
          <w:sz w:val="32"/>
          <w:szCs w:val="32"/>
          <w:highlight w:val="none"/>
          <w:shd w:val="clear" w:color="auto" w:fill="FFFFFF"/>
        </w:rPr>
        <w:t>万元，与2020年相比，减少95.7万元，减少</w:t>
      </w:r>
      <w:r>
        <w:rPr>
          <w:rFonts w:hint="eastAsia" w:ascii="仿宋" w:hAnsi="仿宋" w:eastAsia="仿宋" w:cs="仿宋"/>
          <w:i w:val="0"/>
          <w:iCs w:val="0"/>
          <w:caps w:val="0"/>
          <w:color w:val="333333"/>
          <w:spacing w:val="0"/>
          <w:sz w:val="32"/>
          <w:szCs w:val="32"/>
          <w:highlight w:val="none"/>
          <w:shd w:val="clear" w:color="auto" w:fill="FFFFFF"/>
          <w:lang w:val="en-US" w:eastAsia="zh-CN"/>
        </w:rPr>
        <w:t>5.46</w:t>
      </w:r>
      <w:r>
        <w:rPr>
          <w:rFonts w:hint="eastAsia" w:ascii="仿宋" w:hAnsi="仿宋" w:eastAsia="仿宋" w:cs="仿宋"/>
          <w:i w:val="0"/>
          <w:iCs w:val="0"/>
          <w:caps w:val="0"/>
          <w:color w:val="333333"/>
          <w:spacing w:val="0"/>
          <w:sz w:val="32"/>
          <w:szCs w:val="32"/>
          <w:highlight w:val="none"/>
          <w:shd w:val="clear" w:color="auto" w:fill="FFFFFF"/>
        </w:rPr>
        <w:t>%，主要是因为；按要求压减一般性支出。</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 二、收入决算情况说明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  本年收入合计332.16万元，其中：财政拨款收入332.16万元，占100%；上级补助收入0万元，占0%；事业收入0万元，占0%；经营收入0万元，占0%；附属单位上缴收0万元，占0%；其他收入0万元，占0%。</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  三、支出决算情况说明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 本年支出合计332.16万元，其中：基本支出332.16万元，占100%；项目支出0万元，占0%；上缴上级支出0万元，占0%；经营支出0万元，占0%；对附属单位补助支出0万元，占0%。</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 四、财政拨款收入支出决算总体情况说明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 2021年度财政拨款收、支总计</w:t>
      </w:r>
      <w:r>
        <w:rPr>
          <w:rFonts w:hint="eastAsia" w:ascii="仿宋" w:hAnsi="仿宋" w:eastAsia="仿宋" w:cs="仿宋"/>
          <w:i w:val="0"/>
          <w:iCs w:val="0"/>
          <w:caps w:val="0"/>
          <w:color w:val="333333"/>
          <w:spacing w:val="0"/>
          <w:sz w:val="32"/>
          <w:szCs w:val="32"/>
          <w:highlight w:val="none"/>
          <w:shd w:val="clear" w:color="auto" w:fill="FFFFFF"/>
          <w:lang w:val="en-US" w:eastAsia="zh-CN"/>
        </w:rPr>
        <w:t>各</w:t>
      </w:r>
      <w:r>
        <w:rPr>
          <w:rFonts w:hint="eastAsia" w:ascii="仿宋" w:hAnsi="仿宋" w:eastAsia="仿宋" w:cs="仿宋"/>
          <w:i w:val="0"/>
          <w:iCs w:val="0"/>
          <w:caps w:val="0"/>
          <w:color w:val="333333"/>
          <w:spacing w:val="0"/>
          <w:sz w:val="32"/>
          <w:szCs w:val="32"/>
          <w:highlight w:val="none"/>
          <w:shd w:val="clear" w:color="auto" w:fill="FFFFFF"/>
        </w:rPr>
        <w:t>332.16万元，与上年相比，减少</w:t>
      </w:r>
      <w:r>
        <w:rPr>
          <w:rFonts w:hint="eastAsia" w:ascii="仿宋" w:hAnsi="仿宋" w:eastAsia="仿宋" w:cs="仿宋"/>
          <w:i w:val="0"/>
          <w:iCs w:val="0"/>
          <w:caps w:val="0"/>
          <w:color w:val="333333"/>
          <w:spacing w:val="0"/>
          <w:sz w:val="32"/>
          <w:szCs w:val="32"/>
          <w:highlight w:val="none"/>
          <w:shd w:val="clear" w:color="auto" w:fill="FFFFFF"/>
          <w:lang w:val="en-US" w:eastAsia="zh-CN"/>
        </w:rPr>
        <w:t>11.36</w:t>
      </w:r>
      <w:r>
        <w:rPr>
          <w:rFonts w:hint="eastAsia" w:ascii="仿宋" w:hAnsi="仿宋" w:eastAsia="仿宋" w:cs="仿宋"/>
          <w:i w:val="0"/>
          <w:iCs w:val="0"/>
          <w:caps w:val="0"/>
          <w:color w:val="333333"/>
          <w:spacing w:val="0"/>
          <w:sz w:val="32"/>
          <w:szCs w:val="32"/>
          <w:highlight w:val="none"/>
          <w:shd w:val="clear" w:color="auto" w:fill="FFFFFF"/>
        </w:rPr>
        <w:t>万元,减少3.31%，主要是因为：一般公共服务支出及商业服务业等支出减少。   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 五、一般公共预算财政拨款支出决算情况说明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 （一）财政拨款支出决算总体情况</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  2021年度财政拨款支出332.16万元，占本年支出合计的100%，与2020年相比，财政拨款支出减少11.36万元，减少3.31%，主要是因为一般公共服务支出及商业服务业等支出减少。</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  （二）财政拨款支出决算结构情况</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2021年度财政拨款支出332.16万元，主要用于以下方面：一般公共服务（类）支出30.25万元，占9.11%；科学技术支出120.13万元，占36.17%；社会保障和就业支出171.39万元，占51.60%;卫生健康支出7.9万元，占2.38%；商业服务业支出2.49万元，占0.75%。</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  （三）财政拨款支出决算具体情况</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2021年度财政拨款支出年初预算数为170.19万元，支出决算数为332.16万元，完成年初预算的195.17%，其中：</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 1、一般公共服务（类）其他一般公共服务支出（款）其他一般公共服务支出（项）年初预算为0万元，支出决算为30.25万元，决算数大于年初预算数的主要原因是：主要用于奖金，未纳入年初预算。</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2、科学技术支出（类）基础研究（款）机构运行（项）</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年初预算为0万元，支出决算为120.13万元，决算数大于年初预算数的主要原因是：主要用于基本工资、津贴补贴、生活补助等，部分未纳入年初预算所致，其余为功能科目调整所致。</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3、社会保障和就业支出（类）行政事业单位养老支出（款）事业单位离退休（项）。年初预算为84.1万元，支出决算为62.37万元，</w:t>
      </w:r>
      <w:r>
        <w:rPr>
          <w:rFonts w:hint="eastAsia" w:ascii="仿宋" w:hAnsi="仿宋" w:eastAsia="仿宋" w:cs="仿宋"/>
          <w:i w:val="0"/>
          <w:iCs w:val="0"/>
          <w:caps w:val="0"/>
          <w:color w:val="333333"/>
          <w:spacing w:val="0"/>
          <w:sz w:val="32"/>
          <w:szCs w:val="32"/>
          <w:highlight w:val="none"/>
          <w:shd w:val="clear" w:color="auto" w:fill="FFFFFF"/>
          <w:lang w:val="en-US" w:eastAsia="zh-CN"/>
        </w:rPr>
        <w:t>完成年初预算的74.16%，</w:t>
      </w:r>
      <w:r>
        <w:rPr>
          <w:rFonts w:hint="eastAsia" w:ascii="仿宋" w:hAnsi="仿宋" w:eastAsia="仿宋" w:cs="仿宋"/>
          <w:i w:val="0"/>
          <w:iCs w:val="0"/>
          <w:caps w:val="0"/>
          <w:color w:val="333333"/>
          <w:spacing w:val="0"/>
          <w:sz w:val="32"/>
          <w:szCs w:val="32"/>
          <w:highlight w:val="none"/>
          <w:shd w:val="clear" w:color="auto" w:fill="FFFFFF"/>
        </w:rPr>
        <w:t>决算数小于年初预算数的主要原因是：功能科目调整所致。</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 4、社会保障和就业支出（类）行政事业单位养老支出（款）机关事业单位基本养老保险缴费支出（项）年初预算为0万元，支出决算为14.42万元，决算数大于年初预算数的主要原因是: 主要用于缴纳养老保险，功能科目调整所致。 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  5、社会保障和就业支出（类）行政事业单位养老支出（款）其他行政事业单位养老支出（项）年初预算为0万元，支出决算为94.59万元，决算数大于年初预算数的主要原因是: 主要用于离退休人员的生活补助，未纳入年初预算。</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  6、卫生健康支出（类）行政事业单位医疗（款）行政单位医疗（项）。年初预算为0万元，支出决算为7.4万元，决算数大于年初预算数的主要原因是: 主要用于缴纳医疗保险，未纳入年初预算。</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 7、卫生健康支出（类）医疗救助（款）城乡医疗救助（项）。年初预算为0万元，支出决算为0.5万元，决算数大于年初预算数的主要原因是: 未纳入年初预算。</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8、商业服务业等支出（类）商业流通事务（款）其他商业流通事务支出（项）。年初预算为39.22万元，支出决算为2.49万元，</w:t>
      </w:r>
      <w:r>
        <w:rPr>
          <w:rFonts w:hint="eastAsia" w:ascii="仿宋" w:hAnsi="仿宋" w:eastAsia="仿宋" w:cs="仿宋"/>
          <w:i w:val="0"/>
          <w:iCs w:val="0"/>
          <w:caps w:val="0"/>
          <w:color w:val="333333"/>
          <w:spacing w:val="0"/>
          <w:sz w:val="32"/>
          <w:szCs w:val="32"/>
          <w:highlight w:val="none"/>
          <w:shd w:val="clear" w:color="auto" w:fill="FFFFFF"/>
          <w:lang w:val="en-US" w:eastAsia="zh-CN"/>
        </w:rPr>
        <w:t>完成年初预算的6.35%，</w:t>
      </w:r>
      <w:r>
        <w:rPr>
          <w:rFonts w:hint="eastAsia" w:ascii="仿宋" w:hAnsi="仿宋" w:eastAsia="仿宋" w:cs="仿宋"/>
          <w:i w:val="0"/>
          <w:iCs w:val="0"/>
          <w:caps w:val="0"/>
          <w:color w:val="333333"/>
          <w:spacing w:val="0"/>
          <w:sz w:val="32"/>
          <w:szCs w:val="32"/>
          <w:highlight w:val="none"/>
          <w:shd w:val="clear" w:color="auto" w:fill="FFFFFF"/>
        </w:rPr>
        <w:t>决算数小于年初预算数的主要原因是:功能科目调整所致。</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9、商业服务业等支出（类）商业流通事务（款）商品及服务支出（项） 年初预算为46.85万元，支出决算为0万元，</w:t>
      </w:r>
      <w:r>
        <w:rPr>
          <w:rFonts w:hint="eastAsia" w:ascii="仿宋" w:hAnsi="仿宋" w:eastAsia="仿宋" w:cs="仿宋"/>
          <w:i w:val="0"/>
          <w:iCs w:val="0"/>
          <w:caps w:val="0"/>
          <w:color w:val="333333"/>
          <w:spacing w:val="0"/>
          <w:sz w:val="32"/>
          <w:szCs w:val="32"/>
          <w:highlight w:val="none"/>
          <w:shd w:val="clear" w:color="auto" w:fill="FFFFFF"/>
          <w:lang w:val="en-US" w:eastAsia="zh-CN"/>
        </w:rPr>
        <w:t>完成年初预算的0%，</w:t>
      </w:r>
      <w:r>
        <w:rPr>
          <w:rFonts w:hint="eastAsia" w:ascii="仿宋" w:hAnsi="仿宋" w:eastAsia="仿宋" w:cs="仿宋"/>
          <w:i w:val="0"/>
          <w:iCs w:val="0"/>
          <w:caps w:val="0"/>
          <w:color w:val="333333"/>
          <w:spacing w:val="0"/>
          <w:sz w:val="32"/>
          <w:szCs w:val="32"/>
          <w:highlight w:val="none"/>
          <w:shd w:val="clear" w:color="auto" w:fill="FFFFFF"/>
        </w:rPr>
        <w:t>决算数小于年初预算数的主要原因是:功能科目调整所致。</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六、一般公共预算财政拨款基本支出决算情况说明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财政拨款基本支出332.16万元，其中：人员经费301.1万元，占基本支出的90.65%,主要包括基本工资、津贴补贴、奖金、机关事业单位养老金保险缴费、职工基本医疗保险缴费、其他社会保障缴费、其它工资福利支出、离休费、退休费、抚恤金、生活补助、奖励金、其他对个人和家庭的补助;公用经费31.06万元，占基本支出的9.35%，主要包括办公费、差旅费、维修费、公务接待费、公务用车运行维护费、其他交通费用、税金及附加费用、其他商品和服务支出。</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 七、一般公共预算财政拨款三公经费支出决算情况说明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（一）“三公”经费财政拨款支出决算总体情况说明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bookmarkStart w:id="0" w:name="_GoBack"/>
      <w:bookmarkEnd w:id="0"/>
      <w:r>
        <w:rPr>
          <w:rFonts w:hint="eastAsia" w:ascii="仿宋" w:hAnsi="仿宋" w:eastAsia="仿宋" w:cs="仿宋"/>
          <w:i w:val="0"/>
          <w:iCs w:val="0"/>
          <w:caps w:val="0"/>
          <w:color w:val="333333"/>
          <w:spacing w:val="0"/>
          <w:sz w:val="32"/>
          <w:szCs w:val="32"/>
          <w:highlight w:val="none"/>
          <w:shd w:val="clear" w:color="auto" w:fill="FFFFFF"/>
        </w:rPr>
        <w:t>“三公”经费财政拨款支出预算为7.65万元，支出决算为2.85万元，完成预算的37.25%，其中：</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仿宋"/>
          <w:i w:val="0"/>
          <w:iCs w:val="0"/>
          <w:caps w:val="0"/>
          <w:color w:val="333333"/>
          <w:spacing w:val="0"/>
          <w:sz w:val="32"/>
          <w:szCs w:val="32"/>
          <w:highlight w:val="none"/>
          <w:shd w:val="clear" w:color="auto" w:fill="FFFFFF"/>
          <w:lang w:val="en-US" w:eastAsia="zh-CN"/>
        </w:rPr>
      </w:pPr>
      <w:r>
        <w:rPr>
          <w:rFonts w:hint="eastAsia" w:ascii="仿宋" w:hAnsi="仿宋" w:eastAsia="仿宋" w:cs="仿宋"/>
          <w:i w:val="0"/>
          <w:iCs w:val="0"/>
          <w:caps w:val="0"/>
          <w:color w:val="333333"/>
          <w:spacing w:val="0"/>
          <w:sz w:val="32"/>
          <w:szCs w:val="32"/>
          <w:highlight w:val="none"/>
          <w:shd w:val="clear" w:color="auto" w:fill="FFFFFF"/>
        </w:rPr>
        <w:t>因公出国（境）费支出预算为0万元，支出决算为0万元。</w:t>
      </w:r>
      <w:r>
        <w:rPr>
          <w:rFonts w:hint="eastAsia" w:ascii="仿宋" w:hAnsi="仿宋" w:eastAsia="仿宋" w:cs="仿宋"/>
          <w:i w:val="0"/>
          <w:iCs w:val="0"/>
          <w:caps w:val="0"/>
          <w:color w:val="auto"/>
          <w:spacing w:val="0"/>
          <w:sz w:val="32"/>
          <w:szCs w:val="32"/>
          <w:highlight w:val="none"/>
          <w:shd w:val="clear" w:color="auto" w:fill="FFFFFF"/>
        </w:rPr>
        <w:t>决算数与年初预算数持平，主要原因</w:t>
      </w:r>
      <w:r>
        <w:rPr>
          <w:rFonts w:hint="eastAsia" w:ascii="仿宋" w:hAnsi="仿宋" w:eastAsia="仿宋" w:cs="仿宋"/>
          <w:i w:val="0"/>
          <w:iCs w:val="0"/>
          <w:caps w:val="0"/>
          <w:color w:val="auto"/>
          <w:spacing w:val="0"/>
          <w:sz w:val="32"/>
          <w:szCs w:val="32"/>
          <w:highlight w:val="none"/>
          <w:shd w:val="clear" w:color="auto" w:fill="FFFFFF"/>
          <w:lang w:eastAsia="zh-CN"/>
        </w:rPr>
        <w:t>按预算执行，</w:t>
      </w:r>
      <w:r>
        <w:rPr>
          <w:rFonts w:hint="eastAsia" w:ascii="仿宋" w:hAnsi="仿宋" w:eastAsia="仿宋" w:cs="仿宋"/>
          <w:i w:val="0"/>
          <w:iCs w:val="0"/>
          <w:caps w:val="0"/>
          <w:color w:val="auto"/>
          <w:spacing w:val="0"/>
          <w:sz w:val="32"/>
          <w:szCs w:val="32"/>
          <w:highlight w:val="none"/>
          <w:shd w:val="clear" w:color="auto" w:fill="FFFFFF"/>
        </w:rPr>
        <w:t>与上年数持平</w:t>
      </w:r>
      <w:r>
        <w:rPr>
          <w:rFonts w:hint="eastAsia" w:ascii="仿宋" w:hAnsi="仿宋" w:eastAsia="仿宋" w:cs="仿宋"/>
          <w:i w:val="0"/>
          <w:iCs w:val="0"/>
          <w:caps w:val="0"/>
          <w:color w:val="auto"/>
          <w:spacing w:val="0"/>
          <w:sz w:val="32"/>
          <w:szCs w:val="32"/>
          <w:highlight w:val="none"/>
          <w:shd w:val="clear" w:color="auto" w:fill="FFFFFF"/>
          <w:lang w:eastAsia="zh-CN"/>
        </w:rPr>
        <w:t>，</w:t>
      </w:r>
      <w:r>
        <w:rPr>
          <w:rFonts w:hint="eastAsia" w:ascii="仿宋" w:hAnsi="仿宋" w:eastAsia="仿宋" w:cs="仿宋"/>
          <w:i w:val="0"/>
          <w:iCs w:val="0"/>
          <w:caps w:val="0"/>
          <w:color w:val="auto"/>
          <w:spacing w:val="0"/>
          <w:sz w:val="32"/>
          <w:szCs w:val="32"/>
          <w:highlight w:val="none"/>
          <w:shd w:val="clear" w:color="auto" w:fill="FFFFFF"/>
        </w:rPr>
        <w:t>主要原因</w:t>
      </w:r>
      <w:r>
        <w:rPr>
          <w:rFonts w:hint="eastAsia" w:ascii="仿宋" w:hAnsi="仿宋" w:eastAsia="仿宋" w:cs="仿宋"/>
          <w:i w:val="0"/>
          <w:iCs w:val="0"/>
          <w:caps w:val="0"/>
          <w:color w:val="auto"/>
          <w:spacing w:val="0"/>
          <w:sz w:val="32"/>
          <w:szCs w:val="32"/>
          <w:highlight w:val="none"/>
          <w:shd w:val="clear" w:color="auto" w:fill="FFFFFF"/>
          <w:lang w:eastAsia="zh-CN"/>
        </w:rPr>
        <w:t>本年度未安排因公出国（境）。</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公务接待费支出预算为2.65万元，支出决算为0.32万元，完成预算的12.08%，决算数小于预算数的主要原因是按照公务接待相关规定，严格控制使用公务接待费，与上年增加了</w:t>
      </w:r>
      <w:r>
        <w:rPr>
          <w:rFonts w:hint="eastAsia" w:ascii="仿宋" w:hAnsi="仿宋" w:eastAsia="仿宋" w:cs="仿宋"/>
          <w:i w:val="0"/>
          <w:iCs w:val="0"/>
          <w:caps w:val="0"/>
          <w:color w:val="333333"/>
          <w:spacing w:val="0"/>
          <w:sz w:val="32"/>
          <w:szCs w:val="32"/>
          <w:highlight w:val="none"/>
          <w:shd w:val="clear" w:color="auto" w:fill="FFFFFF"/>
          <w:lang w:val="en-US" w:eastAsia="zh-CN"/>
        </w:rPr>
        <w:t>2.6</w:t>
      </w:r>
      <w:r>
        <w:rPr>
          <w:rFonts w:hint="eastAsia" w:ascii="仿宋" w:hAnsi="仿宋" w:eastAsia="仿宋" w:cs="仿宋"/>
          <w:i w:val="0"/>
          <w:iCs w:val="0"/>
          <w:caps w:val="0"/>
          <w:color w:val="333333"/>
          <w:spacing w:val="0"/>
          <w:sz w:val="32"/>
          <w:szCs w:val="32"/>
          <w:highlight w:val="none"/>
          <w:shd w:val="clear" w:color="auto" w:fill="FFFFFF"/>
        </w:rPr>
        <w:t>万元，增加了5</w:t>
      </w:r>
      <w:r>
        <w:rPr>
          <w:rFonts w:hint="eastAsia" w:ascii="仿宋" w:hAnsi="仿宋" w:eastAsia="仿宋" w:cs="仿宋"/>
          <w:i w:val="0"/>
          <w:iCs w:val="0"/>
          <w:caps w:val="0"/>
          <w:color w:val="333333"/>
          <w:spacing w:val="0"/>
          <w:sz w:val="32"/>
          <w:szCs w:val="32"/>
          <w:highlight w:val="none"/>
          <w:shd w:val="clear" w:color="auto" w:fill="FFFFFF"/>
          <w:lang w:val="en-US" w:eastAsia="zh-CN"/>
        </w:rPr>
        <w:t>200</w:t>
      </w:r>
      <w:r>
        <w:rPr>
          <w:rFonts w:hint="eastAsia" w:ascii="仿宋" w:hAnsi="仿宋" w:eastAsia="仿宋" w:cs="仿宋"/>
          <w:i w:val="0"/>
          <w:iCs w:val="0"/>
          <w:caps w:val="0"/>
          <w:color w:val="333333"/>
          <w:spacing w:val="0"/>
          <w:sz w:val="32"/>
          <w:szCs w:val="32"/>
          <w:highlight w:val="none"/>
          <w:shd w:val="clear" w:color="auto" w:fill="FFFFFF"/>
        </w:rPr>
        <w:t>%，增加的主要原因：2020年接待费基础小，2021年接待人次数增加。</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公务用车购置费及运行维护费支出预算为5万元，支出决算为2.52万元，完成预算的50.4%，决算数小于预算数的主要原因是按照公务用车管理制度，严格控制公务用车，与上年相比增加了1.03万元，增加了69.13%,增加的主要原因：油价上涨，出差次数增加。</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（二）“三公”经费财政拨款支出决算具体情况说明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2021年度“三公”经费财政拨款支出决算为2.85万元，公务接待费支出决算0.32万元，占11.23%,因公出国（境）费支出决算0元，占0%,公务用车购置费及运行维护费支出决算2.52万元，占88.42%。其中：</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1、因公出国（境）费支出决算为0万元，全年安排因公出国（境）团组0个，累计0人次。</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2、公务接待费支出决算为0.32万元，全年共接待来访团组3个、来宾80人次，主要是相关业务接待支出。</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公务用车购置费及运行维护费支出决算为2.52万元，其中：公务用车购置费0万元，更新公务用车0辆，公务用车运行维护费2.52万元，主要是燃料费、维修费、保险费支出，截至2021年12月31日，我单位开支财政拨款的公务用车保有量为1辆。</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八、政府性基金预算收入支出决算情况</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本单位无政府性基金收支</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九、国有资本经营预算财政拨款支出决算情况说明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本单位无国有资本经营预算财政拨款支出</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十、机关运行经费支出情况             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本部门2021年度机关运行经费支出31.06万元，比年初预算数减少15.79万元，减少33.7%。主要原因是：厉行节约，树牢“过紧日子”思想。</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十一、一般性支出情况</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 2021年本部门开支会议费0万元；开支培训费0万元；</w:t>
      </w:r>
      <w:r>
        <w:rPr>
          <w:rFonts w:hint="eastAsia" w:ascii="仿宋" w:hAnsi="仿宋" w:eastAsia="仿宋" w:cs="仿宋"/>
          <w:i w:val="0"/>
          <w:iCs w:val="0"/>
          <w:caps w:val="0"/>
          <w:color w:val="333333"/>
          <w:spacing w:val="0"/>
          <w:sz w:val="32"/>
          <w:szCs w:val="32"/>
          <w:highlight w:val="none"/>
          <w:shd w:val="clear" w:color="auto" w:fill="FFFFFF"/>
          <w:lang w:val="en-US" w:eastAsia="zh-CN"/>
        </w:rPr>
        <w:t>人数0人；未</w:t>
      </w:r>
      <w:r>
        <w:rPr>
          <w:rFonts w:hint="eastAsia" w:ascii="仿宋" w:hAnsi="仿宋" w:eastAsia="仿宋" w:cs="仿宋"/>
          <w:i w:val="0"/>
          <w:iCs w:val="0"/>
          <w:caps w:val="0"/>
          <w:color w:val="333333"/>
          <w:spacing w:val="0"/>
          <w:sz w:val="32"/>
          <w:szCs w:val="32"/>
          <w:highlight w:val="none"/>
          <w:shd w:val="clear" w:color="auto" w:fill="FFFFFF"/>
        </w:rPr>
        <w:t>举办节庆、晚会、论坛、赛事活动，开支0万元。</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 十二、关于政府采购支出说明</w:t>
      </w:r>
    </w:p>
    <w:p>
      <w:pPr>
        <w:keepNext w:val="0"/>
        <w:keepLines w:val="0"/>
        <w:pageBreakBefore w:val="0"/>
        <w:widowControl w:val="0"/>
        <w:kinsoku/>
        <w:wordWrap/>
        <w:overflowPunct/>
        <w:topLinePunct w:val="0"/>
        <w:bidi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十三、关于国有资产占用情况说明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截至2021年12月31日，本单位共有车辆1辆，其中，一般公务用车1辆、主要领导干部用车0辆、机要通信用车0辆、应急保障用车0辆、执法执勤用车0辆、特种专业技术用车0辆、其他用车0辆；单位价值50万元以上通用设备0台（套）；单位价值100万元以上专用设备0台（套）。</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 十</w:t>
      </w:r>
      <w:r>
        <w:rPr>
          <w:rFonts w:hint="eastAsia" w:ascii="仿宋" w:hAnsi="仿宋" w:eastAsia="仿宋" w:cs="仿宋"/>
          <w:i w:val="0"/>
          <w:iCs w:val="0"/>
          <w:caps w:val="0"/>
          <w:color w:val="333333"/>
          <w:spacing w:val="0"/>
          <w:sz w:val="32"/>
          <w:szCs w:val="32"/>
          <w:highlight w:val="none"/>
          <w:shd w:val="clear" w:color="auto" w:fill="FFFFFF"/>
          <w:lang w:eastAsia="zh-CN"/>
        </w:rPr>
        <w:t>四</w:t>
      </w:r>
      <w:r>
        <w:rPr>
          <w:rFonts w:hint="eastAsia" w:ascii="仿宋" w:hAnsi="仿宋" w:eastAsia="仿宋" w:cs="仿宋"/>
          <w:i w:val="0"/>
          <w:iCs w:val="0"/>
          <w:caps w:val="0"/>
          <w:color w:val="333333"/>
          <w:spacing w:val="0"/>
          <w:sz w:val="32"/>
          <w:szCs w:val="32"/>
          <w:highlight w:val="none"/>
          <w:shd w:val="clear" w:color="auto" w:fill="FFFFFF"/>
        </w:rPr>
        <w:t>、关于2021年度预算绩效情况的说明</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 本部门2021年度按照财政预算管理的要求，积极开展预算绩效管理工作。</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1、根据相关文件规定，认真做好部门整体支出绩效目标的编制工作，建立健全预算绩效管理工作机制。</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2、按照绩效目标管理要求及相关政策规定，严格执行财政年度预算，取得了良好的效果。</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3、确保改制企业国有资产的保值、增值，推进企业改制工作。</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4、认真做好改制企业离休老干的管理及服务工作。</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5、完成党建、综治、安全生产、工会、计划生育、爱卫等管理工作。  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6、根据《怀化市商业企业改制服务办公室2021年度工作计划》的工作部署，按规定时间完成全年工作任务。</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7、全年支出按计划执行，控制支出，厉行节约。 </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rPr>
        <w:t>8、本单位无国有资本经营预算的财政拨款。</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r>
        <w:rPr>
          <w:rFonts w:hint="eastAsia" w:ascii="仿宋" w:hAnsi="仿宋" w:eastAsia="仿宋" w:cs="仿宋"/>
          <w:i w:val="0"/>
          <w:iCs w:val="0"/>
          <w:caps w:val="0"/>
          <w:color w:val="333333"/>
          <w:spacing w:val="0"/>
          <w:sz w:val="32"/>
          <w:szCs w:val="32"/>
          <w:highlight w:val="none"/>
          <w:shd w:val="clear" w:color="auto" w:fill="FFFFFF"/>
          <w:lang w:val="en-US" w:eastAsia="zh-CN"/>
        </w:rPr>
        <w:t>9、</w:t>
      </w:r>
      <w:r>
        <w:rPr>
          <w:rFonts w:hint="eastAsia" w:ascii="仿宋" w:hAnsi="仿宋" w:eastAsia="仿宋" w:cs="仿宋"/>
          <w:i w:val="0"/>
          <w:iCs w:val="0"/>
          <w:caps w:val="0"/>
          <w:color w:val="333333"/>
          <w:spacing w:val="0"/>
          <w:sz w:val="32"/>
          <w:szCs w:val="32"/>
          <w:highlight w:val="none"/>
          <w:shd w:val="clear" w:color="auto" w:fill="FFFFFF"/>
        </w:rPr>
        <w:t>本单位无重点项目，因此无重点项目绩效报告。</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i w:val="0"/>
          <w:iCs w:val="0"/>
          <w:caps w:val="0"/>
          <w:color w:val="333333"/>
          <w:spacing w:val="0"/>
          <w:sz w:val="32"/>
          <w:szCs w:val="32"/>
          <w:highlight w:val="none"/>
          <w:shd w:val="clear" w:color="auto" w:fill="FFFFFF"/>
        </w:rPr>
      </w:pPr>
    </w:p>
    <w:p>
      <w:pPr>
        <w:keepNext w:val="0"/>
        <w:keepLines w:val="0"/>
        <w:pageBreakBefore w:val="0"/>
        <w:widowControl/>
        <w:kinsoku/>
        <w:wordWrap/>
        <w:overflowPunct/>
        <w:topLinePunct w:val="0"/>
        <w:bidi w:val="0"/>
        <w:snapToGrid/>
        <w:spacing w:line="600" w:lineRule="exact"/>
        <w:ind w:firstLine="880" w:firstLineChars="200"/>
        <w:jc w:val="center"/>
        <w:textAlignment w:val="auto"/>
        <w:rPr>
          <w:rFonts w:hint="eastAsia" w:ascii="黑体" w:hAnsi="黑体" w:eastAsia="黑体" w:cs="黑体"/>
          <w:bCs/>
          <w:kern w:val="0"/>
          <w:sz w:val="44"/>
          <w:szCs w:val="44"/>
        </w:rPr>
      </w:pPr>
      <w:r>
        <w:rPr>
          <w:rFonts w:hint="eastAsia" w:ascii="黑体" w:hAnsi="黑体" w:eastAsia="黑体" w:cs="黑体"/>
          <w:bCs/>
          <w:kern w:val="0"/>
          <w:sz w:val="44"/>
          <w:szCs w:val="44"/>
        </w:rPr>
        <w:t>第四部分名词解释</w:t>
      </w:r>
    </w:p>
    <w:p>
      <w:pPr>
        <w:keepNext w:val="0"/>
        <w:keepLines w:val="0"/>
        <w:pageBreakBefore w:val="0"/>
        <w:kinsoku/>
        <w:wordWrap/>
        <w:overflowPunct/>
        <w:topLinePunct w:val="0"/>
        <w:bidi w:val="0"/>
        <w:snapToGrid/>
        <w:spacing w:line="600" w:lineRule="exact"/>
        <w:ind w:firstLine="420" w:firstLineChars="200"/>
        <w:textAlignment w:val="auto"/>
        <w:rPr>
          <w:rFonts w:hint="eastAsi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财政拨款收入：指财政当年拨付的资金。包括一般公共预算财政拨款和政府性基金财政拨款。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上级补助收入：指事业单位从主管部门和上级单位取得的非财政补助收入。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事业收入：指事业单位开展专业业务活动及辅助活动所取得的收入。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经营收入：指事业单位在专业业务活动及其辅助活动之外开展非独立核算经营活动取得的收入。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附属单位上缴收入：指事业单位附属独立核算单位按照有关规定上缴的收入。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其他收入：指除上述“财政拨款收入”、“事业收入”、“经营收入”等以外的收入。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年初结转和结余：指以前年度尚未完成、结转到本年按有关规定继续使用的资金。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结余分配：指事业单位按规定从非财政补助结余中分配的事业基金和职工福利基金等。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年末结转和结余：指本年度或以前年度预算安排、因客观条件发生变化无法按原计划实施，需要延迟到以后年度按有关规定继续使用的资金。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基本支出：指为保障机构正常运转、完成日常工作任务而发生的人员支出和公用支出。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项目支出：指在基本支出之外为完成特定行政任务和事业发展目标所发生的支出。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经营支出：指事业单位在专业业务活动及其辅助活动之外开展非独立核算经营活动所发生的支出。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center"/>
        <w:textAlignment w:val="auto"/>
        <w:rPr>
          <w:rFonts w:hint="eastAsia" w:ascii="仿宋" w:hAnsi="仿宋" w:eastAsia="仿宋" w:cs="仿宋"/>
          <w:b/>
          <w:bCs/>
          <w:i w:val="0"/>
          <w:iCs w:val="0"/>
          <w:caps w:val="0"/>
          <w:color w:val="333333"/>
          <w:spacing w:val="0"/>
          <w:sz w:val="32"/>
          <w:szCs w:val="32"/>
          <w:highlight w:val="none"/>
          <w:shd w:val="clear" w:color="auto" w:fill="FFFFFF"/>
        </w:rPr>
      </w:pP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 w:hAnsi="仿宋" w:eastAsia="仿宋" w:cs="仿宋"/>
          <w:b/>
          <w:bCs/>
          <w:i w:val="0"/>
          <w:iCs w:val="0"/>
          <w:caps w:val="0"/>
          <w:color w:val="333333"/>
          <w:spacing w:val="0"/>
          <w:sz w:val="32"/>
          <w:szCs w:val="32"/>
          <w:highlight w:val="none"/>
          <w:shd w:val="clear" w:color="auto" w:fill="FFFFFF"/>
        </w:rPr>
      </w:pP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 w:hAnsi="仿宋" w:eastAsia="仿宋" w:cs="仿宋"/>
          <w:b/>
          <w:bCs/>
          <w:i w:val="0"/>
          <w:iCs w:val="0"/>
          <w:caps w:val="0"/>
          <w:color w:val="333333"/>
          <w:spacing w:val="0"/>
          <w:sz w:val="32"/>
          <w:szCs w:val="32"/>
          <w:highlight w:val="none"/>
          <w:shd w:val="clear" w:color="auto" w:fill="FFFFFF"/>
        </w:rPr>
      </w:pPr>
    </w:p>
    <w:p>
      <w:pPr>
        <w:keepNext w:val="0"/>
        <w:keepLines w:val="0"/>
        <w:pageBreakBefore w:val="0"/>
        <w:widowControl/>
        <w:kinsoku/>
        <w:wordWrap/>
        <w:overflowPunct/>
        <w:topLinePunct w:val="0"/>
        <w:bidi w:val="0"/>
        <w:snapToGrid/>
        <w:spacing w:line="600" w:lineRule="exact"/>
        <w:ind w:firstLine="964" w:firstLineChars="200"/>
        <w:jc w:val="center"/>
        <w:textAlignment w:val="auto"/>
        <w:rPr>
          <w:rFonts w:hint="eastAsia" w:ascii="黑体" w:hAnsi="黑体" w:eastAsia="黑体" w:cs="黑体"/>
          <w:b/>
          <w:bCs/>
          <w:kern w:val="0"/>
          <w:sz w:val="48"/>
          <w:szCs w:val="48"/>
        </w:rPr>
      </w:pPr>
      <w:r>
        <w:rPr>
          <w:rFonts w:hint="eastAsia" w:ascii="黑体" w:hAnsi="黑体" w:eastAsia="黑体" w:cs="黑体"/>
          <w:b/>
          <w:bCs/>
          <w:kern w:val="0"/>
          <w:sz w:val="48"/>
          <w:szCs w:val="48"/>
        </w:rPr>
        <w:t>第五部分附件</w:t>
      </w:r>
    </w:p>
    <w:p>
      <w:pPr>
        <w:pStyle w:val="7"/>
        <w:keepNext w:val="0"/>
        <w:keepLines w:val="0"/>
        <w:pageBreakBefore w:val="0"/>
        <w:kinsoku/>
        <w:wordWrap/>
        <w:overflowPunct/>
        <w:topLinePunct w:val="0"/>
        <w:bidi w:val="0"/>
        <w:snapToGrid/>
        <w:spacing w:line="600" w:lineRule="exact"/>
        <w:ind w:firstLine="960" w:firstLineChars="200"/>
        <w:jc w:val="center"/>
        <w:textAlignment w:val="auto"/>
        <w:rPr>
          <w:rFonts w:hint="eastAsia" w:ascii="仿宋" w:hAnsi="仿宋" w:eastAsia="仿宋" w:cs="仿宋"/>
          <w:i w:val="0"/>
          <w:iCs w:val="0"/>
          <w:caps w:val="0"/>
          <w:color w:val="333333"/>
          <w:spacing w:val="0"/>
          <w:sz w:val="48"/>
          <w:szCs w:val="48"/>
          <w:highlight w:val="none"/>
          <w:shd w:val="clear" w:color="auto" w:fill="FFFFFF"/>
        </w:rPr>
      </w:pPr>
    </w:p>
    <w:p>
      <w:pPr>
        <w:pStyle w:val="7"/>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jc w:val="both"/>
        <w:textAlignment w:val="auto"/>
        <w:rPr>
          <w:rFonts w:hint="eastAsia" w:ascii="仿宋" w:hAnsi="仿宋" w:eastAsia="仿宋" w:cs="仿宋"/>
          <w:b/>
          <w:bCs/>
          <w:i w:val="0"/>
          <w:iCs w:val="0"/>
          <w:caps w:val="0"/>
          <w:color w:val="333333"/>
          <w:spacing w:val="0"/>
          <w:sz w:val="32"/>
          <w:szCs w:val="32"/>
          <w:highlight w:val="none"/>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172A27"/>
    <w:rsid w:val="291458F7"/>
    <w:rsid w:val="2A642E6D"/>
    <w:rsid w:val="2F794705"/>
    <w:rsid w:val="3205725E"/>
    <w:rsid w:val="3ACB7E65"/>
    <w:rsid w:val="3AF30311"/>
    <w:rsid w:val="3DB50FFF"/>
    <w:rsid w:val="4A607B34"/>
    <w:rsid w:val="591803A2"/>
    <w:rsid w:val="5CFF0072"/>
    <w:rsid w:val="60B62AF0"/>
    <w:rsid w:val="7EEF2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paragraph" w:customStyle="1" w:styleId="7">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5035</Words>
  <Characters>5490</Characters>
  <Lines>1</Lines>
  <Paragraphs>1</Paragraphs>
  <TotalTime>2</TotalTime>
  <ScaleCrop>false</ScaleCrop>
  <LinksUpToDate>false</LinksUpToDate>
  <CharactersWithSpaces>5498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2023-09-01T09:09:00Z</dcterms:created>
  <dc:creator>Z.</dc:creator>
  <cp:lastModifiedBy>非鱼</cp:lastModifiedBy>
  <dcterms:modified xsi:type="dcterms:W3CDTF">2023-10-06T07:12:38Z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F64B945D549C4BE181CE1AB5F76E02BD_11</vt:lpwstr>
  </property>
</Properties>
</file>