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怀化市商业企业改制服务办公室</w:t>
      </w: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eastAsia="zh-CN"/>
        </w:rPr>
        <w:t>2022</w:t>
      </w:r>
      <w:r>
        <w:rPr>
          <w:rFonts w:hint="eastAsia"/>
          <w:sz w:val="44"/>
          <w:szCs w:val="44"/>
        </w:rPr>
        <w:t>年度部门整体绩效报告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 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一、部门概况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1、机构设置情况: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本部门是参照公务员法管理的全额拨款事业单位，内设综合科、改制科、人事科3个科室。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2、人员编制情况: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本部门</w:t>
      </w:r>
      <w:r>
        <w:rPr>
          <w:rFonts w:hint="eastAsia"/>
          <w:sz w:val="32"/>
          <w:szCs w:val="32"/>
          <w:lang w:eastAsia="zh-CN"/>
        </w:rPr>
        <w:t>2022</w:t>
      </w:r>
      <w:r>
        <w:rPr>
          <w:rFonts w:hint="eastAsia"/>
          <w:sz w:val="32"/>
          <w:szCs w:val="32"/>
        </w:rPr>
        <w:t>年度核定编制13人，实有在编在职10人。纳入财政预算人员共计67 人，其中:在职人员10名，提前退休人员1人，离休人员2人，退休人员 51人，享受生活补助待遇的遗属3人。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3、主要职责: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①负责指导全市国有商业企业的改制工作，承担市直国有商业企业的改制服务工作，协调处理市直国有物资、商业企业的改制问题及改制遗留等问题;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②负责所属离、退休人员的管理与服务工作;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③受国有资产监督管理委员会委托，负责所属企业的国有资产管理与监督;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④负责商贸流通改制企业无房户职工安置;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⑤承办市委、市人民政府交办的其他事项。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4、</w:t>
      </w:r>
      <w:r>
        <w:rPr>
          <w:rFonts w:hint="eastAsia"/>
          <w:sz w:val="32"/>
          <w:szCs w:val="32"/>
          <w:lang w:eastAsia="zh-CN"/>
        </w:rPr>
        <w:t>2022</w:t>
      </w:r>
      <w:r>
        <w:rPr>
          <w:rFonts w:hint="eastAsia"/>
          <w:sz w:val="32"/>
          <w:szCs w:val="32"/>
        </w:rPr>
        <w:t>年度工作重点:继续做好所属改制企业的改制服务工作;加强本部门及改制企业国有资产管理与监督;协调处理好改制企业无房户安置房问题;妥善处理好改制企业的历史遗留问题;认真做好离、退休人员管理服务工作;继续做好扶贫攻坚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二、部门整体支出规模、使用方向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2022</w:t>
      </w:r>
      <w:r>
        <w:rPr>
          <w:rFonts w:hint="eastAsia"/>
          <w:sz w:val="32"/>
          <w:szCs w:val="32"/>
        </w:rPr>
        <w:t>年度本部门财政拨款总收入</w:t>
      </w:r>
      <w:r>
        <w:rPr>
          <w:rFonts w:hint="eastAsia"/>
          <w:sz w:val="32"/>
          <w:szCs w:val="32"/>
          <w:lang w:val="en-US" w:eastAsia="zh-CN"/>
        </w:rPr>
        <w:t>428.89</w:t>
      </w:r>
      <w:r>
        <w:rPr>
          <w:rFonts w:hint="eastAsia"/>
          <w:sz w:val="32"/>
          <w:szCs w:val="32"/>
        </w:rPr>
        <w:t>万元，上年结转</w:t>
      </w:r>
      <w:r>
        <w:rPr>
          <w:rFonts w:hint="eastAsia"/>
          <w:sz w:val="32"/>
          <w:szCs w:val="32"/>
          <w:lang w:val="en-US" w:eastAsia="zh-CN"/>
        </w:rPr>
        <w:t>409.69</w:t>
      </w:r>
      <w:r>
        <w:rPr>
          <w:rFonts w:hint="eastAsia"/>
          <w:sz w:val="32"/>
          <w:szCs w:val="32"/>
        </w:rPr>
        <w:t>万元，共计</w:t>
      </w:r>
      <w:r>
        <w:rPr>
          <w:rFonts w:hint="eastAsia"/>
          <w:sz w:val="32"/>
          <w:szCs w:val="32"/>
          <w:lang w:val="en-US" w:eastAsia="zh-CN"/>
        </w:rPr>
        <w:t>838.58</w:t>
      </w:r>
      <w:r>
        <w:rPr>
          <w:rFonts w:hint="eastAsia"/>
          <w:sz w:val="32"/>
          <w:szCs w:val="32"/>
        </w:rPr>
        <w:t>万元。本部门整体支出</w:t>
      </w:r>
      <w:r>
        <w:rPr>
          <w:rFonts w:hint="eastAsia"/>
          <w:sz w:val="32"/>
          <w:szCs w:val="32"/>
          <w:lang w:val="en-US" w:eastAsia="zh-CN"/>
        </w:rPr>
        <w:t>838.58</w:t>
      </w:r>
      <w:r>
        <w:rPr>
          <w:rFonts w:hint="eastAsia"/>
          <w:sz w:val="32"/>
          <w:szCs w:val="32"/>
        </w:rPr>
        <w:t>万元，其中:社会保障和就业支出1</w:t>
      </w:r>
      <w:r>
        <w:rPr>
          <w:rFonts w:hint="eastAsia"/>
          <w:sz w:val="32"/>
          <w:szCs w:val="32"/>
          <w:lang w:val="en-US" w:eastAsia="zh-CN"/>
        </w:rPr>
        <w:t>18.81</w:t>
      </w:r>
      <w:r>
        <w:rPr>
          <w:rFonts w:hint="eastAsia"/>
          <w:sz w:val="32"/>
          <w:szCs w:val="32"/>
        </w:rPr>
        <w:t>万元,卫生健康支出</w:t>
      </w:r>
      <w:r>
        <w:rPr>
          <w:rFonts w:hint="eastAsia"/>
          <w:sz w:val="32"/>
          <w:szCs w:val="32"/>
          <w:lang w:val="en-US" w:eastAsia="zh-CN"/>
        </w:rPr>
        <w:t>20.65</w:t>
      </w:r>
      <w:r>
        <w:rPr>
          <w:rFonts w:hint="eastAsia"/>
          <w:sz w:val="32"/>
          <w:szCs w:val="32"/>
        </w:rPr>
        <w:t>万元，商业服务业支出</w:t>
      </w:r>
      <w:r>
        <w:rPr>
          <w:rFonts w:hint="eastAsia"/>
          <w:sz w:val="32"/>
          <w:szCs w:val="32"/>
          <w:lang w:val="en-US" w:eastAsia="zh-CN"/>
        </w:rPr>
        <w:t>138.96</w:t>
      </w:r>
      <w:r>
        <w:rPr>
          <w:rFonts w:hint="eastAsia"/>
          <w:sz w:val="32"/>
          <w:szCs w:val="32"/>
        </w:rPr>
        <w:t>万元</w:t>
      </w:r>
      <w:r>
        <w:rPr>
          <w:rFonts w:hint="eastAsia"/>
          <w:sz w:val="32"/>
          <w:szCs w:val="32"/>
          <w:lang w:val="en-US" w:eastAsia="zh-CN"/>
        </w:rPr>
        <w:t>,其他支出560.17万元</w:t>
      </w:r>
      <w:r>
        <w:rPr>
          <w:rFonts w:hint="eastAsia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1、基本支出总体情况: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本部门</w:t>
      </w:r>
      <w:r>
        <w:rPr>
          <w:rFonts w:hint="eastAsia"/>
          <w:sz w:val="32"/>
          <w:szCs w:val="32"/>
          <w:lang w:eastAsia="zh-CN"/>
        </w:rPr>
        <w:t>2022</w:t>
      </w:r>
      <w:r>
        <w:rPr>
          <w:rFonts w:hint="eastAsia"/>
          <w:sz w:val="32"/>
          <w:szCs w:val="32"/>
        </w:rPr>
        <w:t>年度基本支出总计</w:t>
      </w:r>
      <w:r>
        <w:rPr>
          <w:rFonts w:hint="eastAsia"/>
          <w:sz w:val="32"/>
          <w:szCs w:val="32"/>
          <w:lang w:val="en-US" w:eastAsia="zh-CN"/>
        </w:rPr>
        <w:t>420.98</w:t>
      </w:r>
      <w:r>
        <w:rPr>
          <w:rFonts w:hint="eastAsia"/>
          <w:sz w:val="32"/>
          <w:szCs w:val="32"/>
        </w:rPr>
        <w:t>万元。按支出经济分类:①工资福利支出</w:t>
      </w:r>
      <w:r>
        <w:rPr>
          <w:rFonts w:hint="eastAsia"/>
          <w:sz w:val="32"/>
          <w:szCs w:val="32"/>
          <w:lang w:val="en-US" w:eastAsia="zh-CN"/>
        </w:rPr>
        <w:t>130.32</w:t>
      </w:r>
      <w:r>
        <w:rPr>
          <w:rFonts w:hint="eastAsia"/>
          <w:sz w:val="32"/>
          <w:szCs w:val="32"/>
        </w:rPr>
        <w:t xml:space="preserve">万元;②商品和服务支出 </w:t>
      </w:r>
      <w:r>
        <w:rPr>
          <w:rFonts w:hint="eastAsia"/>
          <w:sz w:val="32"/>
          <w:szCs w:val="32"/>
          <w:lang w:val="en-US" w:eastAsia="zh-CN"/>
        </w:rPr>
        <w:t>58.69</w:t>
      </w:r>
      <w:r>
        <w:rPr>
          <w:rFonts w:hint="eastAsia"/>
          <w:sz w:val="32"/>
          <w:szCs w:val="32"/>
        </w:rPr>
        <w:t>万元;③对个人和家庭的补助支出</w:t>
      </w:r>
      <w:r>
        <w:rPr>
          <w:rFonts w:hint="eastAsia"/>
          <w:sz w:val="32"/>
          <w:szCs w:val="32"/>
          <w:lang w:val="en-US" w:eastAsia="zh-CN"/>
        </w:rPr>
        <w:t>231.96</w:t>
      </w:r>
      <w:r>
        <w:rPr>
          <w:rFonts w:hint="eastAsia"/>
          <w:sz w:val="32"/>
          <w:szCs w:val="32"/>
        </w:rPr>
        <w:t>万元;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2、“三公”经费支出情况:本部门按照财务管理制度相关要求严格控制“三公”经费。</w:t>
      </w:r>
      <w:r>
        <w:rPr>
          <w:rFonts w:hint="eastAsia"/>
          <w:sz w:val="32"/>
          <w:szCs w:val="32"/>
          <w:lang w:eastAsia="zh-CN"/>
        </w:rPr>
        <w:t>2022</w:t>
      </w:r>
      <w:r>
        <w:rPr>
          <w:rFonts w:hint="eastAsia"/>
          <w:sz w:val="32"/>
          <w:szCs w:val="32"/>
        </w:rPr>
        <w:t>年度“三公”经费财政拨款支出决算2.8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rFonts w:hint="eastAsia"/>
          <w:sz w:val="32"/>
          <w:szCs w:val="32"/>
        </w:rPr>
        <w:t>万元，其中公务接待费 0.</w:t>
      </w:r>
      <w:r>
        <w:rPr>
          <w:rFonts w:hint="eastAsia"/>
          <w:sz w:val="32"/>
          <w:szCs w:val="32"/>
          <w:lang w:val="en-US" w:eastAsia="zh-CN"/>
        </w:rPr>
        <w:t>05</w:t>
      </w:r>
      <w:r>
        <w:rPr>
          <w:rFonts w:hint="eastAsia"/>
          <w:sz w:val="32"/>
          <w:szCs w:val="32"/>
        </w:rPr>
        <w:t>万元(国内接待批次</w:t>
      </w:r>
      <w:r>
        <w:rPr>
          <w:rFonts w:hint="eastAsia"/>
          <w:sz w:val="32"/>
          <w:szCs w:val="32"/>
          <w:lang w:val="en-US" w:eastAsia="zh-CN"/>
        </w:rPr>
        <w:t>2</w:t>
      </w:r>
      <w:r>
        <w:rPr>
          <w:rFonts w:hint="eastAsia"/>
          <w:sz w:val="32"/>
          <w:szCs w:val="32"/>
        </w:rPr>
        <w:t>批，接待人数</w:t>
      </w:r>
      <w:r>
        <w:rPr>
          <w:rFonts w:hint="eastAsia"/>
          <w:sz w:val="32"/>
          <w:szCs w:val="32"/>
          <w:lang w:val="en-US" w:eastAsia="zh-CN"/>
        </w:rPr>
        <w:t>25</w:t>
      </w:r>
      <w:r>
        <w:rPr>
          <w:rFonts w:hint="eastAsia"/>
          <w:sz w:val="32"/>
          <w:szCs w:val="32"/>
        </w:rPr>
        <w:t>人)，用车购置费0万元，公务用车运行费 2.</w:t>
      </w:r>
      <w:r>
        <w:rPr>
          <w:rFonts w:hint="eastAsia"/>
          <w:sz w:val="32"/>
          <w:szCs w:val="32"/>
          <w:lang w:val="en-US" w:eastAsia="zh-CN"/>
        </w:rPr>
        <w:t>78</w:t>
      </w:r>
      <w:r>
        <w:rPr>
          <w:rFonts w:hint="eastAsia"/>
          <w:sz w:val="32"/>
          <w:szCs w:val="32"/>
        </w:rPr>
        <w:t>万元。公务用车保有量为1辆。因公出国(境)团组数、人数均为0，因公出国(境)费0万元。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三、资产管理情况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2022</w:t>
      </w:r>
      <w:r>
        <w:rPr>
          <w:rFonts w:hint="eastAsia"/>
          <w:sz w:val="32"/>
          <w:szCs w:val="32"/>
        </w:rPr>
        <w:t>年12月31日，本部门资产总额为9024.21万元。其中:流动资产8997.86万元;固定资产净值26.35万元。我办严格执行财政关于加强资产管理的相关政策规定。规范资产管理制度，严格执行资产申购、配置、处置审批程序并对资产采购、保管、处置全程监督控制，资产的配置、管理、处置均符合财政部门的要求。加强货币资金管理，资金使用严格按照财政法规和单位内部控制制度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四、整体支出绩效情况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（一）基本情况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1、预算配置:①我办</w:t>
      </w:r>
      <w:r>
        <w:rPr>
          <w:rFonts w:hint="eastAsia"/>
          <w:sz w:val="32"/>
          <w:szCs w:val="32"/>
          <w:lang w:eastAsia="zh-CN"/>
        </w:rPr>
        <w:t>2022</w:t>
      </w:r>
      <w:r>
        <w:rPr>
          <w:rFonts w:hint="eastAsia"/>
          <w:sz w:val="32"/>
          <w:szCs w:val="32"/>
        </w:rPr>
        <w:t>年度人员编制数13人，在编在职人员 10人，编制控制率77%，无超编现象。②</w:t>
      </w:r>
      <w:r>
        <w:rPr>
          <w:rFonts w:hint="eastAsia"/>
          <w:sz w:val="32"/>
          <w:szCs w:val="32"/>
          <w:lang w:eastAsia="zh-CN"/>
        </w:rPr>
        <w:t>2022</w:t>
      </w:r>
      <w:r>
        <w:rPr>
          <w:rFonts w:hint="eastAsia"/>
          <w:sz w:val="32"/>
          <w:szCs w:val="32"/>
        </w:rPr>
        <w:t>年度“三公”经费财政预算7.65万元，实际“三公”经费开支2.8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rFonts w:hint="eastAsia"/>
          <w:sz w:val="32"/>
          <w:szCs w:val="32"/>
        </w:rPr>
        <w:t>万元，控制率为</w:t>
      </w:r>
      <w:r>
        <w:rPr>
          <w:rFonts w:hint="eastAsia"/>
          <w:sz w:val="32"/>
          <w:szCs w:val="32"/>
          <w:lang w:val="en-US" w:eastAsia="zh-CN"/>
        </w:rPr>
        <w:t>36.99</w:t>
      </w:r>
      <w:r>
        <w:rPr>
          <w:rFonts w:hint="eastAsia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2、预算收入管理:</w:t>
      </w:r>
      <w:r>
        <w:rPr>
          <w:rFonts w:hint="eastAsia"/>
          <w:sz w:val="32"/>
          <w:szCs w:val="32"/>
          <w:lang w:eastAsia="zh-CN"/>
        </w:rPr>
        <w:t>2022</w:t>
      </w:r>
      <w:r>
        <w:rPr>
          <w:rFonts w:hint="eastAsia"/>
          <w:sz w:val="32"/>
          <w:szCs w:val="32"/>
        </w:rPr>
        <w:t>年度财政拨款预算数</w:t>
      </w:r>
      <w:r>
        <w:rPr>
          <w:rFonts w:hint="eastAsia"/>
          <w:sz w:val="32"/>
          <w:szCs w:val="32"/>
          <w:lang w:val="en-US" w:eastAsia="zh-CN"/>
        </w:rPr>
        <w:t>428.89</w:t>
      </w:r>
      <w:r>
        <w:rPr>
          <w:rFonts w:hint="eastAsia"/>
          <w:sz w:val="32"/>
          <w:szCs w:val="32"/>
        </w:rPr>
        <w:t>万元，本年度预算完成率为 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3、预算支出管理:我办</w:t>
      </w:r>
      <w:r>
        <w:rPr>
          <w:rFonts w:hint="eastAsia"/>
          <w:sz w:val="32"/>
          <w:szCs w:val="32"/>
          <w:lang w:eastAsia="zh-CN"/>
        </w:rPr>
        <w:t>2022</w:t>
      </w:r>
      <w:r>
        <w:rPr>
          <w:rFonts w:hint="eastAsia"/>
          <w:sz w:val="32"/>
          <w:szCs w:val="32"/>
        </w:rPr>
        <w:t>年度日常公用经费支出决算数</w:t>
      </w:r>
      <w:r>
        <w:rPr>
          <w:rFonts w:hint="eastAsia"/>
          <w:sz w:val="32"/>
          <w:szCs w:val="32"/>
          <w:lang w:val="en-US" w:eastAsia="zh-CN"/>
        </w:rPr>
        <w:t>58.69</w:t>
      </w:r>
      <w:r>
        <w:rPr>
          <w:rFonts w:hint="eastAsia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4、财务制度建设:我办按财务制度的管理规定，制定了会计核算、财务管理等制度，并严格按制度执行。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5、预、决算信息及公开:因我办无门户网站，故预决算信息都在规定时间内、按规定的内容委托怀化市财政局在其门户网站予以公开。公开的数据、会计等信息资料真实、完整、准确。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(二)整体工作绩效情况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认真抓好改制资产日常管理。规范资产、场地出租合同管理。凡是出租的房屋和场地，必须签订书面租赁合同。在合同报批程序上，严格实行资产管理组长审核、分管领导审批制度。对各改制企业的资产、场地建立台账，实行动态管理，及时掌握和跟踪房屋出租、租金收取、合同到期等相关信息，确保合同执行有效、租金及时收取。对欠租经营户依法诉讼，确保国有资产不流失。及时安排资产维修，对需要维修的资产项目进行全过程的监督管理，从现场核实、维修初审、复审到最终审批层层把关，尽可能杜绝管理漏洞，降低廉政风险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2.认真落实安全生产责任制。夯实和健全安全生产工作责任。从建立健全安全生产责任制入手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</w:rPr>
        <w:t>开展安全生产专项检查。节假日期间，分别进行了安全生产专项检查，消除安全隐患。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做好改制企业后续服务。企业改制虽已基本完成，但由于各方面的原因，职工因为各种遗留问题和利益诉求，信访行为时有发生，我办积极、主动、热情接待职工来访，认真处理职工反映的各种利益诉求，并在职责范围内及时做好化解工作，全年共接待来访群众120多人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改制企业无房户职工安置房建设。由于开发商资金断链问题，市直商业改制企业无房户职工一期安置房一直无法交付，已延迟6年多时间，涉及173户，通过努力已经交付158户，由于电分户到户、相关设施未能完成，加之延期交房构成违约，职工集体起诉维权，我办依法依规，勇于担当，尽快化解矛盾，完成安置房交付。我办组织力量尽全力做好安置户思想工作，化解矛盾纠纷，参照长沙仲裁委仲裁标准，积极与安置户协商进行和解，向职工支付违约金200多万元，困扰多年的老大难问题逐步得以解决。二期安置房，涉及原外贸、物资企业无房户职工约150户，职工意见大，多次上访，引起市委、市政府重视，已经提出相应建议意见提交市政府研究，并坚决按市政府形成的相关意见持续推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五、存在的主要问题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本部门承担着15家改制企业和1家未改制企业服务管理工作，公用经费少，改制工作专项业务经费又严重不足，制约了工作的开展。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六、改进措施及建议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今后，我办将严格按照预算编制政策合理编制预算，完善和提高预算编制的科学性和合理性;进一步完善内部管理制度，加强内部控制建设;严格执行新政府会计制度，规范资产管理，防范财务风险，努力提高财政资金使用效益。</w:t>
      </w:r>
    </w:p>
    <w:p>
      <w:pPr>
        <w:rPr>
          <w:rFonts w:hint="eastAsia"/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zNDU2Nzk4MDNlMDAzZjQ0ZWQwOTM0OTZkZGM3Y2MifQ=="/>
  </w:docVars>
  <w:rsids>
    <w:rsidRoot w:val="5325673B"/>
    <w:rsid w:val="222D4706"/>
    <w:rsid w:val="5325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2023-09-01T10:20:00Z</dcterms:created>
  <dc:creator>Z.</dc:creator>
  <cp:lastModifiedBy>Z.</cp:lastModifiedBy>
  <dcterms:modified xsi:type="dcterms:W3CDTF">2023-10-08T01:22:12Z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B09D7484AF144FB09F05186F6196DC8C_13</vt:lpwstr>
  </property>
</Properties>
</file>