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9E4F52">
      <w:pPr>
        <w:pStyle w:val="11"/>
        <w:jc w:val="center"/>
        <w:rPr>
          <w:rFonts w:hint="eastAsia" w:ascii="黑体" w:hAnsi="黑体" w:eastAsia="黑体" w:cs="黑体"/>
          <w:b w:val="0"/>
          <w:bCs w:val="0"/>
          <w:sz w:val="84"/>
          <w:szCs w:val="84"/>
          <w:highlight w:val="none"/>
        </w:rPr>
      </w:pPr>
    </w:p>
    <w:p w14:paraId="2020D91E">
      <w:pPr>
        <w:pStyle w:val="11"/>
        <w:jc w:val="center"/>
        <w:rPr>
          <w:rFonts w:hint="eastAsia" w:ascii="黑体" w:hAnsi="黑体" w:eastAsia="黑体" w:cs="黑体"/>
          <w:b w:val="0"/>
          <w:bCs w:val="0"/>
          <w:sz w:val="84"/>
          <w:szCs w:val="84"/>
          <w:highlight w:val="none"/>
        </w:rPr>
      </w:pPr>
    </w:p>
    <w:p w14:paraId="6C1C1790">
      <w:pPr>
        <w:pStyle w:val="11"/>
        <w:jc w:val="center"/>
        <w:rPr>
          <w:rFonts w:hint="eastAsia" w:ascii="黑体" w:hAnsi="黑体" w:eastAsia="黑体" w:cs="黑体"/>
          <w:b w:val="0"/>
          <w:bCs w:val="0"/>
          <w:sz w:val="84"/>
          <w:szCs w:val="84"/>
          <w:highlight w:val="none"/>
        </w:rPr>
      </w:pPr>
    </w:p>
    <w:p w14:paraId="288A18EA">
      <w:pPr>
        <w:pStyle w:val="11"/>
        <w:jc w:val="both"/>
        <w:rPr>
          <w:rFonts w:hint="eastAsia" w:ascii="黑体" w:hAnsi="黑体" w:eastAsia="黑体" w:cs="黑体"/>
          <w:b w:val="0"/>
          <w:bCs w:val="0"/>
          <w:sz w:val="84"/>
          <w:szCs w:val="84"/>
          <w:highlight w:val="none"/>
        </w:rPr>
      </w:pPr>
    </w:p>
    <w:p w14:paraId="30EAEB34">
      <w:pPr>
        <w:pStyle w:val="11"/>
        <w:jc w:val="center"/>
        <w:rPr>
          <w:rFonts w:hint="eastAsia" w:ascii="黑体" w:hAnsi="黑体" w:eastAsia="黑体" w:cs="黑体"/>
          <w:b w:val="0"/>
          <w:bCs w:val="0"/>
          <w:sz w:val="84"/>
          <w:szCs w:val="84"/>
          <w:highlight w:val="none"/>
        </w:rPr>
      </w:pPr>
      <w:r>
        <w:rPr>
          <w:rFonts w:hint="eastAsia" w:ascii="黑体" w:hAnsi="黑体" w:eastAsia="黑体" w:cs="黑体"/>
          <w:b w:val="0"/>
          <w:bCs w:val="0"/>
          <w:sz w:val="84"/>
          <w:szCs w:val="84"/>
          <w:highlight w:val="none"/>
        </w:rPr>
        <w:t>202</w:t>
      </w:r>
      <w:r>
        <w:rPr>
          <w:rFonts w:hint="eastAsia" w:ascii="黑体" w:hAnsi="黑体" w:eastAsia="黑体" w:cs="黑体"/>
          <w:b w:val="0"/>
          <w:bCs w:val="0"/>
          <w:sz w:val="84"/>
          <w:szCs w:val="84"/>
          <w:highlight w:val="none"/>
          <w:lang w:val="en-US" w:eastAsia="zh-CN"/>
        </w:rPr>
        <w:t>2</w:t>
      </w:r>
      <w:r>
        <w:rPr>
          <w:rFonts w:hint="eastAsia" w:ascii="黑体" w:hAnsi="黑体" w:eastAsia="黑体" w:cs="黑体"/>
          <w:b w:val="0"/>
          <w:bCs w:val="0"/>
          <w:sz w:val="84"/>
          <w:szCs w:val="84"/>
          <w:highlight w:val="none"/>
        </w:rPr>
        <w:t>年度</w:t>
      </w:r>
    </w:p>
    <w:p w14:paraId="32A6CEC4">
      <w:pPr>
        <w:pStyle w:val="11"/>
        <w:jc w:val="center"/>
        <w:rPr>
          <w:rFonts w:hint="eastAsia" w:ascii="黑体" w:hAnsi="黑体" w:eastAsia="黑体" w:cs="黑体"/>
          <w:b w:val="0"/>
          <w:bCs w:val="0"/>
          <w:sz w:val="52"/>
          <w:szCs w:val="52"/>
          <w:highlight w:val="none"/>
        </w:rPr>
      </w:pPr>
      <w:r>
        <w:rPr>
          <w:rFonts w:hint="eastAsia" w:ascii="黑体" w:hAnsi="黑体" w:eastAsia="黑体" w:cs="黑体"/>
          <w:b w:val="0"/>
          <w:bCs w:val="0"/>
          <w:sz w:val="84"/>
          <w:szCs w:val="84"/>
          <w:highlight w:val="none"/>
        </w:rPr>
        <w:t>怀化市工业企业改制服务办公室部门决算</w:t>
      </w:r>
    </w:p>
    <w:p w14:paraId="40828817">
      <w:pPr>
        <w:pStyle w:val="11"/>
        <w:spacing w:line="500" w:lineRule="exact"/>
        <w:jc w:val="both"/>
        <w:rPr>
          <w:b/>
          <w:sz w:val="36"/>
          <w:szCs w:val="28"/>
          <w:highlight w:val="none"/>
        </w:rPr>
      </w:pPr>
    </w:p>
    <w:p w14:paraId="66803967">
      <w:pPr>
        <w:pStyle w:val="11"/>
        <w:spacing w:line="500" w:lineRule="exact"/>
        <w:jc w:val="center"/>
        <w:rPr>
          <w:rFonts w:hint="eastAsia"/>
          <w:b w:val="0"/>
          <w:bCs/>
          <w:sz w:val="36"/>
          <w:szCs w:val="28"/>
          <w:highlight w:val="none"/>
        </w:rPr>
      </w:pPr>
    </w:p>
    <w:p w14:paraId="4E593C18">
      <w:pPr>
        <w:pStyle w:val="11"/>
        <w:spacing w:line="500" w:lineRule="exact"/>
        <w:jc w:val="center"/>
        <w:rPr>
          <w:rFonts w:hint="eastAsia"/>
          <w:b w:val="0"/>
          <w:bCs/>
          <w:sz w:val="36"/>
          <w:szCs w:val="28"/>
          <w:highlight w:val="none"/>
        </w:rPr>
      </w:pPr>
    </w:p>
    <w:p w14:paraId="49AD2011">
      <w:pPr>
        <w:pStyle w:val="11"/>
        <w:spacing w:line="500" w:lineRule="exact"/>
        <w:jc w:val="center"/>
        <w:rPr>
          <w:rFonts w:hint="eastAsia"/>
          <w:b w:val="0"/>
          <w:bCs/>
          <w:sz w:val="36"/>
          <w:szCs w:val="28"/>
          <w:highlight w:val="none"/>
        </w:rPr>
      </w:pPr>
    </w:p>
    <w:p w14:paraId="119A548F">
      <w:pPr>
        <w:pStyle w:val="11"/>
        <w:spacing w:line="500" w:lineRule="exact"/>
        <w:jc w:val="center"/>
        <w:rPr>
          <w:rFonts w:hint="eastAsia"/>
          <w:b w:val="0"/>
          <w:bCs/>
          <w:sz w:val="36"/>
          <w:szCs w:val="28"/>
          <w:highlight w:val="none"/>
        </w:rPr>
      </w:pPr>
    </w:p>
    <w:p w14:paraId="3AB86E6D">
      <w:pPr>
        <w:pStyle w:val="11"/>
        <w:spacing w:line="500" w:lineRule="exact"/>
        <w:jc w:val="center"/>
        <w:rPr>
          <w:rFonts w:hint="eastAsia"/>
          <w:b w:val="0"/>
          <w:bCs/>
          <w:sz w:val="36"/>
          <w:szCs w:val="28"/>
          <w:highlight w:val="none"/>
        </w:rPr>
      </w:pPr>
    </w:p>
    <w:p w14:paraId="7CAE6DED">
      <w:pPr>
        <w:pStyle w:val="11"/>
        <w:spacing w:line="500" w:lineRule="exact"/>
        <w:jc w:val="center"/>
        <w:rPr>
          <w:rFonts w:hint="eastAsia"/>
          <w:b w:val="0"/>
          <w:bCs/>
          <w:sz w:val="36"/>
          <w:szCs w:val="28"/>
          <w:highlight w:val="none"/>
        </w:rPr>
      </w:pPr>
    </w:p>
    <w:p w14:paraId="4D8ABEE2">
      <w:pPr>
        <w:pStyle w:val="11"/>
        <w:spacing w:line="500" w:lineRule="exact"/>
        <w:jc w:val="center"/>
        <w:rPr>
          <w:rFonts w:hint="eastAsia"/>
          <w:b w:val="0"/>
          <w:bCs/>
          <w:sz w:val="36"/>
          <w:szCs w:val="28"/>
          <w:highlight w:val="none"/>
        </w:rPr>
      </w:pPr>
    </w:p>
    <w:p w14:paraId="4BCE4ABF">
      <w:pPr>
        <w:pStyle w:val="11"/>
        <w:spacing w:line="500" w:lineRule="exact"/>
        <w:jc w:val="center"/>
        <w:rPr>
          <w:rFonts w:hint="eastAsia"/>
          <w:b w:val="0"/>
          <w:bCs/>
          <w:sz w:val="36"/>
          <w:szCs w:val="28"/>
          <w:highlight w:val="none"/>
        </w:rPr>
      </w:pPr>
    </w:p>
    <w:p w14:paraId="245607CB">
      <w:pPr>
        <w:pStyle w:val="11"/>
        <w:spacing w:line="500" w:lineRule="exact"/>
        <w:jc w:val="center"/>
        <w:rPr>
          <w:rFonts w:hint="eastAsia"/>
          <w:b w:val="0"/>
          <w:bCs/>
          <w:sz w:val="36"/>
          <w:szCs w:val="28"/>
          <w:highlight w:val="none"/>
        </w:rPr>
      </w:pPr>
    </w:p>
    <w:p w14:paraId="714CF22D">
      <w:pPr>
        <w:pStyle w:val="11"/>
        <w:spacing w:line="500" w:lineRule="exact"/>
        <w:jc w:val="center"/>
        <w:rPr>
          <w:rFonts w:hint="eastAsia"/>
          <w:b w:val="0"/>
          <w:bCs/>
          <w:sz w:val="36"/>
          <w:szCs w:val="28"/>
          <w:highlight w:val="none"/>
        </w:rPr>
      </w:pPr>
    </w:p>
    <w:p w14:paraId="3E26475B">
      <w:pPr>
        <w:pStyle w:val="11"/>
        <w:spacing w:line="500" w:lineRule="exact"/>
        <w:jc w:val="center"/>
        <w:rPr>
          <w:rFonts w:hint="eastAsia"/>
          <w:b w:val="0"/>
          <w:bCs/>
          <w:sz w:val="36"/>
          <w:szCs w:val="28"/>
          <w:highlight w:val="none"/>
        </w:rPr>
      </w:pPr>
    </w:p>
    <w:p w14:paraId="20C69FB1">
      <w:pPr>
        <w:pStyle w:val="11"/>
        <w:spacing w:line="500" w:lineRule="exact"/>
        <w:jc w:val="center"/>
        <w:rPr>
          <w:rFonts w:hint="eastAsia"/>
          <w:b w:val="0"/>
          <w:bCs/>
          <w:sz w:val="36"/>
          <w:szCs w:val="28"/>
          <w:highlight w:val="none"/>
        </w:rPr>
      </w:pPr>
    </w:p>
    <w:p w14:paraId="730BE689">
      <w:pPr>
        <w:pStyle w:val="11"/>
        <w:spacing w:line="500" w:lineRule="exact"/>
        <w:jc w:val="center"/>
        <w:rPr>
          <w:b w:val="0"/>
          <w:bCs/>
          <w:sz w:val="36"/>
          <w:szCs w:val="28"/>
          <w:highlight w:val="none"/>
        </w:rPr>
      </w:pPr>
      <w:r>
        <w:rPr>
          <w:rFonts w:hint="eastAsia"/>
          <w:b w:val="0"/>
          <w:bCs/>
          <w:sz w:val="36"/>
          <w:szCs w:val="36"/>
          <w:highlight w:val="none"/>
        </w:rPr>
        <w:t>目</w:t>
      </w:r>
      <w:r>
        <w:rPr>
          <w:rFonts w:hint="eastAsia"/>
          <w:b w:val="0"/>
          <w:bCs/>
          <w:sz w:val="36"/>
          <w:szCs w:val="36"/>
          <w:highlight w:val="none"/>
          <w:lang w:val="en-US" w:eastAsia="zh-CN"/>
        </w:rPr>
        <w:t xml:space="preserve">  </w:t>
      </w:r>
      <w:r>
        <w:rPr>
          <w:rFonts w:hint="eastAsia"/>
          <w:b w:val="0"/>
          <w:bCs/>
          <w:sz w:val="36"/>
          <w:szCs w:val="36"/>
          <w:highlight w:val="none"/>
        </w:rPr>
        <w:t>录</w:t>
      </w:r>
    </w:p>
    <w:p w14:paraId="26DC6828">
      <w:pPr>
        <w:pStyle w:val="11"/>
        <w:keepNext w:val="0"/>
        <w:keepLines w:val="0"/>
        <w:pageBreakBefore w:val="0"/>
        <w:widowControl w:val="0"/>
        <w:kinsoku/>
        <w:wordWrap/>
        <w:overflowPunct/>
        <w:topLinePunct w:val="0"/>
        <w:bidi w:val="0"/>
        <w:snapToGrid/>
        <w:spacing w:line="470" w:lineRule="exact"/>
        <w:textAlignment w:val="auto"/>
        <w:rPr>
          <w:rFonts w:hint="eastAsia" w:ascii="黑体" w:hAnsi="黑体" w:eastAsia="黑体" w:cs="黑体"/>
          <w:b w:val="0"/>
          <w:bCs/>
          <w:sz w:val="28"/>
          <w:szCs w:val="28"/>
          <w:highlight w:val="none"/>
        </w:rPr>
      </w:pPr>
      <w:r>
        <w:rPr>
          <w:rFonts w:hint="eastAsia" w:ascii="黑体" w:hAnsi="黑体" w:eastAsia="黑体" w:cs="黑体"/>
          <w:b w:val="0"/>
          <w:bCs/>
          <w:sz w:val="28"/>
          <w:szCs w:val="28"/>
          <w:highlight w:val="none"/>
        </w:rPr>
        <w:t>第一部分</w:t>
      </w:r>
      <w:r>
        <w:rPr>
          <w:rFonts w:hint="eastAsia" w:ascii="黑体" w:hAnsi="黑体" w:eastAsia="黑体" w:cs="黑体"/>
          <w:b w:val="0"/>
          <w:bCs/>
          <w:sz w:val="28"/>
          <w:szCs w:val="28"/>
          <w:highlight w:val="none"/>
          <w:lang w:val="en-US" w:eastAsia="zh-CN"/>
        </w:rPr>
        <w:t xml:space="preserve"> 怀化市工业企业改制服务办公室</w:t>
      </w:r>
      <w:r>
        <w:rPr>
          <w:rFonts w:hint="eastAsia" w:ascii="黑体" w:hAnsi="黑体" w:eastAsia="黑体" w:cs="黑体"/>
          <w:b w:val="0"/>
          <w:bCs/>
          <w:sz w:val="28"/>
          <w:szCs w:val="28"/>
          <w:highlight w:val="none"/>
        </w:rPr>
        <w:t>概况</w:t>
      </w:r>
    </w:p>
    <w:p w14:paraId="2E39A023">
      <w:pPr>
        <w:pStyle w:val="11"/>
        <w:keepNext w:val="0"/>
        <w:keepLines w:val="0"/>
        <w:pageBreakBefore w:val="0"/>
        <w:widowControl w:val="0"/>
        <w:kinsoku/>
        <w:wordWrap/>
        <w:overflowPunct/>
        <w:topLinePunct w:val="0"/>
        <w:bidi w:val="0"/>
        <w:snapToGrid/>
        <w:spacing w:line="47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一、部门职责</w:t>
      </w:r>
    </w:p>
    <w:p w14:paraId="546F15D5">
      <w:pPr>
        <w:pStyle w:val="11"/>
        <w:keepNext w:val="0"/>
        <w:keepLines w:val="0"/>
        <w:pageBreakBefore w:val="0"/>
        <w:widowControl w:val="0"/>
        <w:kinsoku/>
        <w:wordWrap/>
        <w:overflowPunct/>
        <w:topLinePunct w:val="0"/>
        <w:bidi w:val="0"/>
        <w:snapToGrid/>
        <w:spacing w:line="47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二、机构设置</w:t>
      </w:r>
    </w:p>
    <w:p w14:paraId="1752457B">
      <w:pPr>
        <w:pStyle w:val="11"/>
        <w:keepNext w:val="0"/>
        <w:keepLines w:val="0"/>
        <w:pageBreakBefore w:val="0"/>
        <w:widowControl w:val="0"/>
        <w:kinsoku/>
        <w:wordWrap/>
        <w:overflowPunct/>
        <w:topLinePunct w:val="0"/>
        <w:bidi w:val="0"/>
        <w:snapToGrid/>
        <w:spacing w:line="470" w:lineRule="exact"/>
        <w:textAlignment w:val="auto"/>
        <w:rPr>
          <w:rFonts w:hint="eastAsia" w:ascii="黑体" w:hAnsi="黑体" w:eastAsia="黑体" w:cs="黑体"/>
          <w:b w:val="0"/>
          <w:bCs/>
          <w:sz w:val="28"/>
          <w:szCs w:val="28"/>
          <w:highlight w:val="none"/>
        </w:rPr>
      </w:pPr>
      <w:r>
        <w:rPr>
          <w:rFonts w:hint="eastAsia" w:ascii="黑体" w:hAnsi="黑体" w:eastAsia="黑体" w:cs="黑体"/>
          <w:b w:val="0"/>
          <w:bCs/>
          <w:sz w:val="28"/>
          <w:szCs w:val="28"/>
          <w:highlight w:val="none"/>
        </w:rPr>
        <w:t>第二部分</w:t>
      </w:r>
      <w:r>
        <w:rPr>
          <w:rFonts w:hint="eastAsia" w:ascii="黑体" w:hAnsi="黑体" w:eastAsia="黑体" w:cs="黑体"/>
          <w:b w:val="0"/>
          <w:bCs/>
          <w:sz w:val="28"/>
          <w:szCs w:val="28"/>
          <w:highlight w:val="none"/>
          <w:lang w:val="en-US" w:eastAsia="zh-CN"/>
        </w:rPr>
        <w:t xml:space="preserve"> </w:t>
      </w:r>
      <w:r>
        <w:rPr>
          <w:rFonts w:hint="eastAsia" w:ascii="黑体" w:hAnsi="黑体" w:eastAsia="黑体" w:cs="黑体"/>
          <w:b w:val="0"/>
          <w:bCs/>
          <w:sz w:val="28"/>
          <w:szCs w:val="28"/>
          <w:highlight w:val="none"/>
        </w:rPr>
        <w:t>部门决算表</w:t>
      </w:r>
    </w:p>
    <w:p w14:paraId="44955EA2">
      <w:pPr>
        <w:pStyle w:val="11"/>
        <w:keepNext w:val="0"/>
        <w:keepLines w:val="0"/>
        <w:pageBreakBefore w:val="0"/>
        <w:widowControl w:val="0"/>
        <w:kinsoku/>
        <w:wordWrap/>
        <w:overflowPunct/>
        <w:topLinePunct w:val="0"/>
        <w:bidi w:val="0"/>
        <w:snapToGrid/>
        <w:spacing w:line="47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一、收入支出决算总表</w:t>
      </w:r>
    </w:p>
    <w:p w14:paraId="09BED2A6">
      <w:pPr>
        <w:pStyle w:val="11"/>
        <w:keepNext w:val="0"/>
        <w:keepLines w:val="0"/>
        <w:pageBreakBefore w:val="0"/>
        <w:widowControl w:val="0"/>
        <w:kinsoku/>
        <w:wordWrap/>
        <w:overflowPunct/>
        <w:topLinePunct w:val="0"/>
        <w:bidi w:val="0"/>
        <w:snapToGrid/>
        <w:spacing w:line="47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二、收入决算表</w:t>
      </w:r>
    </w:p>
    <w:p w14:paraId="2F434E36">
      <w:pPr>
        <w:pStyle w:val="11"/>
        <w:keepNext w:val="0"/>
        <w:keepLines w:val="0"/>
        <w:pageBreakBefore w:val="0"/>
        <w:widowControl w:val="0"/>
        <w:kinsoku/>
        <w:wordWrap/>
        <w:overflowPunct/>
        <w:topLinePunct w:val="0"/>
        <w:bidi w:val="0"/>
        <w:snapToGrid/>
        <w:spacing w:line="47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三、支出决算表</w:t>
      </w:r>
    </w:p>
    <w:p w14:paraId="4C631980">
      <w:pPr>
        <w:pStyle w:val="11"/>
        <w:keepNext w:val="0"/>
        <w:keepLines w:val="0"/>
        <w:pageBreakBefore w:val="0"/>
        <w:widowControl w:val="0"/>
        <w:kinsoku/>
        <w:wordWrap/>
        <w:overflowPunct/>
        <w:topLinePunct w:val="0"/>
        <w:bidi w:val="0"/>
        <w:snapToGrid/>
        <w:spacing w:line="47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四、财政拨款收入支出决算总表</w:t>
      </w:r>
    </w:p>
    <w:p w14:paraId="09968472">
      <w:pPr>
        <w:pStyle w:val="11"/>
        <w:keepNext w:val="0"/>
        <w:keepLines w:val="0"/>
        <w:pageBreakBefore w:val="0"/>
        <w:widowControl w:val="0"/>
        <w:kinsoku/>
        <w:wordWrap/>
        <w:overflowPunct/>
        <w:topLinePunct w:val="0"/>
        <w:bidi w:val="0"/>
        <w:snapToGrid/>
        <w:spacing w:line="47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五、一般公共预算财政拨款支出决算表</w:t>
      </w:r>
    </w:p>
    <w:p w14:paraId="76DDA660">
      <w:pPr>
        <w:pStyle w:val="11"/>
        <w:keepNext w:val="0"/>
        <w:keepLines w:val="0"/>
        <w:pageBreakBefore w:val="0"/>
        <w:widowControl w:val="0"/>
        <w:kinsoku/>
        <w:wordWrap/>
        <w:overflowPunct/>
        <w:topLinePunct w:val="0"/>
        <w:bidi w:val="0"/>
        <w:snapToGrid/>
        <w:spacing w:line="47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六、一般公共预算财政拨款基本支出决算明细表</w:t>
      </w:r>
    </w:p>
    <w:p w14:paraId="008260D3">
      <w:pPr>
        <w:pStyle w:val="11"/>
        <w:keepNext w:val="0"/>
        <w:keepLines w:val="0"/>
        <w:pageBreakBefore w:val="0"/>
        <w:widowControl w:val="0"/>
        <w:kinsoku/>
        <w:wordWrap/>
        <w:overflowPunct/>
        <w:topLinePunct w:val="0"/>
        <w:bidi w:val="0"/>
        <w:snapToGrid/>
        <w:spacing w:line="47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七、政府性基金预算财政拨款收入支出决算表</w:t>
      </w:r>
    </w:p>
    <w:p w14:paraId="11FE6D44">
      <w:pPr>
        <w:pStyle w:val="11"/>
        <w:keepNext w:val="0"/>
        <w:keepLines w:val="0"/>
        <w:pageBreakBefore w:val="0"/>
        <w:widowControl w:val="0"/>
        <w:kinsoku/>
        <w:wordWrap/>
        <w:overflowPunct/>
        <w:topLinePunct w:val="0"/>
        <w:bidi w:val="0"/>
        <w:snapToGrid/>
        <w:spacing w:line="47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八、国有资本经营预算财政拨款支出决算表</w:t>
      </w:r>
    </w:p>
    <w:p w14:paraId="357ED664">
      <w:pPr>
        <w:pStyle w:val="11"/>
        <w:keepNext w:val="0"/>
        <w:keepLines w:val="0"/>
        <w:pageBreakBefore w:val="0"/>
        <w:widowControl w:val="0"/>
        <w:kinsoku/>
        <w:wordWrap/>
        <w:overflowPunct/>
        <w:topLinePunct w:val="0"/>
        <w:bidi w:val="0"/>
        <w:snapToGrid/>
        <w:spacing w:line="47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九、财政拨款“三公”经费支出决算表</w:t>
      </w:r>
    </w:p>
    <w:p w14:paraId="47297A74">
      <w:pPr>
        <w:pStyle w:val="11"/>
        <w:keepNext w:val="0"/>
        <w:keepLines w:val="0"/>
        <w:pageBreakBefore w:val="0"/>
        <w:widowControl w:val="0"/>
        <w:kinsoku/>
        <w:wordWrap/>
        <w:overflowPunct/>
        <w:topLinePunct w:val="0"/>
        <w:bidi w:val="0"/>
        <w:snapToGrid/>
        <w:spacing w:line="470" w:lineRule="exact"/>
        <w:textAlignment w:val="auto"/>
        <w:rPr>
          <w:rFonts w:hint="eastAsia" w:ascii="黑体" w:hAnsi="黑体" w:eastAsia="黑体" w:cs="黑体"/>
          <w:b w:val="0"/>
          <w:bCs/>
          <w:sz w:val="28"/>
          <w:szCs w:val="28"/>
          <w:highlight w:val="none"/>
        </w:rPr>
      </w:pPr>
      <w:r>
        <w:rPr>
          <w:rFonts w:hint="eastAsia" w:ascii="黑体" w:hAnsi="黑体" w:eastAsia="黑体" w:cs="黑体"/>
          <w:b w:val="0"/>
          <w:bCs/>
          <w:sz w:val="28"/>
          <w:szCs w:val="28"/>
          <w:highlight w:val="none"/>
        </w:rPr>
        <w:t>第三部分</w:t>
      </w:r>
      <w:r>
        <w:rPr>
          <w:rFonts w:hint="eastAsia" w:ascii="黑体" w:hAnsi="黑体" w:eastAsia="黑体" w:cs="黑体"/>
          <w:b w:val="0"/>
          <w:bCs/>
          <w:sz w:val="28"/>
          <w:szCs w:val="28"/>
          <w:highlight w:val="none"/>
          <w:lang w:val="en-US" w:eastAsia="zh-CN"/>
        </w:rPr>
        <w:t xml:space="preserve"> </w:t>
      </w:r>
      <w:r>
        <w:rPr>
          <w:rFonts w:hint="eastAsia" w:ascii="黑体" w:hAnsi="黑体" w:eastAsia="黑体" w:cs="黑体"/>
          <w:b w:val="0"/>
          <w:bCs/>
          <w:sz w:val="28"/>
          <w:szCs w:val="28"/>
          <w:highlight w:val="none"/>
        </w:rPr>
        <w:t>部门决算情况说明</w:t>
      </w:r>
    </w:p>
    <w:p w14:paraId="395F6102">
      <w:pPr>
        <w:pStyle w:val="11"/>
        <w:keepNext w:val="0"/>
        <w:keepLines w:val="0"/>
        <w:pageBreakBefore w:val="0"/>
        <w:widowControl w:val="0"/>
        <w:kinsoku/>
        <w:wordWrap/>
        <w:overflowPunct/>
        <w:topLinePunct w:val="0"/>
        <w:bidi w:val="0"/>
        <w:snapToGrid/>
        <w:spacing w:line="47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一、收入支出决算总体情况说明</w:t>
      </w:r>
    </w:p>
    <w:p w14:paraId="687A33C4">
      <w:pPr>
        <w:keepNext w:val="0"/>
        <w:keepLines w:val="0"/>
        <w:pageBreakBefore w:val="0"/>
        <w:widowControl w:val="0"/>
        <w:kinsoku/>
        <w:wordWrap/>
        <w:overflowPunct/>
        <w:topLinePunct w:val="0"/>
        <w:bidi w:val="0"/>
        <w:snapToGrid/>
        <w:spacing w:line="470" w:lineRule="exact"/>
        <w:ind w:firstLine="560" w:firstLineChars="200"/>
        <w:jc w:val="lef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二、收入决算情况说明</w:t>
      </w:r>
    </w:p>
    <w:p w14:paraId="3A134363">
      <w:pPr>
        <w:keepNext w:val="0"/>
        <w:keepLines w:val="0"/>
        <w:pageBreakBefore w:val="0"/>
        <w:widowControl w:val="0"/>
        <w:kinsoku/>
        <w:wordWrap/>
        <w:overflowPunct/>
        <w:topLinePunct w:val="0"/>
        <w:autoSpaceDE w:val="0"/>
        <w:autoSpaceDN w:val="0"/>
        <w:bidi w:val="0"/>
        <w:adjustRightInd w:val="0"/>
        <w:snapToGrid/>
        <w:spacing w:line="470" w:lineRule="exact"/>
        <w:ind w:firstLine="560" w:firstLineChars="200"/>
        <w:jc w:val="left"/>
        <w:textAlignment w:val="auto"/>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三、支出决算情况说明</w:t>
      </w:r>
    </w:p>
    <w:p w14:paraId="148DD59D">
      <w:pPr>
        <w:keepNext w:val="0"/>
        <w:keepLines w:val="0"/>
        <w:pageBreakBefore w:val="0"/>
        <w:widowControl w:val="0"/>
        <w:kinsoku/>
        <w:wordWrap/>
        <w:overflowPunct/>
        <w:topLinePunct w:val="0"/>
        <w:autoSpaceDE w:val="0"/>
        <w:autoSpaceDN w:val="0"/>
        <w:bidi w:val="0"/>
        <w:adjustRightInd w:val="0"/>
        <w:snapToGrid/>
        <w:spacing w:line="470" w:lineRule="exact"/>
        <w:ind w:firstLine="560" w:firstLineChars="200"/>
        <w:jc w:val="left"/>
        <w:textAlignment w:val="auto"/>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四、财政拨款收入支出决算总体情况说明</w:t>
      </w:r>
    </w:p>
    <w:p w14:paraId="5F98EE11">
      <w:pPr>
        <w:keepNext w:val="0"/>
        <w:keepLines w:val="0"/>
        <w:pageBreakBefore w:val="0"/>
        <w:widowControl w:val="0"/>
        <w:kinsoku/>
        <w:wordWrap/>
        <w:overflowPunct/>
        <w:topLinePunct w:val="0"/>
        <w:autoSpaceDE w:val="0"/>
        <w:autoSpaceDN w:val="0"/>
        <w:bidi w:val="0"/>
        <w:adjustRightInd w:val="0"/>
        <w:snapToGrid/>
        <w:spacing w:line="470" w:lineRule="exact"/>
        <w:ind w:firstLine="560" w:firstLineChars="200"/>
        <w:jc w:val="left"/>
        <w:textAlignment w:val="auto"/>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五、一般公共预算财政拨款支出决算情况说明</w:t>
      </w:r>
    </w:p>
    <w:p w14:paraId="2B7B22DA">
      <w:pPr>
        <w:keepNext w:val="0"/>
        <w:keepLines w:val="0"/>
        <w:pageBreakBefore w:val="0"/>
        <w:widowControl w:val="0"/>
        <w:kinsoku/>
        <w:wordWrap/>
        <w:overflowPunct/>
        <w:topLinePunct w:val="0"/>
        <w:autoSpaceDE w:val="0"/>
        <w:autoSpaceDN w:val="0"/>
        <w:bidi w:val="0"/>
        <w:adjustRightInd w:val="0"/>
        <w:snapToGrid/>
        <w:spacing w:line="470" w:lineRule="exact"/>
        <w:ind w:firstLine="560" w:firstLineChars="200"/>
        <w:jc w:val="left"/>
        <w:textAlignment w:val="auto"/>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六、一般公共预算财政拨款基本支出决算情况说明</w:t>
      </w:r>
    </w:p>
    <w:p w14:paraId="2D93A7B7">
      <w:pPr>
        <w:keepNext w:val="0"/>
        <w:keepLines w:val="0"/>
        <w:pageBreakBefore w:val="0"/>
        <w:widowControl w:val="0"/>
        <w:kinsoku/>
        <w:wordWrap/>
        <w:overflowPunct/>
        <w:topLinePunct w:val="0"/>
        <w:autoSpaceDE w:val="0"/>
        <w:autoSpaceDN w:val="0"/>
        <w:bidi w:val="0"/>
        <w:adjustRightInd w:val="0"/>
        <w:snapToGrid/>
        <w:spacing w:line="470" w:lineRule="exact"/>
        <w:ind w:firstLine="560" w:firstLineChars="200"/>
        <w:jc w:val="left"/>
        <w:textAlignment w:val="auto"/>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七、一般公共预算财政拨款三公经费支出决算情况说明</w:t>
      </w:r>
    </w:p>
    <w:p w14:paraId="5664F84D">
      <w:pPr>
        <w:keepNext w:val="0"/>
        <w:keepLines w:val="0"/>
        <w:pageBreakBefore w:val="0"/>
        <w:widowControl w:val="0"/>
        <w:kinsoku/>
        <w:wordWrap/>
        <w:overflowPunct/>
        <w:topLinePunct w:val="0"/>
        <w:autoSpaceDE w:val="0"/>
        <w:autoSpaceDN w:val="0"/>
        <w:bidi w:val="0"/>
        <w:adjustRightInd w:val="0"/>
        <w:snapToGrid/>
        <w:spacing w:line="470" w:lineRule="exact"/>
        <w:ind w:firstLine="560" w:firstLineChars="200"/>
        <w:jc w:val="left"/>
        <w:textAlignment w:val="auto"/>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八、政府性基金预算收入支出决算情况</w:t>
      </w:r>
    </w:p>
    <w:p w14:paraId="04C02657">
      <w:pPr>
        <w:keepNext w:val="0"/>
        <w:keepLines w:val="0"/>
        <w:pageBreakBefore w:val="0"/>
        <w:widowControl w:val="0"/>
        <w:kinsoku/>
        <w:wordWrap/>
        <w:overflowPunct/>
        <w:topLinePunct w:val="0"/>
        <w:autoSpaceDE w:val="0"/>
        <w:autoSpaceDN w:val="0"/>
        <w:bidi w:val="0"/>
        <w:adjustRightInd w:val="0"/>
        <w:snapToGrid/>
        <w:spacing w:line="470" w:lineRule="exact"/>
        <w:ind w:firstLine="560" w:firstLineChars="200"/>
        <w:jc w:val="left"/>
        <w:textAlignment w:val="auto"/>
        <w:rPr>
          <w:rFonts w:hint="default" w:ascii="仿宋_GB2312" w:hAnsi="仿宋_GB2312" w:eastAsia="仿宋_GB2312" w:cs="仿宋_GB2312"/>
          <w:color w:val="000000"/>
          <w:kern w:val="0"/>
          <w:sz w:val="28"/>
          <w:szCs w:val="28"/>
          <w:highlight w:val="none"/>
          <w:lang w:val="en-US" w:eastAsia="zh-CN"/>
        </w:rPr>
      </w:pPr>
      <w:r>
        <w:rPr>
          <w:rFonts w:hint="eastAsia" w:ascii="仿宋_GB2312" w:hAnsi="仿宋_GB2312" w:eastAsia="仿宋_GB2312" w:cs="仿宋_GB2312"/>
          <w:color w:val="000000"/>
          <w:kern w:val="0"/>
          <w:sz w:val="28"/>
          <w:szCs w:val="28"/>
          <w:highlight w:val="none"/>
          <w:lang w:val="en-US" w:eastAsia="zh-CN"/>
        </w:rPr>
        <w:t>九、国有资本经营预算</w:t>
      </w:r>
      <w:r>
        <w:rPr>
          <w:rFonts w:hint="eastAsia" w:ascii="仿宋_GB2312" w:hAnsi="仿宋_GB2312" w:eastAsia="仿宋_GB2312" w:cs="仿宋_GB2312"/>
          <w:sz w:val="28"/>
          <w:szCs w:val="28"/>
          <w:highlight w:val="none"/>
        </w:rPr>
        <w:t>财政拨款支出</w:t>
      </w:r>
      <w:r>
        <w:rPr>
          <w:rFonts w:hint="eastAsia" w:ascii="仿宋_GB2312" w:hAnsi="仿宋_GB2312" w:eastAsia="仿宋_GB2312" w:cs="仿宋_GB2312"/>
          <w:color w:val="000000"/>
          <w:kern w:val="0"/>
          <w:sz w:val="28"/>
          <w:szCs w:val="28"/>
          <w:highlight w:val="none"/>
          <w:lang w:val="en-US" w:eastAsia="zh-CN"/>
        </w:rPr>
        <w:t>情况说明</w:t>
      </w:r>
    </w:p>
    <w:p w14:paraId="75ECC4B2">
      <w:pPr>
        <w:keepNext w:val="0"/>
        <w:keepLines w:val="0"/>
        <w:pageBreakBefore w:val="0"/>
        <w:widowControl w:val="0"/>
        <w:kinsoku/>
        <w:wordWrap/>
        <w:overflowPunct/>
        <w:topLinePunct w:val="0"/>
        <w:autoSpaceDE w:val="0"/>
        <w:autoSpaceDN w:val="0"/>
        <w:bidi w:val="0"/>
        <w:adjustRightInd w:val="0"/>
        <w:snapToGrid/>
        <w:spacing w:line="470" w:lineRule="exact"/>
        <w:ind w:firstLine="560" w:firstLineChars="200"/>
        <w:jc w:val="left"/>
        <w:textAlignment w:val="auto"/>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lang w:val="en-US" w:eastAsia="zh-CN"/>
        </w:rPr>
        <w:t>十</w:t>
      </w:r>
      <w:r>
        <w:rPr>
          <w:rFonts w:hint="eastAsia" w:ascii="仿宋_GB2312" w:hAnsi="仿宋_GB2312" w:eastAsia="仿宋_GB2312" w:cs="仿宋_GB2312"/>
          <w:color w:val="000000"/>
          <w:kern w:val="0"/>
          <w:sz w:val="28"/>
          <w:szCs w:val="28"/>
          <w:highlight w:val="none"/>
        </w:rPr>
        <w:t>、关于机关运行经费支出说明</w:t>
      </w:r>
    </w:p>
    <w:p w14:paraId="6F4CAF8A">
      <w:pPr>
        <w:keepNext w:val="0"/>
        <w:keepLines w:val="0"/>
        <w:pageBreakBefore w:val="0"/>
        <w:widowControl w:val="0"/>
        <w:kinsoku/>
        <w:wordWrap/>
        <w:overflowPunct/>
        <w:topLinePunct w:val="0"/>
        <w:autoSpaceDE w:val="0"/>
        <w:autoSpaceDN w:val="0"/>
        <w:bidi w:val="0"/>
        <w:adjustRightInd w:val="0"/>
        <w:snapToGrid/>
        <w:spacing w:line="470" w:lineRule="exact"/>
        <w:ind w:firstLine="560" w:firstLineChars="200"/>
        <w:jc w:val="left"/>
        <w:textAlignment w:val="auto"/>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十</w:t>
      </w:r>
      <w:r>
        <w:rPr>
          <w:rFonts w:hint="eastAsia" w:ascii="仿宋_GB2312" w:hAnsi="仿宋_GB2312" w:eastAsia="仿宋_GB2312" w:cs="仿宋_GB2312"/>
          <w:color w:val="000000"/>
          <w:kern w:val="0"/>
          <w:sz w:val="28"/>
          <w:szCs w:val="28"/>
          <w:highlight w:val="none"/>
          <w:lang w:val="en-US" w:eastAsia="zh-CN"/>
        </w:rPr>
        <w:t>一</w:t>
      </w:r>
      <w:r>
        <w:rPr>
          <w:rFonts w:hint="eastAsia" w:ascii="仿宋_GB2312" w:hAnsi="仿宋_GB2312" w:eastAsia="仿宋_GB2312" w:cs="仿宋_GB2312"/>
          <w:color w:val="000000"/>
          <w:kern w:val="0"/>
          <w:sz w:val="28"/>
          <w:szCs w:val="28"/>
          <w:highlight w:val="none"/>
        </w:rPr>
        <w:t>、一般性支出情况说明</w:t>
      </w:r>
    </w:p>
    <w:p w14:paraId="5DF7C2BF">
      <w:pPr>
        <w:keepNext w:val="0"/>
        <w:keepLines w:val="0"/>
        <w:pageBreakBefore w:val="0"/>
        <w:widowControl w:val="0"/>
        <w:kinsoku/>
        <w:wordWrap/>
        <w:overflowPunct/>
        <w:topLinePunct w:val="0"/>
        <w:autoSpaceDE w:val="0"/>
        <w:autoSpaceDN w:val="0"/>
        <w:bidi w:val="0"/>
        <w:adjustRightInd w:val="0"/>
        <w:snapToGrid/>
        <w:spacing w:line="470" w:lineRule="exact"/>
        <w:ind w:firstLine="560" w:firstLineChars="200"/>
        <w:jc w:val="left"/>
        <w:textAlignment w:val="auto"/>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十</w:t>
      </w:r>
      <w:r>
        <w:rPr>
          <w:rFonts w:hint="eastAsia" w:ascii="仿宋_GB2312" w:hAnsi="仿宋_GB2312" w:eastAsia="仿宋_GB2312" w:cs="仿宋_GB2312"/>
          <w:color w:val="000000"/>
          <w:kern w:val="0"/>
          <w:sz w:val="28"/>
          <w:szCs w:val="28"/>
          <w:highlight w:val="none"/>
          <w:lang w:val="en-US" w:eastAsia="zh-CN"/>
        </w:rPr>
        <w:t>二</w:t>
      </w:r>
      <w:r>
        <w:rPr>
          <w:rFonts w:hint="eastAsia" w:ascii="仿宋_GB2312" w:hAnsi="仿宋_GB2312" w:eastAsia="仿宋_GB2312" w:cs="仿宋_GB2312"/>
          <w:color w:val="000000"/>
          <w:kern w:val="0"/>
          <w:sz w:val="28"/>
          <w:szCs w:val="28"/>
          <w:highlight w:val="none"/>
        </w:rPr>
        <w:t>、关于政府采购支出说明</w:t>
      </w:r>
    </w:p>
    <w:p w14:paraId="4FE829E3">
      <w:pPr>
        <w:pStyle w:val="11"/>
        <w:keepNext w:val="0"/>
        <w:keepLines w:val="0"/>
        <w:pageBreakBefore w:val="0"/>
        <w:widowControl w:val="0"/>
        <w:kinsoku/>
        <w:wordWrap/>
        <w:overflowPunct/>
        <w:topLinePunct w:val="0"/>
        <w:bidi w:val="0"/>
        <w:snapToGrid/>
        <w:spacing w:line="47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十</w:t>
      </w:r>
      <w:r>
        <w:rPr>
          <w:rFonts w:hint="eastAsia" w:ascii="仿宋_GB2312" w:hAnsi="仿宋_GB2312" w:eastAsia="仿宋_GB2312" w:cs="仿宋_GB2312"/>
          <w:sz w:val="28"/>
          <w:szCs w:val="28"/>
          <w:highlight w:val="none"/>
          <w:lang w:val="en-US" w:eastAsia="zh-CN"/>
        </w:rPr>
        <w:t>三</w:t>
      </w:r>
      <w:r>
        <w:rPr>
          <w:rFonts w:hint="eastAsia" w:ascii="仿宋_GB2312" w:hAnsi="仿宋_GB2312" w:eastAsia="仿宋_GB2312" w:cs="仿宋_GB2312"/>
          <w:sz w:val="28"/>
          <w:szCs w:val="28"/>
          <w:highlight w:val="none"/>
        </w:rPr>
        <w:t>、关于国有资产占用情况说明</w:t>
      </w:r>
    </w:p>
    <w:p w14:paraId="2B933FAD">
      <w:pPr>
        <w:pStyle w:val="11"/>
        <w:keepNext w:val="0"/>
        <w:keepLines w:val="0"/>
        <w:pageBreakBefore w:val="0"/>
        <w:widowControl w:val="0"/>
        <w:kinsoku/>
        <w:wordWrap/>
        <w:overflowPunct/>
        <w:topLinePunct w:val="0"/>
        <w:bidi w:val="0"/>
        <w:snapToGrid/>
        <w:spacing w:line="47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十</w:t>
      </w:r>
      <w:r>
        <w:rPr>
          <w:rFonts w:hint="eastAsia" w:ascii="仿宋_GB2312" w:hAnsi="仿宋_GB2312" w:eastAsia="仿宋_GB2312" w:cs="仿宋_GB2312"/>
          <w:sz w:val="28"/>
          <w:szCs w:val="28"/>
          <w:highlight w:val="none"/>
          <w:lang w:val="en-US" w:eastAsia="zh-CN"/>
        </w:rPr>
        <w:t>四</w:t>
      </w:r>
      <w:r>
        <w:rPr>
          <w:rFonts w:hint="eastAsia" w:ascii="仿宋_GB2312" w:hAnsi="仿宋_GB2312" w:eastAsia="仿宋_GB2312" w:cs="仿宋_GB2312"/>
          <w:sz w:val="28"/>
          <w:szCs w:val="28"/>
          <w:highlight w:val="none"/>
        </w:rPr>
        <w:t>、关于预算绩效情况的说明</w:t>
      </w:r>
    </w:p>
    <w:p w14:paraId="5AC20B53">
      <w:pPr>
        <w:pStyle w:val="11"/>
        <w:keepNext w:val="0"/>
        <w:keepLines w:val="0"/>
        <w:pageBreakBefore w:val="0"/>
        <w:widowControl w:val="0"/>
        <w:kinsoku/>
        <w:wordWrap/>
        <w:overflowPunct/>
        <w:topLinePunct w:val="0"/>
        <w:bidi w:val="0"/>
        <w:snapToGrid/>
        <w:spacing w:line="470" w:lineRule="exact"/>
        <w:textAlignment w:val="auto"/>
        <w:rPr>
          <w:rFonts w:hint="eastAsia" w:ascii="黑体" w:hAnsi="黑体" w:eastAsia="黑体" w:cs="黑体"/>
          <w:b w:val="0"/>
          <w:bCs/>
          <w:sz w:val="28"/>
          <w:szCs w:val="28"/>
          <w:highlight w:val="none"/>
        </w:rPr>
      </w:pPr>
      <w:r>
        <w:rPr>
          <w:rFonts w:hint="eastAsia" w:ascii="黑体" w:hAnsi="黑体" w:eastAsia="黑体" w:cs="黑体"/>
          <w:b w:val="0"/>
          <w:bCs/>
          <w:sz w:val="28"/>
          <w:szCs w:val="28"/>
          <w:highlight w:val="none"/>
        </w:rPr>
        <w:t>第四部分</w:t>
      </w:r>
      <w:r>
        <w:rPr>
          <w:rFonts w:hint="eastAsia" w:ascii="黑体" w:hAnsi="黑体" w:eastAsia="黑体" w:cs="黑体"/>
          <w:b w:val="0"/>
          <w:bCs/>
          <w:sz w:val="28"/>
          <w:szCs w:val="28"/>
          <w:highlight w:val="none"/>
          <w:lang w:val="en-US" w:eastAsia="zh-CN"/>
        </w:rPr>
        <w:t xml:space="preserve"> </w:t>
      </w:r>
      <w:r>
        <w:rPr>
          <w:rFonts w:hint="eastAsia" w:ascii="黑体" w:hAnsi="黑体" w:eastAsia="黑体" w:cs="黑体"/>
          <w:b w:val="0"/>
          <w:bCs/>
          <w:sz w:val="28"/>
          <w:szCs w:val="28"/>
          <w:highlight w:val="none"/>
        </w:rPr>
        <w:t>名词解释</w:t>
      </w:r>
    </w:p>
    <w:p w14:paraId="21DD1FE0">
      <w:pPr>
        <w:pStyle w:val="11"/>
        <w:keepNext w:val="0"/>
        <w:keepLines w:val="0"/>
        <w:pageBreakBefore w:val="0"/>
        <w:widowControl w:val="0"/>
        <w:kinsoku/>
        <w:wordWrap/>
        <w:overflowPunct/>
        <w:topLinePunct w:val="0"/>
        <w:bidi w:val="0"/>
        <w:snapToGrid/>
        <w:spacing w:line="470" w:lineRule="exact"/>
        <w:textAlignment w:val="auto"/>
        <w:rPr>
          <w:rFonts w:hint="default" w:ascii="黑体" w:hAnsi="黑体" w:eastAsia="黑体" w:cs="黑体"/>
          <w:b w:val="0"/>
          <w:bCs/>
          <w:sz w:val="28"/>
          <w:szCs w:val="28"/>
          <w:highlight w:val="none"/>
          <w:lang w:val="en-US" w:eastAsia="zh-CN"/>
        </w:rPr>
      </w:pPr>
      <w:r>
        <w:rPr>
          <w:rFonts w:hint="eastAsia" w:hAnsi="黑体" w:cs="黑体"/>
          <w:b w:val="0"/>
          <w:bCs/>
          <w:sz w:val="28"/>
          <w:szCs w:val="28"/>
          <w:highlight w:val="none"/>
          <w:lang w:val="en-US" w:eastAsia="zh-CN"/>
        </w:rPr>
        <w:t>第五部分 附件</w:t>
      </w:r>
    </w:p>
    <w:p w14:paraId="78EE2A5D">
      <w:pPr>
        <w:pStyle w:val="11"/>
        <w:jc w:val="center"/>
        <w:rPr>
          <w:rFonts w:hint="eastAsia" w:ascii="黑体" w:hAnsi="黑体" w:eastAsia="黑体" w:cs="黑体"/>
          <w:sz w:val="36"/>
          <w:szCs w:val="36"/>
          <w:highlight w:val="none"/>
        </w:rPr>
      </w:pPr>
    </w:p>
    <w:p w14:paraId="5DF4486F">
      <w:pPr>
        <w:pStyle w:val="11"/>
        <w:jc w:val="center"/>
        <w:rPr>
          <w:rFonts w:hint="eastAsia" w:ascii="黑体" w:hAnsi="黑体" w:eastAsia="黑体" w:cs="黑体"/>
          <w:sz w:val="36"/>
          <w:szCs w:val="36"/>
          <w:highlight w:val="none"/>
        </w:rPr>
      </w:pPr>
    </w:p>
    <w:p w14:paraId="32657F48">
      <w:pPr>
        <w:pStyle w:val="11"/>
        <w:jc w:val="center"/>
        <w:rPr>
          <w:rFonts w:hint="eastAsia" w:ascii="黑体" w:hAnsi="黑体" w:eastAsia="黑体" w:cs="黑体"/>
          <w:sz w:val="84"/>
          <w:szCs w:val="84"/>
          <w:highlight w:val="none"/>
        </w:rPr>
      </w:pPr>
    </w:p>
    <w:p w14:paraId="62D2896E">
      <w:pPr>
        <w:pStyle w:val="11"/>
        <w:jc w:val="center"/>
        <w:rPr>
          <w:rFonts w:hint="eastAsia" w:ascii="黑体" w:hAnsi="黑体" w:eastAsia="黑体" w:cs="黑体"/>
          <w:sz w:val="84"/>
          <w:szCs w:val="84"/>
          <w:highlight w:val="none"/>
        </w:rPr>
      </w:pPr>
    </w:p>
    <w:p w14:paraId="6870D101">
      <w:pPr>
        <w:pStyle w:val="11"/>
        <w:jc w:val="center"/>
        <w:rPr>
          <w:rFonts w:hint="eastAsia" w:ascii="黑体" w:hAnsi="黑体" w:eastAsia="黑体" w:cs="黑体"/>
          <w:sz w:val="84"/>
          <w:szCs w:val="84"/>
          <w:highlight w:val="none"/>
        </w:rPr>
      </w:pPr>
    </w:p>
    <w:p w14:paraId="27660E96">
      <w:pPr>
        <w:pStyle w:val="11"/>
        <w:jc w:val="center"/>
        <w:rPr>
          <w:rFonts w:hint="eastAsia" w:ascii="黑体" w:hAnsi="黑体" w:eastAsia="黑体" w:cs="黑体"/>
          <w:sz w:val="84"/>
          <w:szCs w:val="84"/>
          <w:highlight w:val="none"/>
        </w:rPr>
      </w:pPr>
    </w:p>
    <w:p w14:paraId="566D4765">
      <w:pPr>
        <w:pStyle w:val="11"/>
        <w:jc w:val="center"/>
        <w:rPr>
          <w:rFonts w:hint="eastAsia" w:ascii="黑体" w:hAnsi="黑体" w:eastAsia="黑体" w:cs="黑体"/>
          <w:sz w:val="84"/>
          <w:szCs w:val="84"/>
          <w:highlight w:val="none"/>
        </w:rPr>
      </w:pPr>
      <w:r>
        <w:rPr>
          <w:rFonts w:hint="eastAsia" w:ascii="黑体" w:hAnsi="黑体" w:eastAsia="黑体" w:cs="黑体"/>
          <w:sz w:val="84"/>
          <w:szCs w:val="84"/>
          <w:highlight w:val="none"/>
        </w:rPr>
        <w:t xml:space="preserve">第一部分 </w:t>
      </w:r>
    </w:p>
    <w:p w14:paraId="30FA4233">
      <w:pPr>
        <w:pStyle w:val="11"/>
        <w:jc w:val="center"/>
        <w:rPr>
          <w:rFonts w:hint="eastAsia" w:ascii="黑体" w:hAnsi="黑体" w:eastAsia="黑体" w:cs="黑体"/>
          <w:sz w:val="36"/>
          <w:szCs w:val="36"/>
          <w:highlight w:val="none"/>
        </w:rPr>
      </w:pPr>
      <w:r>
        <w:rPr>
          <w:rFonts w:hint="eastAsia" w:ascii="黑体" w:hAnsi="黑体" w:eastAsia="黑体" w:cs="黑体"/>
          <w:sz w:val="84"/>
          <w:szCs w:val="84"/>
          <w:highlight w:val="none"/>
        </w:rPr>
        <w:t>怀化市工业企业改制服务办公室概况</w:t>
      </w:r>
    </w:p>
    <w:p w14:paraId="409228BF">
      <w:pPr>
        <w:pStyle w:val="12"/>
        <w:numPr>
          <w:ilvl w:val="0"/>
          <w:numId w:val="0"/>
        </w:numPr>
        <w:ind w:leftChars="0"/>
        <w:jc w:val="left"/>
        <w:rPr>
          <w:rFonts w:hint="eastAsia" w:ascii="黑体" w:hAnsi="黑体" w:eastAsia="黑体" w:cs="黑体"/>
          <w:b w:val="0"/>
          <w:bCs w:val="0"/>
          <w:sz w:val="32"/>
          <w:szCs w:val="32"/>
          <w:highlight w:val="none"/>
        </w:rPr>
      </w:pPr>
    </w:p>
    <w:p w14:paraId="644A4E90">
      <w:pPr>
        <w:pStyle w:val="12"/>
        <w:numPr>
          <w:ilvl w:val="0"/>
          <w:numId w:val="0"/>
        </w:numPr>
        <w:ind w:firstLine="640" w:firstLineChars="200"/>
        <w:jc w:val="left"/>
        <w:rPr>
          <w:rFonts w:hint="eastAsia" w:ascii="黑体" w:hAnsi="黑体" w:eastAsia="黑体" w:cs="黑体"/>
          <w:b w:val="0"/>
          <w:bCs w:val="0"/>
          <w:sz w:val="32"/>
          <w:szCs w:val="32"/>
          <w:highlight w:val="none"/>
          <w:lang w:val="en-US" w:eastAsia="zh-CN"/>
        </w:rPr>
      </w:pPr>
    </w:p>
    <w:p w14:paraId="73EDD341">
      <w:pPr>
        <w:pStyle w:val="12"/>
        <w:numPr>
          <w:ilvl w:val="0"/>
          <w:numId w:val="0"/>
        </w:numPr>
        <w:ind w:firstLine="640" w:firstLineChars="200"/>
        <w:jc w:val="left"/>
        <w:rPr>
          <w:rFonts w:hint="eastAsia" w:ascii="黑体" w:hAnsi="黑体" w:eastAsia="黑体" w:cs="黑体"/>
          <w:b w:val="0"/>
          <w:bCs w:val="0"/>
          <w:sz w:val="32"/>
          <w:szCs w:val="32"/>
          <w:highlight w:val="none"/>
          <w:lang w:val="en-US" w:eastAsia="zh-CN"/>
        </w:rPr>
      </w:pPr>
    </w:p>
    <w:p w14:paraId="788BFE73">
      <w:pPr>
        <w:pStyle w:val="12"/>
        <w:numPr>
          <w:ilvl w:val="0"/>
          <w:numId w:val="0"/>
        </w:numPr>
        <w:ind w:firstLine="640" w:firstLineChars="200"/>
        <w:jc w:val="left"/>
        <w:rPr>
          <w:rFonts w:hint="eastAsia" w:ascii="黑体" w:hAnsi="黑体" w:eastAsia="黑体" w:cs="黑体"/>
          <w:b w:val="0"/>
          <w:bCs w:val="0"/>
          <w:sz w:val="32"/>
          <w:szCs w:val="32"/>
          <w:highlight w:val="none"/>
          <w:lang w:val="en-US" w:eastAsia="zh-CN"/>
        </w:rPr>
      </w:pPr>
    </w:p>
    <w:p w14:paraId="2DF3ADAD">
      <w:pPr>
        <w:pStyle w:val="12"/>
        <w:numPr>
          <w:ilvl w:val="0"/>
          <w:numId w:val="0"/>
        </w:numPr>
        <w:ind w:firstLine="640" w:firstLineChars="200"/>
        <w:jc w:val="left"/>
        <w:rPr>
          <w:rFonts w:hint="eastAsia" w:ascii="黑体" w:hAnsi="黑体" w:eastAsia="黑体" w:cs="黑体"/>
          <w:b w:val="0"/>
          <w:bCs w:val="0"/>
          <w:sz w:val="32"/>
          <w:szCs w:val="32"/>
          <w:highlight w:val="none"/>
          <w:lang w:val="en-US" w:eastAsia="zh-CN"/>
        </w:rPr>
      </w:pPr>
    </w:p>
    <w:p w14:paraId="2A976F68">
      <w:pPr>
        <w:pStyle w:val="12"/>
        <w:numPr>
          <w:ilvl w:val="0"/>
          <w:numId w:val="0"/>
        </w:numPr>
        <w:ind w:firstLine="640" w:firstLineChars="200"/>
        <w:jc w:val="left"/>
        <w:rPr>
          <w:rFonts w:hint="eastAsia" w:ascii="黑体" w:hAnsi="黑体" w:eastAsia="黑体" w:cs="黑体"/>
          <w:b w:val="0"/>
          <w:bCs w:val="0"/>
          <w:sz w:val="32"/>
          <w:szCs w:val="32"/>
          <w:highlight w:val="none"/>
          <w:lang w:val="en-US" w:eastAsia="zh-CN"/>
        </w:rPr>
      </w:pPr>
    </w:p>
    <w:p w14:paraId="592AEDFA">
      <w:pPr>
        <w:pStyle w:val="12"/>
        <w:numPr>
          <w:ilvl w:val="0"/>
          <w:numId w:val="0"/>
        </w:numPr>
        <w:ind w:firstLine="640" w:firstLineChars="200"/>
        <w:jc w:val="left"/>
        <w:rPr>
          <w:rFonts w:hint="eastAsia" w:ascii="黑体" w:hAnsi="黑体" w:eastAsia="黑体" w:cs="黑体"/>
          <w:b w:val="0"/>
          <w:bCs w:val="0"/>
          <w:sz w:val="32"/>
          <w:szCs w:val="32"/>
          <w:highlight w:val="none"/>
          <w:lang w:val="en-US" w:eastAsia="zh-CN"/>
        </w:rPr>
      </w:pPr>
    </w:p>
    <w:p w14:paraId="2B9DE85F">
      <w:pPr>
        <w:pStyle w:val="12"/>
        <w:numPr>
          <w:ilvl w:val="0"/>
          <w:numId w:val="0"/>
        </w:numPr>
        <w:ind w:firstLine="640" w:firstLineChars="200"/>
        <w:jc w:val="left"/>
        <w:rPr>
          <w:rFonts w:hint="eastAsia" w:ascii="黑体" w:hAnsi="黑体" w:eastAsia="黑体" w:cs="黑体"/>
          <w:b w:val="0"/>
          <w:bCs w:val="0"/>
          <w:sz w:val="32"/>
          <w:szCs w:val="32"/>
          <w:highlight w:val="none"/>
          <w:lang w:val="en-US" w:eastAsia="zh-CN"/>
        </w:rPr>
      </w:pPr>
    </w:p>
    <w:p w14:paraId="74F6E410">
      <w:pPr>
        <w:pStyle w:val="12"/>
        <w:numPr>
          <w:ilvl w:val="0"/>
          <w:numId w:val="0"/>
        </w:numPr>
        <w:ind w:firstLine="640" w:firstLineChars="200"/>
        <w:jc w:val="left"/>
        <w:rPr>
          <w:rFonts w:hint="eastAsia" w:ascii="黑体" w:hAnsi="黑体" w:eastAsia="黑体" w:cs="黑体"/>
          <w:b w:val="0"/>
          <w:bCs w:val="0"/>
          <w:sz w:val="32"/>
          <w:szCs w:val="32"/>
          <w:highlight w:val="none"/>
          <w:lang w:val="en-US" w:eastAsia="zh-CN"/>
        </w:rPr>
      </w:pPr>
    </w:p>
    <w:p w14:paraId="6CA4A574">
      <w:pPr>
        <w:pStyle w:val="12"/>
        <w:numPr>
          <w:ilvl w:val="0"/>
          <w:numId w:val="0"/>
        </w:numPr>
        <w:ind w:firstLine="640" w:firstLineChars="200"/>
        <w:jc w:val="left"/>
        <w:rPr>
          <w:rFonts w:hint="eastAsia" w:ascii="黑体" w:hAnsi="黑体" w:eastAsia="黑体" w:cs="黑体"/>
          <w:b w:val="0"/>
          <w:bCs w:val="0"/>
          <w:sz w:val="32"/>
          <w:szCs w:val="32"/>
          <w:highlight w:val="none"/>
        </w:rPr>
      </w:pPr>
      <w:r>
        <w:rPr>
          <w:rFonts w:hint="eastAsia" w:ascii="黑体" w:hAnsi="黑体" w:eastAsia="黑体" w:cs="黑体"/>
          <w:b w:val="0"/>
          <w:bCs w:val="0"/>
          <w:sz w:val="32"/>
          <w:szCs w:val="32"/>
          <w:highlight w:val="none"/>
          <w:lang w:val="en-US" w:eastAsia="zh-CN"/>
        </w:rPr>
        <w:t>一、</w:t>
      </w:r>
      <w:r>
        <w:rPr>
          <w:rFonts w:hint="eastAsia" w:ascii="黑体" w:hAnsi="黑体" w:eastAsia="黑体" w:cs="黑体"/>
          <w:b w:val="0"/>
          <w:bCs w:val="0"/>
          <w:sz w:val="32"/>
          <w:szCs w:val="32"/>
          <w:highlight w:val="none"/>
        </w:rPr>
        <w:t>部门职责</w:t>
      </w:r>
    </w:p>
    <w:p w14:paraId="004FD0BA">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1、负责指导全市国有工业企业的改制工作，承担市直国有工业企业的改制服务工作，协调处理市直国有工业企业的改制问题及改制遗留问题；</w:t>
      </w:r>
    </w:p>
    <w:p w14:paraId="74FE53FF">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2、负责所属离退休人员的管理与服务工作；</w:t>
      </w:r>
    </w:p>
    <w:p w14:paraId="2EE02E6B">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3、受国有资产监督管理委员会的委托，负责所属企业国有资产管理与监督；</w:t>
      </w:r>
    </w:p>
    <w:p w14:paraId="5BEC7145">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4、承办市委、市政府交办的其他事项。</w:t>
      </w:r>
    </w:p>
    <w:p w14:paraId="18614D77">
      <w:pPr>
        <w:widowControl/>
        <w:spacing w:line="600" w:lineRule="exact"/>
        <w:ind w:firstLine="640" w:firstLineChars="200"/>
        <w:rPr>
          <w:rFonts w:hint="eastAsia" w:ascii="黑体" w:hAnsi="黑体" w:eastAsia="黑体" w:cs="黑体"/>
          <w:b w:val="0"/>
          <w:bCs/>
          <w:kern w:val="0"/>
          <w:sz w:val="32"/>
          <w:szCs w:val="32"/>
          <w:highlight w:val="none"/>
        </w:rPr>
      </w:pPr>
      <w:r>
        <w:rPr>
          <w:rFonts w:hint="eastAsia" w:ascii="黑体" w:hAnsi="黑体" w:eastAsia="黑体" w:cs="黑体"/>
          <w:b w:val="0"/>
          <w:bCs/>
          <w:kern w:val="0"/>
          <w:sz w:val="32"/>
          <w:szCs w:val="32"/>
          <w:highlight w:val="none"/>
        </w:rPr>
        <w:t>二、机构设置及决算单位构成</w:t>
      </w:r>
    </w:p>
    <w:p w14:paraId="797B5D0B">
      <w:pPr>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bCs/>
          <w:kern w:val="0"/>
          <w:sz w:val="32"/>
          <w:szCs w:val="32"/>
          <w:highlight w:val="none"/>
        </w:rPr>
        <w:t>（一）内设机构设置。</w:t>
      </w:r>
      <w:r>
        <w:rPr>
          <w:rFonts w:hint="eastAsia" w:ascii="仿宋_GB2312" w:hAnsi="仿宋_GB2312" w:eastAsia="仿宋_GB2312" w:cs="仿宋_GB2312"/>
          <w:sz w:val="32"/>
          <w:szCs w:val="32"/>
          <w:highlight w:val="none"/>
        </w:rPr>
        <w:t>市工改办作为一级预算单位，</w:t>
      </w:r>
      <w:r>
        <w:rPr>
          <w:rFonts w:hint="eastAsia" w:ascii="仿宋_GB2312" w:hAnsi="仿宋_GB2312" w:eastAsia="仿宋_GB2312" w:cs="仿宋_GB2312"/>
          <w:sz w:val="32"/>
          <w:szCs w:val="32"/>
          <w:highlight w:val="none"/>
          <w:lang w:val="en-US" w:eastAsia="zh-CN"/>
        </w:rPr>
        <w:t>原</w:t>
      </w:r>
      <w:r>
        <w:rPr>
          <w:rFonts w:hint="eastAsia" w:ascii="仿宋_GB2312" w:hAnsi="仿宋_GB2312" w:eastAsia="仿宋_GB2312" w:cs="仿宋_GB2312"/>
          <w:sz w:val="32"/>
          <w:szCs w:val="32"/>
          <w:highlight w:val="none"/>
        </w:rPr>
        <w:t>内设科室为综合科、企业改制科、离退休人员管理科，以及机关党委。</w:t>
      </w:r>
      <w:r>
        <w:rPr>
          <w:rFonts w:ascii="仿宋_GB2312" w:eastAsia="仿宋_GB2312" w:hAnsiTheme="minorEastAsia"/>
          <w:color w:val="auto"/>
          <w:sz w:val="32"/>
          <w:szCs w:val="32"/>
          <w:highlight w:val="none"/>
        </w:rPr>
        <w:t>怀化市</w:t>
      </w:r>
      <w:r>
        <w:rPr>
          <w:rFonts w:hint="eastAsia" w:ascii="仿宋_GB2312" w:eastAsia="仿宋_GB2312" w:hAnsiTheme="minorEastAsia"/>
          <w:color w:val="auto"/>
          <w:sz w:val="32"/>
          <w:szCs w:val="32"/>
          <w:highlight w:val="none"/>
          <w:lang w:val="en-US" w:eastAsia="zh-CN"/>
        </w:rPr>
        <w:t>工业企业改制服务办公室</w:t>
      </w:r>
      <w:r>
        <w:rPr>
          <w:rFonts w:ascii="仿宋_GB2312" w:eastAsia="仿宋_GB2312" w:hAnsiTheme="minorEastAsia"/>
          <w:color w:val="auto"/>
          <w:sz w:val="32"/>
          <w:szCs w:val="32"/>
          <w:highlight w:val="none"/>
        </w:rPr>
        <w:t>于2021年根据《中共怀化市委机构编制委员会关于转发&lt;怀化市市直深化事业单位改革试点实施方案&gt;&lt;关于反馈怀化市市直深化事业单位改革试点涉改科级机构情况表的函&gt;的通知》</w:t>
      </w:r>
      <w:r>
        <w:rPr>
          <w:rFonts w:hint="eastAsia" w:ascii="仿宋_GB2312" w:hAnsi="仿宋_GB2312" w:eastAsia="仿宋_GB2312" w:cs="仿宋_GB2312"/>
          <w:color w:val="auto"/>
          <w:kern w:val="0"/>
          <w:sz w:val="32"/>
          <w:szCs w:val="32"/>
          <w:highlight w:val="none"/>
          <w:lang w:val="en-US" w:eastAsia="zh-CN" w:bidi="ar-SA"/>
        </w:rPr>
        <w:t>(怀编〔2021〕13号)</w:t>
      </w:r>
      <w:r>
        <w:rPr>
          <w:rFonts w:ascii="仿宋_GB2312" w:eastAsia="仿宋_GB2312" w:hAnsiTheme="minorEastAsia"/>
          <w:color w:val="auto"/>
          <w:sz w:val="32"/>
          <w:szCs w:val="32"/>
          <w:highlight w:val="none"/>
        </w:rPr>
        <w:t>文件精神已撤销，2022年4月，市</w:t>
      </w:r>
      <w:r>
        <w:rPr>
          <w:rFonts w:hint="eastAsia" w:ascii="仿宋_GB2312" w:eastAsia="仿宋_GB2312" w:hAnsiTheme="minorEastAsia"/>
          <w:color w:val="auto"/>
          <w:sz w:val="32"/>
          <w:szCs w:val="32"/>
          <w:highlight w:val="none"/>
          <w:lang w:val="en-US" w:eastAsia="zh-CN"/>
        </w:rPr>
        <w:t>工改办</w:t>
      </w:r>
      <w:r>
        <w:rPr>
          <w:rFonts w:ascii="仿宋_GB2312" w:eastAsia="仿宋_GB2312" w:hAnsiTheme="minorEastAsia"/>
          <w:color w:val="auto"/>
          <w:sz w:val="32"/>
          <w:szCs w:val="32"/>
          <w:highlight w:val="none"/>
        </w:rPr>
        <w:t>职能及所有人员全部并入市工信局。</w:t>
      </w:r>
    </w:p>
    <w:p w14:paraId="045FC29B">
      <w:pPr>
        <w:widowControl/>
        <w:spacing w:line="600" w:lineRule="exact"/>
        <w:ind w:firstLine="640" w:firstLineChars="200"/>
        <w:rPr>
          <w:rFonts w:hint="eastAsia" w:ascii="仿宋_GB2312" w:hAnsi="仿宋_GB2312" w:eastAsia="仿宋_GB2312" w:cs="仿宋_GB2312"/>
          <w:bCs/>
          <w:kern w:val="0"/>
          <w:sz w:val="32"/>
          <w:szCs w:val="32"/>
          <w:highlight w:val="none"/>
          <w:lang w:eastAsia="zh-CN"/>
        </w:rPr>
      </w:pPr>
      <w:r>
        <w:rPr>
          <w:rFonts w:hint="eastAsia" w:ascii="仿宋_GB2312" w:hAnsi="仿宋_GB2312" w:eastAsia="仿宋_GB2312" w:cs="仿宋_GB2312"/>
          <w:bCs/>
          <w:kern w:val="0"/>
          <w:sz w:val="32"/>
          <w:szCs w:val="32"/>
          <w:highlight w:val="none"/>
        </w:rPr>
        <w:t>（二）决算单位构成。</w:t>
      </w:r>
      <w:r>
        <w:rPr>
          <w:rFonts w:hint="eastAsia" w:ascii="仿宋_GB2312" w:hAnsi="仿宋_GB2312" w:eastAsia="仿宋_GB2312" w:cs="仿宋_GB2312"/>
          <w:sz w:val="32"/>
          <w:szCs w:val="32"/>
          <w:highlight w:val="none"/>
        </w:rPr>
        <w:t>市工改办</w:t>
      </w:r>
      <w:r>
        <w:rPr>
          <w:rFonts w:hint="eastAsia" w:ascii="仿宋_GB2312" w:hAnsi="仿宋_GB2312" w:eastAsia="仿宋_GB2312" w:cs="仿宋_GB2312"/>
          <w:bCs/>
          <w:kern w:val="0"/>
          <w:sz w:val="32"/>
          <w:szCs w:val="32"/>
          <w:highlight w:val="none"/>
        </w:rPr>
        <w:t>202</w:t>
      </w:r>
      <w:r>
        <w:rPr>
          <w:rFonts w:hint="eastAsia" w:ascii="仿宋_GB2312" w:hAnsi="仿宋_GB2312" w:eastAsia="仿宋_GB2312" w:cs="仿宋_GB2312"/>
          <w:bCs/>
          <w:kern w:val="0"/>
          <w:sz w:val="32"/>
          <w:szCs w:val="32"/>
          <w:highlight w:val="none"/>
          <w:lang w:val="en-US" w:eastAsia="zh-CN"/>
        </w:rPr>
        <w:t>2</w:t>
      </w:r>
      <w:r>
        <w:rPr>
          <w:rFonts w:hint="eastAsia" w:ascii="仿宋_GB2312" w:hAnsi="仿宋_GB2312" w:eastAsia="仿宋_GB2312" w:cs="仿宋_GB2312"/>
          <w:bCs/>
          <w:kern w:val="0"/>
          <w:sz w:val="32"/>
          <w:szCs w:val="32"/>
          <w:highlight w:val="none"/>
        </w:rPr>
        <w:t>年部门决算汇总公开单位构成包括：</w:t>
      </w:r>
      <w:r>
        <w:rPr>
          <w:rFonts w:hint="eastAsia" w:ascii="仿宋_GB2312" w:hAnsi="仿宋_GB2312" w:eastAsia="仿宋_GB2312" w:cs="仿宋_GB2312"/>
          <w:sz w:val="32"/>
          <w:szCs w:val="32"/>
          <w:highlight w:val="none"/>
        </w:rPr>
        <w:t>市工改办</w:t>
      </w:r>
      <w:r>
        <w:rPr>
          <w:rFonts w:hint="eastAsia" w:ascii="仿宋_GB2312" w:hAnsi="仿宋_GB2312" w:eastAsia="仿宋_GB2312" w:cs="仿宋_GB2312"/>
          <w:bCs/>
          <w:kern w:val="0"/>
          <w:sz w:val="32"/>
          <w:szCs w:val="32"/>
          <w:highlight w:val="none"/>
        </w:rPr>
        <w:t>本级</w:t>
      </w:r>
      <w:r>
        <w:rPr>
          <w:rFonts w:hint="eastAsia" w:ascii="仿宋_GB2312" w:hAnsi="仿宋_GB2312" w:eastAsia="仿宋_GB2312" w:cs="仿宋_GB2312"/>
          <w:bCs/>
          <w:kern w:val="0"/>
          <w:sz w:val="32"/>
          <w:szCs w:val="32"/>
          <w:highlight w:val="none"/>
          <w:lang w:eastAsia="zh-CN"/>
        </w:rPr>
        <w:t>。</w:t>
      </w:r>
    </w:p>
    <w:p w14:paraId="35117ACE">
      <w:pPr>
        <w:jc w:val="both"/>
        <w:rPr>
          <w:rFonts w:ascii="黑体" w:hAnsi="黑体" w:eastAsia="黑体"/>
          <w:sz w:val="28"/>
          <w:szCs w:val="28"/>
          <w:highlight w:val="none"/>
        </w:rPr>
      </w:pPr>
    </w:p>
    <w:p w14:paraId="1489F902">
      <w:pPr>
        <w:pStyle w:val="11"/>
        <w:jc w:val="center"/>
        <w:rPr>
          <w:rFonts w:hint="eastAsia" w:ascii="黑体" w:hAnsi="黑体" w:eastAsia="黑体" w:cs="黑体"/>
          <w:sz w:val="84"/>
          <w:szCs w:val="84"/>
          <w:highlight w:val="none"/>
        </w:rPr>
      </w:pPr>
    </w:p>
    <w:p w14:paraId="570AEF7D">
      <w:pPr>
        <w:pStyle w:val="11"/>
        <w:jc w:val="center"/>
        <w:rPr>
          <w:rFonts w:hint="eastAsia" w:ascii="黑体" w:hAnsi="黑体" w:eastAsia="黑体" w:cs="黑体"/>
          <w:sz w:val="84"/>
          <w:szCs w:val="84"/>
          <w:highlight w:val="none"/>
        </w:rPr>
      </w:pPr>
    </w:p>
    <w:p w14:paraId="6BABAD61">
      <w:pPr>
        <w:pStyle w:val="11"/>
        <w:jc w:val="center"/>
        <w:rPr>
          <w:rFonts w:hint="eastAsia" w:ascii="黑体" w:hAnsi="黑体" w:eastAsia="黑体" w:cs="黑体"/>
          <w:sz w:val="84"/>
          <w:szCs w:val="84"/>
          <w:highlight w:val="none"/>
        </w:rPr>
      </w:pPr>
    </w:p>
    <w:p w14:paraId="5C5E80E5">
      <w:pPr>
        <w:pStyle w:val="11"/>
        <w:jc w:val="center"/>
        <w:rPr>
          <w:rFonts w:hint="eastAsia" w:ascii="黑体" w:hAnsi="黑体" w:eastAsia="黑体" w:cs="黑体"/>
          <w:sz w:val="84"/>
          <w:szCs w:val="84"/>
          <w:highlight w:val="none"/>
        </w:rPr>
      </w:pPr>
    </w:p>
    <w:p w14:paraId="753DFEBE">
      <w:pPr>
        <w:pStyle w:val="11"/>
        <w:jc w:val="center"/>
        <w:rPr>
          <w:rFonts w:hint="eastAsia" w:ascii="黑体" w:hAnsi="黑体" w:eastAsia="黑体" w:cs="黑体"/>
          <w:sz w:val="84"/>
          <w:szCs w:val="84"/>
          <w:highlight w:val="none"/>
        </w:rPr>
      </w:pPr>
    </w:p>
    <w:p w14:paraId="05528A78">
      <w:pPr>
        <w:pStyle w:val="11"/>
        <w:jc w:val="center"/>
        <w:rPr>
          <w:rFonts w:hint="eastAsia" w:ascii="黑体" w:hAnsi="黑体" w:eastAsia="黑体" w:cs="黑体"/>
          <w:sz w:val="84"/>
          <w:szCs w:val="84"/>
          <w:highlight w:val="none"/>
        </w:rPr>
      </w:pPr>
    </w:p>
    <w:p w14:paraId="636E8A44">
      <w:pPr>
        <w:pStyle w:val="11"/>
        <w:jc w:val="center"/>
        <w:rPr>
          <w:rFonts w:hint="eastAsia" w:ascii="黑体" w:hAnsi="黑体" w:eastAsia="黑体" w:cs="黑体"/>
          <w:sz w:val="84"/>
          <w:szCs w:val="84"/>
          <w:highlight w:val="none"/>
        </w:rPr>
      </w:pPr>
    </w:p>
    <w:p w14:paraId="505003CC">
      <w:pPr>
        <w:pStyle w:val="11"/>
        <w:jc w:val="center"/>
        <w:rPr>
          <w:rFonts w:hint="eastAsia" w:ascii="黑体" w:hAnsi="黑体" w:eastAsia="黑体" w:cs="黑体"/>
          <w:sz w:val="84"/>
          <w:szCs w:val="84"/>
          <w:highlight w:val="none"/>
        </w:rPr>
      </w:pPr>
      <w:r>
        <w:rPr>
          <w:rFonts w:hint="eastAsia" w:ascii="黑体" w:hAnsi="黑体" w:eastAsia="黑体" w:cs="黑体"/>
          <w:sz w:val="84"/>
          <w:szCs w:val="84"/>
          <w:highlight w:val="none"/>
        </w:rPr>
        <w:t>第二部分</w:t>
      </w:r>
    </w:p>
    <w:p w14:paraId="20EAA8B1">
      <w:pPr>
        <w:pStyle w:val="11"/>
        <w:jc w:val="center"/>
        <w:rPr>
          <w:rFonts w:hint="eastAsia" w:ascii="黑体" w:hAnsi="黑体" w:eastAsia="黑体" w:cs="黑体"/>
          <w:sz w:val="36"/>
          <w:szCs w:val="36"/>
          <w:highlight w:val="none"/>
        </w:rPr>
      </w:pPr>
      <w:r>
        <w:rPr>
          <w:rFonts w:hint="eastAsia" w:ascii="黑体" w:hAnsi="黑体" w:eastAsia="黑体" w:cs="黑体"/>
          <w:sz w:val="84"/>
          <w:szCs w:val="84"/>
          <w:highlight w:val="none"/>
        </w:rPr>
        <w:t>部门决算表</w:t>
      </w:r>
    </w:p>
    <w:p w14:paraId="2A8386B5">
      <w:pPr>
        <w:pStyle w:val="11"/>
        <w:numPr>
          <w:ilvl w:val="0"/>
          <w:numId w:val="0"/>
        </w:numPr>
        <w:jc w:val="center"/>
        <w:rPr>
          <w:rFonts w:hint="eastAsia" w:ascii="仿宋_GB2312" w:hAnsi="仿宋_GB2312" w:eastAsia="仿宋_GB2312" w:cs="仿宋_GB2312"/>
          <w:sz w:val="32"/>
          <w:szCs w:val="32"/>
          <w:highlight w:val="none"/>
          <w:lang w:val="en-US" w:eastAsia="zh-CN"/>
        </w:rPr>
      </w:pPr>
      <w:r>
        <w:rPr>
          <w:rFonts w:hint="eastAsia" w:ascii="黑体" w:hAnsi="黑体" w:eastAsia="黑体" w:cs="黑体"/>
          <w:sz w:val="84"/>
          <w:szCs w:val="84"/>
          <w:highlight w:val="none"/>
          <w:lang w:val="en-US" w:eastAsia="zh-CN"/>
        </w:rPr>
        <w:t>见附件</w:t>
      </w:r>
    </w:p>
    <w:p w14:paraId="1D994435">
      <w:pPr>
        <w:pStyle w:val="11"/>
        <w:jc w:val="center"/>
        <w:rPr>
          <w:rFonts w:hint="eastAsia" w:ascii="黑体" w:hAnsi="黑体" w:eastAsia="黑体" w:cs="黑体"/>
          <w:sz w:val="36"/>
          <w:szCs w:val="36"/>
          <w:highlight w:val="none"/>
        </w:rPr>
      </w:pPr>
    </w:p>
    <w:p w14:paraId="49AF6479">
      <w:pPr>
        <w:pStyle w:val="11"/>
        <w:jc w:val="center"/>
        <w:rPr>
          <w:rFonts w:hint="eastAsia" w:ascii="黑体" w:hAnsi="黑体" w:eastAsia="黑体" w:cs="黑体"/>
          <w:sz w:val="84"/>
          <w:szCs w:val="84"/>
          <w:highlight w:val="none"/>
        </w:rPr>
      </w:pPr>
    </w:p>
    <w:p w14:paraId="4ABE4E1E">
      <w:pPr>
        <w:pStyle w:val="11"/>
        <w:jc w:val="center"/>
        <w:rPr>
          <w:rFonts w:hint="eastAsia" w:ascii="黑体" w:hAnsi="黑体" w:eastAsia="黑体" w:cs="黑体"/>
          <w:sz w:val="84"/>
          <w:szCs w:val="84"/>
          <w:highlight w:val="none"/>
        </w:rPr>
      </w:pPr>
    </w:p>
    <w:p w14:paraId="2CD78526">
      <w:pPr>
        <w:pStyle w:val="11"/>
        <w:jc w:val="center"/>
        <w:rPr>
          <w:rFonts w:hint="eastAsia" w:ascii="黑体" w:hAnsi="黑体" w:eastAsia="黑体" w:cs="黑体"/>
          <w:sz w:val="84"/>
          <w:szCs w:val="84"/>
          <w:highlight w:val="none"/>
        </w:rPr>
      </w:pPr>
    </w:p>
    <w:p w14:paraId="0A9CA53B">
      <w:pPr>
        <w:pStyle w:val="11"/>
        <w:jc w:val="center"/>
        <w:rPr>
          <w:rFonts w:hint="eastAsia" w:ascii="黑体" w:hAnsi="黑体" w:eastAsia="黑体" w:cs="黑体"/>
          <w:sz w:val="84"/>
          <w:szCs w:val="84"/>
          <w:highlight w:val="none"/>
        </w:rPr>
      </w:pPr>
    </w:p>
    <w:p w14:paraId="759A89E2">
      <w:pPr>
        <w:pStyle w:val="11"/>
        <w:jc w:val="center"/>
        <w:rPr>
          <w:rFonts w:hint="eastAsia" w:ascii="黑体" w:hAnsi="黑体" w:eastAsia="黑体" w:cs="黑体"/>
          <w:sz w:val="84"/>
          <w:szCs w:val="84"/>
          <w:highlight w:val="none"/>
        </w:rPr>
      </w:pPr>
    </w:p>
    <w:p w14:paraId="222100EB">
      <w:pPr>
        <w:pStyle w:val="11"/>
        <w:jc w:val="center"/>
        <w:rPr>
          <w:rFonts w:hint="eastAsia" w:ascii="黑体" w:hAnsi="黑体" w:eastAsia="黑体" w:cs="黑体"/>
          <w:sz w:val="84"/>
          <w:szCs w:val="84"/>
          <w:highlight w:val="none"/>
        </w:rPr>
      </w:pPr>
    </w:p>
    <w:p w14:paraId="1892A684">
      <w:pPr>
        <w:pStyle w:val="11"/>
        <w:jc w:val="center"/>
        <w:rPr>
          <w:rFonts w:hint="eastAsia" w:ascii="黑体" w:hAnsi="黑体" w:eastAsia="黑体" w:cs="黑体"/>
          <w:sz w:val="84"/>
          <w:szCs w:val="84"/>
          <w:highlight w:val="none"/>
        </w:rPr>
      </w:pPr>
    </w:p>
    <w:p w14:paraId="2F6E6A40">
      <w:pPr>
        <w:pStyle w:val="11"/>
        <w:jc w:val="center"/>
        <w:rPr>
          <w:rFonts w:hint="eastAsia" w:ascii="黑体" w:hAnsi="黑体" w:eastAsia="黑体" w:cs="黑体"/>
          <w:sz w:val="84"/>
          <w:szCs w:val="84"/>
          <w:highlight w:val="none"/>
        </w:rPr>
      </w:pPr>
    </w:p>
    <w:p w14:paraId="00B09CB6">
      <w:pPr>
        <w:pStyle w:val="11"/>
        <w:jc w:val="center"/>
        <w:rPr>
          <w:rFonts w:hint="eastAsia" w:ascii="黑体" w:hAnsi="黑体" w:eastAsia="黑体" w:cs="黑体"/>
          <w:sz w:val="84"/>
          <w:szCs w:val="84"/>
          <w:highlight w:val="none"/>
        </w:rPr>
      </w:pPr>
      <w:r>
        <w:rPr>
          <w:rFonts w:hint="eastAsia" w:ascii="黑体" w:hAnsi="黑体" w:eastAsia="黑体" w:cs="黑体"/>
          <w:sz w:val="84"/>
          <w:szCs w:val="84"/>
          <w:highlight w:val="none"/>
        </w:rPr>
        <w:t>第三部分</w:t>
      </w:r>
    </w:p>
    <w:p w14:paraId="68BEBD56">
      <w:pPr>
        <w:pStyle w:val="11"/>
        <w:jc w:val="center"/>
        <w:rPr>
          <w:rFonts w:asciiTheme="minorEastAsia" w:hAnsiTheme="minorEastAsia" w:eastAsiaTheme="minorEastAsia"/>
          <w:sz w:val="36"/>
          <w:szCs w:val="36"/>
          <w:highlight w:val="none"/>
        </w:rPr>
      </w:pPr>
      <w:r>
        <w:rPr>
          <w:rFonts w:hint="eastAsia" w:ascii="黑体" w:hAnsi="黑体" w:eastAsia="黑体" w:cs="黑体"/>
          <w:sz w:val="84"/>
          <w:szCs w:val="84"/>
          <w:highlight w:val="none"/>
        </w:rPr>
        <w:t>202</w:t>
      </w:r>
      <w:r>
        <w:rPr>
          <w:rFonts w:hint="eastAsia" w:ascii="黑体" w:hAnsi="黑体" w:eastAsia="黑体" w:cs="黑体"/>
          <w:sz w:val="84"/>
          <w:szCs w:val="84"/>
          <w:highlight w:val="none"/>
          <w:lang w:val="en-US" w:eastAsia="zh-CN"/>
        </w:rPr>
        <w:t>2</w:t>
      </w:r>
      <w:r>
        <w:rPr>
          <w:rFonts w:hint="eastAsia" w:ascii="黑体" w:hAnsi="黑体" w:eastAsia="黑体" w:cs="黑体"/>
          <w:sz w:val="84"/>
          <w:szCs w:val="84"/>
          <w:highlight w:val="none"/>
        </w:rPr>
        <w:t>年度部门决算情况说明</w:t>
      </w:r>
    </w:p>
    <w:p w14:paraId="6B3BB470">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p>
    <w:p w14:paraId="5B235F32">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p>
    <w:p w14:paraId="1C9DD4AA">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p>
    <w:p w14:paraId="39773844">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p>
    <w:p w14:paraId="4D675E80">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p>
    <w:p w14:paraId="4C403389">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p>
    <w:p w14:paraId="36DFF73D">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p>
    <w:p w14:paraId="6E602F66">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p>
    <w:p w14:paraId="160FCA98">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p>
    <w:p w14:paraId="049349A3">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p>
    <w:p w14:paraId="5C7C3AEE">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p>
    <w:p w14:paraId="723AFB9E">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p>
    <w:p w14:paraId="3AD2BF7B">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p>
    <w:p w14:paraId="679781AB">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黑体" w:hAnsi="黑体" w:eastAsia="黑体" w:cs="黑体"/>
          <w:b w:val="0"/>
          <w:bCs/>
          <w:sz w:val="32"/>
          <w:szCs w:val="32"/>
          <w:highlight w:val="none"/>
          <w:lang w:val="en-US" w:eastAsia="zh-CN"/>
        </w:rPr>
      </w:pPr>
      <w:r>
        <w:rPr>
          <w:rFonts w:hint="eastAsia" w:ascii="黑体" w:hAnsi="黑体" w:eastAsia="黑体" w:cs="黑体"/>
          <w:b w:val="0"/>
          <w:bCs/>
          <w:sz w:val="32"/>
          <w:szCs w:val="32"/>
          <w:highlight w:val="none"/>
        </w:rPr>
        <w:t>一、收入支出决算总体情况说明</w:t>
      </w:r>
    </w:p>
    <w:p w14:paraId="519E78EA">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年度收、支总计</w:t>
      </w:r>
      <w:r>
        <w:rPr>
          <w:rFonts w:hint="eastAsia" w:ascii="仿宋_GB2312" w:hAnsi="仿宋_GB2312" w:eastAsia="仿宋_GB2312" w:cs="仿宋_GB2312"/>
          <w:sz w:val="32"/>
          <w:szCs w:val="32"/>
          <w:highlight w:val="none"/>
          <w:lang w:val="en-US" w:eastAsia="zh-CN"/>
        </w:rPr>
        <w:t>均为</w:t>
      </w:r>
      <w:r>
        <w:rPr>
          <w:rFonts w:hint="eastAsia" w:ascii="仿宋_GB2312" w:hAnsi="仿宋_GB2312" w:eastAsia="仿宋_GB2312" w:cs="仿宋_GB2312"/>
          <w:sz w:val="32"/>
          <w:szCs w:val="32"/>
          <w:highlight w:val="none"/>
        </w:rPr>
        <w:t>481.66万元。与上年相比，减少</w:t>
      </w:r>
      <w:r>
        <w:rPr>
          <w:rFonts w:hint="eastAsia" w:ascii="仿宋_GB2312" w:hAnsi="仿宋_GB2312" w:eastAsia="仿宋_GB2312" w:cs="仿宋_GB2312"/>
          <w:sz w:val="32"/>
          <w:szCs w:val="32"/>
          <w:highlight w:val="none"/>
          <w:lang w:val="en-US" w:eastAsia="zh-CN"/>
        </w:rPr>
        <w:t>199.02</w:t>
      </w:r>
      <w:r>
        <w:rPr>
          <w:rFonts w:hint="eastAsia" w:ascii="仿宋_GB2312" w:hAnsi="仿宋_GB2312" w:eastAsia="仿宋_GB2312" w:cs="仿宋_GB2312"/>
          <w:sz w:val="32"/>
          <w:szCs w:val="32"/>
          <w:highlight w:val="none"/>
        </w:rPr>
        <w:t>万元，减少</w:t>
      </w:r>
      <w:r>
        <w:rPr>
          <w:rFonts w:hint="eastAsia" w:ascii="仿宋_GB2312" w:hAnsi="仿宋_GB2312" w:eastAsia="仿宋_GB2312" w:cs="仿宋_GB2312"/>
          <w:sz w:val="32"/>
          <w:szCs w:val="32"/>
          <w:highlight w:val="none"/>
          <w:lang w:val="en-US" w:eastAsia="zh-CN"/>
        </w:rPr>
        <w:t>29.24</w:t>
      </w:r>
      <w:r>
        <w:rPr>
          <w:rFonts w:hint="eastAsia" w:ascii="仿宋_GB2312" w:hAnsi="仿宋_GB2312" w:eastAsia="仿宋_GB2312" w:cs="仿宋_GB2312"/>
          <w:sz w:val="32"/>
          <w:szCs w:val="32"/>
          <w:highlight w:val="none"/>
        </w:rPr>
        <w:t>%，主要是因为一般公共服务支出</w:t>
      </w:r>
      <w:r>
        <w:rPr>
          <w:rFonts w:hint="eastAsia" w:ascii="仿宋_GB2312" w:hAnsi="仿宋_GB2312" w:eastAsia="仿宋_GB2312" w:cs="仿宋_GB2312"/>
          <w:sz w:val="32"/>
          <w:szCs w:val="32"/>
          <w:highlight w:val="none"/>
          <w:lang w:eastAsia="zh-CN"/>
        </w:rPr>
        <w:t>、社会保障和就业支出、商业服务业等支出</w:t>
      </w:r>
      <w:r>
        <w:rPr>
          <w:rFonts w:hint="eastAsia" w:ascii="仿宋_GB2312" w:hAnsi="仿宋_GB2312" w:eastAsia="仿宋_GB2312" w:cs="仿宋_GB2312"/>
          <w:sz w:val="32"/>
          <w:szCs w:val="32"/>
          <w:highlight w:val="none"/>
          <w:lang w:val="en-US" w:eastAsia="zh-CN"/>
        </w:rPr>
        <w:t>减少，市工改办所有人员于2022年4月并入市工信局，工资和奖金全部在工信局账户发放，收入、费用相应减少。</w:t>
      </w:r>
    </w:p>
    <w:p w14:paraId="6FF50ECC">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二、收入决算情况说明</w:t>
      </w:r>
    </w:p>
    <w:p w14:paraId="377389E9">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2022年度收入合计481.66万元，其中：财政拨款收入481.66万元，占100%。</w:t>
      </w:r>
    </w:p>
    <w:p w14:paraId="44E0538A">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三、支出决算情况说明</w:t>
      </w:r>
    </w:p>
    <w:p w14:paraId="086169A6">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年度支出合计481.66万元，其中：基本支出435.42万元，占</w:t>
      </w:r>
      <w:r>
        <w:rPr>
          <w:rFonts w:hint="eastAsia" w:ascii="仿宋_GB2312" w:hAnsi="仿宋_GB2312" w:eastAsia="仿宋_GB2312" w:cs="仿宋_GB2312"/>
          <w:sz w:val="32"/>
          <w:szCs w:val="32"/>
          <w:highlight w:val="none"/>
          <w:lang w:val="en-US" w:eastAsia="zh-CN"/>
        </w:rPr>
        <w:t>90.40</w:t>
      </w:r>
      <w:r>
        <w:rPr>
          <w:rFonts w:hint="eastAsia" w:ascii="仿宋_GB2312" w:hAnsi="仿宋_GB2312" w:eastAsia="仿宋_GB2312" w:cs="仿宋_GB2312"/>
          <w:sz w:val="32"/>
          <w:szCs w:val="32"/>
          <w:highlight w:val="none"/>
        </w:rPr>
        <w:t>%；项目支出46.24万元，占</w:t>
      </w:r>
      <w:r>
        <w:rPr>
          <w:rFonts w:hint="eastAsia" w:ascii="仿宋_GB2312" w:hAnsi="仿宋_GB2312" w:eastAsia="仿宋_GB2312" w:cs="仿宋_GB2312"/>
          <w:sz w:val="32"/>
          <w:szCs w:val="32"/>
          <w:highlight w:val="none"/>
          <w:lang w:val="en-US" w:eastAsia="zh-CN"/>
        </w:rPr>
        <w:t>9.60</w:t>
      </w:r>
      <w:r>
        <w:rPr>
          <w:rFonts w:hint="eastAsia" w:ascii="仿宋_GB2312" w:hAnsi="仿宋_GB2312" w:eastAsia="仿宋_GB2312" w:cs="仿宋_GB2312"/>
          <w:sz w:val="32"/>
          <w:szCs w:val="32"/>
          <w:highlight w:val="none"/>
        </w:rPr>
        <w:t>%。</w:t>
      </w:r>
    </w:p>
    <w:p w14:paraId="4DA7EF5F">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四、财政拨款收入支出决算总体情况说明</w:t>
      </w:r>
    </w:p>
    <w:p w14:paraId="1BA9B15D">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highlight w:val="none"/>
          <w:lang w:val="en-US" w:eastAsia="zh-CN"/>
        </w:rPr>
      </w:pP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年度财政拨款收、支总计</w:t>
      </w:r>
      <w:r>
        <w:rPr>
          <w:rFonts w:hint="eastAsia" w:ascii="仿宋_GB2312" w:hAnsi="仿宋_GB2312" w:eastAsia="仿宋_GB2312" w:cs="仿宋_GB2312"/>
          <w:sz w:val="32"/>
          <w:szCs w:val="32"/>
          <w:highlight w:val="none"/>
          <w:lang w:val="en-US" w:eastAsia="zh-CN"/>
        </w:rPr>
        <w:t>均为</w:t>
      </w:r>
      <w:r>
        <w:rPr>
          <w:rFonts w:hint="eastAsia" w:ascii="仿宋_GB2312" w:hAnsi="仿宋_GB2312" w:eastAsia="仿宋_GB2312" w:cs="仿宋_GB2312"/>
          <w:sz w:val="32"/>
          <w:szCs w:val="32"/>
          <w:highlight w:val="none"/>
        </w:rPr>
        <w:t>481.66万元，与上年相比，减少</w:t>
      </w:r>
      <w:r>
        <w:rPr>
          <w:rFonts w:hint="eastAsia" w:ascii="仿宋_GB2312" w:hAnsi="仿宋_GB2312" w:eastAsia="仿宋_GB2312" w:cs="仿宋_GB2312"/>
          <w:sz w:val="32"/>
          <w:szCs w:val="32"/>
          <w:highlight w:val="none"/>
          <w:lang w:val="en-US" w:eastAsia="zh-CN"/>
        </w:rPr>
        <w:t>199.02</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减少</w:t>
      </w:r>
      <w:r>
        <w:rPr>
          <w:rFonts w:hint="eastAsia" w:ascii="仿宋_GB2312" w:hAnsi="仿宋_GB2312" w:eastAsia="仿宋_GB2312" w:cs="仿宋_GB2312"/>
          <w:sz w:val="32"/>
          <w:szCs w:val="32"/>
          <w:highlight w:val="none"/>
          <w:lang w:val="en-US" w:eastAsia="zh-CN"/>
        </w:rPr>
        <w:t>29.24</w:t>
      </w:r>
      <w:r>
        <w:rPr>
          <w:rFonts w:hint="eastAsia" w:ascii="仿宋_GB2312" w:hAnsi="仿宋_GB2312" w:eastAsia="仿宋_GB2312" w:cs="仿宋_GB2312"/>
          <w:sz w:val="32"/>
          <w:szCs w:val="32"/>
          <w:highlight w:val="none"/>
        </w:rPr>
        <w:t>%，主要是因为一般公共服务支出</w:t>
      </w:r>
      <w:r>
        <w:rPr>
          <w:rFonts w:hint="eastAsia" w:ascii="仿宋_GB2312" w:hAnsi="仿宋_GB2312" w:eastAsia="仿宋_GB2312" w:cs="仿宋_GB2312"/>
          <w:sz w:val="32"/>
          <w:szCs w:val="32"/>
          <w:highlight w:val="none"/>
          <w:lang w:eastAsia="zh-CN"/>
        </w:rPr>
        <w:t>、社会保障和就业支出、商业服务业等支出</w:t>
      </w:r>
      <w:r>
        <w:rPr>
          <w:rFonts w:hint="eastAsia" w:ascii="仿宋_GB2312" w:hAnsi="仿宋_GB2312" w:eastAsia="仿宋_GB2312" w:cs="仿宋_GB2312"/>
          <w:sz w:val="32"/>
          <w:szCs w:val="32"/>
          <w:highlight w:val="none"/>
          <w:lang w:val="en-US" w:eastAsia="zh-CN"/>
        </w:rPr>
        <w:t>减少，市工改办所有人员于2022年4月并入市工信局，工资和奖金全部在工信局账户发放，收入、费用相应减少。</w:t>
      </w:r>
    </w:p>
    <w:p w14:paraId="5BD1251E">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五、一般公共预算财政拨款支出决算情况说明</w:t>
      </w:r>
    </w:p>
    <w:p w14:paraId="08B5FC3D">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00" w:firstLineChars="200"/>
        <w:textAlignment w:val="auto"/>
        <w:rPr>
          <w:rFonts w:hint="eastAsia" w:ascii="黑体" w:hAnsi="黑体" w:eastAsia="黑体" w:cs="黑体"/>
          <w:b w:val="0"/>
          <w:bCs/>
          <w:sz w:val="30"/>
          <w:szCs w:val="30"/>
          <w:highlight w:val="none"/>
        </w:rPr>
      </w:pPr>
      <w:r>
        <w:rPr>
          <w:rFonts w:hint="eastAsia" w:ascii="黑体" w:hAnsi="黑体" w:eastAsia="黑体" w:cs="黑体"/>
          <w:b w:val="0"/>
          <w:bCs/>
          <w:sz w:val="30"/>
          <w:szCs w:val="30"/>
          <w:highlight w:val="none"/>
        </w:rPr>
        <w:t>（一）财政拨款支出决算总体情况</w:t>
      </w:r>
    </w:p>
    <w:p w14:paraId="529D7AB9">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年度财政拨款支出481.66万元，占本年支出合计的</w:t>
      </w:r>
      <w:r>
        <w:rPr>
          <w:rFonts w:hint="eastAsia" w:ascii="仿宋_GB2312" w:hAnsi="仿宋_GB2312" w:eastAsia="仿宋_GB2312" w:cs="仿宋_GB2312"/>
          <w:sz w:val="32"/>
          <w:szCs w:val="32"/>
          <w:highlight w:val="none"/>
          <w:lang w:val="en-US" w:eastAsia="zh-CN"/>
        </w:rPr>
        <w:t>100</w:t>
      </w:r>
      <w:r>
        <w:rPr>
          <w:rFonts w:hint="eastAsia" w:ascii="仿宋_GB2312" w:hAnsi="仿宋_GB2312" w:eastAsia="仿宋_GB2312" w:cs="仿宋_GB2312"/>
          <w:sz w:val="32"/>
          <w:szCs w:val="32"/>
          <w:highlight w:val="none"/>
        </w:rPr>
        <w:t>%，与上年相比，财政拨款支出减少</w:t>
      </w:r>
      <w:r>
        <w:rPr>
          <w:rFonts w:hint="eastAsia" w:ascii="仿宋_GB2312" w:hAnsi="仿宋_GB2312" w:eastAsia="仿宋_GB2312" w:cs="仿宋_GB2312"/>
          <w:sz w:val="32"/>
          <w:szCs w:val="32"/>
          <w:highlight w:val="none"/>
          <w:lang w:val="en-US" w:eastAsia="zh-CN"/>
        </w:rPr>
        <w:t>199.02</w:t>
      </w:r>
      <w:r>
        <w:rPr>
          <w:rFonts w:hint="eastAsia" w:ascii="仿宋_GB2312" w:hAnsi="仿宋_GB2312" w:eastAsia="仿宋_GB2312" w:cs="仿宋_GB2312"/>
          <w:sz w:val="32"/>
          <w:szCs w:val="32"/>
          <w:highlight w:val="none"/>
        </w:rPr>
        <w:t>万元，减少</w:t>
      </w:r>
      <w:r>
        <w:rPr>
          <w:rFonts w:hint="eastAsia" w:ascii="仿宋_GB2312" w:hAnsi="仿宋_GB2312" w:eastAsia="仿宋_GB2312" w:cs="仿宋_GB2312"/>
          <w:sz w:val="32"/>
          <w:szCs w:val="32"/>
          <w:highlight w:val="none"/>
          <w:lang w:val="en-US" w:eastAsia="zh-CN"/>
        </w:rPr>
        <w:t>29.24</w:t>
      </w:r>
      <w:r>
        <w:rPr>
          <w:rFonts w:hint="eastAsia" w:ascii="仿宋_GB2312" w:hAnsi="仿宋_GB2312" w:eastAsia="仿宋_GB2312" w:cs="仿宋_GB2312"/>
          <w:sz w:val="32"/>
          <w:szCs w:val="32"/>
          <w:highlight w:val="none"/>
        </w:rPr>
        <w:t>%，主要是因为一般公共服务支出</w:t>
      </w:r>
      <w:r>
        <w:rPr>
          <w:rFonts w:hint="eastAsia" w:ascii="仿宋_GB2312" w:hAnsi="仿宋_GB2312" w:eastAsia="仿宋_GB2312" w:cs="仿宋_GB2312"/>
          <w:sz w:val="32"/>
          <w:szCs w:val="32"/>
          <w:highlight w:val="none"/>
          <w:lang w:eastAsia="zh-CN"/>
        </w:rPr>
        <w:t>、社会保障和就业支出、商业服务业等支出</w:t>
      </w:r>
      <w:r>
        <w:rPr>
          <w:rFonts w:hint="eastAsia" w:ascii="仿宋_GB2312" w:hAnsi="仿宋_GB2312" w:eastAsia="仿宋_GB2312" w:cs="仿宋_GB2312"/>
          <w:sz w:val="32"/>
          <w:szCs w:val="32"/>
          <w:highlight w:val="none"/>
          <w:lang w:val="en-US" w:eastAsia="zh-CN"/>
        </w:rPr>
        <w:t>减少，市工改办所有人员于2022年4月并入市工信局，工资和奖金全部在工信局账户发放，收入、费用相应减少。</w:t>
      </w:r>
    </w:p>
    <w:p w14:paraId="69E436BE">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00" w:firstLineChars="200"/>
        <w:textAlignment w:val="auto"/>
        <w:rPr>
          <w:rFonts w:hint="eastAsia" w:ascii="黑体" w:hAnsi="黑体" w:eastAsia="黑体" w:cs="黑体"/>
          <w:b w:val="0"/>
          <w:bCs/>
          <w:sz w:val="30"/>
          <w:szCs w:val="30"/>
          <w:highlight w:val="none"/>
        </w:rPr>
      </w:pPr>
      <w:r>
        <w:rPr>
          <w:rFonts w:hint="eastAsia" w:ascii="黑体" w:hAnsi="黑体" w:eastAsia="黑体" w:cs="黑体"/>
          <w:b w:val="0"/>
          <w:bCs/>
          <w:sz w:val="30"/>
          <w:szCs w:val="30"/>
          <w:highlight w:val="none"/>
        </w:rPr>
        <w:t>（二）财政拨款支出决算结构情况</w:t>
      </w:r>
    </w:p>
    <w:p w14:paraId="2F458D8D">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年度财政拨款支出481.66万元，主要用于以下方面：社会保障和就业（类）支出312.16万元，占</w:t>
      </w:r>
      <w:r>
        <w:rPr>
          <w:rFonts w:hint="eastAsia" w:ascii="仿宋_GB2312" w:hAnsi="仿宋_GB2312" w:eastAsia="仿宋_GB2312" w:cs="仿宋_GB2312"/>
          <w:sz w:val="32"/>
          <w:szCs w:val="32"/>
          <w:highlight w:val="none"/>
          <w:lang w:val="en-US" w:eastAsia="zh-CN"/>
        </w:rPr>
        <w:t>64.81</w:t>
      </w:r>
      <w:r>
        <w:rPr>
          <w:rFonts w:hint="eastAsia" w:ascii="仿宋_GB2312" w:hAnsi="仿宋_GB2312" w:eastAsia="仿宋_GB2312" w:cs="仿宋_GB2312"/>
          <w:sz w:val="32"/>
          <w:szCs w:val="32"/>
          <w:highlight w:val="none"/>
        </w:rPr>
        <w:t>%；卫生健康（类）支出12.68万元，占</w:t>
      </w:r>
      <w:r>
        <w:rPr>
          <w:rFonts w:hint="eastAsia" w:ascii="仿宋_GB2312" w:hAnsi="仿宋_GB2312" w:eastAsia="仿宋_GB2312" w:cs="仿宋_GB2312"/>
          <w:sz w:val="32"/>
          <w:szCs w:val="32"/>
          <w:highlight w:val="none"/>
          <w:lang w:val="en-US" w:eastAsia="zh-CN"/>
        </w:rPr>
        <w:t>2.63</w:t>
      </w:r>
      <w:r>
        <w:rPr>
          <w:rFonts w:hint="eastAsia" w:ascii="仿宋_GB2312" w:hAnsi="仿宋_GB2312" w:eastAsia="仿宋_GB2312" w:cs="仿宋_GB2312"/>
          <w:sz w:val="32"/>
          <w:szCs w:val="32"/>
          <w:highlight w:val="none"/>
        </w:rPr>
        <w:t>%;资源勘探工业信息等（类）支出59.08万元，占</w:t>
      </w:r>
      <w:r>
        <w:rPr>
          <w:rFonts w:hint="eastAsia" w:ascii="仿宋_GB2312" w:hAnsi="仿宋_GB2312" w:eastAsia="仿宋_GB2312" w:cs="仿宋_GB2312"/>
          <w:sz w:val="32"/>
          <w:szCs w:val="32"/>
          <w:highlight w:val="none"/>
          <w:lang w:val="en-US" w:eastAsia="zh-CN"/>
        </w:rPr>
        <w:t>12.27</w:t>
      </w:r>
      <w:r>
        <w:rPr>
          <w:rFonts w:hint="eastAsia" w:ascii="仿宋_GB2312" w:hAnsi="仿宋_GB2312" w:eastAsia="仿宋_GB2312" w:cs="仿宋_GB2312"/>
          <w:sz w:val="32"/>
          <w:szCs w:val="32"/>
          <w:highlight w:val="none"/>
        </w:rPr>
        <w:t>%；商业服务业等（类）支出97.74万元，占</w:t>
      </w:r>
      <w:r>
        <w:rPr>
          <w:rFonts w:hint="eastAsia" w:ascii="仿宋_GB2312" w:hAnsi="仿宋_GB2312" w:eastAsia="仿宋_GB2312" w:cs="仿宋_GB2312"/>
          <w:sz w:val="32"/>
          <w:szCs w:val="32"/>
          <w:highlight w:val="none"/>
          <w:lang w:val="en-US" w:eastAsia="zh-CN"/>
        </w:rPr>
        <w:t>20.29</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w:t>
      </w:r>
    </w:p>
    <w:p w14:paraId="344F6E0D">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00" w:firstLineChars="200"/>
        <w:textAlignment w:val="auto"/>
        <w:rPr>
          <w:rFonts w:hint="eastAsia" w:ascii="黑体" w:hAnsi="黑体" w:eastAsia="黑体" w:cs="黑体"/>
          <w:b w:val="0"/>
          <w:bCs/>
          <w:sz w:val="30"/>
          <w:szCs w:val="30"/>
          <w:highlight w:val="none"/>
        </w:rPr>
      </w:pPr>
      <w:r>
        <w:rPr>
          <w:rFonts w:hint="eastAsia" w:ascii="黑体" w:hAnsi="黑体" w:eastAsia="黑体" w:cs="黑体"/>
          <w:b w:val="0"/>
          <w:bCs/>
          <w:sz w:val="30"/>
          <w:szCs w:val="30"/>
          <w:highlight w:val="none"/>
        </w:rPr>
        <w:t>（三）财政拨款支出决算具体情况</w:t>
      </w:r>
    </w:p>
    <w:p w14:paraId="38134F44">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年度财政拨款支出年初预算数为</w:t>
      </w:r>
      <w:r>
        <w:rPr>
          <w:rFonts w:hint="eastAsia" w:ascii="仿宋_GB2312" w:hAnsi="仿宋_GB2312" w:eastAsia="仿宋_GB2312" w:cs="仿宋_GB2312"/>
          <w:sz w:val="32"/>
          <w:szCs w:val="32"/>
          <w:highlight w:val="none"/>
          <w:lang w:val="en-US" w:eastAsia="zh-CN"/>
        </w:rPr>
        <w:t>374.28</w:t>
      </w:r>
      <w:r>
        <w:rPr>
          <w:rFonts w:hint="eastAsia" w:ascii="仿宋_GB2312" w:hAnsi="仿宋_GB2312" w:eastAsia="仿宋_GB2312" w:cs="仿宋_GB2312"/>
          <w:sz w:val="32"/>
          <w:szCs w:val="32"/>
          <w:highlight w:val="none"/>
        </w:rPr>
        <w:t>万元，支出决算数为481.66万元，完成年初预算的</w:t>
      </w:r>
      <w:r>
        <w:rPr>
          <w:rFonts w:hint="eastAsia" w:ascii="仿宋_GB2312" w:hAnsi="仿宋_GB2312" w:eastAsia="仿宋_GB2312" w:cs="仿宋_GB2312"/>
          <w:sz w:val="32"/>
          <w:szCs w:val="32"/>
          <w:highlight w:val="none"/>
          <w:lang w:val="en-US" w:eastAsia="zh-CN"/>
        </w:rPr>
        <w:t>128.69</w:t>
      </w:r>
      <w:r>
        <w:rPr>
          <w:rFonts w:hint="eastAsia" w:ascii="仿宋_GB2312" w:hAnsi="仿宋_GB2312" w:eastAsia="仿宋_GB2312" w:cs="仿宋_GB2312"/>
          <w:sz w:val="32"/>
          <w:szCs w:val="32"/>
          <w:highlight w:val="none"/>
        </w:rPr>
        <w:t>%，其中：</w:t>
      </w:r>
    </w:p>
    <w:p w14:paraId="67586A36">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1、社会保障和就业支出（类</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行政事业单位养老支出（款）事业单位离退休（项）。</w:t>
      </w:r>
    </w:p>
    <w:p w14:paraId="3FFE998F">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年初预算为</w:t>
      </w:r>
      <w:r>
        <w:rPr>
          <w:rFonts w:hint="eastAsia" w:ascii="仿宋_GB2312" w:hAnsi="仿宋_GB2312" w:eastAsia="仿宋_GB2312" w:cs="仿宋_GB2312"/>
          <w:sz w:val="32"/>
          <w:szCs w:val="32"/>
          <w:highlight w:val="none"/>
          <w:lang w:val="en-US" w:eastAsia="zh-CN"/>
        </w:rPr>
        <w:t>220.4</w:t>
      </w:r>
      <w:r>
        <w:rPr>
          <w:rFonts w:hint="eastAsia" w:ascii="仿宋_GB2312" w:hAnsi="仿宋_GB2312" w:eastAsia="仿宋_GB2312" w:cs="仿宋_GB2312"/>
          <w:sz w:val="32"/>
          <w:szCs w:val="32"/>
          <w:highlight w:val="none"/>
        </w:rPr>
        <w:t>万元，支出决算为76.76万元，完成年初预算的</w:t>
      </w:r>
      <w:r>
        <w:rPr>
          <w:rFonts w:hint="eastAsia" w:ascii="仿宋_GB2312" w:hAnsi="仿宋_GB2312" w:eastAsia="仿宋_GB2312" w:cs="仿宋_GB2312"/>
          <w:sz w:val="32"/>
          <w:szCs w:val="32"/>
          <w:highlight w:val="none"/>
          <w:lang w:val="en-US" w:eastAsia="zh-CN"/>
        </w:rPr>
        <w:t>34.83</w:t>
      </w:r>
      <w:r>
        <w:rPr>
          <w:rFonts w:hint="eastAsia" w:ascii="仿宋_GB2312" w:hAnsi="仿宋_GB2312" w:eastAsia="仿宋_GB2312" w:cs="仿宋_GB2312"/>
          <w:sz w:val="32"/>
          <w:szCs w:val="32"/>
          <w:highlight w:val="none"/>
        </w:rPr>
        <w:t>%，决算数小于年初预算数的主要原因是：</w:t>
      </w:r>
      <w:r>
        <w:rPr>
          <w:rFonts w:hint="eastAsia" w:ascii="仿宋_GB2312" w:hAnsi="仿宋_GB2312" w:eastAsia="仿宋_GB2312" w:cs="仿宋_GB2312"/>
          <w:sz w:val="32"/>
          <w:szCs w:val="32"/>
          <w:highlight w:val="none"/>
          <w:lang w:val="en-US" w:eastAsia="zh-CN"/>
        </w:rPr>
        <w:t>离退休费减少。</w:t>
      </w:r>
    </w:p>
    <w:p w14:paraId="2418A8FD">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、社会保障和就业支出（类</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行政事业单位养老支出（款）机关事业单位基本养老保险缴费支出（项）。</w:t>
      </w:r>
    </w:p>
    <w:p w14:paraId="398ACC2D">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年初预算为</w:t>
      </w:r>
      <w:r>
        <w:rPr>
          <w:rFonts w:hint="eastAsia" w:ascii="仿宋_GB2312" w:hAnsi="仿宋_GB2312" w:eastAsia="仿宋_GB2312" w:cs="仿宋_GB2312"/>
          <w:sz w:val="32"/>
          <w:szCs w:val="32"/>
          <w:highlight w:val="none"/>
          <w:lang w:val="en-US" w:eastAsia="zh-CN"/>
        </w:rPr>
        <w:t>20.37</w:t>
      </w:r>
      <w:r>
        <w:rPr>
          <w:rFonts w:hint="eastAsia" w:ascii="仿宋_GB2312" w:hAnsi="仿宋_GB2312" w:eastAsia="仿宋_GB2312" w:cs="仿宋_GB2312"/>
          <w:sz w:val="32"/>
          <w:szCs w:val="32"/>
          <w:highlight w:val="none"/>
        </w:rPr>
        <w:t>万元，支出决算为20.57万元，完成年初预算的</w:t>
      </w:r>
      <w:r>
        <w:rPr>
          <w:rFonts w:hint="eastAsia" w:ascii="仿宋_GB2312" w:hAnsi="仿宋_GB2312" w:eastAsia="仿宋_GB2312" w:cs="仿宋_GB2312"/>
          <w:sz w:val="32"/>
          <w:szCs w:val="32"/>
          <w:highlight w:val="none"/>
          <w:lang w:val="en-US" w:eastAsia="zh-CN"/>
        </w:rPr>
        <w:t>100.98</w:t>
      </w:r>
      <w:r>
        <w:rPr>
          <w:rFonts w:hint="eastAsia" w:ascii="仿宋_GB2312" w:hAnsi="仿宋_GB2312" w:eastAsia="仿宋_GB2312" w:cs="仿宋_GB2312"/>
          <w:sz w:val="32"/>
          <w:szCs w:val="32"/>
          <w:highlight w:val="none"/>
        </w:rPr>
        <w:t>%，决算数</w:t>
      </w:r>
      <w:r>
        <w:rPr>
          <w:rFonts w:hint="eastAsia" w:ascii="仿宋_GB2312" w:hAnsi="仿宋_GB2312" w:eastAsia="仿宋_GB2312" w:cs="仿宋_GB2312"/>
          <w:sz w:val="32"/>
          <w:szCs w:val="32"/>
          <w:highlight w:val="none"/>
          <w:lang w:val="en-US" w:eastAsia="zh-CN"/>
        </w:rPr>
        <w:t>大</w:t>
      </w:r>
      <w:r>
        <w:rPr>
          <w:rFonts w:hint="eastAsia" w:ascii="仿宋_GB2312" w:hAnsi="仿宋_GB2312" w:eastAsia="仿宋_GB2312" w:cs="仿宋_GB2312"/>
          <w:sz w:val="32"/>
          <w:szCs w:val="32"/>
          <w:highlight w:val="none"/>
        </w:rPr>
        <w:t>于年初预算数的主要原因是：</w:t>
      </w:r>
      <w:r>
        <w:rPr>
          <w:rFonts w:hint="eastAsia" w:ascii="仿宋_GB2312" w:hAnsi="仿宋_GB2312" w:eastAsia="仿宋_GB2312" w:cs="仿宋_GB2312"/>
          <w:sz w:val="32"/>
          <w:szCs w:val="32"/>
          <w:highlight w:val="none"/>
          <w:lang w:val="en-US" w:eastAsia="zh-CN"/>
        </w:rPr>
        <w:t>用于机关事业单位基本养老保险缴费。</w:t>
      </w:r>
    </w:p>
    <w:p w14:paraId="39074D6C">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、社会保障和就业支出（类</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行政事业单位养老支出（款）其他行政事业单位养老支出（项）。</w:t>
      </w:r>
    </w:p>
    <w:p w14:paraId="63CA041B">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年初预算为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万元，支出决算为214.83万元，决算数</w:t>
      </w:r>
      <w:r>
        <w:rPr>
          <w:rFonts w:hint="eastAsia" w:ascii="仿宋_GB2312" w:hAnsi="仿宋_GB2312" w:eastAsia="仿宋_GB2312" w:cs="仿宋_GB2312"/>
          <w:sz w:val="32"/>
          <w:szCs w:val="32"/>
          <w:highlight w:val="none"/>
          <w:lang w:val="en-US" w:eastAsia="zh-CN"/>
        </w:rPr>
        <w:t>大</w:t>
      </w:r>
      <w:r>
        <w:rPr>
          <w:rFonts w:hint="eastAsia" w:ascii="仿宋_GB2312" w:hAnsi="仿宋_GB2312" w:eastAsia="仿宋_GB2312" w:cs="仿宋_GB2312"/>
          <w:sz w:val="32"/>
          <w:szCs w:val="32"/>
          <w:highlight w:val="none"/>
        </w:rPr>
        <w:t>于年初预算数的主要原因是：</w:t>
      </w:r>
      <w:r>
        <w:rPr>
          <w:rFonts w:hint="eastAsia" w:ascii="仿宋_GB2312" w:hAnsi="仿宋_GB2312" w:eastAsia="仿宋_GB2312" w:cs="仿宋_GB2312"/>
          <w:sz w:val="32"/>
          <w:szCs w:val="32"/>
          <w:highlight w:val="none"/>
          <w:lang w:val="en-US" w:eastAsia="zh-CN"/>
        </w:rPr>
        <w:t>支出离退休人员一次性生活补助未纳入年初预算。</w:t>
      </w:r>
    </w:p>
    <w:p w14:paraId="061867B7">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rPr>
        <w:t>、卫生健康支出（类）行政事业单位医疗（款） 行政单位医疗（项）。</w:t>
      </w:r>
    </w:p>
    <w:p w14:paraId="1BD915DF">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年初预算为</w:t>
      </w:r>
      <w:r>
        <w:rPr>
          <w:rFonts w:hint="eastAsia" w:ascii="仿宋_GB2312" w:hAnsi="仿宋_GB2312" w:eastAsia="仿宋_GB2312" w:cs="仿宋_GB2312"/>
          <w:sz w:val="32"/>
          <w:szCs w:val="32"/>
          <w:highlight w:val="none"/>
          <w:lang w:val="en-US" w:eastAsia="zh-CN"/>
        </w:rPr>
        <w:t>10.82</w:t>
      </w:r>
      <w:r>
        <w:rPr>
          <w:rFonts w:hint="eastAsia" w:ascii="仿宋_GB2312" w:hAnsi="仿宋_GB2312" w:eastAsia="仿宋_GB2312" w:cs="仿宋_GB2312"/>
          <w:sz w:val="32"/>
          <w:szCs w:val="32"/>
          <w:highlight w:val="none"/>
        </w:rPr>
        <w:t>万元，支出决算为12.68万元，完成年初预算的</w:t>
      </w:r>
      <w:r>
        <w:rPr>
          <w:rFonts w:hint="eastAsia" w:ascii="仿宋_GB2312" w:hAnsi="仿宋_GB2312" w:eastAsia="仿宋_GB2312" w:cs="仿宋_GB2312"/>
          <w:sz w:val="32"/>
          <w:szCs w:val="32"/>
          <w:highlight w:val="none"/>
          <w:lang w:val="en-US" w:eastAsia="zh-CN"/>
        </w:rPr>
        <w:t>117.19</w:t>
      </w:r>
      <w:r>
        <w:rPr>
          <w:rFonts w:hint="eastAsia" w:ascii="仿宋_GB2312" w:hAnsi="仿宋_GB2312" w:eastAsia="仿宋_GB2312" w:cs="仿宋_GB2312"/>
          <w:sz w:val="32"/>
          <w:szCs w:val="32"/>
          <w:highlight w:val="none"/>
        </w:rPr>
        <w:t>%，决算数大于年初预算数的主要原因是：</w:t>
      </w:r>
      <w:r>
        <w:rPr>
          <w:rFonts w:hint="eastAsia" w:ascii="仿宋_GB2312" w:hAnsi="仿宋_GB2312" w:eastAsia="仿宋_GB2312" w:cs="仿宋_GB2312"/>
          <w:sz w:val="32"/>
          <w:szCs w:val="32"/>
          <w:highlight w:val="none"/>
          <w:lang w:val="en-US" w:eastAsia="zh-CN"/>
        </w:rPr>
        <w:t>用于基本医疗保险缴费及医疗费补助支出。</w:t>
      </w:r>
    </w:p>
    <w:p w14:paraId="29F12A0D">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、资源勘探工业信息等支出（类）制造业（款） 行政运行（项）。</w:t>
      </w:r>
    </w:p>
    <w:p w14:paraId="47F4B44D">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年初预算为</w:t>
      </w:r>
      <w:r>
        <w:rPr>
          <w:rFonts w:hint="eastAsia" w:ascii="仿宋_GB2312" w:hAnsi="仿宋_GB2312" w:eastAsia="仿宋_GB2312" w:cs="仿宋_GB2312"/>
          <w:sz w:val="32"/>
          <w:szCs w:val="32"/>
          <w:highlight w:val="none"/>
          <w:lang w:val="en-US" w:eastAsia="zh-CN"/>
        </w:rPr>
        <w:t>19.18</w:t>
      </w:r>
      <w:r>
        <w:rPr>
          <w:rFonts w:hint="eastAsia" w:ascii="仿宋_GB2312" w:hAnsi="仿宋_GB2312" w:eastAsia="仿宋_GB2312" w:cs="仿宋_GB2312"/>
          <w:sz w:val="32"/>
          <w:szCs w:val="32"/>
          <w:highlight w:val="none"/>
        </w:rPr>
        <w:t>万元，支出决算为12.68万元，完成年初预算的</w:t>
      </w:r>
      <w:r>
        <w:rPr>
          <w:rFonts w:hint="eastAsia" w:ascii="仿宋_GB2312" w:hAnsi="仿宋_GB2312" w:eastAsia="仿宋_GB2312" w:cs="仿宋_GB2312"/>
          <w:sz w:val="32"/>
          <w:szCs w:val="32"/>
          <w:highlight w:val="none"/>
          <w:lang w:val="en-US" w:eastAsia="zh-CN"/>
        </w:rPr>
        <w:t>66.11</w:t>
      </w:r>
      <w:r>
        <w:rPr>
          <w:rFonts w:hint="eastAsia" w:ascii="仿宋_GB2312" w:hAnsi="仿宋_GB2312" w:eastAsia="仿宋_GB2312" w:cs="仿宋_GB2312"/>
          <w:sz w:val="32"/>
          <w:szCs w:val="32"/>
          <w:highlight w:val="none"/>
        </w:rPr>
        <w:t>%，决算数</w:t>
      </w:r>
      <w:r>
        <w:rPr>
          <w:rFonts w:hint="eastAsia" w:ascii="仿宋_GB2312" w:hAnsi="仿宋_GB2312" w:eastAsia="仿宋_GB2312" w:cs="仿宋_GB2312"/>
          <w:sz w:val="32"/>
          <w:szCs w:val="32"/>
          <w:highlight w:val="none"/>
          <w:lang w:val="en-US" w:eastAsia="zh-CN"/>
        </w:rPr>
        <w:t>小</w:t>
      </w:r>
      <w:r>
        <w:rPr>
          <w:rFonts w:hint="eastAsia" w:ascii="仿宋_GB2312" w:hAnsi="仿宋_GB2312" w:eastAsia="仿宋_GB2312" w:cs="仿宋_GB2312"/>
          <w:sz w:val="32"/>
          <w:szCs w:val="32"/>
          <w:highlight w:val="none"/>
        </w:rPr>
        <w:t>于年初预算数的主要原因是：</w:t>
      </w:r>
      <w:r>
        <w:rPr>
          <w:rFonts w:hint="eastAsia" w:ascii="仿宋_GB2312" w:hAnsi="仿宋_GB2312" w:eastAsia="仿宋_GB2312" w:cs="仿宋_GB2312"/>
          <w:sz w:val="32"/>
          <w:szCs w:val="32"/>
          <w:highlight w:val="none"/>
          <w:lang w:val="en-US" w:eastAsia="zh-CN"/>
        </w:rPr>
        <w:t>商品和服务支出减少。</w:t>
      </w:r>
    </w:p>
    <w:p w14:paraId="2EE7D8DB">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、资源勘探工业信息等支出（类）工业和信息产业监管（款） 行政运行（项）。</w:t>
      </w:r>
    </w:p>
    <w:p w14:paraId="28BF65A0">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sz w:val="32"/>
          <w:szCs w:val="32"/>
          <w:highlight w:val="none"/>
        </w:rPr>
        <w:t>年初预算为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万元，支出决算为</w:t>
      </w:r>
      <w:r>
        <w:rPr>
          <w:rFonts w:hint="eastAsia" w:ascii="仿宋_GB2312" w:hAnsi="仿宋_GB2312" w:eastAsia="仿宋_GB2312" w:cs="仿宋_GB2312"/>
          <w:sz w:val="32"/>
          <w:szCs w:val="32"/>
          <w:highlight w:val="none"/>
          <w:lang w:val="en-US" w:eastAsia="zh-CN"/>
        </w:rPr>
        <w:t>1.46</w:t>
      </w:r>
      <w:r>
        <w:rPr>
          <w:rFonts w:hint="eastAsia" w:ascii="仿宋_GB2312" w:hAnsi="仿宋_GB2312" w:eastAsia="仿宋_GB2312" w:cs="仿宋_GB2312"/>
          <w:sz w:val="32"/>
          <w:szCs w:val="32"/>
          <w:highlight w:val="none"/>
        </w:rPr>
        <w:t>万元，决算数</w:t>
      </w:r>
      <w:r>
        <w:rPr>
          <w:rFonts w:hint="eastAsia" w:ascii="仿宋_GB2312" w:hAnsi="仿宋_GB2312" w:eastAsia="仿宋_GB2312" w:cs="仿宋_GB2312"/>
          <w:sz w:val="32"/>
          <w:szCs w:val="32"/>
          <w:highlight w:val="none"/>
          <w:lang w:val="en-US" w:eastAsia="zh-CN"/>
        </w:rPr>
        <w:t>大</w:t>
      </w:r>
      <w:r>
        <w:rPr>
          <w:rFonts w:hint="eastAsia" w:ascii="仿宋_GB2312" w:hAnsi="仿宋_GB2312" w:eastAsia="仿宋_GB2312" w:cs="仿宋_GB2312"/>
          <w:sz w:val="32"/>
          <w:szCs w:val="32"/>
          <w:highlight w:val="none"/>
        </w:rPr>
        <w:t>于年初预算数的主要原因是：</w:t>
      </w:r>
      <w:r>
        <w:rPr>
          <w:rFonts w:hint="eastAsia" w:ascii="仿宋_GB2312" w:hAnsi="仿宋_GB2312" w:eastAsia="仿宋_GB2312" w:cs="仿宋_GB2312"/>
          <w:color w:val="auto"/>
          <w:sz w:val="32"/>
          <w:szCs w:val="32"/>
          <w:highlight w:val="none"/>
          <w:lang w:val="en-US" w:eastAsia="zh-CN"/>
        </w:rPr>
        <w:t>基本工资支出功能科目改变。</w:t>
      </w:r>
    </w:p>
    <w:p w14:paraId="699BD94A">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7</w:t>
      </w:r>
      <w:r>
        <w:rPr>
          <w:rFonts w:hint="eastAsia" w:ascii="仿宋_GB2312" w:hAnsi="仿宋_GB2312" w:eastAsia="仿宋_GB2312" w:cs="仿宋_GB2312"/>
          <w:sz w:val="32"/>
          <w:szCs w:val="32"/>
          <w:highlight w:val="none"/>
        </w:rPr>
        <w:t>、资源勘探工业信息等支出（类）制造业（款） 其他工业和信息产业监管支出（项）。</w:t>
      </w:r>
    </w:p>
    <w:p w14:paraId="52CFD9FA">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年初预算为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万元，支出决算为43.6万元，决算数</w:t>
      </w:r>
      <w:r>
        <w:rPr>
          <w:rFonts w:hint="eastAsia" w:ascii="仿宋_GB2312" w:hAnsi="仿宋_GB2312" w:eastAsia="仿宋_GB2312" w:cs="仿宋_GB2312"/>
          <w:sz w:val="32"/>
          <w:szCs w:val="32"/>
          <w:highlight w:val="none"/>
          <w:lang w:val="en-US" w:eastAsia="zh-CN"/>
        </w:rPr>
        <w:t>大</w:t>
      </w:r>
      <w:r>
        <w:rPr>
          <w:rFonts w:hint="eastAsia" w:ascii="仿宋_GB2312" w:hAnsi="仿宋_GB2312" w:eastAsia="仿宋_GB2312" w:cs="仿宋_GB2312"/>
          <w:sz w:val="32"/>
          <w:szCs w:val="32"/>
          <w:highlight w:val="none"/>
        </w:rPr>
        <w:t>于年初预算数的主要原因是：</w:t>
      </w:r>
      <w:r>
        <w:rPr>
          <w:rFonts w:hint="eastAsia" w:ascii="仿宋_GB2312" w:hAnsi="仿宋_GB2312" w:eastAsia="仿宋_GB2312" w:cs="仿宋_GB2312"/>
          <w:color w:val="auto"/>
          <w:sz w:val="32"/>
          <w:szCs w:val="32"/>
          <w:highlight w:val="none"/>
          <w:lang w:val="en-US" w:eastAsia="zh-CN"/>
        </w:rPr>
        <w:t>发放奖金未纳入年初预算。</w:t>
      </w:r>
    </w:p>
    <w:p w14:paraId="3DADEC42">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8</w:t>
      </w:r>
      <w:r>
        <w:rPr>
          <w:rFonts w:hint="eastAsia" w:ascii="仿宋_GB2312" w:hAnsi="仿宋_GB2312" w:eastAsia="仿宋_GB2312" w:cs="仿宋_GB2312"/>
          <w:sz w:val="32"/>
          <w:szCs w:val="32"/>
          <w:highlight w:val="none"/>
        </w:rPr>
        <w:t>、资源勘探工业信息等支出（类）其他资源勘探工业信息等支出（款） 其他资源勘探工业信息等支出（项）。</w:t>
      </w:r>
    </w:p>
    <w:p w14:paraId="00C91AD6">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仿宋_GB2312" w:eastAsia="仿宋_GB2312" w:cs="仿宋_GB2312"/>
          <w:color w:val="FF0000"/>
          <w:sz w:val="32"/>
          <w:szCs w:val="32"/>
          <w:highlight w:val="none"/>
          <w:lang w:val="en-US" w:eastAsia="zh-CN"/>
        </w:rPr>
      </w:pPr>
      <w:r>
        <w:rPr>
          <w:rFonts w:hint="eastAsia" w:ascii="仿宋_GB2312" w:hAnsi="仿宋_GB2312" w:eastAsia="仿宋_GB2312" w:cs="仿宋_GB2312"/>
          <w:sz w:val="32"/>
          <w:szCs w:val="32"/>
          <w:highlight w:val="none"/>
        </w:rPr>
        <w:t>年初预算为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万元，支出决算为</w:t>
      </w:r>
      <w:r>
        <w:rPr>
          <w:rFonts w:hint="eastAsia" w:ascii="仿宋_GB2312" w:hAnsi="仿宋_GB2312" w:eastAsia="仿宋_GB2312" w:cs="仿宋_GB2312"/>
          <w:sz w:val="32"/>
          <w:szCs w:val="32"/>
          <w:highlight w:val="none"/>
          <w:lang w:val="en-US" w:eastAsia="zh-CN"/>
        </w:rPr>
        <w:t>1.34</w:t>
      </w:r>
      <w:r>
        <w:rPr>
          <w:rFonts w:hint="eastAsia" w:ascii="仿宋_GB2312" w:hAnsi="仿宋_GB2312" w:eastAsia="仿宋_GB2312" w:cs="仿宋_GB2312"/>
          <w:sz w:val="32"/>
          <w:szCs w:val="32"/>
          <w:highlight w:val="none"/>
        </w:rPr>
        <w:t>万元，决算数</w:t>
      </w:r>
      <w:r>
        <w:rPr>
          <w:rFonts w:hint="eastAsia" w:ascii="仿宋_GB2312" w:hAnsi="仿宋_GB2312" w:eastAsia="仿宋_GB2312" w:cs="仿宋_GB2312"/>
          <w:sz w:val="32"/>
          <w:szCs w:val="32"/>
          <w:highlight w:val="none"/>
          <w:lang w:val="en-US" w:eastAsia="zh-CN"/>
        </w:rPr>
        <w:t>大</w:t>
      </w:r>
      <w:r>
        <w:rPr>
          <w:rFonts w:hint="eastAsia" w:ascii="仿宋_GB2312" w:hAnsi="仿宋_GB2312" w:eastAsia="仿宋_GB2312" w:cs="仿宋_GB2312"/>
          <w:sz w:val="32"/>
          <w:szCs w:val="32"/>
          <w:highlight w:val="none"/>
        </w:rPr>
        <w:t>于年初预算数的主要原因是：</w:t>
      </w:r>
      <w:r>
        <w:rPr>
          <w:rFonts w:hint="eastAsia" w:ascii="仿宋_GB2312" w:hAnsi="仿宋_GB2312" w:eastAsia="仿宋_GB2312" w:cs="仿宋_GB2312"/>
          <w:sz w:val="32"/>
          <w:szCs w:val="32"/>
          <w:highlight w:val="none"/>
          <w:lang w:val="en-US" w:eastAsia="zh-CN"/>
        </w:rPr>
        <w:t>新增</w:t>
      </w:r>
      <w:r>
        <w:rPr>
          <w:rFonts w:hint="eastAsia" w:ascii="仿宋_GB2312" w:hAnsi="仿宋_GB2312" w:eastAsia="仿宋_GB2312" w:cs="仿宋_GB2312"/>
          <w:color w:val="auto"/>
          <w:sz w:val="32"/>
          <w:szCs w:val="32"/>
          <w:highlight w:val="none"/>
          <w:lang w:val="en-US" w:eastAsia="zh-CN"/>
        </w:rPr>
        <w:t>机关事业单位基本养老保险缴费。</w:t>
      </w:r>
    </w:p>
    <w:p w14:paraId="21F265E3">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9</w:t>
      </w:r>
      <w:r>
        <w:rPr>
          <w:rFonts w:hint="eastAsia" w:ascii="仿宋_GB2312" w:hAnsi="仿宋_GB2312" w:eastAsia="仿宋_GB2312" w:cs="仿宋_GB2312"/>
          <w:sz w:val="32"/>
          <w:szCs w:val="32"/>
          <w:highlight w:val="none"/>
        </w:rPr>
        <w:t>、商业服务业等支出（类）商业流通事务（款） 行政运行（项）。</w:t>
      </w:r>
    </w:p>
    <w:p w14:paraId="1DD0BE4C">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年初预算为</w:t>
      </w:r>
      <w:r>
        <w:rPr>
          <w:rFonts w:hint="eastAsia" w:ascii="仿宋_GB2312" w:hAnsi="仿宋_GB2312" w:eastAsia="仿宋_GB2312" w:cs="仿宋_GB2312"/>
          <w:sz w:val="32"/>
          <w:szCs w:val="32"/>
          <w:highlight w:val="none"/>
          <w:lang w:val="en-US" w:eastAsia="zh-CN"/>
        </w:rPr>
        <w:t>103.51</w:t>
      </w:r>
      <w:r>
        <w:rPr>
          <w:rFonts w:hint="eastAsia" w:ascii="仿宋_GB2312" w:hAnsi="仿宋_GB2312" w:eastAsia="仿宋_GB2312" w:cs="仿宋_GB2312"/>
          <w:sz w:val="32"/>
          <w:szCs w:val="32"/>
          <w:highlight w:val="none"/>
        </w:rPr>
        <w:t>万元，支出决算为97.74万元，完成年初预算的</w:t>
      </w:r>
      <w:r>
        <w:rPr>
          <w:rFonts w:hint="eastAsia" w:ascii="仿宋_GB2312" w:hAnsi="仿宋_GB2312" w:eastAsia="仿宋_GB2312" w:cs="仿宋_GB2312"/>
          <w:sz w:val="32"/>
          <w:szCs w:val="32"/>
          <w:highlight w:val="none"/>
          <w:lang w:val="en-US" w:eastAsia="zh-CN"/>
        </w:rPr>
        <w:t>94.43</w:t>
      </w:r>
      <w:r>
        <w:rPr>
          <w:rFonts w:hint="eastAsia" w:ascii="仿宋_GB2312" w:hAnsi="仿宋_GB2312" w:eastAsia="仿宋_GB2312" w:cs="仿宋_GB2312"/>
          <w:sz w:val="32"/>
          <w:szCs w:val="32"/>
          <w:highlight w:val="none"/>
        </w:rPr>
        <w:t>%，决算数</w:t>
      </w:r>
      <w:r>
        <w:rPr>
          <w:rFonts w:hint="eastAsia" w:ascii="仿宋_GB2312" w:hAnsi="仿宋_GB2312" w:eastAsia="仿宋_GB2312" w:cs="仿宋_GB2312"/>
          <w:sz w:val="32"/>
          <w:szCs w:val="32"/>
          <w:highlight w:val="none"/>
          <w:lang w:val="en-US" w:eastAsia="zh-CN"/>
        </w:rPr>
        <w:t>小</w:t>
      </w:r>
      <w:r>
        <w:rPr>
          <w:rFonts w:hint="eastAsia" w:ascii="仿宋_GB2312" w:hAnsi="仿宋_GB2312" w:eastAsia="仿宋_GB2312" w:cs="仿宋_GB2312"/>
          <w:sz w:val="32"/>
          <w:szCs w:val="32"/>
          <w:highlight w:val="none"/>
        </w:rPr>
        <w:t>于年初预算数的主要原因是：</w:t>
      </w:r>
      <w:r>
        <w:rPr>
          <w:rFonts w:hint="eastAsia" w:ascii="仿宋_GB2312" w:hAnsi="仿宋_GB2312" w:eastAsia="仿宋_GB2312" w:cs="仿宋_GB2312"/>
          <w:sz w:val="32"/>
          <w:szCs w:val="32"/>
          <w:highlight w:val="none"/>
          <w:lang w:val="en-US" w:eastAsia="zh-CN"/>
        </w:rPr>
        <w:t>离休人员费用较年初预算减少。</w:t>
      </w:r>
    </w:p>
    <w:p w14:paraId="1B1D7F60">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六、一般公共预算财政拨款基本支出决算情况说明</w:t>
      </w:r>
    </w:p>
    <w:p w14:paraId="1CAD0722">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年度财政拨款基本支出435.42万元，其中：</w:t>
      </w:r>
    </w:p>
    <w:p w14:paraId="2FD93F48">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 w:val="0"/>
          <w:bCs w:val="0"/>
          <w:sz w:val="32"/>
          <w:szCs w:val="32"/>
          <w:highlight w:val="none"/>
        </w:rPr>
        <w:t>人员经费</w:t>
      </w:r>
      <w:r>
        <w:rPr>
          <w:rFonts w:hint="eastAsia" w:ascii="仿宋_GB2312" w:hAnsi="仿宋_GB2312" w:eastAsia="仿宋_GB2312" w:cs="仿宋_GB2312"/>
          <w:sz w:val="32"/>
          <w:szCs w:val="32"/>
          <w:highlight w:val="none"/>
        </w:rPr>
        <w:t>389.18万元，占基本支出的</w:t>
      </w:r>
      <w:r>
        <w:rPr>
          <w:rFonts w:hint="eastAsia" w:ascii="仿宋_GB2312" w:hAnsi="仿宋_GB2312" w:eastAsia="仿宋_GB2312" w:cs="仿宋_GB2312"/>
          <w:sz w:val="32"/>
          <w:szCs w:val="32"/>
          <w:highlight w:val="none"/>
          <w:lang w:val="en-US" w:eastAsia="zh-CN"/>
        </w:rPr>
        <w:t>89.38</w:t>
      </w:r>
      <w:r>
        <w:rPr>
          <w:rFonts w:hint="eastAsia" w:ascii="仿宋_GB2312" w:hAnsi="仿宋_GB2312" w:eastAsia="仿宋_GB2312" w:cs="仿宋_GB2312"/>
          <w:sz w:val="32"/>
          <w:szCs w:val="32"/>
          <w:highlight w:val="none"/>
        </w:rPr>
        <w:t>%,主要包括基本工资、津贴补贴、奖金、伙食补助费</w:t>
      </w:r>
      <w:r>
        <w:rPr>
          <w:rFonts w:hint="eastAsia" w:ascii="仿宋_GB2312" w:hAnsi="仿宋_GB2312" w:eastAsia="仿宋_GB2312" w:cs="仿宋_GB2312"/>
          <w:sz w:val="32"/>
          <w:szCs w:val="32"/>
          <w:highlight w:val="none"/>
          <w:lang w:eastAsia="zh-CN"/>
        </w:rPr>
        <w:t>、机关事业单位基本养老保险缴费、职工基本医疗保险缴费、离休费</w:t>
      </w:r>
      <w:r>
        <w:rPr>
          <w:rFonts w:hint="eastAsia" w:ascii="仿宋_GB2312" w:hAnsi="仿宋_GB2312" w:eastAsia="仿宋_GB2312" w:cs="仿宋_GB2312"/>
          <w:sz w:val="32"/>
          <w:szCs w:val="32"/>
          <w:highlight w:val="none"/>
          <w:lang w:val="en-US" w:eastAsia="zh-CN"/>
        </w:rPr>
        <w:t>等。</w:t>
      </w:r>
    </w:p>
    <w:p w14:paraId="4F71F226">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val="0"/>
          <w:bCs w:val="0"/>
          <w:sz w:val="32"/>
          <w:szCs w:val="32"/>
          <w:highlight w:val="none"/>
        </w:rPr>
        <w:t>公用经费</w:t>
      </w:r>
      <w:r>
        <w:rPr>
          <w:rFonts w:hint="eastAsia" w:ascii="仿宋_GB2312" w:hAnsi="仿宋_GB2312" w:eastAsia="仿宋_GB2312" w:cs="仿宋_GB2312"/>
          <w:sz w:val="32"/>
          <w:szCs w:val="32"/>
          <w:highlight w:val="none"/>
        </w:rPr>
        <w:t>46.24万元，占基本支出的</w:t>
      </w:r>
      <w:r>
        <w:rPr>
          <w:rFonts w:hint="eastAsia" w:ascii="仿宋_GB2312" w:hAnsi="仿宋_GB2312" w:eastAsia="仿宋_GB2312" w:cs="仿宋_GB2312"/>
          <w:sz w:val="32"/>
          <w:szCs w:val="32"/>
          <w:highlight w:val="none"/>
          <w:lang w:val="en-US" w:eastAsia="zh-CN"/>
        </w:rPr>
        <w:t>10.62</w:t>
      </w:r>
      <w:r>
        <w:rPr>
          <w:rFonts w:hint="eastAsia" w:ascii="仿宋_GB2312" w:hAnsi="仿宋_GB2312" w:eastAsia="仿宋_GB2312" w:cs="仿宋_GB2312"/>
          <w:sz w:val="32"/>
          <w:szCs w:val="32"/>
          <w:highlight w:val="none"/>
        </w:rPr>
        <w:t>%，主要包括办公费、</w:t>
      </w:r>
      <w:r>
        <w:rPr>
          <w:rFonts w:hint="eastAsia" w:ascii="仿宋_GB2312" w:hAnsi="仿宋_GB2312" w:eastAsia="仿宋_GB2312" w:cs="仿宋_GB2312"/>
          <w:sz w:val="32"/>
          <w:szCs w:val="32"/>
          <w:highlight w:val="none"/>
          <w:lang w:val="en-US" w:eastAsia="zh-CN"/>
        </w:rPr>
        <w:t>水电</w:t>
      </w:r>
      <w:r>
        <w:rPr>
          <w:rFonts w:hint="eastAsia" w:ascii="仿宋_GB2312" w:hAnsi="仿宋_GB2312" w:eastAsia="仿宋_GB2312" w:cs="仿宋_GB2312"/>
          <w:sz w:val="32"/>
          <w:szCs w:val="32"/>
          <w:highlight w:val="none"/>
        </w:rPr>
        <w:t>费、咨询费、维修（护）费</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差旅费、公务用车运行维护费、其他交通费用、其他商品和服务支出等</w:t>
      </w:r>
      <w:r>
        <w:rPr>
          <w:rFonts w:hint="eastAsia" w:ascii="仿宋_GB2312" w:hAnsi="仿宋_GB2312" w:eastAsia="仿宋_GB2312" w:cs="仿宋_GB2312"/>
          <w:sz w:val="32"/>
          <w:szCs w:val="32"/>
          <w:highlight w:val="none"/>
        </w:rPr>
        <w:t>。</w:t>
      </w:r>
    </w:p>
    <w:p w14:paraId="198C8358">
      <w:pPr>
        <w:pStyle w:val="11"/>
        <w:keepNext w:val="0"/>
        <w:keepLines w:val="0"/>
        <w:pageBreakBefore w:val="0"/>
        <w:widowControl w:val="0"/>
        <w:numPr>
          <w:ilvl w:val="0"/>
          <w:numId w:val="1"/>
        </w:numPr>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财政拨款三公经费支出决算情况说明</w:t>
      </w:r>
    </w:p>
    <w:p w14:paraId="0F11DA30">
      <w:pPr>
        <w:pStyle w:val="11"/>
        <w:keepNext w:val="0"/>
        <w:keepLines w:val="0"/>
        <w:pageBreakBefore w:val="0"/>
        <w:widowControl w:val="0"/>
        <w:numPr>
          <w:ilvl w:val="0"/>
          <w:numId w:val="0"/>
        </w:numPr>
        <w:kinsoku/>
        <w:wordWrap/>
        <w:overflowPunct/>
        <w:topLinePunct w:val="0"/>
        <w:bidi w:val="0"/>
        <w:snapToGrid/>
        <w:spacing w:line="600" w:lineRule="exact"/>
        <w:ind w:firstLine="600" w:firstLineChars="200"/>
        <w:textAlignment w:val="auto"/>
        <w:rPr>
          <w:rFonts w:hint="eastAsia" w:ascii="黑体" w:hAnsi="黑体" w:eastAsia="黑体" w:cs="黑体"/>
          <w:b w:val="0"/>
          <w:bCs/>
          <w:sz w:val="30"/>
          <w:szCs w:val="30"/>
          <w:highlight w:val="none"/>
        </w:rPr>
      </w:pPr>
      <w:r>
        <w:rPr>
          <w:rFonts w:hint="eastAsia" w:ascii="黑体" w:hAnsi="黑体" w:eastAsia="黑体" w:cs="黑体"/>
          <w:b w:val="0"/>
          <w:bCs/>
          <w:sz w:val="30"/>
          <w:szCs w:val="30"/>
          <w:highlight w:val="none"/>
        </w:rPr>
        <w:t>（一）“三公”经费财政拨款支出决算总体情况说明</w:t>
      </w:r>
    </w:p>
    <w:p w14:paraId="118ABADA">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“三公”经费财政拨款支出预算为</w:t>
      </w:r>
      <w:r>
        <w:rPr>
          <w:rFonts w:hint="eastAsia" w:ascii="仿宋_GB2312" w:hAnsi="仿宋_GB2312" w:eastAsia="仿宋_GB2312" w:cs="仿宋_GB2312"/>
          <w:sz w:val="32"/>
          <w:szCs w:val="32"/>
          <w:highlight w:val="none"/>
          <w:lang w:val="en-US" w:eastAsia="zh-CN"/>
        </w:rPr>
        <w:t>29.21</w:t>
      </w:r>
      <w:r>
        <w:rPr>
          <w:rFonts w:hint="eastAsia" w:ascii="仿宋_GB2312" w:hAnsi="仿宋_GB2312" w:eastAsia="仿宋_GB2312" w:cs="仿宋_GB2312"/>
          <w:sz w:val="32"/>
          <w:szCs w:val="32"/>
          <w:highlight w:val="none"/>
        </w:rPr>
        <w:t>万元，支出决算为</w:t>
      </w:r>
      <w:r>
        <w:rPr>
          <w:rFonts w:hint="eastAsia" w:ascii="仿宋_GB2312" w:hAnsi="仿宋_GB2312" w:eastAsia="仿宋_GB2312" w:cs="仿宋_GB2312"/>
          <w:sz w:val="32"/>
          <w:szCs w:val="32"/>
          <w:highlight w:val="none"/>
          <w:lang w:val="en-US" w:eastAsia="zh-CN"/>
        </w:rPr>
        <w:t>7.9</w:t>
      </w:r>
      <w:r>
        <w:rPr>
          <w:rFonts w:hint="eastAsia" w:ascii="仿宋_GB2312" w:hAnsi="仿宋_GB2312" w:eastAsia="仿宋_GB2312" w:cs="仿宋_GB2312"/>
          <w:sz w:val="32"/>
          <w:szCs w:val="32"/>
          <w:highlight w:val="none"/>
        </w:rPr>
        <w:t>万元，完成预算的</w:t>
      </w:r>
      <w:r>
        <w:rPr>
          <w:rFonts w:hint="eastAsia" w:ascii="仿宋_GB2312" w:hAnsi="仿宋_GB2312" w:eastAsia="仿宋_GB2312" w:cs="仿宋_GB2312"/>
          <w:sz w:val="32"/>
          <w:szCs w:val="32"/>
          <w:highlight w:val="none"/>
          <w:lang w:val="en-US" w:eastAsia="zh-CN"/>
        </w:rPr>
        <w:t>27.05</w:t>
      </w:r>
      <w:r>
        <w:rPr>
          <w:rFonts w:hint="eastAsia" w:ascii="仿宋_GB2312" w:hAnsi="仿宋_GB2312" w:eastAsia="仿宋_GB2312" w:cs="仿宋_GB2312"/>
          <w:sz w:val="32"/>
          <w:szCs w:val="32"/>
          <w:highlight w:val="none"/>
        </w:rPr>
        <w:t>%，</w:t>
      </w:r>
      <w:r>
        <w:rPr>
          <w:rFonts w:hint="eastAsia" w:ascii="Times New Roman" w:hAnsi="Times New Roman" w:eastAsia="仿宋_GB2312"/>
          <w:sz w:val="32"/>
          <w:szCs w:val="32"/>
          <w:highlight w:val="none"/>
        </w:rPr>
        <w:t>决算数小于预算数的主要原因是</w:t>
      </w:r>
      <w:r>
        <w:rPr>
          <w:rFonts w:hint="eastAsia" w:ascii="仿宋" w:hAnsi="仿宋" w:eastAsia="仿宋"/>
          <w:sz w:val="32"/>
          <w:szCs w:val="32"/>
          <w:highlight w:val="none"/>
        </w:rPr>
        <w:t>落实过“紧日子”要求，严格执行开支标准</w:t>
      </w:r>
      <w:r>
        <w:rPr>
          <w:rFonts w:hint="eastAsia" w:ascii="仿宋" w:hAnsi="仿宋" w:eastAsia="仿宋"/>
          <w:sz w:val="32"/>
          <w:szCs w:val="32"/>
          <w:highlight w:val="none"/>
          <w:lang w:eastAsia="zh-CN"/>
        </w:rPr>
        <w:t>，</w:t>
      </w:r>
      <w:r>
        <w:rPr>
          <w:rFonts w:hint="eastAsia" w:ascii="Times New Roman" w:hAnsi="Times New Roman" w:eastAsia="仿宋_GB2312"/>
          <w:sz w:val="32"/>
          <w:szCs w:val="32"/>
          <w:highlight w:val="none"/>
          <w:lang w:val="en-US" w:eastAsia="zh-CN"/>
        </w:rPr>
        <w:t>厉行节约；</w:t>
      </w:r>
      <w:r>
        <w:rPr>
          <w:rFonts w:hint="eastAsia" w:ascii="Times New Roman" w:hAnsi="Times New Roman" w:eastAsia="仿宋_GB2312"/>
          <w:sz w:val="32"/>
          <w:szCs w:val="32"/>
          <w:highlight w:val="none"/>
        </w:rPr>
        <w:t>与上年相比减少</w:t>
      </w:r>
      <w:r>
        <w:rPr>
          <w:rFonts w:hint="eastAsia" w:ascii="Times New Roman" w:hAnsi="Times New Roman" w:eastAsia="仿宋_GB2312"/>
          <w:sz w:val="32"/>
          <w:szCs w:val="32"/>
          <w:highlight w:val="none"/>
          <w:lang w:val="en-US" w:eastAsia="zh-CN"/>
        </w:rPr>
        <w:t>1.52</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val="en-US" w:eastAsia="zh-CN"/>
        </w:rPr>
        <w:t>下降16.14%</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减少的主要原因是</w:t>
      </w:r>
      <w:r>
        <w:rPr>
          <w:rFonts w:hint="eastAsia" w:ascii="仿宋" w:hAnsi="仿宋" w:eastAsia="仿宋"/>
          <w:sz w:val="32"/>
          <w:szCs w:val="32"/>
          <w:highlight w:val="none"/>
        </w:rPr>
        <w:t>落实过“紧日子”要求，严格执行开支标准</w:t>
      </w:r>
      <w:r>
        <w:rPr>
          <w:rFonts w:hint="eastAsia" w:ascii="仿宋" w:hAnsi="仿宋" w:eastAsia="仿宋"/>
          <w:sz w:val="32"/>
          <w:szCs w:val="32"/>
          <w:highlight w:val="none"/>
          <w:lang w:eastAsia="zh-CN"/>
        </w:rPr>
        <w:t>，</w:t>
      </w:r>
      <w:r>
        <w:rPr>
          <w:rFonts w:hint="eastAsia" w:ascii="Times New Roman" w:hAnsi="Times New Roman" w:eastAsia="仿宋_GB2312"/>
          <w:sz w:val="32"/>
          <w:szCs w:val="32"/>
          <w:highlight w:val="none"/>
          <w:lang w:val="en-US" w:eastAsia="zh-CN"/>
        </w:rPr>
        <w:t>厉行节约</w:t>
      </w:r>
      <w:r>
        <w:rPr>
          <w:rFonts w:hint="eastAsia" w:ascii="Times New Roman" w:hAnsi="Times New Roman" w:eastAsia="仿宋_GB2312"/>
          <w:sz w:val="32"/>
          <w:szCs w:val="32"/>
          <w:highlight w:val="none"/>
        </w:rPr>
        <w:t>。</w:t>
      </w:r>
      <w:r>
        <w:rPr>
          <w:rFonts w:hint="eastAsia" w:ascii="仿宋_GB2312" w:hAnsi="仿宋_GB2312" w:eastAsia="仿宋_GB2312" w:cs="仿宋_GB2312"/>
          <w:sz w:val="32"/>
          <w:szCs w:val="32"/>
          <w:highlight w:val="none"/>
        </w:rPr>
        <w:t>其中：</w:t>
      </w:r>
    </w:p>
    <w:p w14:paraId="46F42103">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因公出国</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境</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费支出预算为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万元，支出决算为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万元，预算决算金额均</w:t>
      </w:r>
      <w:r>
        <w:rPr>
          <w:rFonts w:hint="eastAsia" w:ascii="仿宋_GB2312" w:hAnsi="仿宋_GB2312" w:eastAsia="仿宋_GB2312" w:cs="仿宋_GB2312"/>
          <w:sz w:val="32"/>
          <w:szCs w:val="32"/>
          <w:highlight w:val="none"/>
          <w:lang w:val="en-US" w:eastAsia="zh-CN"/>
        </w:rPr>
        <w:t>为0万元</w:t>
      </w:r>
      <w:r>
        <w:rPr>
          <w:rFonts w:hint="eastAsia" w:ascii="仿宋_GB2312" w:hAnsi="仿宋_GB2312" w:eastAsia="仿宋_GB2312" w:cs="仿宋_GB2312"/>
          <w:sz w:val="32"/>
          <w:szCs w:val="32"/>
          <w:highlight w:val="none"/>
        </w:rPr>
        <w:t>，无法计算完成百分比，主要原因</w:t>
      </w:r>
      <w:r>
        <w:rPr>
          <w:rFonts w:hint="eastAsia" w:ascii="仿宋_GB2312" w:hAnsi="仿宋_GB2312" w:eastAsia="仿宋_GB2312" w:cs="仿宋_GB2312"/>
          <w:sz w:val="32"/>
          <w:szCs w:val="32"/>
          <w:highlight w:val="none"/>
          <w:lang w:val="en-US" w:eastAsia="zh-CN"/>
        </w:rPr>
        <w:t>是单位未</w:t>
      </w:r>
      <w:r>
        <w:rPr>
          <w:rFonts w:hint="eastAsia" w:ascii="仿宋_GB2312" w:hAnsi="仿宋_GB2312" w:eastAsia="仿宋_GB2312" w:cs="仿宋_GB2312"/>
          <w:sz w:val="32"/>
          <w:szCs w:val="32"/>
          <w:highlight w:val="none"/>
        </w:rPr>
        <w:t>因公出国（境），</w:t>
      </w:r>
      <w:r>
        <w:rPr>
          <w:rFonts w:hint="eastAsia" w:ascii="仿宋_GB2312" w:hAnsi="仿宋_GB2312" w:eastAsia="仿宋_GB2312" w:cs="仿宋_GB2312"/>
          <w:sz w:val="32"/>
          <w:szCs w:val="32"/>
          <w:highlight w:val="none"/>
          <w:lang w:val="en-US" w:eastAsia="zh-CN"/>
        </w:rPr>
        <w:t>与上年相比持平均为0万元，</w:t>
      </w:r>
      <w:r>
        <w:rPr>
          <w:rFonts w:hint="eastAsia" w:ascii="仿宋_GB2312" w:hAnsi="仿宋_GB2312" w:eastAsia="仿宋_GB2312" w:cs="仿宋_GB2312"/>
          <w:sz w:val="32"/>
          <w:szCs w:val="32"/>
          <w:highlight w:val="none"/>
        </w:rPr>
        <w:t>无法计算完成百分比</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主要原因是单位未</w:t>
      </w:r>
      <w:r>
        <w:rPr>
          <w:rFonts w:hint="eastAsia" w:ascii="仿宋_GB2312" w:hAnsi="仿宋_GB2312" w:eastAsia="仿宋_GB2312" w:cs="仿宋_GB2312"/>
          <w:sz w:val="32"/>
          <w:szCs w:val="32"/>
          <w:highlight w:val="none"/>
        </w:rPr>
        <w:t>因公出国（境）。</w:t>
      </w:r>
    </w:p>
    <w:p w14:paraId="068D5922">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仿宋_GB2312" w:eastAsia="仿宋_GB2312" w:cs="仿宋_GB2312"/>
          <w:color w:val="FF0000"/>
          <w:sz w:val="32"/>
          <w:szCs w:val="32"/>
          <w:highlight w:val="none"/>
          <w:lang w:val="en-US" w:eastAsia="zh-CN"/>
        </w:rPr>
      </w:pPr>
      <w:r>
        <w:rPr>
          <w:rFonts w:hint="eastAsia" w:ascii="仿宋_GB2312" w:hAnsi="仿宋_GB2312" w:eastAsia="仿宋_GB2312" w:cs="仿宋_GB2312"/>
          <w:sz w:val="32"/>
          <w:szCs w:val="32"/>
          <w:highlight w:val="none"/>
        </w:rPr>
        <w:t>公务接待费支出预算为11.57万元，支出决算为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万元，决算金额</w:t>
      </w:r>
      <w:r>
        <w:rPr>
          <w:rFonts w:hint="eastAsia" w:ascii="仿宋_GB2312" w:hAnsi="仿宋_GB2312" w:eastAsia="仿宋_GB2312" w:cs="仿宋_GB2312"/>
          <w:sz w:val="32"/>
          <w:szCs w:val="32"/>
          <w:highlight w:val="none"/>
          <w:lang w:val="en-US" w:eastAsia="zh-CN"/>
        </w:rPr>
        <w:t>为0万元</w:t>
      </w:r>
      <w:r>
        <w:rPr>
          <w:rFonts w:hint="eastAsia" w:ascii="仿宋_GB2312" w:hAnsi="仿宋_GB2312" w:eastAsia="仿宋_GB2312" w:cs="仿宋_GB2312"/>
          <w:sz w:val="32"/>
          <w:szCs w:val="32"/>
          <w:highlight w:val="none"/>
        </w:rPr>
        <w:t>，无法计算完成百分比</w:t>
      </w:r>
      <w:r>
        <w:rPr>
          <w:rFonts w:hint="eastAsia" w:ascii="仿宋_GB2312" w:hAnsi="仿宋_GB2312" w:eastAsia="仿宋_GB2312" w:cs="仿宋_GB2312"/>
          <w:sz w:val="32"/>
          <w:szCs w:val="32"/>
          <w:highlight w:val="none"/>
          <w:lang w:eastAsia="zh-CN"/>
        </w:rPr>
        <w:t>，</w:t>
      </w:r>
      <w:r>
        <w:rPr>
          <w:rFonts w:hint="eastAsia" w:ascii="仿宋" w:hAnsi="仿宋" w:eastAsia="仿宋"/>
          <w:sz w:val="32"/>
          <w:szCs w:val="32"/>
          <w:highlight w:val="none"/>
        </w:rPr>
        <w:t>决算数小于预算数的主要原因是</w:t>
      </w:r>
      <w:r>
        <w:rPr>
          <w:rFonts w:hint="eastAsia" w:ascii="仿宋_GB2312" w:hAnsi="仿宋_GB2312" w:eastAsia="仿宋_GB2312" w:cs="仿宋_GB2312"/>
          <w:sz w:val="32"/>
          <w:szCs w:val="32"/>
          <w:highlight w:val="none"/>
          <w:lang w:val="en-US" w:eastAsia="zh-CN"/>
        </w:rPr>
        <w:t>无</w:t>
      </w:r>
      <w:r>
        <w:rPr>
          <w:rFonts w:hint="eastAsia" w:ascii="仿宋_GB2312" w:hAnsi="仿宋_GB2312" w:eastAsia="仿宋_GB2312" w:cs="仿宋_GB2312"/>
          <w:sz w:val="32"/>
          <w:szCs w:val="32"/>
          <w:highlight w:val="none"/>
        </w:rPr>
        <w:t>公务接待费支出</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与上年相比持平均为0万元，</w:t>
      </w:r>
      <w:r>
        <w:rPr>
          <w:rFonts w:hint="eastAsia" w:ascii="仿宋_GB2312" w:hAnsi="仿宋_GB2312" w:eastAsia="仿宋_GB2312" w:cs="仿宋_GB2312"/>
          <w:sz w:val="32"/>
          <w:szCs w:val="32"/>
          <w:highlight w:val="none"/>
        </w:rPr>
        <w:t>无法计算完成百分比</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主要原因</w:t>
      </w:r>
      <w:r>
        <w:rPr>
          <w:rFonts w:hint="eastAsia" w:ascii="仿宋_GB2312" w:hAnsi="仿宋_GB2312" w:eastAsia="仿宋_GB2312" w:cs="仿宋_GB2312"/>
          <w:sz w:val="32"/>
          <w:szCs w:val="32"/>
          <w:highlight w:val="none"/>
          <w:lang w:val="en-US" w:eastAsia="zh-CN"/>
        </w:rPr>
        <w:t>是无公务接待费支出。</w:t>
      </w:r>
    </w:p>
    <w:p w14:paraId="4C9823CE">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公务用车购置费支出预算为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万元，支出决算为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万元，预算决算金额均</w:t>
      </w:r>
      <w:r>
        <w:rPr>
          <w:rFonts w:hint="eastAsia" w:ascii="仿宋_GB2312" w:hAnsi="仿宋_GB2312" w:eastAsia="仿宋_GB2312" w:cs="仿宋_GB2312"/>
          <w:sz w:val="32"/>
          <w:szCs w:val="32"/>
          <w:highlight w:val="none"/>
          <w:lang w:val="en-US" w:eastAsia="zh-CN"/>
        </w:rPr>
        <w:t>为0万元</w:t>
      </w:r>
      <w:r>
        <w:rPr>
          <w:rFonts w:hint="eastAsia" w:ascii="仿宋_GB2312" w:hAnsi="仿宋_GB2312" w:eastAsia="仿宋_GB2312" w:cs="仿宋_GB2312"/>
          <w:sz w:val="32"/>
          <w:szCs w:val="32"/>
          <w:highlight w:val="none"/>
        </w:rPr>
        <w:t>，无法计算完成百分比，主要原因</w:t>
      </w:r>
      <w:r>
        <w:rPr>
          <w:rFonts w:hint="eastAsia" w:ascii="仿宋_GB2312" w:hAnsi="仿宋_GB2312" w:eastAsia="仿宋_GB2312" w:cs="仿宋_GB2312"/>
          <w:sz w:val="32"/>
          <w:szCs w:val="32"/>
          <w:highlight w:val="none"/>
          <w:lang w:val="en-US" w:eastAsia="zh-CN"/>
        </w:rPr>
        <w:t>是未</w:t>
      </w:r>
      <w:r>
        <w:rPr>
          <w:rFonts w:hint="eastAsia" w:ascii="仿宋_GB2312" w:hAnsi="仿宋_GB2312" w:eastAsia="仿宋_GB2312" w:cs="仿宋_GB2312"/>
          <w:sz w:val="32"/>
          <w:szCs w:val="32"/>
          <w:highlight w:val="none"/>
        </w:rPr>
        <w:t>购置公务用车</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与上年相比持平均为0万元，</w:t>
      </w:r>
      <w:r>
        <w:rPr>
          <w:rFonts w:hint="eastAsia" w:ascii="仿宋_GB2312" w:hAnsi="仿宋_GB2312" w:eastAsia="仿宋_GB2312" w:cs="仿宋_GB2312"/>
          <w:sz w:val="32"/>
          <w:szCs w:val="32"/>
          <w:highlight w:val="none"/>
        </w:rPr>
        <w:t>无法计算完成百分比</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主要原因</w:t>
      </w:r>
      <w:r>
        <w:rPr>
          <w:rFonts w:hint="eastAsia" w:ascii="仿宋_GB2312" w:hAnsi="仿宋_GB2312" w:eastAsia="仿宋_GB2312" w:cs="仿宋_GB2312"/>
          <w:sz w:val="32"/>
          <w:szCs w:val="32"/>
          <w:highlight w:val="none"/>
          <w:lang w:val="en-US" w:eastAsia="zh-CN"/>
        </w:rPr>
        <w:t>是未</w:t>
      </w:r>
      <w:r>
        <w:rPr>
          <w:rFonts w:hint="eastAsia" w:ascii="仿宋_GB2312" w:hAnsi="仿宋_GB2312" w:eastAsia="仿宋_GB2312" w:cs="仿宋_GB2312"/>
          <w:sz w:val="32"/>
          <w:szCs w:val="32"/>
          <w:highlight w:val="none"/>
        </w:rPr>
        <w:t>购置公务用车</w:t>
      </w:r>
      <w:r>
        <w:rPr>
          <w:rFonts w:hint="eastAsia" w:ascii="仿宋_GB2312" w:hAnsi="仿宋_GB2312" w:eastAsia="仿宋_GB2312" w:cs="仿宋_GB2312"/>
          <w:sz w:val="32"/>
          <w:szCs w:val="32"/>
          <w:highlight w:val="none"/>
          <w:lang w:eastAsia="zh-CN"/>
        </w:rPr>
        <w:t>。</w:t>
      </w:r>
    </w:p>
    <w:p w14:paraId="5F92B297">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公务用车运行维护费支出预算为17.64万元，支出决算为</w:t>
      </w:r>
      <w:r>
        <w:rPr>
          <w:rFonts w:hint="eastAsia" w:ascii="仿宋_GB2312" w:hAnsi="仿宋_GB2312" w:eastAsia="仿宋_GB2312" w:cs="仿宋_GB2312"/>
          <w:sz w:val="32"/>
          <w:szCs w:val="32"/>
          <w:highlight w:val="none"/>
          <w:lang w:val="en-US" w:eastAsia="zh-CN"/>
        </w:rPr>
        <w:t>7.9</w:t>
      </w:r>
      <w:r>
        <w:rPr>
          <w:rFonts w:hint="eastAsia" w:ascii="仿宋_GB2312" w:hAnsi="仿宋_GB2312" w:eastAsia="仿宋_GB2312" w:cs="仿宋_GB2312"/>
          <w:sz w:val="32"/>
          <w:szCs w:val="32"/>
          <w:highlight w:val="none"/>
        </w:rPr>
        <w:t>万元，完成预算的</w:t>
      </w:r>
      <w:r>
        <w:rPr>
          <w:rFonts w:hint="eastAsia" w:ascii="仿宋_GB2312" w:hAnsi="仿宋_GB2312" w:eastAsia="仿宋_GB2312" w:cs="仿宋_GB2312"/>
          <w:sz w:val="32"/>
          <w:szCs w:val="32"/>
          <w:highlight w:val="none"/>
          <w:lang w:val="en-US" w:eastAsia="zh-CN"/>
        </w:rPr>
        <w:t>44.78</w:t>
      </w:r>
      <w:r>
        <w:rPr>
          <w:rFonts w:hint="eastAsia" w:ascii="仿宋_GB2312" w:hAnsi="仿宋_GB2312" w:eastAsia="仿宋_GB2312" w:cs="仿宋_GB2312"/>
          <w:sz w:val="32"/>
          <w:szCs w:val="32"/>
          <w:highlight w:val="none"/>
        </w:rPr>
        <w:t>%，决算数小于预算数的主要原因是</w:t>
      </w:r>
      <w:r>
        <w:rPr>
          <w:rFonts w:hint="eastAsia" w:ascii="仿宋_GB2312" w:hAnsi="仿宋_GB2312" w:eastAsia="仿宋_GB2312" w:cs="仿宋_GB2312"/>
          <w:sz w:val="32"/>
          <w:szCs w:val="32"/>
          <w:highlight w:val="none"/>
          <w:lang w:val="en-US" w:eastAsia="zh-CN"/>
        </w:rPr>
        <w:t>严格公务用车审批手续，控制公务用车运行维护费支出</w:t>
      </w:r>
      <w:r>
        <w:rPr>
          <w:rFonts w:hint="eastAsia" w:ascii="仿宋_GB2312" w:hAnsi="仿宋_GB2312" w:eastAsia="仿宋_GB2312" w:cs="仿宋_GB2312"/>
          <w:sz w:val="32"/>
          <w:szCs w:val="32"/>
          <w:highlight w:val="none"/>
        </w:rPr>
        <w:t>，与上年相比减少</w:t>
      </w:r>
      <w:r>
        <w:rPr>
          <w:rFonts w:hint="eastAsia" w:ascii="仿宋_GB2312" w:hAnsi="仿宋_GB2312" w:eastAsia="仿宋_GB2312" w:cs="仿宋_GB2312"/>
          <w:sz w:val="32"/>
          <w:szCs w:val="32"/>
          <w:highlight w:val="none"/>
          <w:lang w:val="en-US" w:eastAsia="zh-CN"/>
        </w:rPr>
        <w:t>1.52</w:t>
      </w:r>
      <w:r>
        <w:rPr>
          <w:rFonts w:hint="eastAsia" w:ascii="仿宋_GB2312" w:hAnsi="仿宋_GB2312" w:eastAsia="仿宋_GB2312" w:cs="仿宋_GB2312"/>
          <w:sz w:val="32"/>
          <w:szCs w:val="32"/>
          <w:highlight w:val="none"/>
        </w:rPr>
        <w:t>万元，减少</w:t>
      </w:r>
      <w:r>
        <w:rPr>
          <w:rFonts w:hint="eastAsia" w:ascii="仿宋_GB2312" w:hAnsi="仿宋_GB2312" w:eastAsia="仿宋_GB2312" w:cs="仿宋_GB2312"/>
          <w:sz w:val="32"/>
          <w:szCs w:val="32"/>
          <w:highlight w:val="none"/>
          <w:lang w:val="en-US" w:eastAsia="zh-CN"/>
        </w:rPr>
        <w:t>16.14</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减少的主要原因是</w:t>
      </w:r>
      <w:r>
        <w:rPr>
          <w:rFonts w:hint="eastAsia" w:ascii="仿宋_GB2312" w:hAnsi="仿宋_GB2312" w:eastAsia="仿宋_GB2312" w:cs="仿宋_GB2312"/>
          <w:sz w:val="32"/>
          <w:szCs w:val="32"/>
          <w:highlight w:val="none"/>
          <w:lang w:val="en-US" w:eastAsia="zh-CN"/>
        </w:rPr>
        <w:t>严格公务用车审批手续，控制公务用车运行维护费支出</w:t>
      </w:r>
      <w:r>
        <w:rPr>
          <w:rFonts w:hint="eastAsia" w:ascii="仿宋_GB2312" w:hAnsi="仿宋_GB2312" w:eastAsia="仿宋_GB2312" w:cs="仿宋_GB2312"/>
          <w:sz w:val="32"/>
          <w:szCs w:val="32"/>
          <w:highlight w:val="none"/>
        </w:rPr>
        <w:t>。</w:t>
      </w:r>
    </w:p>
    <w:p w14:paraId="78749C9C">
      <w:pPr>
        <w:pStyle w:val="11"/>
        <w:keepNext w:val="0"/>
        <w:keepLines w:val="0"/>
        <w:pageBreakBefore w:val="0"/>
        <w:widowControl w:val="0"/>
        <w:kinsoku/>
        <w:wordWrap/>
        <w:overflowPunct/>
        <w:topLinePunct w:val="0"/>
        <w:bidi w:val="0"/>
        <w:snapToGrid/>
        <w:spacing w:line="600" w:lineRule="exact"/>
        <w:ind w:firstLine="600" w:firstLineChars="200"/>
        <w:textAlignment w:val="auto"/>
        <w:rPr>
          <w:rFonts w:hint="eastAsia" w:ascii="黑体" w:hAnsi="黑体" w:eastAsia="黑体" w:cs="黑体"/>
          <w:b w:val="0"/>
          <w:bCs/>
          <w:sz w:val="30"/>
          <w:szCs w:val="30"/>
          <w:highlight w:val="none"/>
        </w:rPr>
      </w:pPr>
      <w:r>
        <w:rPr>
          <w:rFonts w:hint="eastAsia" w:ascii="黑体" w:hAnsi="黑体" w:eastAsia="黑体" w:cs="黑体"/>
          <w:b w:val="0"/>
          <w:bCs/>
          <w:sz w:val="30"/>
          <w:szCs w:val="30"/>
          <w:highlight w:val="none"/>
        </w:rPr>
        <w:t>（二）“三公”经费财政拨款支出决算具体情况说明</w:t>
      </w:r>
    </w:p>
    <w:p w14:paraId="746EE9EE">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年度“三公”经费财政拨款支出决算中，公务接待费支出决算</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因公出国（境）费支出决算</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公务用车购置费及运行维护费支出决算</w:t>
      </w:r>
      <w:r>
        <w:rPr>
          <w:rFonts w:hint="eastAsia" w:ascii="仿宋_GB2312" w:hAnsi="仿宋_GB2312" w:eastAsia="仿宋_GB2312" w:cs="仿宋_GB2312"/>
          <w:sz w:val="32"/>
          <w:szCs w:val="32"/>
          <w:highlight w:val="none"/>
          <w:lang w:val="en-US" w:eastAsia="zh-CN"/>
        </w:rPr>
        <w:t>7.9</w:t>
      </w:r>
      <w:r>
        <w:rPr>
          <w:rFonts w:hint="eastAsia" w:ascii="仿宋_GB2312" w:hAnsi="仿宋_GB2312" w:eastAsia="仿宋_GB2312" w:cs="仿宋_GB2312"/>
          <w:sz w:val="32"/>
          <w:szCs w:val="32"/>
          <w:highlight w:val="none"/>
        </w:rPr>
        <w:t>万元，占</w:t>
      </w:r>
      <w:r>
        <w:rPr>
          <w:rFonts w:hint="eastAsia" w:ascii="仿宋_GB2312" w:hAnsi="仿宋_GB2312" w:eastAsia="仿宋_GB2312" w:cs="仿宋_GB2312"/>
          <w:sz w:val="32"/>
          <w:szCs w:val="32"/>
          <w:highlight w:val="none"/>
          <w:lang w:val="en-US" w:eastAsia="zh-CN"/>
        </w:rPr>
        <w:t>100</w:t>
      </w:r>
      <w:r>
        <w:rPr>
          <w:rFonts w:hint="eastAsia" w:ascii="仿宋_GB2312" w:hAnsi="仿宋_GB2312" w:eastAsia="仿宋_GB2312" w:cs="仿宋_GB2312"/>
          <w:sz w:val="32"/>
          <w:szCs w:val="32"/>
          <w:highlight w:val="none"/>
        </w:rPr>
        <w:t>%。其中：</w:t>
      </w:r>
    </w:p>
    <w:p w14:paraId="3EF1EF07">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bCs/>
          <w:i/>
          <w:color w:val="auto"/>
          <w:sz w:val="32"/>
          <w:szCs w:val="32"/>
          <w:highlight w:val="none"/>
          <w:lang w:val="en-US" w:eastAsia="zh-CN"/>
        </w:rPr>
      </w:pP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因公出国（境）费支出决算为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万元，全年安排因公出国（境）团组</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个，累计</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人次</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主要是2022年我单位没有因公出国（境）费支出。</w:t>
      </w:r>
    </w:p>
    <w:p w14:paraId="0756F56B">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2、公务接待费支出决算为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万元，全年共接待来访团组</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个、来宾</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人次，</w:t>
      </w:r>
      <w:r>
        <w:rPr>
          <w:rFonts w:hint="eastAsia" w:ascii="仿宋_GB2312" w:hAnsi="仿宋_GB2312" w:eastAsia="仿宋_GB2312" w:cs="仿宋_GB2312"/>
          <w:sz w:val="32"/>
          <w:szCs w:val="32"/>
          <w:highlight w:val="none"/>
          <w:lang w:val="en-US" w:eastAsia="zh-CN"/>
        </w:rPr>
        <w:t>本年无</w:t>
      </w:r>
      <w:r>
        <w:rPr>
          <w:rFonts w:hint="eastAsia" w:ascii="仿宋_GB2312" w:hAnsi="仿宋_GB2312" w:eastAsia="仿宋_GB2312" w:cs="仿宋_GB2312"/>
          <w:sz w:val="32"/>
          <w:szCs w:val="32"/>
          <w:highlight w:val="none"/>
        </w:rPr>
        <w:t>公务接待费支出。</w:t>
      </w:r>
    </w:p>
    <w:p w14:paraId="11B2E2D2">
      <w:pPr>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bCs/>
          <w:i/>
          <w:color w:val="auto"/>
          <w:kern w:val="0"/>
          <w:sz w:val="32"/>
          <w:szCs w:val="32"/>
          <w:highlight w:val="none"/>
          <w:lang w:val="en-US" w:eastAsia="zh-CN" w:bidi="ar-SA"/>
        </w:rPr>
      </w:pPr>
      <w:r>
        <w:rPr>
          <w:rFonts w:hint="eastAsia" w:ascii="仿宋_GB2312" w:hAnsi="仿宋_GB2312" w:eastAsia="仿宋_GB2312" w:cs="仿宋_GB2312"/>
          <w:sz w:val="32"/>
          <w:szCs w:val="32"/>
          <w:highlight w:val="none"/>
        </w:rPr>
        <w:t>3、公务用车购置费及运行维护费支出决算为</w:t>
      </w:r>
      <w:r>
        <w:rPr>
          <w:rFonts w:hint="eastAsia" w:ascii="仿宋_GB2312" w:hAnsi="仿宋_GB2312" w:eastAsia="仿宋_GB2312" w:cs="仿宋_GB2312"/>
          <w:sz w:val="32"/>
          <w:szCs w:val="32"/>
          <w:highlight w:val="none"/>
          <w:lang w:val="en-US" w:eastAsia="zh-CN"/>
        </w:rPr>
        <w:t>7.9</w:t>
      </w:r>
      <w:r>
        <w:rPr>
          <w:rFonts w:hint="eastAsia" w:ascii="仿宋_GB2312" w:hAnsi="仿宋_GB2312" w:eastAsia="仿宋_GB2312" w:cs="仿宋_GB2312"/>
          <w:sz w:val="32"/>
          <w:szCs w:val="32"/>
          <w:highlight w:val="none"/>
        </w:rPr>
        <w:t>万元，其中：公务用车购置费</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更新公务用车0辆</w:t>
      </w:r>
      <w:bookmarkStart w:id="13" w:name="_GoBack"/>
      <w:bookmarkEnd w:id="13"/>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sz w:val="32"/>
          <w:szCs w:val="32"/>
          <w:highlight w:val="none"/>
        </w:rPr>
        <w:t>公务用车运行维护费</w:t>
      </w:r>
      <w:r>
        <w:rPr>
          <w:rFonts w:hint="eastAsia" w:ascii="仿宋_GB2312" w:hAnsi="仿宋_GB2312" w:eastAsia="仿宋_GB2312" w:cs="仿宋_GB2312"/>
          <w:sz w:val="32"/>
          <w:szCs w:val="32"/>
          <w:highlight w:val="none"/>
          <w:lang w:val="en-US" w:eastAsia="zh-CN"/>
        </w:rPr>
        <w:t>7.9</w:t>
      </w:r>
      <w:r>
        <w:rPr>
          <w:rFonts w:hint="eastAsia" w:ascii="仿宋_GB2312" w:hAnsi="仿宋_GB2312" w:eastAsia="仿宋_GB2312" w:cs="仿宋_GB2312"/>
          <w:sz w:val="32"/>
          <w:szCs w:val="32"/>
          <w:highlight w:val="none"/>
        </w:rPr>
        <w:t>万元，主要是车辆油料费</w:t>
      </w:r>
      <w:r>
        <w:rPr>
          <w:rFonts w:hint="eastAsia" w:ascii="仿宋_GB2312" w:hAnsi="仿宋_GB2312" w:eastAsia="仿宋_GB2312" w:cs="仿宋_GB2312"/>
          <w:sz w:val="32"/>
          <w:szCs w:val="32"/>
          <w:highlight w:val="none"/>
          <w:lang w:eastAsia="zh-CN"/>
        </w:rPr>
        <w:t>、车辆维修费、车辆保险费、</w:t>
      </w:r>
      <w:r>
        <w:rPr>
          <w:rFonts w:hint="eastAsia" w:ascii="仿宋_GB2312" w:hAnsi="仿宋_GB2312" w:eastAsia="仿宋_GB2312" w:cs="仿宋_GB2312"/>
          <w:sz w:val="32"/>
          <w:szCs w:val="32"/>
          <w:highlight w:val="none"/>
          <w:lang w:val="en-US" w:eastAsia="zh-CN"/>
        </w:rPr>
        <w:t>过路费等</w:t>
      </w:r>
      <w:r>
        <w:rPr>
          <w:rFonts w:hint="eastAsia" w:ascii="仿宋_GB2312" w:hAnsi="仿宋_GB2312" w:eastAsia="仿宋_GB2312" w:cs="仿宋_GB2312"/>
          <w:sz w:val="32"/>
          <w:szCs w:val="32"/>
          <w:highlight w:val="none"/>
        </w:rPr>
        <w:t>支出，截止202</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年12月31日，我单位开支财政拨款的公务用车保有量为</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sz w:val="32"/>
          <w:szCs w:val="32"/>
          <w:highlight w:val="none"/>
        </w:rPr>
        <w:t>辆。</w:t>
      </w:r>
    </w:p>
    <w:p w14:paraId="21FD5FDA">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八、政府性基金预算收入支出决算情况</w:t>
      </w:r>
    </w:p>
    <w:p w14:paraId="76D0049B">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年度本部门</w:t>
      </w:r>
      <w:r>
        <w:rPr>
          <w:rFonts w:hint="eastAsia" w:ascii="仿宋_GB2312" w:hAnsi="仿宋_GB2312" w:eastAsia="仿宋_GB2312" w:cs="仿宋_GB2312"/>
          <w:sz w:val="32"/>
          <w:szCs w:val="32"/>
          <w:highlight w:val="none"/>
          <w:lang w:val="en-US" w:eastAsia="zh-CN"/>
        </w:rPr>
        <w:t>无</w:t>
      </w:r>
      <w:r>
        <w:rPr>
          <w:rFonts w:hint="eastAsia" w:ascii="仿宋_GB2312" w:hAnsi="仿宋_GB2312" w:eastAsia="仿宋_GB2312" w:cs="仿宋_GB2312"/>
          <w:sz w:val="32"/>
          <w:szCs w:val="32"/>
          <w:highlight w:val="none"/>
        </w:rPr>
        <w:t>政府性基金</w:t>
      </w:r>
      <w:r>
        <w:rPr>
          <w:rFonts w:hint="eastAsia" w:ascii="仿宋_GB2312" w:hAnsi="仿宋_GB2312" w:eastAsia="仿宋_GB2312" w:cs="仿宋_GB2312"/>
          <w:sz w:val="32"/>
          <w:szCs w:val="32"/>
          <w:highlight w:val="none"/>
          <w:lang w:val="en-US" w:eastAsia="zh-CN"/>
        </w:rPr>
        <w:t>收支。</w:t>
      </w:r>
    </w:p>
    <w:p w14:paraId="2C77FF02">
      <w:pPr>
        <w:pStyle w:val="11"/>
        <w:keepNext w:val="0"/>
        <w:keepLines w:val="0"/>
        <w:pageBreakBefore w:val="0"/>
        <w:widowControl w:val="0"/>
        <w:numPr>
          <w:ilvl w:val="0"/>
          <w:numId w:val="2"/>
        </w:numPr>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lang w:val="en-US" w:eastAsia="zh-CN"/>
        </w:rPr>
      </w:pPr>
      <w:r>
        <w:rPr>
          <w:rFonts w:hint="eastAsia" w:ascii="黑体" w:hAnsi="黑体" w:eastAsia="黑体" w:cs="黑体"/>
          <w:b w:val="0"/>
          <w:bCs/>
          <w:sz w:val="32"/>
          <w:szCs w:val="32"/>
          <w:highlight w:val="none"/>
          <w:lang w:val="en-US" w:eastAsia="zh-CN"/>
        </w:rPr>
        <w:t>国有资本经营预算财政拨款支出决算情况</w:t>
      </w:r>
    </w:p>
    <w:p w14:paraId="300EE4E8">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 w:val="0"/>
          <w:bCs/>
          <w:sz w:val="32"/>
          <w:szCs w:val="32"/>
          <w:highlight w:val="none"/>
          <w:lang w:val="en-US" w:eastAsia="zh-CN"/>
        </w:rPr>
        <w:t>2022年度</w:t>
      </w:r>
      <w:r>
        <w:rPr>
          <w:rFonts w:hint="eastAsia" w:ascii="仿宋_GB2312" w:hAnsi="仿宋_GB2312" w:eastAsia="仿宋_GB2312" w:cs="仿宋_GB2312"/>
          <w:sz w:val="32"/>
          <w:szCs w:val="32"/>
          <w:highlight w:val="none"/>
        </w:rPr>
        <w:t>本部门</w:t>
      </w:r>
      <w:r>
        <w:rPr>
          <w:rFonts w:hint="eastAsia" w:ascii="仿宋_GB2312" w:hAnsi="仿宋_GB2312" w:eastAsia="仿宋_GB2312" w:cs="仿宋_GB2312"/>
          <w:b w:val="0"/>
          <w:bCs/>
          <w:sz w:val="32"/>
          <w:szCs w:val="32"/>
          <w:highlight w:val="none"/>
          <w:lang w:val="en-US" w:eastAsia="zh-CN"/>
        </w:rPr>
        <w:t>无国有资本经营预算财政拨款支出</w:t>
      </w:r>
      <w:r>
        <w:rPr>
          <w:rFonts w:hint="eastAsia" w:ascii="Times New Roman" w:hAnsi="Times New Roman" w:eastAsia="仿宋_GB2312"/>
          <w:b w:val="0"/>
          <w:bCs/>
          <w:sz w:val="32"/>
          <w:szCs w:val="32"/>
          <w:highlight w:val="none"/>
          <w:lang w:val="en-US" w:eastAsia="zh-CN"/>
        </w:rPr>
        <w:t>。</w:t>
      </w:r>
    </w:p>
    <w:p w14:paraId="5211EF6B">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hAnsi="黑体" w:cs="黑体"/>
          <w:b w:val="0"/>
          <w:bCs/>
          <w:sz w:val="32"/>
          <w:szCs w:val="32"/>
          <w:highlight w:val="none"/>
          <w:lang w:val="en-US" w:eastAsia="zh-CN"/>
        </w:rPr>
        <w:t>十</w:t>
      </w:r>
      <w:r>
        <w:rPr>
          <w:rFonts w:hint="eastAsia" w:ascii="黑体" w:hAnsi="黑体" w:eastAsia="黑体" w:cs="黑体"/>
          <w:b w:val="0"/>
          <w:bCs/>
          <w:sz w:val="32"/>
          <w:szCs w:val="32"/>
          <w:highlight w:val="none"/>
        </w:rPr>
        <w:t>、关于机关运行经费支出说明</w:t>
      </w:r>
    </w:p>
    <w:p w14:paraId="09D20335">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年度本部门机关运行经费支出</w:t>
      </w:r>
      <w:r>
        <w:rPr>
          <w:rFonts w:hint="eastAsia" w:ascii="仿宋_GB2312" w:hAnsi="仿宋_GB2312" w:eastAsia="仿宋_GB2312" w:cs="仿宋_GB2312"/>
          <w:sz w:val="32"/>
          <w:szCs w:val="32"/>
          <w:highlight w:val="none"/>
          <w:lang w:val="en-US" w:eastAsia="zh-CN"/>
        </w:rPr>
        <w:t>46.24</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比上年决算数</w:t>
      </w:r>
      <w:r>
        <w:rPr>
          <w:rFonts w:hint="eastAsia" w:ascii="仿宋_GB2312" w:hAnsi="仿宋_GB2312" w:eastAsia="仿宋_GB2312" w:cs="仿宋_GB2312"/>
          <w:sz w:val="32"/>
          <w:szCs w:val="32"/>
          <w:highlight w:val="none"/>
          <w:lang w:val="en-US" w:eastAsia="zh-CN"/>
        </w:rPr>
        <w:t>减少14.88</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highlight w:val="none"/>
          <w:lang w:val="en-US" w:eastAsia="zh-CN"/>
        </w:rPr>
        <w:t>减少24.35</w:t>
      </w:r>
      <w:r>
        <w:rPr>
          <w:rFonts w:hint="eastAsia" w:ascii="仿宋_GB2312" w:hAnsi="仿宋_GB2312" w:eastAsia="仿宋_GB2312" w:cs="仿宋_GB2312"/>
          <w:sz w:val="32"/>
          <w:szCs w:val="32"/>
          <w:highlight w:val="none"/>
        </w:rPr>
        <w:t>%。主要原因是：</w:t>
      </w:r>
      <w:r>
        <w:rPr>
          <w:rFonts w:hint="eastAsia" w:ascii="仿宋_GB2312" w:hAnsi="仿宋_GB2312" w:eastAsia="仿宋_GB2312" w:cs="仿宋_GB2312"/>
          <w:sz w:val="32"/>
          <w:szCs w:val="32"/>
          <w:highlight w:val="none"/>
          <w:lang w:val="en-US" w:eastAsia="zh-CN"/>
        </w:rPr>
        <w:t>办公费</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福利费</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工会经费</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其他商品服务支出等减少。</w:t>
      </w:r>
    </w:p>
    <w:p w14:paraId="5A482DA0">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十</w:t>
      </w:r>
      <w:r>
        <w:rPr>
          <w:rFonts w:hint="eastAsia" w:hAnsi="黑体" w:cs="黑体"/>
          <w:b w:val="0"/>
          <w:bCs/>
          <w:sz w:val="32"/>
          <w:szCs w:val="32"/>
          <w:highlight w:val="none"/>
          <w:lang w:val="en-US" w:eastAsia="zh-CN"/>
        </w:rPr>
        <w:t>一</w:t>
      </w:r>
      <w:r>
        <w:rPr>
          <w:rFonts w:hint="eastAsia" w:ascii="黑体" w:hAnsi="黑体" w:eastAsia="黑体" w:cs="黑体"/>
          <w:b w:val="0"/>
          <w:bCs/>
          <w:sz w:val="32"/>
          <w:szCs w:val="32"/>
          <w:highlight w:val="none"/>
        </w:rPr>
        <w:t>、一般性支出情况说明</w:t>
      </w:r>
    </w:p>
    <w:p w14:paraId="16585FFC">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2022年本部门开支会议费0万元；开支培训费0万元；未举办节庆、晚会、论坛、赛事等活动。</w:t>
      </w:r>
    </w:p>
    <w:p w14:paraId="0B8D5190">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十</w:t>
      </w:r>
      <w:r>
        <w:rPr>
          <w:rFonts w:hint="eastAsia" w:hAnsi="黑体" w:cs="黑体"/>
          <w:b w:val="0"/>
          <w:bCs/>
          <w:sz w:val="32"/>
          <w:szCs w:val="32"/>
          <w:highlight w:val="none"/>
          <w:lang w:val="en-US" w:eastAsia="zh-CN"/>
        </w:rPr>
        <w:t>二</w:t>
      </w:r>
      <w:r>
        <w:rPr>
          <w:rFonts w:hint="eastAsia" w:ascii="黑体" w:hAnsi="黑体" w:eastAsia="黑体" w:cs="黑体"/>
          <w:b w:val="0"/>
          <w:bCs/>
          <w:sz w:val="32"/>
          <w:szCs w:val="32"/>
          <w:highlight w:val="none"/>
        </w:rPr>
        <w:t>、关于政府采购支出说明</w:t>
      </w:r>
    </w:p>
    <w:p w14:paraId="6025CDD7">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sz w:val="32"/>
          <w:szCs w:val="32"/>
          <w:highlight w:val="none"/>
        </w:rPr>
        <w:t>本部门202</w:t>
      </w:r>
      <w:r>
        <w:rPr>
          <w:rFonts w:hint="eastAsia" w:ascii="仿宋_GB2312" w:hAnsi="仿宋_GB2312" w:eastAsia="仿宋_GB2312"/>
          <w:sz w:val="32"/>
          <w:szCs w:val="32"/>
          <w:highlight w:val="none"/>
          <w:lang w:val="en-US" w:eastAsia="zh-CN"/>
        </w:rPr>
        <w:t>2</w:t>
      </w:r>
      <w:r>
        <w:rPr>
          <w:rFonts w:hint="eastAsia" w:ascii="仿宋_GB2312" w:hAnsi="仿宋_GB2312" w:eastAsia="仿宋_GB2312"/>
          <w:sz w:val="32"/>
          <w:szCs w:val="32"/>
          <w:highlight w:val="none"/>
        </w:rPr>
        <w:t>年度政府采购支出总额</w:t>
      </w:r>
      <w:r>
        <w:rPr>
          <w:rFonts w:hint="eastAsia" w:ascii="仿宋_GB2312" w:hAnsi="仿宋_GB2312" w:eastAsia="仿宋_GB2312"/>
          <w:sz w:val="32"/>
          <w:szCs w:val="32"/>
          <w:highlight w:val="none"/>
          <w:lang w:val="en-US" w:eastAsia="zh-CN"/>
        </w:rPr>
        <w:t>0</w:t>
      </w:r>
      <w:r>
        <w:rPr>
          <w:rFonts w:hint="eastAsia" w:ascii="仿宋_GB2312" w:hAnsi="仿宋_GB2312" w:eastAsia="仿宋_GB2312"/>
          <w:sz w:val="32"/>
          <w:szCs w:val="32"/>
          <w:highlight w:val="none"/>
        </w:rPr>
        <w:t>万元，其中：政府采购货物支出</w:t>
      </w:r>
      <w:r>
        <w:rPr>
          <w:rFonts w:hint="eastAsia" w:ascii="仿宋_GB2312" w:hAnsi="仿宋_GB2312" w:eastAsia="仿宋_GB2312"/>
          <w:sz w:val="32"/>
          <w:szCs w:val="32"/>
          <w:highlight w:val="none"/>
          <w:lang w:val="en-US" w:eastAsia="zh-CN"/>
        </w:rPr>
        <w:t>0</w:t>
      </w:r>
      <w:r>
        <w:rPr>
          <w:rFonts w:hint="eastAsia" w:ascii="仿宋_GB2312" w:hAnsi="仿宋_GB2312" w:eastAsia="仿宋_GB2312"/>
          <w:sz w:val="32"/>
          <w:szCs w:val="32"/>
          <w:highlight w:val="none"/>
        </w:rPr>
        <w:t>万元、政府采购工程支出</w:t>
      </w:r>
      <w:r>
        <w:rPr>
          <w:rFonts w:hint="default" w:ascii="仿宋_GB2312" w:hAnsi="仿宋_GB2312" w:eastAsia="仿宋_GB2312"/>
          <w:sz w:val="32"/>
          <w:szCs w:val="32"/>
          <w:highlight w:val="none"/>
        </w:rPr>
        <w:t>0</w:t>
      </w:r>
      <w:r>
        <w:rPr>
          <w:rFonts w:hint="eastAsia" w:ascii="仿宋_GB2312" w:hAnsi="仿宋_GB2312" w:eastAsia="仿宋_GB2312"/>
          <w:sz w:val="32"/>
          <w:szCs w:val="32"/>
          <w:highlight w:val="none"/>
        </w:rPr>
        <w:t>万元、政府采购服务支出</w:t>
      </w:r>
      <w:r>
        <w:rPr>
          <w:rFonts w:hint="default" w:ascii="仿宋_GB2312" w:hAnsi="仿宋_GB2312" w:eastAsia="仿宋_GB2312"/>
          <w:sz w:val="32"/>
          <w:szCs w:val="32"/>
          <w:highlight w:val="none"/>
        </w:rPr>
        <w:t>0</w:t>
      </w:r>
      <w:r>
        <w:rPr>
          <w:rFonts w:hint="eastAsia" w:ascii="仿宋_GB2312" w:hAnsi="仿宋_GB2312" w:eastAsia="仿宋_GB2312"/>
          <w:sz w:val="32"/>
          <w:szCs w:val="32"/>
          <w:highlight w:val="none"/>
        </w:rPr>
        <w:t>万元。授予中小企业合同金额</w:t>
      </w:r>
      <w:r>
        <w:rPr>
          <w:rFonts w:hint="default" w:ascii="仿宋_GB2312" w:hAnsi="仿宋_GB2312" w:eastAsia="仿宋_GB2312"/>
          <w:sz w:val="32"/>
          <w:szCs w:val="32"/>
          <w:highlight w:val="none"/>
        </w:rPr>
        <w:t>0</w:t>
      </w:r>
      <w:r>
        <w:rPr>
          <w:rFonts w:hint="eastAsia" w:ascii="仿宋_GB2312" w:hAnsi="仿宋_GB2312" w:eastAsia="仿宋_GB2312"/>
          <w:sz w:val="32"/>
          <w:szCs w:val="32"/>
          <w:highlight w:val="none"/>
        </w:rPr>
        <w:t>万元</w:t>
      </w:r>
      <w:r>
        <w:rPr>
          <w:rFonts w:hint="eastAsia" w:ascii="仿宋_GB2312" w:hAnsi="仿宋_GB2312" w:eastAsia="仿宋_GB2312"/>
          <w:sz w:val="32"/>
          <w:szCs w:val="32"/>
          <w:highlight w:val="none"/>
          <w:lang w:eastAsia="zh-CN"/>
        </w:rPr>
        <w:t>，</w:t>
      </w:r>
      <w:r>
        <w:rPr>
          <w:rFonts w:hint="eastAsia" w:ascii="仿宋_GB2312" w:hAnsi="仿宋_GB2312" w:eastAsia="仿宋_GB2312"/>
          <w:sz w:val="32"/>
          <w:szCs w:val="32"/>
          <w:highlight w:val="none"/>
          <w:lang w:val="en-US" w:eastAsia="zh-CN"/>
        </w:rPr>
        <w:t>无法计算授予中小企业合同金额占政府采购支出总额的百分比</w:t>
      </w:r>
      <w:r>
        <w:rPr>
          <w:rFonts w:hint="eastAsia" w:ascii="仿宋_GB2312" w:hAnsi="仿宋_GB2312" w:eastAsia="仿宋_GB2312"/>
          <w:sz w:val="32"/>
          <w:szCs w:val="32"/>
          <w:highlight w:val="none"/>
        </w:rPr>
        <w:t>。</w:t>
      </w:r>
      <w:bookmarkStart w:id="0" w:name="DIS_MARK_GP_BGT_CGHW_AMT"/>
      <w:r>
        <w:rPr>
          <w:rFonts w:hint="eastAsia" w:ascii="仿宋_GB2312" w:hAnsi="仿宋_GB2312" w:eastAsia="仿宋_GB2312"/>
          <w:sz w:val="32"/>
          <w:szCs w:val="32"/>
          <w:highlight w:val="none"/>
        </w:rPr>
        <w:t>其中：授予小微企业合同金额0万元，</w:t>
      </w:r>
      <w:r>
        <w:rPr>
          <w:rFonts w:hint="eastAsia" w:ascii="仿宋_GB2312" w:hAnsi="仿宋_GB2312" w:eastAsia="仿宋_GB2312"/>
          <w:sz w:val="32"/>
          <w:szCs w:val="32"/>
          <w:highlight w:val="none"/>
          <w:lang w:val="en-US" w:eastAsia="zh-CN"/>
        </w:rPr>
        <w:t>无法计算授予</w:t>
      </w:r>
      <w:r>
        <w:rPr>
          <w:rFonts w:hint="eastAsia" w:ascii="仿宋_GB2312" w:hAnsi="仿宋_GB2312" w:eastAsia="仿宋_GB2312"/>
          <w:sz w:val="32"/>
          <w:szCs w:val="32"/>
          <w:highlight w:val="none"/>
        </w:rPr>
        <w:t>小微企业</w:t>
      </w:r>
      <w:r>
        <w:rPr>
          <w:rFonts w:hint="eastAsia" w:ascii="仿宋_GB2312" w:hAnsi="仿宋_GB2312" w:eastAsia="仿宋_GB2312"/>
          <w:sz w:val="32"/>
          <w:szCs w:val="32"/>
          <w:highlight w:val="none"/>
          <w:lang w:val="en-US" w:eastAsia="zh-CN"/>
        </w:rPr>
        <w:t>合同金额占政府采购支出总额的百分比</w:t>
      </w:r>
      <w:r>
        <w:rPr>
          <w:rFonts w:hint="eastAsia" w:ascii="仿宋_GB2312" w:hAnsi="仿宋_GB2312" w:eastAsia="仿宋_GB2312"/>
          <w:sz w:val="32"/>
          <w:szCs w:val="32"/>
          <w:highlight w:val="none"/>
        </w:rPr>
        <w:t>。</w:t>
      </w:r>
      <w:r>
        <w:rPr>
          <w:rFonts w:hint="eastAsia" w:ascii="仿宋_GB2312" w:hAnsi="仿宋_GB2312" w:eastAsia="仿宋_GB2312"/>
          <w:sz w:val="32"/>
          <w:szCs w:val="32"/>
          <w:highlight w:val="none"/>
          <w:lang w:val="en-US" w:eastAsia="zh-CN"/>
        </w:rPr>
        <w:t>由于</w:t>
      </w:r>
      <w:r>
        <w:rPr>
          <w:rFonts w:hint="eastAsia" w:ascii="仿宋_GB2312" w:hAnsi="仿宋_GB2312" w:eastAsia="仿宋_GB2312"/>
          <w:sz w:val="32"/>
          <w:szCs w:val="32"/>
          <w:highlight w:val="none"/>
        </w:rPr>
        <w:t>货物采购授予中小企业合同金额占货物支出金额</w:t>
      </w:r>
      <w:r>
        <w:rPr>
          <w:rFonts w:hint="eastAsia" w:ascii="仿宋_GB2312" w:hAnsi="仿宋_GB2312" w:eastAsia="仿宋_GB2312"/>
          <w:sz w:val="32"/>
          <w:szCs w:val="32"/>
          <w:highlight w:val="none"/>
          <w:lang w:val="en-US" w:eastAsia="zh-CN"/>
        </w:rPr>
        <w:t>0万元</w:t>
      </w:r>
      <w:bookmarkEnd w:id="0"/>
      <w:bookmarkStart w:id="1" w:name="DIS_MARK_GP_BGT_CGHW_AMT_1"/>
      <w:bookmarkEnd w:id="1"/>
      <w:bookmarkStart w:id="2" w:name="START_GP_BGT_CGGC_AMT"/>
      <w:bookmarkEnd w:id="2"/>
      <w:bookmarkStart w:id="3" w:name="START_GP_BGT_CGGC_AMT_1"/>
      <w:bookmarkEnd w:id="3"/>
      <w:bookmarkStart w:id="4" w:name="END_GP_BGT_CGGC_AMT"/>
      <w:bookmarkEnd w:id="4"/>
      <w:bookmarkStart w:id="5" w:name="END_GP_BGT_CGHW_AMT"/>
      <w:bookmarkEnd w:id="5"/>
      <w:bookmarkStart w:id="6" w:name="DIS_MARK_GP_BGT_CGGC_AMT"/>
      <w:bookmarkEnd w:id="6"/>
      <w:bookmarkStart w:id="7" w:name="END_GP_BGT_CGHW_AMT_1"/>
      <w:bookmarkEnd w:id="7"/>
      <w:bookmarkStart w:id="8" w:name="START_GP_BGT_CGHW_AMT_1"/>
      <w:bookmarkEnd w:id="8"/>
      <w:bookmarkStart w:id="9" w:name="DIS_MARK_GP_BGT_CGGC_AMT_1"/>
      <w:r>
        <w:rPr>
          <w:rFonts w:hint="eastAsia" w:ascii="仿宋_GB2312" w:hAnsi="仿宋_GB2312" w:eastAsia="仿宋_GB2312"/>
          <w:sz w:val="32"/>
          <w:szCs w:val="32"/>
          <w:highlight w:val="none"/>
          <w:lang w:val="en-US" w:eastAsia="zh-CN"/>
        </w:rPr>
        <w:t>，</w:t>
      </w:r>
      <w:r>
        <w:rPr>
          <w:rFonts w:hint="eastAsia" w:ascii="仿宋_GB2312" w:hAnsi="仿宋_GB2312" w:eastAsia="仿宋_GB2312"/>
          <w:sz w:val="32"/>
          <w:szCs w:val="32"/>
          <w:highlight w:val="none"/>
        </w:rPr>
        <w:t>无法计算货物采购授予中小企业合同金额占</w:t>
      </w:r>
      <w:r>
        <w:rPr>
          <w:rFonts w:hint="eastAsia" w:ascii="仿宋_GB2312" w:hAnsi="仿宋_GB2312" w:eastAsia="仿宋_GB2312"/>
          <w:sz w:val="32"/>
          <w:szCs w:val="32"/>
          <w:highlight w:val="none"/>
          <w:lang w:val="en-US" w:eastAsia="zh-CN"/>
        </w:rPr>
        <w:t>货物</w:t>
      </w:r>
      <w:r>
        <w:rPr>
          <w:rFonts w:hint="eastAsia" w:ascii="仿宋_GB2312" w:hAnsi="仿宋_GB2312" w:eastAsia="仿宋_GB2312"/>
          <w:sz w:val="32"/>
          <w:szCs w:val="32"/>
          <w:highlight w:val="none"/>
        </w:rPr>
        <w:t>支出金额的百分比；由于工程支出金额为0万元，无法计算工程采购授予中小企业合同金额占工程支出金额的百分比；</w:t>
      </w:r>
      <w:bookmarkEnd w:id="9"/>
      <w:bookmarkStart w:id="10" w:name="START_GP_BGT_CGFW_AMT"/>
      <w:bookmarkEnd w:id="10"/>
      <w:bookmarkStart w:id="11" w:name="END_GP_BGT_CGGC_AMT_1"/>
      <w:bookmarkEnd w:id="11"/>
      <w:bookmarkStart w:id="12" w:name="DIS_MARK_GP_BGT_CGFW_AMT"/>
      <w:r>
        <w:rPr>
          <w:rFonts w:hint="eastAsia" w:ascii="仿宋_GB2312" w:hAnsi="仿宋_GB2312" w:eastAsia="仿宋_GB2312"/>
          <w:sz w:val="32"/>
          <w:szCs w:val="32"/>
          <w:highlight w:val="none"/>
        </w:rPr>
        <w:t>由于</w:t>
      </w:r>
      <w:r>
        <w:rPr>
          <w:rFonts w:hint="eastAsia" w:ascii="仿宋_GB2312" w:hAnsi="仿宋_GB2312" w:eastAsia="仿宋_GB2312"/>
          <w:sz w:val="32"/>
          <w:szCs w:val="32"/>
          <w:highlight w:val="none"/>
          <w:lang w:val="en-US" w:eastAsia="zh-CN"/>
        </w:rPr>
        <w:t>服务</w:t>
      </w:r>
      <w:r>
        <w:rPr>
          <w:rFonts w:hint="eastAsia" w:ascii="仿宋_GB2312" w:hAnsi="仿宋_GB2312" w:eastAsia="仿宋_GB2312"/>
          <w:sz w:val="32"/>
          <w:szCs w:val="32"/>
          <w:highlight w:val="none"/>
        </w:rPr>
        <w:t>支出金额为0万元，无法计算</w:t>
      </w:r>
      <w:r>
        <w:rPr>
          <w:rFonts w:hint="eastAsia" w:ascii="仿宋_GB2312" w:hAnsi="仿宋_GB2312" w:eastAsia="仿宋_GB2312"/>
          <w:sz w:val="32"/>
          <w:szCs w:val="32"/>
          <w:highlight w:val="none"/>
          <w:lang w:val="en-US" w:eastAsia="zh-CN"/>
        </w:rPr>
        <w:t>服务</w:t>
      </w:r>
      <w:r>
        <w:rPr>
          <w:rFonts w:hint="eastAsia" w:ascii="仿宋_GB2312" w:hAnsi="仿宋_GB2312" w:eastAsia="仿宋_GB2312"/>
          <w:sz w:val="32"/>
          <w:szCs w:val="32"/>
          <w:highlight w:val="none"/>
        </w:rPr>
        <w:t>采购授予中小企业合同金额占</w:t>
      </w:r>
      <w:r>
        <w:rPr>
          <w:rFonts w:hint="eastAsia" w:ascii="仿宋_GB2312" w:hAnsi="仿宋_GB2312" w:eastAsia="仿宋_GB2312"/>
          <w:sz w:val="32"/>
          <w:szCs w:val="32"/>
          <w:highlight w:val="none"/>
          <w:lang w:val="en-US" w:eastAsia="zh-CN"/>
        </w:rPr>
        <w:t>服务</w:t>
      </w:r>
      <w:r>
        <w:rPr>
          <w:rFonts w:hint="eastAsia" w:ascii="仿宋_GB2312" w:hAnsi="仿宋_GB2312" w:eastAsia="仿宋_GB2312"/>
          <w:sz w:val="32"/>
          <w:szCs w:val="32"/>
          <w:highlight w:val="none"/>
        </w:rPr>
        <w:t>支出金额的百分比</w:t>
      </w:r>
      <w:bookmarkEnd w:id="12"/>
      <w:r>
        <w:rPr>
          <w:rFonts w:hint="eastAsia" w:ascii="仿宋_GB2312" w:hAnsi="仿宋_GB2312" w:eastAsia="仿宋_GB2312"/>
          <w:sz w:val="32"/>
          <w:szCs w:val="32"/>
          <w:highlight w:val="none"/>
          <w:lang w:eastAsia="zh-CN"/>
        </w:rPr>
        <w:t>。</w:t>
      </w:r>
    </w:p>
    <w:p w14:paraId="6FADC325">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十</w:t>
      </w:r>
      <w:r>
        <w:rPr>
          <w:rFonts w:hint="eastAsia" w:hAnsi="黑体" w:cs="黑体"/>
          <w:b w:val="0"/>
          <w:bCs/>
          <w:sz w:val="32"/>
          <w:szCs w:val="32"/>
          <w:highlight w:val="none"/>
          <w:lang w:val="en-US" w:eastAsia="zh-CN"/>
        </w:rPr>
        <w:t>三</w:t>
      </w:r>
      <w:r>
        <w:rPr>
          <w:rFonts w:hint="eastAsia" w:ascii="黑体" w:hAnsi="黑体" w:eastAsia="黑体" w:cs="黑体"/>
          <w:b w:val="0"/>
          <w:bCs/>
          <w:sz w:val="32"/>
          <w:szCs w:val="32"/>
          <w:highlight w:val="none"/>
        </w:rPr>
        <w:t>、关于国有资产占用情况说明</w:t>
      </w:r>
    </w:p>
    <w:p w14:paraId="44153CC8">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截至202</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年12月31日，本单位共有车辆</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辆，其中，主要领导干部用车</w:t>
      </w:r>
      <w:r>
        <w:rPr>
          <w:rFonts w:hint="eastAsia" w:ascii="仿宋_GB2312" w:hAnsi="仿宋_GB2312" w:eastAsia="仿宋_GB2312" w:cs="仿宋_GB2312"/>
          <w:sz w:val="32"/>
          <w:szCs w:val="32"/>
          <w:highlight w:val="none"/>
          <w:lang w:eastAsia="zh-CN"/>
        </w:rPr>
        <w:t>0</w:t>
      </w:r>
      <w:r>
        <w:rPr>
          <w:rFonts w:hint="eastAsia" w:ascii="仿宋_GB2312" w:hAnsi="仿宋_GB2312" w:eastAsia="仿宋_GB2312" w:cs="仿宋_GB2312"/>
          <w:sz w:val="32"/>
          <w:szCs w:val="32"/>
          <w:highlight w:val="none"/>
        </w:rPr>
        <w:t>辆，机要通信用车</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辆、应急保障用车</w:t>
      </w:r>
      <w:r>
        <w:rPr>
          <w:rFonts w:hint="eastAsia" w:ascii="仿宋_GB2312" w:hAnsi="仿宋_GB2312" w:eastAsia="仿宋_GB2312" w:cs="仿宋_GB2312"/>
          <w:sz w:val="32"/>
          <w:szCs w:val="32"/>
          <w:highlight w:val="none"/>
          <w:lang w:eastAsia="zh-CN"/>
        </w:rPr>
        <w:t>0</w:t>
      </w:r>
      <w:r>
        <w:rPr>
          <w:rFonts w:hint="eastAsia" w:ascii="仿宋_GB2312" w:hAnsi="仿宋_GB2312" w:eastAsia="仿宋_GB2312" w:cs="仿宋_GB2312"/>
          <w:sz w:val="32"/>
          <w:szCs w:val="32"/>
          <w:highlight w:val="none"/>
        </w:rPr>
        <w:t>辆、执法执勤用车</w:t>
      </w:r>
      <w:r>
        <w:rPr>
          <w:rFonts w:hint="eastAsia" w:ascii="仿宋_GB2312" w:hAnsi="仿宋_GB2312" w:eastAsia="仿宋_GB2312" w:cs="仿宋_GB2312"/>
          <w:sz w:val="32"/>
          <w:szCs w:val="32"/>
          <w:highlight w:val="none"/>
          <w:lang w:eastAsia="zh-CN"/>
        </w:rPr>
        <w:t>0</w:t>
      </w:r>
      <w:r>
        <w:rPr>
          <w:rFonts w:hint="eastAsia" w:ascii="仿宋_GB2312" w:hAnsi="仿宋_GB2312" w:eastAsia="仿宋_GB2312" w:cs="仿宋_GB2312"/>
          <w:sz w:val="32"/>
          <w:szCs w:val="32"/>
          <w:highlight w:val="none"/>
        </w:rPr>
        <w:t>辆、特种专业技术用车</w:t>
      </w:r>
      <w:r>
        <w:rPr>
          <w:rFonts w:hint="eastAsia" w:ascii="仿宋_GB2312" w:hAnsi="仿宋_GB2312" w:eastAsia="仿宋_GB2312" w:cs="仿宋_GB2312"/>
          <w:sz w:val="32"/>
          <w:szCs w:val="32"/>
          <w:highlight w:val="none"/>
          <w:lang w:eastAsia="zh-CN"/>
        </w:rPr>
        <w:t>0</w:t>
      </w:r>
      <w:r>
        <w:rPr>
          <w:rFonts w:hint="eastAsia" w:ascii="仿宋_GB2312" w:hAnsi="仿宋_GB2312" w:eastAsia="仿宋_GB2312" w:cs="仿宋_GB2312"/>
          <w:sz w:val="32"/>
          <w:szCs w:val="32"/>
          <w:highlight w:val="none"/>
        </w:rPr>
        <w:t>辆、其他用车</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辆，其他用车主要是</w:t>
      </w:r>
      <w:r>
        <w:rPr>
          <w:rFonts w:hint="eastAsia" w:ascii="仿宋_GB2312" w:hAnsi="仿宋_GB2312" w:eastAsia="仿宋_GB2312" w:cs="仿宋_GB2312"/>
          <w:sz w:val="32"/>
          <w:szCs w:val="32"/>
          <w:highlight w:val="none"/>
          <w:lang w:val="en-US" w:eastAsia="zh-CN"/>
        </w:rPr>
        <w:t>一般公务用车</w:t>
      </w:r>
      <w:r>
        <w:rPr>
          <w:rFonts w:hint="eastAsia" w:ascii="仿宋_GB2312" w:hAnsi="仿宋_GB2312" w:eastAsia="仿宋_GB2312" w:cs="仿宋_GB2312"/>
          <w:sz w:val="32"/>
          <w:szCs w:val="32"/>
          <w:highlight w:val="none"/>
        </w:rPr>
        <w:t>；单位价值50万元以上通用设备</w:t>
      </w:r>
      <w:r>
        <w:rPr>
          <w:rFonts w:hint="eastAsia" w:ascii="仿宋_GB2312" w:hAnsi="仿宋_GB2312" w:eastAsia="仿宋_GB2312" w:cs="仿宋_GB2312"/>
          <w:sz w:val="32"/>
          <w:szCs w:val="32"/>
          <w:highlight w:val="none"/>
          <w:lang w:eastAsia="zh-CN"/>
        </w:rPr>
        <w:t>0</w:t>
      </w:r>
      <w:r>
        <w:rPr>
          <w:rFonts w:hint="eastAsia" w:ascii="仿宋_GB2312" w:hAnsi="仿宋_GB2312" w:eastAsia="仿宋_GB2312" w:cs="仿宋_GB2312"/>
          <w:sz w:val="32"/>
          <w:szCs w:val="32"/>
          <w:highlight w:val="none"/>
        </w:rPr>
        <w:t>台（套）；单位价值100万元以上专用设备</w:t>
      </w:r>
      <w:r>
        <w:rPr>
          <w:rFonts w:hint="eastAsia" w:ascii="仿宋_GB2312" w:hAnsi="仿宋_GB2312" w:eastAsia="仿宋_GB2312" w:cs="仿宋_GB2312"/>
          <w:sz w:val="32"/>
          <w:szCs w:val="32"/>
          <w:highlight w:val="none"/>
          <w:lang w:eastAsia="zh-CN"/>
        </w:rPr>
        <w:t>0</w:t>
      </w:r>
      <w:r>
        <w:rPr>
          <w:rFonts w:hint="eastAsia" w:ascii="仿宋_GB2312" w:hAnsi="仿宋_GB2312" w:eastAsia="仿宋_GB2312" w:cs="仿宋_GB2312"/>
          <w:sz w:val="32"/>
          <w:szCs w:val="32"/>
          <w:highlight w:val="none"/>
        </w:rPr>
        <w:t>台（套）。</w:t>
      </w:r>
    </w:p>
    <w:p w14:paraId="5E45A4ED">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十</w:t>
      </w:r>
      <w:r>
        <w:rPr>
          <w:rFonts w:hint="eastAsia" w:hAnsi="黑体" w:cs="黑体"/>
          <w:b w:val="0"/>
          <w:bCs/>
          <w:sz w:val="32"/>
          <w:szCs w:val="32"/>
          <w:highlight w:val="none"/>
          <w:lang w:val="en-US" w:eastAsia="zh-CN"/>
        </w:rPr>
        <w:t>四</w:t>
      </w:r>
      <w:r>
        <w:rPr>
          <w:rFonts w:hint="eastAsia" w:ascii="黑体" w:hAnsi="黑体" w:eastAsia="黑体" w:cs="黑体"/>
          <w:b w:val="0"/>
          <w:bCs/>
          <w:sz w:val="32"/>
          <w:szCs w:val="32"/>
          <w:highlight w:val="none"/>
        </w:rPr>
        <w:t>、关于</w:t>
      </w:r>
      <w:r>
        <w:rPr>
          <w:rFonts w:hint="eastAsia" w:ascii="黑体" w:hAnsi="黑体" w:eastAsia="黑体" w:cs="黑体"/>
          <w:sz w:val="32"/>
          <w:szCs w:val="32"/>
          <w:highlight w:val="none"/>
        </w:rPr>
        <w:t>202</w:t>
      </w:r>
      <w:r>
        <w:rPr>
          <w:rFonts w:hint="eastAsia" w:ascii="黑体" w:hAnsi="黑体" w:eastAsia="黑体" w:cs="黑体"/>
          <w:sz w:val="32"/>
          <w:szCs w:val="32"/>
          <w:highlight w:val="none"/>
          <w:lang w:val="en-US" w:eastAsia="zh-CN"/>
        </w:rPr>
        <w:t>2</w:t>
      </w:r>
      <w:r>
        <w:rPr>
          <w:rFonts w:hint="eastAsia" w:ascii="黑体" w:hAnsi="黑体" w:eastAsia="黑体" w:cs="黑体"/>
          <w:b w:val="0"/>
          <w:bCs/>
          <w:sz w:val="32"/>
          <w:szCs w:val="32"/>
          <w:highlight w:val="none"/>
        </w:rPr>
        <w:t>年度预算绩效情况的说明</w:t>
      </w:r>
    </w:p>
    <w:p w14:paraId="205540A3">
      <w:pPr>
        <w:pStyle w:val="11"/>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楷体" w:hAnsi="楷体" w:eastAsia="楷体" w:cs="楷体"/>
          <w:b/>
          <w:bCs/>
          <w:sz w:val="32"/>
          <w:szCs w:val="32"/>
          <w:highlight w:val="none"/>
        </w:rPr>
      </w:pPr>
      <w:r>
        <w:rPr>
          <w:rFonts w:hint="eastAsia" w:ascii="楷体" w:hAnsi="楷体" w:eastAsia="楷体" w:cs="楷体"/>
          <w:b/>
          <w:bCs/>
          <w:sz w:val="32"/>
          <w:szCs w:val="32"/>
          <w:highlight w:val="none"/>
          <w:lang w:eastAsia="zh-CN"/>
        </w:rPr>
        <w:t>（一）</w:t>
      </w:r>
      <w:r>
        <w:rPr>
          <w:rFonts w:hint="eastAsia" w:ascii="楷体" w:hAnsi="楷体" w:eastAsia="楷体" w:cs="楷体"/>
          <w:b/>
          <w:bCs/>
          <w:sz w:val="32"/>
          <w:szCs w:val="32"/>
          <w:highlight w:val="none"/>
        </w:rPr>
        <w:t>部门整体支出绩效情况</w:t>
      </w:r>
    </w:p>
    <w:p w14:paraId="739BC2CC">
      <w:pPr>
        <w:pStyle w:val="11"/>
        <w:ind w:firstLine="640" w:firstLineChars="200"/>
        <w:jc w:val="left"/>
        <w:rPr>
          <w:rFonts w:hint="eastAsia" w:ascii="楷体" w:hAnsi="楷体" w:eastAsia="楷体" w:cs="楷体"/>
          <w:b/>
          <w:bCs/>
          <w:sz w:val="32"/>
          <w:szCs w:val="32"/>
          <w:highlight w:val="none"/>
        </w:rPr>
      </w:pPr>
      <w:r>
        <w:rPr>
          <w:rFonts w:hint="eastAsia" w:ascii="仿宋_GB2312" w:hAnsi="仿宋_GB2312" w:eastAsia="仿宋_GB2312" w:cs="仿宋_GB2312"/>
          <w:b/>
          <w:bCs/>
          <w:color w:val="000000"/>
          <w:kern w:val="0"/>
          <w:sz w:val="32"/>
          <w:szCs w:val="32"/>
          <w:highlight w:val="none"/>
          <w:lang w:val="en-US" w:eastAsia="zh-CN" w:bidi="ar-SA"/>
        </w:rPr>
        <w:t>（1）绩效目标完成情况</w:t>
      </w:r>
    </w:p>
    <w:p w14:paraId="136A6CD7">
      <w:pPr>
        <w:pStyle w:val="11"/>
        <w:ind w:firstLine="640" w:firstLineChars="200"/>
        <w:jc w:val="left"/>
        <w:rPr>
          <w:rFonts w:hint="eastAsia"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按照市本级预算绩效管理工作的总体要求，部门所有支出实行绩效目标管理。纳入2022年部门整体支出绩效目标的金额为481.66万元，其中，基本支出435.42万元，项目支出46.24万元，项目支出中退休管理维稳专项工作经费29.40万元，关停并转退职专项经费15.5万元。</w:t>
      </w:r>
    </w:p>
    <w:p w14:paraId="3EEACF22">
      <w:pPr>
        <w:pStyle w:val="11"/>
        <w:ind w:firstLine="640" w:firstLineChars="200"/>
        <w:jc w:val="left"/>
        <w:rPr>
          <w:rFonts w:hint="default"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b/>
          <w:bCs/>
          <w:color w:val="000000"/>
          <w:kern w:val="0"/>
          <w:sz w:val="32"/>
          <w:szCs w:val="32"/>
          <w:highlight w:val="none"/>
          <w:lang w:val="en-US" w:eastAsia="zh-CN" w:bidi="ar-SA"/>
        </w:rPr>
        <w:t>（2）无部门整体支出绩效自评报告情况说明</w:t>
      </w:r>
    </w:p>
    <w:p w14:paraId="5420A390">
      <w:pPr>
        <w:keepNext w:val="0"/>
        <w:keepLines w:val="0"/>
        <w:pageBreakBefore w:val="0"/>
        <w:widowControl/>
        <w:kinsoku w:val="0"/>
        <w:wordWrap/>
        <w:overflowPunct/>
        <w:topLinePunct w:val="0"/>
        <w:autoSpaceDE w:val="0"/>
        <w:autoSpaceDN w:val="0"/>
        <w:bidi w:val="0"/>
        <w:adjustRightInd w:val="0"/>
        <w:snapToGrid w:val="0"/>
        <w:spacing w:line="600" w:lineRule="exact"/>
        <w:ind w:right="11" w:firstLine="640" w:firstLineChars="200"/>
        <w:jc w:val="left"/>
        <w:textAlignment w:val="baseline"/>
        <w:rPr>
          <w:rFonts w:hint="default"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根据《中共怀化市委机构编制委员会关于转发&lt;怀化市市直深化事业单位改革试点实施方案&gt;&lt;关于反馈怀化市市直深化事业单位改革试点涉改科级机构情况表的函&gt;的通知》(怀编〔2021〕13号)文件精神，怀化市工业企业改制服务办公室于2021年6月已撤销，人员及相关职能整体并入市工业和信息化局。因单位已撤销，2022年部门整体支出绩效自评编报无相关内容和附件提供，因此怀化市工业企业改制服务办公室无2022年部门整体支出绩效自评报告。</w:t>
      </w:r>
    </w:p>
    <w:p w14:paraId="643F92B2">
      <w:pPr>
        <w:keepNext w:val="0"/>
        <w:keepLines w:val="0"/>
        <w:pageBreakBefore w:val="0"/>
        <w:widowControl/>
        <w:numPr>
          <w:ilvl w:val="0"/>
          <w:numId w:val="3"/>
        </w:numPr>
        <w:kinsoku w:val="0"/>
        <w:wordWrap/>
        <w:overflowPunct/>
        <w:topLinePunct w:val="0"/>
        <w:autoSpaceDE w:val="0"/>
        <w:autoSpaceDN w:val="0"/>
        <w:bidi w:val="0"/>
        <w:adjustRightInd w:val="0"/>
        <w:snapToGrid w:val="0"/>
        <w:spacing w:line="600" w:lineRule="exact"/>
        <w:ind w:right="11" w:firstLine="600" w:firstLineChars="200"/>
        <w:jc w:val="left"/>
        <w:textAlignment w:val="baseline"/>
        <w:rPr>
          <w:rFonts w:hint="eastAsia" w:ascii="黑体" w:hAnsi="黑体" w:eastAsia="黑体" w:cs="黑体"/>
          <w:b/>
          <w:bCs/>
          <w:color w:val="auto"/>
          <w:sz w:val="30"/>
          <w:szCs w:val="30"/>
          <w:highlight w:val="none"/>
        </w:rPr>
      </w:pPr>
      <w:r>
        <w:rPr>
          <w:rFonts w:hint="eastAsia" w:ascii="黑体" w:hAnsi="黑体" w:eastAsia="黑体" w:cs="黑体"/>
          <w:b/>
          <w:bCs/>
          <w:color w:val="auto"/>
          <w:sz w:val="30"/>
          <w:szCs w:val="30"/>
          <w:highlight w:val="none"/>
        </w:rPr>
        <w:t>存在的问题及原因分析</w:t>
      </w:r>
    </w:p>
    <w:p w14:paraId="303FBCAA">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right="11" w:rightChars="0" w:firstLine="640" w:firstLineChars="200"/>
        <w:jc w:val="left"/>
        <w:textAlignment w:val="baseline"/>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无。</w:t>
      </w:r>
    </w:p>
    <w:p w14:paraId="37541F0E">
      <w:pPr>
        <w:pStyle w:val="2"/>
        <w:rPr>
          <w:rFonts w:hint="eastAsia" w:ascii="仿宋_GB2312" w:hAnsi="仿宋_GB2312" w:eastAsia="仿宋_GB2312" w:cs="仿宋_GB2312"/>
          <w:b w:val="0"/>
          <w:bCs w:val="0"/>
          <w:color w:val="auto"/>
          <w:sz w:val="32"/>
          <w:szCs w:val="32"/>
          <w:highlight w:val="none"/>
          <w:lang w:val="en-US" w:eastAsia="zh-CN"/>
        </w:rPr>
      </w:pPr>
    </w:p>
    <w:p w14:paraId="33D9BF64">
      <w:pPr>
        <w:pStyle w:val="11"/>
        <w:jc w:val="center"/>
        <w:rPr>
          <w:rFonts w:hint="eastAsia" w:ascii="黑体" w:hAnsi="黑体" w:eastAsia="黑体" w:cs="黑体"/>
          <w:sz w:val="84"/>
          <w:szCs w:val="84"/>
          <w:highlight w:val="none"/>
        </w:rPr>
      </w:pPr>
    </w:p>
    <w:p w14:paraId="0329A53E">
      <w:pPr>
        <w:pStyle w:val="11"/>
        <w:jc w:val="center"/>
        <w:rPr>
          <w:rFonts w:hint="eastAsia" w:ascii="黑体" w:hAnsi="黑体" w:eastAsia="黑体" w:cs="黑体"/>
          <w:sz w:val="84"/>
          <w:szCs w:val="84"/>
          <w:highlight w:val="none"/>
        </w:rPr>
      </w:pPr>
    </w:p>
    <w:p w14:paraId="7EA17393">
      <w:pPr>
        <w:pStyle w:val="11"/>
        <w:jc w:val="center"/>
        <w:rPr>
          <w:rFonts w:hint="eastAsia" w:ascii="黑体" w:hAnsi="黑体" w:eastAsia="黑体" w:cs="黑体"/>
          <w:sz w:val="84"/>
          <w:szCs w:val="84"/>
          <w:highlight w:val="none"/>
        </w:rPr>
      </w:pPr>
    </w:p>
    <w:p w14:paraId="5E12E11B">
      <w:pPr>
        <w:pStyle w:val="11"/>
        <w:jc w:val="center"/>
        <w:rPr>
          <w:rFonts w:hint="eastAsia" w:ascii="黑体" w:hAnsi="黑体" w:eastAsia="黑体" w:cs="黑体"/>
          <w:sz w:val="84"/>
          <w:szCs w:val="84"/>
          <w:highlight w:val="none"/>
        </w:rPr>
      </w:pPr>
    </w:p>
    <w:p w14:paraId="36AD3686">
      <w:pPr>
        <w:pStyle w:val="11"/>
        <w:jc w:val="center"/>
        <w:rPr>
          <w:rFonts w:hint="eastAsia" w:ascii="黑体" w:hAnsi="黑体" w:eastAsia="黑体" w:cs="黑体"/>
          <w:sz w:val="84"/>
          <w:szCs w:val="84"/>
          <w:highlight w:val="none"/>
        </w:rPr>
      </w:pPr>
    </w:p>
    <w:p w14:paraId="5135460D">
      <w:pPr>
        <w:pStyle w:val="11"/>
        <w:jc w:val="center"/>
        <w:rPr>
          <w:rFonts w:hint="eastAsia" w:ascii="黑体" w:hAnsi="黑体" w:eastAsia="黑体" w:cs="黑体"/>
          <w:sz w:val="84"/>
          <w:szCs w:val="84"/>
          <w:highlight w:val="none"/>
        </w:rPr>
      </w:pPr>
    </w:p>
    <w:p w14:paraId="66C6D9D4">
      <w:pPr>
        <w:pStyle w:val="11"/>
        <w:jc w:val="center"/>
        <w:rPr>
          <w:rFonts w:hint="eastAsia" w:ascii="黑体" w:hAnsi="黑体" w:eastAsia="黑体" w:cs="黑体"/>
          <w:sz w:val="84"/>
          <w:szCs w:val="84"/>
          <w:highlight w:val="none"/>
        </w:rPr>
      </w:pPr>
    </w:p>
    <w:p w14:paraId="1A9B7561">
      <w:pPr>
        <w:pStyle w:val="11"/>
        <w:jc w:val="center"/>
        <w:rPr>
          <w:rFonts w:hint="eastAsia" w:ascii="黑体" w:hAnsi="黑体" w:eastAsia="黑体" w:cs="黑体"/>
          <w:sz w:val="84"/>
          <w:szCs w:val="84"/>
          <w:highlight w:val="none"/>
        </w:rPr>
      </w:pPr>
    </w:p>
    <w:p w14:paraId="3E06C88D">
      <w:pPr>
        <w:pStyle w:val="11"/>
        <w:jc w:val="center"/>
        <w:rPr>
          <w:rFonts w:hint="eastAsia" w:ascii="黑体" w:hAnsi="黑体" w:eastAsia="黑体" w:cs="黑体"/>
          <w:sz w:val="84"/>
          <w:szCs w:val="84"/>
          <w:highlight w:val="none"/>
        </w:rPr>
      </w:pPr>
    </w:p>
    <w:p w14:paraId="63E52DB5">
      <w:pPr>
        <w:pStyle w:val="11"/>
        <w:jc w:val="center"/>
        <w:rPr>
          <w:rFonts w:hint="eastAsia" w:ascii="黑体" w:hAnsi="黑体" w:eastAsia="黑体" w:cs="黑体"/>
          <w:sz w:val="84"/>
          <w:szCs w:val="84"/>
          <w:highlight w:val="none"/>
        </w:rPr>
      </w:pPr>
    </w:p>
    <w:p w14:paraId="6DA72CB2">
      <w:pPr>
        <w:pStyle w:val="11"/>
        <w:jc w:val="center"/>
        <w:rPr>
          <w:rFonts w:hint="eastAsia" w:ascii="黑体" w:hAnsi="黑体" w:eastAsia="黑体" w:cs="黑体"/>
          <w:sz w:val="84"/>
          <w:szCs w:val="84"/>
          <w:highlight w:val="none"/>
        </w:rPr>
      </w:pPr>
    </w:p>
    <w:p w14:paraId="26B5E392">
      <w:pPr>
        <w:pStyle w:val="11"/>
        <w:jc w:val="center"/>
        <w:rPr>
          <w:rFonts w:hint="eastAsia" w:ascii="黑体" w:hAnsi="黑体" w:eastAsia="黑体" w:cs="黑体"/>
          <w:sz w:val="84"/>
          <w:szCs w:val="84"/>
          <w:highlight w:val="none"/>
        </w:rPr>
      </w:pPr>
    </w:p>
    <w:p w14:paraId="5B182E66">
      <w:pPr>
        <w:pStyle w:val="11"/>
        <w:jc w:val="center"/>
        <w:rPr>
          <w:rFonts w:hint="eastAsia" w:ascii="黑体" w:hAnsi="黑体" w:eastAsia="黑体" w:cs="黑体"/>
          <w:sz w:val="84"/>
          <w:szCs w:val="84"/>
          <w:highlight w:val="none"/>
        </w:rPr>
      </w:pPr>
    </w:p>
    <w:p w14:paraId="42C301D3">
      <w:pPr>
        <w:pStyle w:val="11"/>
        <w:jc w:val="center"/>
        <w:rPr>
          <w:rFonts w:hint="eastAsia" w:ascii="黑体" w:hAnsi="黑体" w:eastAsia="黑体" w:cs="黑体"/>
          <w:sz w:val="84"/>
          <w:szCs w:val="84"/>
          <w:highlight w:val="none"/>
        </w:rPr>
      </w:pPr>
    </w:p>
    <w:p w14:paraId="6CF7036E">
      <w:pPr>
        <w:pStyle w:val="11"/>
        <w:jc w:val="center"/>
        <w:rPr>
          <w:rFonts w:hint="eastAsia" w:ascii="黑体" w:hAnsi="黑体" w:eastAsia="黑体" w:cs="黑体"/>
          <w:sz w:val="84"/>
          <w:szCs w:val="84"/>
          <w:highlight w:val="none"/>
        </w:rPr>
      </w:pPr>
    </w:p>
    <w:p w14:paraId="3D7D03F3">
      <w:pPr>
        <w:pStyle w:val="11"/>
        <w:jc w:val="center"/>
        <w:rPr>
          <w:rFonts w:hint="eastAsia" w:ascii="黑体" w:hAnsi="黑体" w:eastAsia="黑体" w:cs="黑体"/>
          <w:color w:val="000000"/>
          <w:kern w:val="0"/>
          <w:sz w:val="84"/>
          <w:szCs w:val="84"/>
          <w:highlight w:val="none"/>
        </w:rPr>
      </w:pPr>
      <w:r>
        <w:rPr>
          <w:rFonts w:hint="eastAsia" w:ascii="黑体" w:hAnsi="黑体" w:eastAsia="黑体" w:cs="黑体"/>
          <w:sz w:val="84"/>
          <w:szCs w:val="84"/>
          <w:highlight w:val="none"/>
        </w:rPr>
        <w:t>第四部分</w:t>
      </w:r>
    </w:p>
    <w:p w14:paraId="5420A616">
      <w:pPr>
        <w:jc w:val="center"/>
        <w:rPr>
          <w:rFonts w:hint="eastAsia" w:ascii="黑体" w:hAnsi="黑体" w:eastAsia="黑体" w:cs="黑体"/>
          <w:color w:val="000000"/>
          <w:kern w:val="0"/>
          <w:sz w:val="84"/>
          <w:szCs w:val="84"/>
          <w:highlight w:val="none"/>
        </w:rPr>
      </w:pPr>
      <w:r>
        <w:rPr>
          <w:rFonts w:hint="eastAsia" w:ascii="黑体" w:hAnsi="黑体" w:eastAsia="黑体" w:cs="黑体"/>
          <w:color w:val="000000"/>
          <w:kern w:val="0"/>
          <w:sz w:val="84"/>
          <w:szCs w:val="84"/>
          <w:highlight w:val="none"/>
        </w:rPr>
        <w:t>名词解释</w:t>
      </w:r>
    </w:p>
    <w:p w14:paraId="79120A02">
      <w:pPr>
        <w:jc w:val="center"/>
        <w:rPr>
          <w:rFonts w:hint="eastAsia" w:ascii="黑体" w:hAnsi="黑体" w:eastAsia="黑体" w:cs="黑体"/>
          <w:color w:val="000000"/>
          <w:kern w:val="0"/>
          <w:sz w:val="84"/>
          <w:szCs w:val="84"/>
          <w:highlight w:val="none"/>
        </w:rPr>
      </w:pPr>
    </w:p>
    <w:p w14:paraId="674045BC">
      <w:pPr>
        <w:jc w:val="center"/>
        <w:rPr>
          <w:rFonts w:hint="eastAsia" w:ascii="黑体" w:hAnsi="黑体" w:eastAsia="黑体" w:cs="黑体"/>
          <w:color w:val="000000"/>
          <w:kern w:val="0"/>
          <w:sz w:val="84"/>
          <w:szCs w:val="84"/>
          <w:highlight w:val="none"/>
        </w:rPr>
      </w:pPr>
    </w:p>
    <w:p w14:paraId="20D15E79">
      <w:pPr>
        <w:jc w:val="center"/>
        <w:rPr>
          <w:rFonts w:hint="eastAsia" w:ascii="黑体" w:hAnsi="黑体" w:eastAsia="黑体" w:cs="黑体"/>
          <w:color w:val="000000"/>
          <w:kern w:val="0"/>
          <w:sz w:val="84"/>
          <w:szCs w:val="84"/>
          <w:highlight w:val="none"/>
        </w:rPr>
      </w:pPr>
    </w:p>
    <w:p w14:paraId="78AA9185">
      <w:pPr>
        <w:jc w:val="center"/>
        <w:rPr>
          <w:rFonts w:hint="eastAsia" w:ascii="黑体" w:hAnsi="黑体" w:eastAsia="黑体" w:cs="黑体"/>
          <w:color w:val="000000"/>
          <w:kern w:val="0"/>
          <w:sz w:val="84"/>
          <w:szCs w:val="84"/>
          <w:highlight w:val="none"/>
        </w:rPr>
      </w:pPr>
    </w:p>
    <w:p w14:paraId="01BA5627">
      <w:pPr>
        <w:jc w:val="center"/>
        <w:rPr>
          <w:rFonts w:hint="eastAsia" w:ascii="黑体" w:hAnsi="黑体" w:eastAsia="黑体" w:cs="黑体"/>
          <w:color w:val="000000"/>
          <w:kern w:val="0"/>
          <w:sz w:val="84"/>
          <w:szCs w:val="84"/>
          <w:highlight w:val="none"/>
        </w:rPr>
      </w:pPr>
    </w:p>
    <w:p w14:paraId="077A064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55" w:lineRule="atLeast"/>
        <w:ind w:right="0" w:firstLine="640" w:firstLineChars="200"/>
        <w:jc w:val="both"/>
        <w:textAlignment w:val="auto"/>
        <w:rPr>
          <w:rFonts w:hint="eastAsia"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一、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w:t>
      </w:r>
    </w:p>
    <w:p w14:paraId="6F036BA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8" w:afterAutospacing="0" w:line="255" w:lineRule="atLeast"/>
        <w:ind w:right="0" w:firstLine="640" w:firstLineChars="200"/>
        <w:jc w:val="both"/>
        <w:rPr>
          <w:rFonts w:hint="eastAsia" w:ascii="仿宋_GB2312" w:hAnsi="仿宋_GB2312" w:eastAsia="仿宋_GB2312" w:cs="仿宋_GB2312"/>
          <w:sz w:val="32"/>
          <w:szCs w:val="32"/>
          <w:highlight w:val="none"/>
        </w:rPr>
      </w:pPr>
      <w:r>
        <w:rPr>
          <w:rFonts w:hint="eastAsia" w:ascii="仿宋_GB2312" w:hAnsi="仿宋_GB2312" w:eastAsia="仿宋_GB2312" w:cs="仿宋_GB2312"/>
          <w:color w:val="000000"/>
          <w:kern w:val="0"/>
          <w:sz w:val="32"/>
          <w:szCs w:val="32"/>
          <w:highlight w:val="none"/>
          <w:lang w:val="en-US" w:eastAsia="zh-CN" w:bidi="ar-SA"/>
        </w:rPr>
        <w:t>二、“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43B1C445">
      <w:pPr>
        <w:pStyle w:val="11"/>
        <w:ind w:firstLine="640" w:firstLineChars="200"/>
        <w:jc w:val="both"/>
        <w:rPr>
          <w:rFonts w:hint="eastAsia" w:ascii="仿宋_GB2312" w:hAnsi="仿宋_GB2312" w:eastAsia="仿宋_GB2312" w:cs="仿宋_GB2312"/>
          <w:color w:val="000000"/>
          <w:kern w:val="0"/>
          <w:sz w:val="32"/>
          <w:szCs w:val="32"/>
          <w:highlight w:val="none"/>
          <w:lang w:val="en-US" w:eastAsia="zh-CN"/>
        </w:rPr>
      </w:pPr>
    </w:p>
    <w:p w14:paraId="6C4A5550">
      <w:pPr>
        <w:pStyle w:val="11"/>
        <w:ind w:firstLine="640" w:firstLineChars="200"/>
        <w:jc w:val="both"/>
        <w:rPr>
          <w:rFonts w:hint="eastAsia" w:ascii="仿宋_GB2312" w:hAnsi="仿宋_GB2312" w:eastAsia="仿宋_GB2312" w:cs="仿宋_GB2312"/>
          <w:color w:val="000000"/>
          <w:kern w:val="0"/>
          <w:sz w:val="32"/>
          <w:szCs w:val="32"/>
          <w:highlight w:val="none"/>
          <w:lang w:val="en-US" w:eastAsia="zh-CN"/>
        </w:rPr>
      </w:pPr>
    </w:p>
    <w:p w14:paraId="200ED16C">
      <w:pPr>
        <w:pStyle w:val="11"/>
        <w:ind w:firstLine="640" w:firstLineChars="200"/>
        <w:jc w:val="both"/>
        <w:rPr>
          <w:rFonts w:hint="eastAsia" w:ascii="仿宋_GB2312" w:hAnsi="仿宋_GB2312" w:eastAsia="仿宋_GB2312" w:cs="仿宋_GB2312"/>
          <w:color w:val="000000"/>
          <w:kern w:val="0"/>
          <w:sz w:val="32"/>
          <w:szCs w:val="32"/>
          <w:highlight w:val="none"/>
          <w:lang w:val="en-US" w:eastAsia="zh-CN"/>
        </w:rPr>
      </w:pPr>
    </w:p>
    <w:p w14:paraId="437E7D2E">
      <w:pPr>
        <w:pStyle w:val="11"/>
        <w:jc w:val="center"/>
        <w:rPr>
          <w:rFonts w:hint="eastAsia" w:ascii="黑体" w:hAnsi="黑体" w:eastAsia="黑体" w:cs="黑体"/>
          <w:sz w:val="84"/>
          <w:szCs w:val="84"/>
          <w:highlight w:val="none"/>
        </w:rPr>
      </w:pPr>
    </w:p>
    <w:p w14:paraId="289508BE">
      <w:pPr>
        <w:pStyle w:val="11"/>
        <w:jc w:val="center"/>
        <w:rPr>
          <w:rFonts w:hint="eastAsia" w:ascii="黑体" w:hAnsi="黑体" w:eastAsia="黑体" w:cs="黑体"/>
          <w:sz w:val="84"/>
          <w:szCs w:val="84"/>
          <w:highlight w:val="none"/>
        </w:rPr>
      </w:pPr>
    </w:p>
    <w:p w14:paraId="15D7598A">
      <w:pPr>
        <w:pStyle w:val="11"/>
        <w:jc w:val="center"/>
        <w:rPr>
          <w:rFonts w:hint="eastAsia" w:ascii="黑体" w:hAnsi="黑体" w:eastAsia="黑体" w:cs="黑体"/>
          <w:sz w:val="84"/>
          <w:szCs w:val="84"/>
          <w:highlight w:val="none"/>
        </w:rPr>
      </w:pPr>
    </w:p>
    <w:p w14:paraId="2E292FC3">
      <w:pPr>
        <w:pStyle w:val="11"/>
        <w:jc w:val="center"/>
        <w:rPr>
          <w:rFonts w:hint="eastAsia" w:ascii="黑体" w:hAnsi="黑体" w:eastAsia="黑体" w:cs="黑体"/>
          <w:sz w:val="84"/>
          <w:szCs w:val="84"/>
          <w:highlight w:val="none"/>
        </w:rPr>
      </w:pPr>
    </w:p>
    <w:p w14:paraId="0BAA474B">
      <w:pPr>
        <w:pStyle w:val="11"/>
        <w:jc w:val="center"/>
        <w:rPr>
          <w:rFonts w:hint="eastAsia" w:ascii="黑体" w:hAnsi="黑体" w:eastAsia="黑体" w:cs="黑体"/>
          <w:sz w:val="84"/>
          <w:szCs w:val="84"/>
          <w:highlight w:val="none"/>
        </w:rPr>
      </w:pPr>
    </w:p>
    <w:p w14:paraId="49C15B71">
      <w:pPr>
        <w:pStyle w:val="11"/>
        <w:jc w:val="center"/>
        <w:rPr>
          <w:rFonts w:hint="eastAsia" w:ascii="黑体" w:hAnsi="黑体" w:eastAsia="黑体" w:cs="黑体"/>
          <w:sz w:val="84"/>
          <w:szCs w:val="84"/>
          <w:highlight w:val="none"/>
        </w:rPr>
      </w:pPr>
    </w:p>
    <w:p w14:paraId="5C03628E">
      <w:pPr>
        <w:pStyle w:val="11"/>
        <w:jc w:val="center"/>
        <w:rPr>
          <w:rFonts w:hint="eastAsia" w:ascii="黑体" w:hAnsi="黑体" w:eastAsia="黑体" w:cs="黑体"/>
          <w:sz w:val="84"/>
          <w:szCs w:val="84"/>
          <w:highlight w:val="none"/>
        </w:rPr>
      </w:pPr>
    </w:p>
    <w:p w14:paraId="28E6F3FB">
      <w:pPr>
        <w:pStyle w:val="11"/>
        <w:jc w:val="center"/>
        <w:rPr>
          <w:rFonts w:hint="eastAsia" w:ascii="黑体" w:hAnsi="黑体" w:eastAsia="黑体" w:cs="黑体"/>
          <w:sz w:val="84"/>
          <w:szCs w:val="84"/>
          <w:highlight w:val="none"/>
        </w:rPr>
      </w:pPr>
    </w:p>
    <w:p w14:paraId="49490B68">
      <w:pPr>
        <w:pStyle w:val="11"/>
        <w:jc w:val="center"/>
        <w:rPr>
          <w:rFonts w:hint="eastAsia" w:ascii="黑体" w:hAnsi="黑体" w:eastAsia="黑体" w:cs="黑体"/>
          <w:sz w:val="84"/>
          <w:szCs w:val="84"/>
          <w:highlight w:val="none"/>
        </w:rPr>
      </w:pPr>
    </w:p>
    <w:p w14:paraId="7B9C03B1">
      <w:pPr>
        <w:pStyle w:val="11"/>
        <w:jc w:val="center"/>
        <w:rPr>
          <w:rFonts w:hint="eastAsia" w:ascii="黑体" w:hAnsi="黑体" w:eastAsia="黑体" w:cs="黑体"/>
          <w:color w:val="000000"/>
          <w:kern w:val="0"/>
          <w:sz w:val="84"/>
          <w:szCs w:val="84"/>
          <w:highlight w:val="none"/>
        </w:rPr>
      </w:pPr>
      <w:r>
        <w:rPr>
          <w:rFonts w:hint="eastAsia" w:ascii="黑体" w:hAnsi="黑体" w:eastAsia="黑体" w:cs="黑体"/>
          <w:sz w:val="84"/>
          <w:szCs w:val="84"/>
          <w:highlight w:val="none"/>
        </w:rPr>
        <w:t>第</w:t>
      </w:r>
      <w:r>
        <w:rPr>
          <w:rFonts w:hint="eastAsia" w:hAnsi="黑体" w:cs="黑体"/>
          <w:sz w:val="84"/>
          <w:szCs w:val="84"/>
          <w:highlight w:val="none"/>
          <w:lang w:val="en-US" w:eastAsia="zh-CN"/>
        </w:rPr>
        <w:t>五</w:t>
      </w:r>
      <w:r>
        <w:rPr>
          <w:rFonts w:hint="eastAsia" w:ascii="黑体" w:hAnsi="黑体" w:eastAsia="黑体" w:cs="黑体"/>
          <w:sz w:val="84"/>
          <w:szCs w:val="84"/>
          <w:highlight w:val="none"/>
        </w:rPr>
        <w:t>部分</w:t>
      </w:r>
    </w:p>
    <w:p w14:paraId="23C6DB38">
      <w:pPr>
        <w:pStyle w:val="11"/>
        <w:jc w:val="center"/>
        <w:rPr>
          <w:rFonts w:hint="default" w:ascii="黑体" w:hAnsi="黑体" w:eastAsia="黑体" w:cs="黑体"/>
          <w:sz w:val="84"/>
          <w:szCs w:val="84"/>
          <w:highlight w:val="none"/>
          <w:lang w:val="en-US" w:eastAsia="zh-CN"/>
        </w:rPr>
      </w:pPr>
      <w:r>
        <w:rPr>
          <w:rFonts w:hint="eastAsia" w:ascii="黑体" w:hAnsi="黑体" w:eastAsia="黑体" w:cs="黑体"/>
          <w:sz w:val="84"/>
          <w:szCs w:val="84"/>
          <w:highlight w:val="none"/>
          <w:lang w:val="en-US" w:eastAsia="zh-CN"/>
        </w:rPr>
        <w:t>附件</w:t>
      </w:r>
    </w:p>
    <w:p w14:paraId="61F8801A">
      <w:pPr>
        <w:pStyle w:val="11"/>
        <w:ind w:firstLine="640" w:firstLineChars="200"/>
        <w:jc w:val="both"/>
        <w:rPr>
          <w:rFonts w:hint="eastAsia" w:ascii="仿宋_GB2312" w:hAnsi="仿宋_GB2312" w:eastAsia="仿宋_GB2312" w:cs="仿宋_GB2312"/>
          <w:color w:val="000000"/>
          <w:kern w:val="0"/>
          <w:sz w:val="32"/>
          <w:szCs w:val="32"/>
          <w:highlight w:val="none"/>
          <w:lang w:val="en-US" w:eastAsia="zh-CN"/>
        </w:rPr>
      </w:pPr>
    </w:p>
    <w:p w14:paraId="531F084C">
      <w:pPr>
        <w:pStyle w:val="11"/>
        <w:ind w:firstLine="640" w:firstLineChars="200"/>
        <w:jc w:val="both"/>
        <w:rPr>
          <w:rFonts w:hint="eastAsia" w:ascii="仿宋_GB2312" w:hAnsi="仿宋_GB2312" w:eastAsia="仿宋_GB2312" w:cs="仿宋_GB2312"/>
          <w:color w:val="000000"/>
          <w:kern w:val="0"/>
          <w:sz w:val="32"/>
          <w:szCs w:val="32"/>
          <w:highlight w:val="none"/>
          <w:lang w:val="en-US" w:eastAsia="zh-CN"/>
        </w:rPr>
      </w:pPr>
    </w:p>
    <w:p w14:paraId="29E91CBF">
      <w:pPr>
        <w:pStyle w:val="11"/>
        <w:ind w:firstLine="640" w:firstLineChars="200"/>
        <w:jc w:val="both"/>
        <w:rPr>
          <w:rFonts w:hint="eastAsia" w:ascii="仿宋_GB2312" w:hAnsi="仿宋_GB2312" w:eastAsia="仿宋_GB2312" w:cs="仿宋_GB2312"/>
          <w:color w:val="000000"/>
          <w:kern w:val="0"/>
          <w:sz w:val="32"/>
          <w:szCs w:val="32"/>
          <w:highlight w:val="none"/>
          <w:lang w:val="en-US" w:eastAsia="zh-CN"/>
        </w:rPr>
      </w:pPr>
    </w:p>
    <w:p w14:paraId="52BE9C3A">
      <w:pPr>
        <w:pStyle w:val="11"/>
        <w:ind w:firstLine="640" w:firstLineChars="200"/>
        <w:jc w:val="both"/>
        <w:rPr>
          <w:rFonts w:hint="eastAsia" w:ascii="仿宋_GB2312" w:hAnsi="仿宋_GB2312" w:eastAsia="仿宋_GB2312" w:cs="仿宋_GB2312"/>
          <w:color w:val="000000"/>
          <w:kern w:val="0"/>
          <w:sz w:val="32"/>
          <w:szCs w:val="32"/>
          <w:highlight w:val="none"/>
          <w:lang w:val="en-US" w:eastAsia="zh-CN"/>
        </w:rPr>
      </w:pPr>
    </w:p>
    <w:p w14:paraId="0B7B553D">
      <w:pPr>
        <w:pStyle w:val="11"/>
        <w:ind w:firstLine="640" w:firstLineChars="200"/>
        <w:jc w:val="both"/>
        <w:rPr>
          <w:rFonts w:hint="eastAsia" w:ascii="仿宋_GB2312" w:hAnsi="仿宋_GB2312" w:eastAsia="仿宋_GB2312" w:cs="仿宋_GB2312"/>
          <w:color w:val="000000"/>
          <w:kern w:val="0"/>
          <w:sz w:val="32"/>
          <w:szCs w:val="32"/>
          <w:highlight w:val="none"/>
          <w:lang w:val="en-US" w:eastAsia="zh-CN"/>
        </w:rPr>
      </w:pPr>
    </w:p>
    <w:p w14:paraId="0AED585A">
      <w:pPr>
        <w:pStyle w:val="11"/>
        <w:ind w:firstLine="640" w:firstLineChars="200"/>
        <w:jc w:val="both"/>
        <w:rPr>
          <w:rFonts w:hint="eastAsia" w:ascii="仿宋_GB2312" w:hAnsi="仿宋_GB2312" w:eastAsia="仿宋_GB2312" w:cs="仿宋_GB2312"/>
          <w:color w:val="000000"/>
          <w:kern w:val="0"/>
          <w:sz w:val="32"/>
          <w:szCs w:val="32"/>
          <w:highlight w:val="none"/>
          <w:lang w:val="en-US" w:eastAsia="zh-CN"/>
        </w:rPr>
      </w:pPr>
    </w:p>
    <w:p w14:paraId="081D1181">
      <w:pPr>
        <w:pStyle w:val="11"/>
        <w:ind w:firstLine="640" w:firstLineChars="200"/>
        <w:jc w:val="both"/>
        <w:rPr>
          <w:rFonts w:hint="eastAsia" w:ascii="仿宋_GB2312" w:hAnsi="仿宋_GB2312" w:eastAsia="仿宋_GB2312" w:cs="仿宋_GB2312"/>
          <w:color w:val="000000"/>
          <w:kern w:val="0"/>
          <w:sz w:val="32"/>
          <w:szCs w:val="32"/>
          <w:highlight w:val="none"/>
          <w:lang w:val="en-US" w:eastAsia="zh-CN"/>
        </w:rPr>
      </w:pPr>
    </w:p>
    <w:p w14:paraId="146B7532">
      <w:pPr>
        <w:pStyle w:val="11"/>
        <w:ind w:firstLine="640" w:firstLineChars="200"/>
        <w:jc w:val="both"/>
        <w:rPr>
          <w:rFonts w:hint="eastAsia" w:ascii="仿宋_GB2312" w:hAnsi="仿宋_GB2312" w:eastAsia="仿宋_GB2312" w:cs="仿宋_GB2312"/>
          <w:color w:val="000000"/>
          <w:kern w:val="0"/>
          <w:sz w:val="32"/>
          <w:szCs w:val="32"/>
          <w:highlight w:val="none"/>
          <w:lang w:val="en-US" w:eastAsia="zh-CN"/>
        </w:rPr>
      </w:pPr>
    </w:p>
    <w:p w14:paraId="766FDD2C">
      <w:pPr>
        <w:pStyle w:val="11"/>
        <w:ind w:firstLine="640" w:firstLineChars="200"/>
        <w:jc w:val="both"/>
        <w:rPr>
          <w:rFonts w:hint="eastAsia" w:ascii="仿宋_GB2312" w:hAnsi="仿宋_GB2312" w:eastAsia="仿宋_GB2312" w:cs="仿宋_GB2312"/>
          <w:color w:val="000000"/>
          <w:kern w:val="0"/>
          <w:sz w:val="32"/>
          <w:szCs w:val="32"/>
          <w:highlight w:val="none"/>
          <w:lang w:val="en-US" w:eastAsia="zh-CN"/>
        </w:rPr>
      </w:pPr>
    </w:p>
    <w:p w14:paraId="10643502">
      <w:pPr>
        <w:pStyle w:val="11"/>
        <w:ind w:firstLine="640" w:firstLineChars="200"/>
        <w:jc w:val="both"/>
        <w:rPr>
          <w:rFonts w:hint="eastAsia" w:ascii="仿宋_GB2312" w:hAnsi="仿宋_GB2312" w:eastAsia="仿宋_GB2312" w:cs="仿宋_GB2312"/>
          <w:color w:val="000000"/>
          <w:kern w:val="0"/>
          <w:sz w:val="32"/>
          <w:szCs w:val="32"/>
          <w:highlight w:val="none"/>
          <w:lang w:val="en-US" w:eastAsia="zh-CN"/>
        </w:rPr>
      </w:pPr>
    </w:p>
    <w:p w14:paraId="3053BB88">
      <w:pPr>
        <w:pStyle w:val="11"/>
        <w:ind w:firstLine="640" w:firstLineChars="200"/>
        <w:jc w:val="both"/>
        <w:rPr>
          <w:rFonts w:hint="eastAsia" w:ascii="仿宋_GB2312" w:hAnsi="仿宋_GB2312" w:eastAsia="仿宋_GB2312" w:cs="仿宋_GB2312"/>
          <w:color w:val="000000"/>
          <w:kern w:val="0"/>
          <w:sz w:val="32"/>
          <w:szCs w:val="32"/>
          <w:highlight w:val="none"/>
          <w:lang w:val="en-US" w:eastAsia="zh-CN"/>
        </w:rPr>
      </w:pPr>
    </w:p>
    <w:p w14:paraId="4C681AE3">
      <w:pPr>
        <w:pStyle w:val="11"/>
        <w:ind w:firstLine="640" w:firstLineChars="200"/>
        <w:jc w:val="both"/>
        <w:rPr>
          <w:rFonts w:hint="eastAsia" w:ascii="仿宋_GB2312" w:hAnsi="仿宋_GB2312" w:eastAsia="仿宋_GB2312" w:cs="仿宋_GB2312"/>
          <w:color w:val="000000"/>
          <w:kern w:val="0"/>
          <w:sz w:val="32"/>
          <w:szCs w:val="32"/>
          <w:highlight w:val="none"/>
          <w:lang w:val="en-US" w:eastAsia="zh-CN"/>
        </w:rPr>
      </w:pPr>
    </w:p>
    <w:p w14:paraId="269FB632">
      <w:pPr>
        <w:pStyle w:val="11"/>
        <w:ind w:firstLine="640" w:firstLineChars="200"/>
        <w:jc w:val="both"/>
        <w:rPr>
          <w:rFonts w:hint="default" w:ascii="仿宋_GB2312" w:hAnsi="仿宋_GB2312" w:eastAsia="仿宋_GB2312" w:cs="仿宋_GB2312"/>
          <w:color w:val="000000"/>
          <w:kern w:val="0"/>
          <w:sz w:val="32"/>
          <w:szCs w:val="32"/>
          <w:highlight w:val="none"/>
          <w:lang w:val="en-US" w:eastAsia="zh-CN"/>
        </w:rPr>
      </w:pPr>
      <w:r>
        <w:rPr>
          <w:rFonts w:hint="eastAsia" w:ascii="仿宋_GB2312" w:hAnsi="仿宋_GB2312" w:eastAsia="仿宋_GB2312" w:cs="仿宋_GB2312"/>
          <w:color w:val="000000"/>
          <w:kern w:val="0"/>
          <w:sz w:val="32"/>
          <w:szCs w:val="32"/>
          <w:highlight w:val="none"/>
          <w:lang w:val="en-US" w:eastAsia="zh-CN"/>
        </w:rPr>
        <w:t>附件1：怀化市工业企业改制服务办公室2022年部门决算公开表</w:t>
      </w:r>
    </w:p>
    <w:p w14:paraId="3F11DA0E">
      <w:pPr>
        <w:jc w:val="left"/>
        <w:rPr>
          <w:rFonts w:cs="黑体" w:asciiTheme="minorEastAsia" w:hAnsiTheme="minorEastAsia"/>
          <w:color w:val="000000"/>
          <w:kern w:val="0"/>
          <w:sz w:val="32"/>
          <w:szCs w:val="32"/>
          <w:highlight w:val="none"/>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DC2751"/>
    <w:multiLevelType w:val="singleLevel"/>
    <w:tmpl w:val="AEDC2751"/>
    <w:lvl w:ilvl="0" w:tentative="0">
      <w:start w:val="2"/>
      <w:numFmt w:val="chineseCounting"/>
      <w:suff w:val="nothing"/>
      <w:lvlText w:val="（%1）"/>
      <w:lvlJc w:val="left"/>
      <w:rPr>
        <w:rFonts w:hint="eastAsia"/>
      </w:rPr>
    </w:lvl>
  </w:abstractNum>
  <w:abstractNum w:abstractNumId="1">
    <w:nsid w:val="D36A354D"/>
    <w:multiLevelType w:val="singleLevel"/>
    <w:tmpl w:val="D36A354D"/>
    <w:lvl w:ilvl="0" w:tentative="0">
      <w:start w:val="7"/>
      <w:numFmt w:val="chineseCounting"/>
      <w:suff w:val="nothing"/>
      <w:lvlText w:val="%1、"/>
      <w:lvlJc w:val="left"/>
      <w:rPr>
        <w:rFonts w:hint="eastAsia"/>
      </w:rPr>
    </w:lvl>
  </w:abstractNum>
  <w:abstractNum w:abstractNumId="2">
    <w:nsid w:val="E6A459FD"/>
    <w:multiLevelType w:val="singleLevel"/>
    <w:tmpl w:val="E6A459FD"/>
    <w:lvl w:ilvl="0" w:tentative="0">
      <w:start w:val="9"/>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JkZmVlZWE1YThmOTUxYzdmMmU4OWMyMmJiMWY5ZTg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92FA7"/>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16E0CC2"/>
    <w:rsid w:val="025A529E"/>
    <w:rsid w:val="02E37041"/>
    <w:rsid w:val="03791753"/>
    <w:rsid w:val="04F60A23"/>
    <w:rsid w:val="062C6F51"/>
    <w:rsid w:val="0676641E"/>
    <w:rsid w:val="067C4E14"/>
    <w:rsid w:val="0978425B"/>
    <w:rsid w:val="0A200529"/>
    <w:rsid w:val="0BAE0408"/>
    <w:rsid w:val="0CAC4948"/>
    <w:rsid w:val="0CAF268A"/>
    <w:rsid w:val="0E0F33E0"/>
    <w:rsid w:val="0ED613DA"/>
    <w:rsid w:val="0ED87C76"/>
    <w:rsid w:val="0F5B2655"/>
    <w:rsid w:val="0F9A4F2B"/>
    <w:rsid w:val="101A037C"/>
    <w:rsid w:val="104A6951"/>
    <w:rsid w:val="10D7645C"/>
    <w:rsid w:val="138C7281"/>
    <w:rsid w:val="13DB3D64"/>
    <w:rsid w:val="15237771"/>
    <w:rsid w:val="16273291"/>
    <w:rsid w:val="16907088"/>
    <w:rsid w:val="16930926"/>
    <w:rsid w:val="16AD1926"/>
    <w:rsid w:val="190855FC"/>
    <w:rsid w:val="191431A1"/>
    <w:rsid w:val="19145D4E"/>
    <w:rsid w:val="1D974372"/>
    <w:rsid w:val="203647FC"/>
    <w:rsid w:val="20731E7D"/>
    <w:rsid w:val="21F51159"/>
    <w:rsid w:val="224A27E1"/>
    <w:rsid w:val="236C49D9"/>
    <w:rsid w:val="23787A6E"/>
    <w:rsid w:val="23E7405F"/>
    <w:rsid w:val="23E950B3"/>
    <w:rsid w:val="26235823"/>
    <w:rsid w:val="262B2929"/>
    <w:rsid w:val="26946721"/>
    <w:rsid w:val="2709132A"/>
    <w:rsid w:val="28420956"/>
    <w:rsid w:val="28884563"/>
    <w:rsid w:val="292649E5"/>
    <w:rsid w:val="2A530754"/>
    <w:rsid w:val="2CE5645C"/>
    <w:rsid w:val="2F340AA1"/>
    <w:rsid w:val="30AB4D93"/>
    <w:rsid w:val="3237339D"/>
    <w:rsid w:val="33A53D1B"/>
    <w:rsid w:val="352944D8"/>
    <w:rsid w:val="35D24B6F"/>
    <w:rsid w:val="36B9188B"/>
    <w:rsid w:val="38B37464"/>
    <w:rsid w:val="39EE5CF0"/>
    <w:rsid w:val="3A0454D8"/>
    <w:rsid w:val="3BCE7B87"/>
    <w:rsid w:val="3CC176EC"/>
    <w:rsid w:val="400E0E9A"/>
    <w:rsid w:val="41E55C2A"/>
    <w:rsid w:val="41F2656A"/>
    <w:rsid w:val="451C0B6B"/>
    <w:rsid w:val="46293F7E"/>
    <w:rsid w:val="46E47159"/>
    <w:rsid w:val="47946129"/>
    <w:rsid w:val="47B265AF"/>
    <w:rsid w:val="491A265E"/>
    <w:rsid w:val="492E7EB7"/>
    <w:rsid w:val="499E503D"/>
    <w:rsid w:val="4A121587"/>
    <w:rsid w:val="4A41243F"/>
    <w:rsid w:val="4AD54A8E"/>
    <w:rsid w:val="4AEE78FE"/>
    <w:rsid w:val="4B7122DD"/>
    <w:rsid w:val="4D5D520F"/>
    <w:rsid w:val="50FD6AED"/>
    <w:rsid w:val="514209A3"/>
    <w:rsid w:val="52285DEB"/>
    <w:rsid w:val="52635075"/>
    <w:rsid w:val="526F57C8"/>
    <w:rsid w:val="545A4256"/>
    <w:rsid w:val="54EF2BF0"/>
    <w:rsid w:val="56AB2B47"/>
    <w:rsid w:val="56B4488A"/>
    <w:rsid w:val="5777D4F5"/>
    <w:rsid w:val="57792C45"/>
    <w:rsid w:val="57F66044"/>
    <w:rsid w:val="596A0A97"/>
    <w:rsid w:val="59A246D5"/>
    <w:rsid w:val="5A0E3B19"/>
    <w:rsid w:val="5ABC3575"/>
    <w:rsid w:val="5B321A89"/>
    <w:rsid w:val="5C5C6569"/>
    <w:rsid w:val="5FC6BB1E"/>
    <w:rsid w:val="5FF720F1"/>
    <w:rsid w:val="661A55F3"/>
    <w:rsid w:val="67334BBF"/>
    <w:rsid w:val="686D5EAE"/>
    <w:rsid w:val="694F1A58"/>
    <w:rsid w:val="6A75729C"/>
    <w:rsid w:val="6A7F34F8"/>
    <w:rsid w:val="6AC326FD"/>
    <w:rsid w:val="6AC65D4A"/>
    <w:rsid w:val="6BEE5A07"/>
    <w:rsid w:val="6E5A5326"/>
    <w:rsid w:val="6E5A768D"/>
    <w:rsid w:val="6F6F58B2"/>
    <w:rsid w:val="70381498"/>
    <w:rsid w:val="71C34D91"/>
    <w:rsid w:val="71EF202A"/>
    <w:rsid w:val="72D32A74"/>
    <w:rsid w:val="737D59BA"/>
    <w:rsid w:val="73F76F74"/>
    <w:rsid w:val="741C4ED9"/>
    <w:rsid w:val="74784559"/>
    <w:rsid w:val="74B530B7"/>
    <w:rsid w:val="75575F1C"/>
    <w:rsid w:val="76D417EE"/>
    <w:rsid w:val="77107528"/>
    <w:rsid w:val="77636EA3"/>
    <w:rsid w:val="77C37683"/>
    <w:rsid w:val="797352EE"/>
    <w:rsid w:val="79FF515B"/>
    <w:rsid w:val="7A2D36EF"/>
    <w:rsid w:val="7C977546"/>
    <w:rsid w:val="7D1B1F25"/>
    <w:rsid w:val="7D223129"/>
    <w:rsid w:val="7D913A5E"/>
    <w:rsid w:val="7E9F11B4"/>
    <w:rsid w:val="7EC6730F"/>
    <w:rsid w:val="7F517E80"/>
    <w:rsid w:val="7FC69637"/>
    <w:rsid w:val="7FFDB408"/>
    <w:rsid w:val="CBFF70E0"/>
    <w:rsid w:val="EEABED75"/>
    <w:rsid w:val="FB36E1A6"/>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iPriority="99" w:semiHidden="0"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lock Text"/>
    <w:basedOn w:val="1"/>
    <w:unhideWhenUsed/>
    <w:qFormat/>
    <w:uiPriority w:val="99"/>
    <w:pPr>
      <w:ind w:firstLine="640"/>
    </w:pPr>
  </w:style>
  <w:style w:type="paragraph" w:styleId="3">
    <w:name w:val="Balloon Text"/>
    <w:basedOn w:val="1"/>
    <w:link w:val="13"/>
    <w:semiHidden/>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customStyle="1" w:styleId="9">
    <w:name w:val="页眉 Char"/>
    <w:basedOn w:val="8"/>
    <w:link w:val="5"/>
    <w:qFormat/>
    <w:uiPriority w:val="99"/>
    <w:rPr>
      <w:sz w:val="18"/>
      <w:szCs w:val="18"/>
    </w:rPr>
  </w:style>
  <w:style w:type="character" w:customStyle="1" w:styleId="10">
    <w:name w:val="页脚 Char"/>
    <w:basedOn w:val="8"/>
    <w:link w:val="4"/>
    <w:qFormat/>
    <w:uiPriority w:val="99"/>
    <w:rPr>
      <w:sz w:val="18"/>
      <w:szCs w:val="18"/>
    </w:rPr>
  </w:style>
  <w:style w:type="paragraph" w:customStyle="1" w:styleId="11">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2">
    <w:name w:val="List Paragraph"/>
    <w:basedOn w:val="1"/>
    <w:qFormat/>
    <w:uiPriority w:val="34"/>
    <w:pPr>
      <w:ind w:firstLine="420" w:firstLineChars="200"/>
    </w:pPr>
  </w:style>
  <w:style w:type="character" w:customStyle="1" w:styleId="13">
    <w:name w:val="批注框文本 Char"/>
    <w:basedOn w:val="8"/>
    <w:link w:val="3"/>
    <w:semiHidden/>
    <w:qFormat/>
    <w:uiPriority w:val="99"/>
    <w:rPr>
      <w:sz w:val="18"/>
      <w:szCs w:val="18"/>
    </w:rPr>
  </w:style>
  <w:style w:type="character" w:customStyle="1" w:styleId="14">
    <w:name w:val="font01"/>
    <w:basedOn w:val="8"/>
    <w:qFormat/>
    <w:uiPriority w:val="0"/>
    <w:rPr>
      <w:rFonts w:hint="eastAsia" w:ascii="宋体" w:hAnsi="宋体" w:eastAsia="宋体" w:cs="宋体"/>
      <w:color w:val="000000"/>
      <w:sz w:val="22"/>
      <w:szCs w:val="22"/>
      <w:u w:val="none"/>
    </w:rPr>
  </w:style>
  <w:style w:type="character" w:customStyle="1" w:styleId="15">
    <w:name w:val="font21"/>
    <w:basedOn w:val="8"/>
    <w:qFormat/>
    <w:uiPriority w:val="0"/>
    <w:rPr>
      <w:rFonts w:hint="eastAsia" w:ascii="宋体" w:hAnsi="宋体" w:eastAsia="宋体" w:cs="宋体"/>
      <w:color w:val="000000"/>
      <w:sz w:val="24"/>
      <w:szCs w:val="24"/>
      <w:u w:val="none"/>
    </w:rPr>
  </w:style>
  <w:style w:type="character" w:customStyle="1" w:styleId="16">
    <w:name w:val="font11"/>
    <w:basedOn w:val="8"/>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17</Pages>
  <Words>4847</Words>
  <Characters>5291</Characters>
  <Lines>63</Lines>
  <Paragraphs>18</Paragraphs>
  <TotalTime>0</TotalTime>
  <ScaleCrop>false</ScaleCrop>
  <LinksUpToDate>false</LinksUpToDate>
  <CharactersWithSpaces>5305</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2020-07-04T18:32:00Z</dcterms:created>
  <dc:creator>李航 null</dc:creator>
  <cp:lastModifiedBy>WPS_1668149522</cp:lastModifiedBy>
  <cp:lastPrinted>2023-08-15T09:28:00Z</cp:lastPrinted>
  <dcterms:modified xsi:type="dcterms:W3CDTF">2024-10-31T16:43:09Z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C464EC76A70946A693C8D42666A797BF_12</vt:lpwstr>
  </property>
</Properties>
</file>