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suppressLineNumbers w:val="0"/>
        <w:tabs>
          <w:tab w:val="left" w:pos="2837"/>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both"/>
        <w:textAlignment w:val="auto"/>
        <w:outlineLvl w:val="9"/>
        <w:rPr>
          <w:rFonts w:hint="eastAsia" w:ascii="黑体" w:hAnsi="Times New Roman" w:eastAsia="黑体" w:cs="黑体"/>
          <w:kern w:val="2"/>
          <w:sz w:val="10"/>
          <w:szCs w:val="10"/>
          <w:highlight w:val="black"/>
          <w:lang w:val="en-US" w:eastAsia="zh-CN" w:bidi="ar"/>
        </w:rPr>
      </w:pPr>
      <w:bookmarkStart w:id="0" w:name="_GoBack"/>
      <w:bookmarkEnd w:id="0"/>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怀化市黄金工业管理局</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201</w:t>
      </w:r>
      <w:r>
        <w:rPr>
          <w:rFonts w:hint="eastAsia" w:ascii="方正小标宋简体" w:hAnsi="方正小标宋简体" w:eastAsia="方正小标宋简体" w:cs="方正小标宋简体"/>
          <w:b/>
          <w:color w:val="000000"/>
          <w:sz w:val="44"/>
          <w:szCs w:val="44"/>
          <w:shd w:val="clear" w:color="auto" w:fill="FFFFFF"/>
          <w:lang w:val="en-US" w:eastAsia="zh-CN"/>
        </w:rPr>
        <w:t>9</w:t>
      </w:r>
      <w:r>
        <w:rPr>
          <w:rFonts w:hint="eastAsia" w:ascii="方正小标宋简体" w:hAnsi="方正小标宋简体" w:eastAsia="方正小标宋简体" w:cs="方正小标宋简体"/>
          <w:b/>
          <w:color w:val="000000"/>
          <w:sz w:val="44"/>
          <w:szCs w:val="44"/>
          <w:shd w:val="clear" w:color="auto" w:fill="FFFFFF"/>
        </w:rPr>
        <w:t>年部门整体支出绩效自评报告 </w:t>
      </w:r>
    </w:p>
    <w:p>
      <w:pPr>
        <w:pStyle w:val="5"/>
        <w:keepNext w:val="0"/>
        <w:keepLines w:val="0"/>
        <w:pageBreakBefore w:val="0"/>
        <w:widowControl/>
        <w:shd w:val="clear" w:color="auto" w:fill="FFFFFF"/>
        <w:kinsoku/>
        <w:wordWrap/>
        <w:overflowPunct/>
        <w:topLinePunct w:val="0"/>
        <w:autoSpaceDE/>
        <w:autoSpaceDN/>
        <w:bidi w:val="0"/>
        <w:adjustRightInd/>
        <w:snapToGrid/>
        <w:spacing w:before="625" w:beforeAutospacing="0" w:after="100" w:afterAutospacing="0" w:line="560" w:lineRule="exact"/>
        <w:ind w:firstLine="643" w:firstLineChars="200"/>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一、部门概况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b/>
          <w:bCs/>
          <w:color w:val="000000"/>
          <w:sz w:val="32"/>
          <w:szCs w:val="32"/>
          <w:shd w:val="clear" w:color="auto" w:fill="FFFFFF"/>
        </w:rPr>
        <w:t>（一）部门机构设置、职能、人员构成情况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怀化市黄金工业管理局是参照公务员管理的副处级全额拨款事业单位。核定全额拨款事业编制10名。实有在职人数</w:t>
      </w:r>
      <w:r>
        <w:rPr>
          <w:rFonts w:hint="eastAsia" w:ascii="仿宋_GB2312" w:hAnsi="仿宋_GB2312" w:eastAsia="仿宋_GB2312" w:cs="仿宋_GB2312"/>
          <w:color w:val="000000"/>
          <w:sz w:val="32"/>
          <w:szCs w:val="32"/>
          <w:shd w:val="clear" w:color="auto" w:fill="FFFFFF"/>
          <w:lang w:val="en-US" w:eastAsia="zh-CN"/>
        </w:rPr>
        <w:t>10</w:t>
      </w:r>
      <w:r>
        <w:rPr>
          <w:rFonts w:hint="eastAsia" w:ascii="仿宋_GB2312" w:hAnsi="仿宋_GB2312" w:eastAsia="仿宋_GB2312" w:cs="仿宋_GB2312"/>
          <w:color w:val="000000"/>
          <w:sz w:val="32"/>
          <w:szCs w:val="32"/>
          <w:shd w:val="clear" w:color="auto" w:fill="FFFFFF"/>
        </w:rPr>
        <w:t>人，退休人员10人。主要职能:负责制定全市黄金行业发展规划和年度生产计划；对全市黄金企业安全生产实施行业管理，进行督促、检查；指导全市黄金生产企业贯彻国家有关黄金生产的采、选、冶技术政策，规范行业有序发展；负责全市黄金矿山行业主管部门申报地探资金并监督使用。根据上述职责，市黄金工业管理局设两个科室：综合科、行业科。</w:t>
      </w:r>
    </w:p>
    <w:p>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100" w:afterAutospacing="0" w:line="560" w:lineRule="exact"/>
        <w:ind w:firstLine="56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重点工作计划</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100" w:afterAutospacing="0" w:line="560" w:lineRule="exact"/>
        <w:ind w:left="560" w:leftChars="0" w:right="0" w:rightChars="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1、业务工作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①</w:t>
      </w:r>
      <w:r>
        <w:rPr>
          <w:rFonts w:hint="eastAsia" w:ascii="仿宋_GB2312" w:hAnsi="仿宋_GB2312" w:eastAsia="仿宋_GB2312" w:cs="仿宋_GB2312"/>
          <w:color w:val="000000"/>
          <w:sz w:val="32"/>
          <w:szCs w:val="32"/>
          <w:shd w:val="clear" w:color="auto" w:fill="FFFFFF"/>
          <w:lang w:val="en-US" w:eastAsia="zh-CN"/>
        </w:rPr>
        <w:t>实现黄金年度生产目标。2019年黄金目标产量为37000公斤，今年我局要在推动全市黄金行业经济结构优化上不断努力，继续保持稳中有进、进中提质的良好态势，以实现黄金产量稳产增效目标。</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②</w:t>
      </w:r>
      <w:r>
        <w:rPr>
          <w:rFonts w:hint="eastAsia" w:ascii="仿宋_GB2312" w:hAnsi="仿宋_GB2312" w:eastAsia="仿宋_GB2312" w:cs="仿宋_GB2312"/>
          <w:color w:val="000000"/>
          <w:sz w:val="32"/>
          <w:szCs w:val="32"/>
          <w:shd w:val="clear" w:color="auto" w:fill="FFFFFF"/>
          <w:lang w:val="en-US" w:eastAsia="zh-CN"/>
        </w:rPr>
        <w:t>加强黄金矿山安全生产管理。全面落实安全生产责任制，加强行业安全生产监管，督促落实企业主体责任，建立风险管控和隐患排查治理工作机制，强化重大事故灾害和职业危害防治，确保行业不发生较大以上安全生产责任事故。</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default" w:ascii="Calibri" w:hAnsi="Calibri" w:eastAsia="仿宋_GB2312" w:cs="Calibri"/>
          <w:color w:val="000000"/>
          <w:sz w:val="32"/>
          <w:szCs w:val="32"/>
          <w:shd w:val="clear" w:color="auto" w:fill="FFFFFF"/>
          <w:lang w:val="en-US" w:eastAsia="zh-CN"/>
        </w:rPr>
        <w:t>③</w:t>
      </w:r>
      <w:r>
        <w:rPr>
          <w:rFonts w:hint="eastAsia" w:ascii="仿宋_GB2312" w:hAnsi="仿宋_GB2312" w:eastAsia="仿宋_GB2312" w:cs="仿宋_GB2312"/>
          <w:color w:val="000000"/>
          <w:sz w:val="32"/>
          <w:szCs w:val="32"/>
          <w:shd w:val="clear" w:color="auto" w:fill="FFFFFF"/>
        </w:rPr>
        <w:t>做好行业统计和经济运行分析。全面动态掌握行业运行状况，创新调度方式，完善经济运行指标，实现产量调度全覆盖，保证信息渠道畅通，提高综合统计能力，提高经济运行分析的准确性和水平，更好地指导行业生产运行。</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宋体" w:hAnsi="宋体" w:eastAsia="宋体" w:cs="宋体"/>
          <w:color w:val="000000"/>
          <w:sz w:val="32"/>
          <w:szCs w:val="32"/>
          <w:shd w:val="clear" w:color="auto" w:fill="FFFFFF"/>
          <w:lang w:val="en-US" w:eastAsia="zh-CN"/>
        </w:rPr>
        <w:t>④</w:t>
      </w:r>
      <w:r>
        <w:rPr>
          <w:rFonts w:hint="eastAsia" w:ascii="仿宋_GB2312" w:hAnsi="仿宋_GB2312" w:eastAsia="仿宋_GB2312" w:cs="仿宋_GB2312"/>
          <w:color w:val="000000"/>
          <w:sz w:val="32"/>
          <w:szCs w:val="32"/>
          <w:shd w:val="clear" w:color="auto" w:fill="FFFFFF"/>
          <w:lang w:val="en-US" w:eastAsia="zh-CN"/>
        </w:rPr>
        <w:t>加强黄金地质勘探工作，推广技术创新。推广企业深部及外围探矿取得的成功经验，鼓励、引导企业加大地勘投入，就地找矿，提高资源储备量；加强企业技术、工艺、设备的更新改造，加快核心、关键技术的开发推广，着力抓好地勘、选冶科技创新，特别要在黄金勘探和低品位、难选冶金矿的开发利用，以及矿区深部资源的开采技术方面有所突破，全面提高黄金矿山企业科技水平。</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⑤</w:t>
      </w:r>
      <w:r>
        <w:rPr>
          <w:rFonts w:hint="eastAsia" w:ascii="仿宋_GB2312" w:hAnsi="仿宋_GB2312" w:eastAsia="仿宋_GB2312" w:cs="仿宋_GB2312"/>
          <w:color w:val="000000"/>
          <w:sz w:val="32"/>
          <w:szCs w:val="32"/>
          <w:shd w:val="clear" w:color="auto" w:fill="FFFFFF"/>
        </w:rPr>
        <w:t>营造黄金企业发展的良好环境。持续优化惠企服务，用足用好国家和省系列企业减负政策，减轻税费负担，降低用电成本，全方位降本增效，实现</w:t>
      </w:r>
      <w:r>
        <w:rPr>
          <w:rFonts w:hint="eastAsia" w:ascii="仿宋_GB2312" w:hAnsi="仿宋_GB2312" w:eastAsia="仿宋_GB2312" w:cs="仿宋_GB2312"/>
          <w:color w:val="000000"/>
          <w:sz w:val="32"/>
          <w:szCs w:val="32"/>
          <w:shd w:val="clear" w:color="auto" w:fill="FFFFFF"/>
          <w:lang w:eastAsia="zh-CN"/>
        </w:rPr>
        <w:t>高</w:t>
      </w:r>
      <w:r>
        <w:rPr>
          <w:rFonts w:hint="eastAsia" w:ascii="仿宋_GB2312" w:hAnsi="仿宋_GB2312" w:eastAsia="仿宋_GB2312" w:cs="仿宋_GB2312"/>
          <w:color w:val="000000"/>
          <w:sz w:val="32"/>
          <w:szCs w:val="32"/>
          <w:shd w:val="clear" w:color="auto" w:fill="FFFFFF"/>
        </w:rPr>
        <w:t>质量发展；加大指导帮扶力度，坚持服务中心在基层，通过送政策、资料到基层，在全行业营造学政策、懂政策、用政策的浓厚氛围。</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3" w:firstLineChars="2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2</w:t>
      </w:r>
      <w:r>
        <w:rPr>
          <w:rFonts w:hint="eastAsia" w:ascii="仿宋_GB2312" w:hAnsi="仿宋_GB2312" w:eastAsia="仿宋_GB2312" w:cs="仿宋_GB2312"/>
          <w:b/>
          <w:bCs/>
          <w:color w:val="000000"/>
          <w:sz w:val="32"/>
          <w:szCs w:val="32"/>
          <w:shd w:val="clear" w:color="auto" w:fill="FFFFFF"/>
          <w:lang w:eastAsia="zh-CN"/>
        </w:rPr>
        <w:t>、服务中心工作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年我局服务中心工作重点是继续做好驻村帮扶工作。我局要充分发挥后盾作用，从人力、物力、财力上支持驻村帮扶工作，扎实做好结对帮扶工作。</w:t>
      </w:r>
      <w:r>
        <w:rPr>
          <w:rFonts w:hint="eastAsia" w:ascii="仿宋_GB2312" w:hAnsi="仿宋_GB2312" w:eastAsia="仿宋_GB2312" w:cs="仿宋_GB2312"/>
          <w:color w:val="000000"/>
          <w:sz w:val="32"/>
          <w:szCs w:val="32"/>
          <w:shd w:val="clear" w:color="auto" w:fill="FFFFFF"/>
          <w:lang w:eastAsia="zh-CN"/>
        </w:rPr>
        <w:t>一是</w:t>
      </w:r>
      <w:r>
        <w:rPr>
          <w:rFonts w:hint="eastAsia" w:ascii="仿宋_GB2312" w:hAnsi="仿宋_GB2312" w:eastAsia="仿宋_GB2312" w:cs="仿宋_GB2312"/>
          <w:color w:val="000000"/>
          <w:sz w:val="32"/>
          <w:szCs w:val="32"/>
          <w:shd w:val="clear" w:color="auto" w:fill="FFFFFF"/>
        </w:rPr>
        <w:t>制定结对帮扶计划。在做好调查研究的基础上，结合贫困村、贫困户的实际情况与需求，制定合理的结对帮扶计划</w:t>
      </w:r>
      <w:r>
        <w:rPr>
          <w:rFonts w:hint="eastAsia" w:ascii="仿宋_GB2312" w:hAnsi="仿宋_GB2312" w:eastAsia="仿宋_GB2312" w:cs="仿宋_GB2312"/>
          <w:color w:val="000000"/>
          <w:sz w:val="32"/>
          <w:szCs w:val="32"/>
          <w:shd w:val="clear" w:color="auto" w:fill="FFFFFF"/>
          <w:lang w:eastAsia="zh-CN"/>
        </w:rPr>
        <w:t>；二是</w:t>
      </w:r>
      <w:r>
        <w:rPr>
          <w:rFonts w:hint="eastAsia" w:ascii="仿宋_GB2312" w:hAnsi="仿宋_GB2312" w:eastAsia="仿宋_GB2312" w:cs="仿宋_GB2312"/>
          <w:color w:val="000000"/>
          <w:sz w:val="32"/>
          <w:szCs w:val="32"/>
          <w:shd w:val="clear" w:color="auto" w:fill="FFFFFF"/>
        </w:rPr>
        <w:t>制定帮扶措施。深入走访调研，摸清村情民意，针对每个贫困户制定帮扶措施，做到精准帮扶精准脱贫。</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3" w:firstLineChars="200"/>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en-US" w:eastAsia="zh-CN"/>
        </w:rPr>
        <w:t>3</w:t>
      </w:r>
      <w:r>
        <w:rPr>
          <w:rFonts w:hint="eastAsia" w:ascii="仿宋_GB2312" w:hAnsi="仿宋_GB2312" w:eastAsia="仿宋_GB2312" w:cs="仿宋_GB2312"/>
          <w:b/>
          <w:bCs/>
          <w:color w:val="000000"/>
          <w:sz w:val="32"/>
          <w:szCs w:val="32"/>
          <w:shd w:val="clear" w:color="auto" w:fill="FFFFFF"/>
          <w:lang w:eastAsia="zh-CN"/>
        </w:rPr>
        <w:t>、</w:t>
      </w:r>
      <w:r>
        <w:rPr>
          <w:rFonts w:hint="eastAsia" w:ascii="仿宋_GB2312" w:hAnsi="仿宋_GB2312" w:eastAsia="仿宋_GB2312" w:cs="仿宋_GB2312"/>
          <w:b/>
          <w:bCs/>
          <w:color w:val="000000"/>
          <w:sz w:val="32"/>
          <w:szCs w:val="32"/>
          <w:shd w:val="clear" w:color="auto" w:fill="FFFFFF"/>
        </w:rPr>
        <w:t xml:space="preserve">其他工作 </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主要包括综治、计划生育、爱卫以及机关管理工作等。</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1、按相关部门要求做好社会治安综合治理、普法、计划生育、爱国卫生工作；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2、进一步加强财务管理，开源节流，完善财务制度，严肃财经纪律</w:t>
      </w:r>
      <w:r>
        <w:rPr>
          <w:rFonts w:hint="eastAsia" w:ascii="仿宋_GB2312" w:hAnsi="仿宋_GB2312" w:eastAsia="仿宋_GB2312" w:cs="仿宋_GB2312"/>
          <w:color w:val="000000"/>
          <w:sz w:val="32"/>
          <w:szCs w:val="32"/>
          <w:shd w:val="clear" w:color="auto" w:fill="FFFFFF"/>
          <w:lang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3、抓好党建工作，切实推进党支部“五化”建设，争创先锋支部，继续开展“两学一做”学习教育常态化制度化。</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560" w:leftChars="0" w:right="0" w:rightChars="0"/>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eastAsia="zh-CN"/>
        </w:rPr>
        <w:t>（三）</w:t>
      </w:r>
      <w:r>
        <w:rPr>
          <w:rFonts w:hint="eastAsia" w:ascii="仿宋_GB2312" w:hAnsi="仿宋_GB2312" w:eastAsia="仿宋_GB2312" w:cs="仿宋_GB2312"/>
          <w:b/>
          <w:bCs/>
          <w:color w:val="000000"/>
          <w:sz w:val="32"/>
          <w:szCs w:val="32"/>
          <w:shd w:val="clear" w:color="auto" w:fill="FFFFFF"/>
        </w:rPr>
        <w:t>部门整体支出情况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eastAsia="zh-CN"/>
        </w:rPr>
        <w:t>市黄金局收入总计</w:t>
      </w:r>
      <w:r>
        <w:rPr>
          <w:rFonts w:hint="eastAsia" w:ascii="仿宋_GB2312" w:hAnsi="仿宋_GB2312" w:eastAsia="仿宋_GB2312" w:cs="仿宋_GB2312"/>
          <w:color w:val="000000"/>
          <w:sz w:val="32"/>
          <w:szCs w:val="32"/>
          <w:shd w:val="clear" w:color="auto" w:fill="FFFFFF"/>
          <w:lang w:val="en-US" w:eastAsia="zh-CN"/>
        </w:rPr>
        <w:t>215.66万元，全部为财政拨款收入。本年支出总计213.44万元，其中，基本支出197.37万元，项目支出-专项业务经费支出16.07万元。年初结转结余2.78万元，年末结转结余约5万元。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二、部门整体支出管理及使用情况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eastAsia" w:ascii="仿宋_GB2312" w:hAnsi="仿宋_GB2312" w:eastAsia="仿宋_GB2312" w:cs="仿宋_GB2312"/>
          <w:b/>
          <w:bCs/>
          <w:color w:val="000000"/>
          <w:sz w:val="32"/>
          <w:szCs w:val="32"/>
          <w:shd w:val="clear" w:color="auto" w:fill="FFFFFF"/>
          <w:lang w:eastAsia="zh-CN"/>
        </w:rPr>
      </w:pPr>
      <w:r>
        <w:rPr>
          <w:rFonts w:hint="eastAsia" w:ascii="仿宋_GB2312" w:hAnsi="仿宋_GB2312" w:eastAsia="仿宋_GB2312" w:cs="仿宋_GB2312"/>
          <w:b/>
          <w:bCs/>
          <w:color w:val="000000"/>
          <w:sz w:val="32"/>
          <w:szCs w:val="32"/>
          <w:shd w:val="clear" w:color="auto" w:fill="FFFFFF"/>
        </w:rPr>
        <w:t>（一）基本支出</w:t>
      </w:r>
      <w:r>
        <w:rPr>
          <w:rFonts w:hint="eastAsia" w:ascii="仿宋_GB2312" w:hAnsi="仿宋_GB2312" w:eastAsia="仿宋_GB2312" w:cs="仿宋_GB2312"/>
          <w:b/>
          <w:bCs/>
          <w:color w:val="000000"/>
          <w:sz w:val="32"/>
          <w:szCs w:val="32"/>
          <w:shd w:val="clear" w:color="auto" w:fill="FFFFFF"/>
          <w:lang w:eastAsia="zh-CN"/>
        </w:rPr>
        <w:t>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1、基本支出总体情况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2019年我局基本支出总计197.37万元。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val="en-US" w:eastAsia="zh-CN"/>
        </w:rPr>
        <w:t>按支出性质分类：1、人员经费支出184.26万元，主要包括人员工资、津补贴和社会保障缴费支出；2、日常公用经费支出13.11万元，是指维持局本级运行的公用经费支出，主要包括办公费、差旅费、邮电费、其他交通费等。</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lang w:eastAsia="zh-CN"/>
        </w:rPr>
        <w:t>按支出经济分类：</w:t>
      </w: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rPr>
        <w:t>工资福利支出</w:t>
      </w:r>
      <w:r>
        <w:rPr>
          <w:rFonts w:hint="eastAsia" w:ascii="仿宋_GB2312" w:hAnsi="仿宋_GB2312" w:eastAsia="仿宋_GB2312" w:cs="仿宋_GB2312"/>
          <w:color w:val="000000"/>
          <w:sz w:val="32"/>
          <w:szCs w:val="32"/>
          <w:shd w:val="clear" w:color="auto" w:fill="FFFFFF"/>
          <w:lang w:val="en-US" w:eastAsia="zh-CN"/>
        </w:rPr>
        <w:t>147.32万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商品和服务支出</w:t>
      </w:r>
      <w:r>
        <w:rPr>
          <w:rFonts w:hint="eastAsia" w:ascii="仿宋_GB2312" w:hAnsi="仿宋_GB2312" w:eastAsia="仿宋_GB2312" w:cs="仿宋_GB2312"/>
          <w:color w:val="000000"/>
          <w:sz w:val="32"/>
          <w:szCs w:val="32"/>
          <w:shd w:val="clear" w:color="auto" w:fill="FFFFFF"/>
          <w:lang w:val="en-US" w:eastAsia="zh-CN"/>
        </w:rPr>
        <w:t>13.11万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对个人和家庭的补助支出</w:t>
      </w:r>
      <w:r>
        <w:rPr>
          <w:rFonts w:hint="eastAsia" w:ascii="仿宋_GB2312" w:hAnsi="仿宋_GB2312" w:eastAsia="仿宋_GB2312" w:cs="仿宋_GB2312"/>
          <w:color w:val="000000"/>
          <w:sz w:val="32"/>
          <w:szCs w:val="32"/>
          <w:shd w:val="clear" w:color="auto" w:fill="FFFFFF"/>
          <w:lang w:val="en-US" w:eastAsia="zh-CN"/>
        </w:rPr>
        <w:t>36.94万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2、“三公”经费支出情况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对</w:t>
      </w:r>
      <w:r>
        <w:rPr>
          <w:rFonts w:hint="eastAsia" w:ascii="仿宋_GB2312" w:hAnsi="仿宋_GB2312" w:eastAsia="仿宋_GB2312" w:cs="仿宋_GB2312"/>
          <w:color w:val="000000"/>
          <w:sz w:val="32"/>
          <w:szCs w:val="32"/>
          <w:shd w:val="clear" w:color="auto" w:fill="FFFFFF"/>
          <w:lang w:val="en-US" w:eastAsia="zh-CN"/>
        </w:rPr>
        <w:t>“三公”</w:t>
      </w:r>
      <w:r>
        <w:rPr>
          <w:rFonts w:hint="eastAsia" w:ascii="仿宋_GB2312" w:hAnsi="仿宋_GB2312" w:eastAsia="仿宋_GB2312" w:cs="仿宋_GB2312"/>
          <w:color w:val="000000"/>
          <w:sz w:val="32"/>
          <w:szCs w:val="32"/>
          <w:shd w:val="clear" w:color="auto" w:fill="FFFFFF"/>
        </w:rPr>
        <w:t>经费严格控制，</w:t>
      </w:r>
      <w:r>
        <w:rPr>
          <w:rFonts w:hint="eastAsia" w:ascii="仿宋_GB2312" w:hAnsi="仿宋_GB2312" w:eastAsia="仿宋_GB2312" w:cs="仿宋_GB2312"/>
          <w:sz w:val="32"/>
          <w:szCs w:val="32"/>
        </w:rPr>
        <w:t>本年度</w:t>
      </w:r>
      <w:r>
        <w:rPr>
          <w:rFonts w:hint="eastAsia" w:ascii="仿宋_GB2312" w:hAnsi="仿宋_GB2312" w:eastAsia="仿宋_GB2312" w:cs="仿宋_GB2312"/>
          <w:color w:val="000000"/>
          <w:sz w:val="32"/>
          <w:szCs w:val="32"/>
          <w:shd w:val="clear" w:color="auto" w:fill="FFFFFF"/>
          <w:lang w:val="en-US" w:eastAsia="zh-CN"/>
        </w:rPr>
        <w:t>“三公”</w:t>
      </w:r>
      <w:r>
        <w:rPr>
          <w:rFonts w:hint="eastAsia" w:ascii="仿宋_GB2312" w:hAnsi="仿宋_GB2312" w:eastAsia="仿宋_GB2312" w:cs="仿宋_GB2312"/>
          <w:sz w:val="32"/>
          <w:szCs w:val="32"/>
        </w:rPr>
        <w:t>经费</w:t>
      </w:r>
      <w:r>
        <w:rPr>
          <w:rFonts w:hint="eastAsia" w:ascii="仿宋_GB2312" w:hAnsi="仿宋_GB2312" w:eastAsia="仿宋_GB2312" w:cs="仿宋_GB2312"/>
          <w:color w:val="000000"/>
          <w:sz w:val="32"/>
          <w:szCs w:val="32"/>
          <w:shd w:val="clear" w:color="auto" w:fill="FFFFFF"/>
        </w:rPr>
        <w:t>共支出</w:t>
      </w:r>
      <w:r>
        <w:rPr>
          <w:rFonts w:hint="eastAsia" w:ascii="仿宋_GB2312" w:hAnsi="仿宋_GB2312" w:eastAsia="仿宋_GB2312" w:cs="仿宋_GB2312"/>
          <w:color w:val="000000"/>
          <w:sz w:val="32"/>
          <w:szCs w:val="32"/>
          <w:shd w:val="clear" w:color="auto" w:fill="FFFFFF"/>
          <w:lang w:val="en-US" w:eastAsia="zh-CN"/>
        </w:rPr>
        <w:t>1.24万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全部为公务接待费，本年公务接待较上年支出减少，</w:t>
      </w:r>
      <w:r>
        <w:rPr>
          <w:rFonts w:hint="eastAsia" w:ascii="仿宋_GB2312" w:hAnsi="仿宋_GB2312" w:eastAsia="仿宋_GB2312" w:cs="仿宋_GB2312"/>
          <w:sz w:val="32"/>
          <w:szCs w:val="32"/>
        </w:rPr>
        <w:t>较201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32.52%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shd w:val="clear" w:color="auto" w:fill="FFFFFF"/>
          <w:lang w:val="en-US" w:eastAsia="zh-CN"/>
        </w:rPr>
        <w:t>减少的主要原因是本年度我局严格贯彻落实例行节约制度，按要求压减一般性支出，严控招待费支出。</w:t>
      </w:r>
    </w:p>
    <w:p>
      <w:pPr>
        <w:pStyle w:val="5"/>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100" w:beforeAutospacing="0" w:after="100" w:afterAutospacing="0" w:line="560" w:lineRule="exact"/>
        <w:ind w:leftChars="200" w:right="0" w:rightChars="0" w:firstLine="321" w:firstLineChars="100"/>
        <w:jc w:val="left"/>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专项支出</w:t>
      </w:r>
      <w:r>
        <w:rPr>
          <w:rFonts w:hint="eastAsia" w:ascii="仿宋_GB2312" w:hAnsi="仿宋_GB2312" w:eastAsia="仿宋_GB2312" w:cs="仿宋_GB2312"/>
          <w:b/>
          <w:bCs/>
          <w:color w:val="000000"/>
          <w:sz w:val="32"/>
          <w:szCs w:val="32"/>
          <w:shd w:val="clear" w:color="auto" w:fill="FFFFFF"/>
          <w:lang w:eastAsia="zh-CN"/>
        </w:rPr>
        <w:t>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Chars="300" w:right="0" w:rightChars="0"/>
        <w:jc w:val="left"/>
        <w:textAlignment w:val="auto"/>
        <w:outlineLvl w:val="9"/>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1、专项资金收入支出情况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jc w:val="left"/>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 xml:space="preserve">     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年我</w:t>
      </w:r>
      <w:r>
        <w:rPr>
          <w:rFonts w:hint="eastAsia" w:ascii="仿宋_GB2312" w:hAnsi="仿宋_GB2312" w:eastAsia="仿宋_GB2312" w:cs="仿宋_GB2312"/>
          <w:color w:val="000000"/>
          <w:sz w:val="32"/>
          <w:szCs w:val="32"/>
          <w:shd w:val="clear" w:color="auto" w:fill="FFFFFF"/>
          <w:lang w:eastAsia="zh-CN"/>
        </w:rPr>
        <w:t>局有</w:t>
      </w:r>
      <w:r>
        <w:rPr>
          <w:rFonts w:hint="eastAsia" w:ascii="仿宋_GB2312" w:hAnsi="仿宋_GB2312" w:eastAsia="仿宋_GB2312" w:cs="仿宋_GB2312"/>
          <w:color w:val="000000"/>
          <w:sz w:val="32"/>
          <w:szCs w:val="32"/>
          <w:shd w:val="clear" w:color="auto" w:fill="FFFFFF"/>
        </w:rPr>
        <w:t>专项业务工作经费1</w:t>
      </w: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其中，</w:t>
      </w:r>
      <w:r>
        <w:rPr>
          <w:rFonts w:hint="eastAsia" w:ascii="仿宋_GB2312" w:hAnsi="仿宋_GB2312" w:eastAsia="仿宋_GB2312" w:cs="仿宋_GB2312"/>
          <w:color w:val="000000"/>
          <w:sz w:val="32"/>
          <w:szCs w:val="32"/>
          <w:shd w:val="clear" w:color="auto" w:fill="FFFFFF"/>
        </w:rPr>
        <w:t>安全生产工作经费</w:t>
      </w:r>
      <w:r>
        <w:rPr>
          <w:rFonts w:hint="eastAsia" w:ascii="仿宋_GB2312" w:hAnsi="仿宋_GB2312" w:eastAsia="仿宋_GB2312" w:cs="仿宋_GB2312"/>
          <w:color w:val="000000"/>
          <w:sz w:val="32"/>
          <w:szCs w:val="32"/>
          <w:shd w:val="clear" w:color="auto" w:fill="FFFFFF"/>
          <w:lang w:val="en-US" w:eastAsia="zh-CN"/>
        </w:rPr>
        <w:t>10万元</w:t>
      </w:r>
      <w:r>
        <w:rPr>
          <w:rFonts w:hint="eastAsia" w:ascii="仿宋_GB2312" w:hAnsi="仿宋_GB2312" w:eastAsia="仿宋_GB2312" w:cs="仿宋_GB2312"/>
          <w:color w:val="000000"/>
          <w:sz w:val="32"/>
          <w:szCs w:val="32"/>
          <w:shd w:val="clear" w:color="auto" w:fill="FFFFFF"/>
          <w:lang w:eastAsia="zh-CN"/>
        </w:rPr>
        <w:t>，入规培育工作经费</w:t>
      </w:r>
      <w:r>
        <w:rPr>
          <w:rFonts w:hint="eastAsia" w:ascii="仿宋_GB2312" w:hAnsi="仿宋_GB2312" w:eastAsia="仿宋_GB2312" w:cs="仿宋_GB2312"/>
          <w:color w:val="000000"/>
          <w:sz w:val="32"/>
          <w:szCs w:val="32"/>
          <w:shd w:val="clear" w:color="auto" w:fill="FFFFFF"/>
          <w:lang w:val="en-US" w:eastAsia="zh-CN"/>
        </w:rPr>
        <w:t>7万元，</w:t>
      </w:r>
      <w:r>
        <w:rPr>
          <w:rFonts w:hint="eastAsia" w:ascii="仿宋_GB2312" w:hAnsi="仿宋_GB2312" w:eastAsia="仿宋_GB2312" w:cs="仿宋_GB2312"/>
          <w:color w:val="000000"/>
          <w:sz w:val="32"/>
          <w:szCs w:val="32"/>
          <w:shd w:val="clear" w:color="auto" w:fill="FFFFFF"/>
          <w:lang w:eastAsia="zh-CN"/>
        </w:rPr>
        <w:t>资金来源全部为财政拨款。</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eastAsia="zh-CN"/>
        </w:rPr>
        <w:t>①</w:t>
      </w:r>
      <w:r>
        <w:rPr>
          <w:rFonts w:hint="eastAsia" w:ascii="仿宋_GB2312" w:hAnsi="仿宋_GB2312" w:eastAsia="仿宋_GB2312" w:cs="仿宋_GB2312"/>
          <w:color w:val="000000"/>
          <w:sz w:val="32"/>
          <w:szCs w:val="32"/>
          <w:shd w:val="clear" w:color="auto" w:fill="FFFFFF"/>
          <w:lang w:eastAsia="zh-CN"/>
        </w:rPr>
        <w:t>本年度安全生产工作经费</w:t>
      </w:r>
      <w:r>
        <w:rPr>
          <w:rFonts w:hint="eastAsia" w:ascii="仿宋_GB2312" w:hAnsi="仿宋_GB2312" w:eastAsia="仿宋_GB2312" w:cs="仿宋_GB2312"/>
          <w:color w:val="000000"/>
          <w:sz w:val="32"/>
          <w:szCs w:val="32"/>
          <w:shd w:val="clear" w:color="auto" w:fill="FFFFFF"/>
        </w:rPr>
        <w:t>实际支出1</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，主要用于</w:t>
      </w:r>
      <w:r>
        <w:rPr>
          <w:rFonts w:hint="eastAsia" w:ascii="仿宋_GB2312" w:hAnsi="仿宋_GB2312" w:eastAsia="仿宋_GB2312" w:cs="仿宋_GB2312"/>
          <w:color w:val="000000"/>
          <w:sz w:val="32"/>
          <w:szCs w:val="32"/>
          <w:shd w:val="clear" w:color="auto" w:fill="FFFFFF"/>
        </w:rPr>
        <w:t>安全生产调度运行监测、分析，</w:t>
      </w:r>
      <w:r>
        <w:rPr>
          <w:rFonts w:hint="eastAsia" w:ascii="仿宋_GB2312" w:hAnsi="仿宋_GB2312" w:eastAsia="仿宋_GB2312" w:cs="仿宋_GB2312"/>
          <w:color w:val="000000"/>
          <w:sz w:val="32"/>
          <w:szCs w:val="32"/>
          <w:shd w:val="clear" w:color="auto" w:fill="FFFFFF"/>
          <w:lang w:eastAsia="zh-CN"/>
        </w:rPr>
        <w:t>安全生产宣传，</w:t>
      </w:r>
      <w:r>
        <w:rPr>
          <w:rFonts w:hint="eastAsia" w:ascii="仿宋_GB2312" w:hAnsi="仿宋_GB2312" w:eastAsia="仿宋_GB2312" w:cs="仿宋_GB2312"/>
          <w:color w:val="000000"/>
          <w:sz w:val="32"/>
          <w:szCs w:val="32"/>
          <w:shd w:val="clear" w:color="auto" w:fill="FFFFFF"/>
        </w:rPr>
        <w:t>开展安全生产大检查。</w:t>
      </w:r>
      <w:r>
        <w:rPr>
          <w:rFonts w:hint="eastAsia" w:ascii="仿宋_GB2312" w:hAnsi="仿宋_GB2312" w:eastAsia="仿宋_GB2312" w:cs="仿宋_GB2312"/>
          <w:color w:val="000000"/>
          <w:sz w:val="32"/>
          <w:szCs w:val="32"/>
          <w:shd w:val="clear" w:color="auto" w:fill="FFFFFF"/>
          <w:lang w:eastAsia="zh-CN"/>
        </w:rPr>
        <w:t>具体支出情况如下：</w:t>
      </w:r>
      <w:r>
        <w:rPr>
          <w:rFonts w:hint="eastAsia" w:ascii="仿宋_GB2312" w:hAnsi="仿宋_GB2312" w:eastAsia="仿宋_GB2312" w:cs="仿宋_GB2312"/>
          <w:color w:val="000000"/>
          <w:sz w:val="32"/>
          <w:szCs w:val="32"/>
          <w:shd w:val="clear" w:color="auto" w:fill="FFFFFF"/>
          <w:lang w:val="en-US" w:eastAsia="zh-CN"/>
        </w:rPr>
        <w:t>办公费1.49万元，印刷费1.52万元，邮电费0.19万元，差旅费0.45万元，会议费0.99万元，招待费1.24万元，其他交通费用1.89万元，其他商品和服务支出2.1万元，其他资本性支出—办公设备购置支出0.13万元。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②</w:t>
      </w:r>
      <w:r>
        <w:rPr>
          <w:rFonts w:hint="eastAsia" w:ascii="仿宋_GB2312" w:hAnsi="仿宋_GB2312" w:eastAsia="仿宋_GB2312" w:cs="仿宋_GB2312"/>
          <w:color w:val="000000"/>
          <w:sz w:val="32"/>
          <w:szCs w:val="32"/>
          <w:shd w:val="clear" w:color="auto" w:fill="FFFFFF"/>
          <w:lang w:eastAsia="zh-CN"/>
        </w:rPr>
        <w:t>本年度入规培育工作经费</w:t>
      </w:r>
      <w:r>
        <w:rPr>
          <w:rFonts w:hint="eastAsia" w:ascii="仿宋_GB2312" w:hAnsi="仿宋_GB2312" w:eastAsia="仿宋_GB2312" w:cs="仿宋_GB2312"/>
          <w:color w:val="000000"/>
          <w:sz w:val="32"/>
          <w:szCs w:val="32"/>
          <w:shd w:val="clear" w:color="auto" w:fill="FFFFFF"/>
        </w:rPr>
        <w:t>实际支出</w:t>
      </w:r>
      <w:r>
        <w:rPr>
          <w:rFonts w:hint="eastAsia" w:ascii="仿宋_GB2312" w:hAnsi="仿宋_GB2312" w:eastAsia="仿宋_GB2312" w:cs="仿宋_GB2312"/>
          <w:color w:val="000000"/>
          <w:sz w:val="32"/>
          <w:szCs w:val="32"/>
          <w:shd w:val="clear" w:color="auto" w:fill="FFFFFF"/>
          <w:lang w:val="en-US" w:eastAsia="zh-CN"/>
        </w:rPr>
        <w:t>6.08</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，主要用于</w:t>
      </w:r>
      <w:r>
        <w:rPr>
          <w:rFonts w:hint="eastAsia" w:ascii="仿宋_GB2312" w:hAnsi="仿宋_GB2312" w:eastAsia="仿宋_GB2312" w:cs="仿宋_GB2312"/>
          <w:color w:val="000000"/>
          <w:sz w:val="32"/>
          <w:szCs w:val="32"/>
          <w:shd w:val="clear" w:color="auto" w:fill="FFFFFF"/>
          <w:lang w:val="en-US" w:eastAsia="zh-CN"/>
        </w:rPr>
        <w:t>为全市黄金生产企业搭建技术服务平台，开展专家现场技术指导、企业技术升级培训等工作。</w:t>
      </w:r>
      <w:r>
        <w:rPr>
          <w:rFonts w:hint="eastAsia" w:ascii="仿宋_GB2312" w:hAnsi="仿宋_GB2312" w:eastAsia="仿宋_GB2312" w:cs="仿宋_GB2312"/>
          <w:color w:val="000000"/>
          <w:sz w:val="32"/>
          <w:szCs w:val="32"/>
          <w:shd w:val="clear" w:color="auto" w:fill="FFFFFF"/>
          <w:lang w:eastAsia="zh-CN"/>
        </w:rPr>
        <w:t>具体支出情况如下：</w:t>
      </w:r>
      <w:r>
        <w:rPr>
          <w:rFonts w:hint="eastAsia" w:ascii="仿宋_GB2312" w:hAnsi="仿宋_GB2312" w:eastAsia="仿宋_GB2312" w:cs="仿宋_GB2312"/>
          <w:color w:val="000000"/>
          <w:sz w:val="32"/>
          <w:szCs w:val="32"/>
          <w:shd w:val="clear" w:color="auto" w:fill="FFFFFF"/>
          <w:lang w:val="en-US" w:eastAsia="zh-CN"/>
        </w:rPr>
        <w:t>差旅费0.42万元，培训费5.04万元，其他交通费用0.37万元，其他商品和服务支出——企业调研，技术咨询指导费0.25万元。</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2、专项资金管理情况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为了更好地规范和使用专项资金，我局结合实际，制定了《市黄金局安全生产工作经费管理办法》。为确保财政资金安全，多次修订完善了《怀化市黄金工业管理局内部管理制度》。进一步加强财务监督，确保专项资金专款专用，每半年对工作开展和经费支出情况进行督促检查，年底进行总结、考核，并及时向局支委会报告预算执行情况，自觉接受全体干部职工的监督。</w:t>
      </w:r>
    </w:p>
    <w:p>
      <w:pPr>
        <w:pStyle w:val="5"/>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资产管理情况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color w:val="000000"/>
          <w:sz w:val="32"/>
          <w:szCs w:val="32"/>
          <w:shd w:val="clear" w:color="auto" w:fill="FFFFFF"/>
          <w:lang w:val="en-US"/>
        </w:rPr>
      </w:pPr>
      <w:r>
        <w:rPr>
          <w:rFonts w:hint="eastAsia" w:ascii="仿宋_GB2312" w:hAnsi="仿宋_GB2312" w:eastAsia="仿宋_GB2312" w:cs="仿宋_GB2312"/>
          <w:color w:val="000000"/>
          <w:sz w:val="32"/>
          <w:szCs w:val="32"/>
          <w:shd w:val="clear" w:color="auto" w:fill="FFFFFF"/>
          <w:lang w:eastAsia="zh-CN"/>
        </w:rPr>
        <w:t>截止到</w:t>
      </w:r>
      <w:r>
        <w:rPr>
          <w:rFonts w:hint="eastAsia" w:ascii="仿宋_GB2312" w:hAnsi="仿宋_GB2312" w:eastAsia="仿宋_GB2312" w:cs="仿宋_GB2312"/>
          <w:color w:val="000000"/>
          <w:sz w:val="32"/>
          <w:szCs w:val="32"/>
          <w:shd w:val="clear" w:color="auto" w:fill="FFFFFF"/>
          <w:lang w:val="en-US" w:eastAsia="zh-CN"/>
        </w:rPr>
        <w:t>2019年12月31日</w:t>
      </w: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资产总额为</w:t>
      </w:r>
      <w:r>
        <w:rPr>
          <w:rFonts w:hint="eastAsia" w:ascii="仿宋_GB2312" w:hAnsi="仿宋_GB2312" w:eastAsia="仿宋_GB2312" w:cs="仿宋_GB2312"/>
          <w:color w:val="000000"/>
          <w:sz w:val="32"/>
          <w:szCs w:val="32"/>
          <w:shd w:val="clear" w:color="auto" w:fill="FFFFFF"/>
          <w:lang w:val="en-US" w:eastAsia="zh-CN"/>
        </w:rPr>
        <w:t>91.45万</w:t>
      </w:r>
      <w:r>
        <w:rPr>
          <w:rFonts w:hint="eastAsia" w:ascii="仿宋_GB2312" w:hAnsi="仿宋_GB2312" w:eastAsia="仿宋_GB2312" w:cs="仿宋_GB2312"/>
          <w:color w:val="000000"/>
          <w:sz w:val="32"/>
          <w:szCs w:val="32"/>
          <w:shd w:val="clear" w:color="auto" w:fill="FFFFFF"/>
        </w:rPr>
        <w:t>元。其中：固定资产</w:t>
      </w:r>
      <w:r>
        <w:rPr>
          <w:rFonts w:hint="eastAsia" w:ascii="仿宋_GB2312" w:hAnsi="仿宋_GB2312" w:eastAsia="仿宋_GB2312" w:cs="仿宋_GB2312"/>
          <w:color w:val="000000"/>
          <w:sz w:val="32"/>
          <w:szCs w:val="32"/>
          <w:shd w:val="clear" w:color="auto" w:fill="FFFFFF"/>
          <w:lang w:val="en-US" w:eastAsia="zh-CN"/>
        </w:rPr>
        <w:t>净值62.06万</w:t>
      </w:r>
      <w:r>
        <w:rPr>
          <w:rFonts w:hint="eastAsia" w:ascii="仿宋_GB2312" w:hAnsi="仿宋_GB2312" w:eastAsia="仿宋_GB2312" w:cs="仿宋_GB2312"/>
          <w:color w:val="000000"/>
          <w:sz w:val="32"/>
          <w:szCs w:val="32"/>
          <w:shd w:val="clear" w:color="auto" w:fill="FFFFFF"/>
        </w:rPr>
        <w:t>元；流动资产</w:t>
      </w:r>
      <w:r>
        <w:rPr>
          <w:rFonts w:hint="eastAsia" w:ascii="仿宋_GB2312" w:hAnsi="仿宋_GB2312" w:eastAsia="仿宋_GB2312" w:cs="仿宋_GB2312"/>
          <w:color w:val="000000"/>
          <w:sz w:val="32"/>
          <w:szCs w:val="32"/>
          <w:shd w:val="clear" w:color="auto" w:fill="FFFFFF"/>
          <w:lang w:val="en-US" w:eastAsia="zh-CN"/>
        </w:rPr>
        <w:t>10.68万</w:t>
      </w:r>
      <w:r>
        <w:rPr>
          <w:rFonts w:hint="eastAsia" w:ascii="仿宋_GB2312" w:hAnsi="仿宋_GB2312" w:eastAsia="仿宋_GB2312" w:cs="仿宋_GB2312"/>
          <w:color w:val="000000"/>
          <w:sz w:val="32"/>
          <w:szCs w:val="32"/>
          <w:shd w:val="clear" w:color="auto" w:fill="FFFFFF"/>
        </w:rPr>
        <w:t>元；无形资产</w:t>
      </w:r>
      <w:r>
        <w:rPr>
          <w:rFonts w:hint="eastAsia" w:ascii="仿宋_GB2312" w:hAnsi="仿宋_GB2312" w:eastAsia="仿宋_GB2312" w:cs="仿宋_GB2312"/>
          <w:color w:val="000000"/>
          <w:sz w:val="32"/>
          <w:szCs w:val="32"/>
          <w:shd w:val="clear" w:color="auto" w:fill="FFFFFF"/>
          <w:lang w:eastAsia="zh-CN"/>
        </w:rPr>
        <w:t>净值</w:t>
      </w:r>
      <w:r>
        <w:rPr>
          <w:rFonts w:hint="eastAsia" w:ascii="仿宋_GB2312" w:hAnsi="仿宋_GB2312" w:eastAsia="仿宋_GB2312" w:cs="仿宋_GB2312"/>
          <w:color w:val="000000"/>
          <w:sz w:val="32"/>
          <w:szCs w:val="32"/>
          <w:shd w:val="clear" w:color="auto" w:fill="FFFFFF"/>
          <w:lang w:val="en-US" w:eastAsia="zh-CN"/>
        </w:rPr>
        <w:t>18.71</w:t>
      </w:r>
      <w:r>
        <w:rPr>
          <w:rFonts w:hint="eastAsia" w:ascii="仿宋_GB2312" w:hAnsi="仿宋_GB2312" w:eastAsia="仿宋_GB2312" w:cs="仿宋_GB2312"/>
          <w:color w:val="000000"/>
          <w:sz w:val="32"/>
          <w:szCs w:val="32"/>
          <w:shd w:val="clear" w:color="auto" w:fill="FFFFFF"/>
          <w:lang w:eastAsia="zh-CN"/>
        </w:rPr>
        <w:t>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按政府会计制度要求，我局对所有的固定资产及无形资产补提了折旧（摊销），其中，固定资产累计折旧</w:t>
      </w:r>
      <w:r>
        <w:rPr>
          <w:rFonts w:hint="eastAsia" w:ascii="仿宋_GB2312" w:hAnsi="仿宋_GB2312" w:eastAsia="仿宋_GB2312" w:cs="仿宋_GB2312"/>
          <w:color w:val="000000"/>
          <w:sz w:val="32"/>
          <w:szCs w:val="32"/>
          <w:shd w:val="clear" w:color="auto" w:fill="FFFFFF"/>
          <w:lang w:val="en-US" w:eastAsia="zh-CN"/>
        </w:rPr>
        <w:t>71.8万元，无形资产累计摊销9.64万元。</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我局</w:t>
      </w:r>
      <w:r>
        <w:rPr>
          <w:rFonts w:hint="eastAsia" w:ascii="仿宋_GB2312" w:hAnsi="仿宋_GB2312" w:eastAsia="仿宋_GB2312" w:cs="仿宋_GB2312"/>
          <w:color w:val="000000"/>
          <w:sz w:val="32"/>
          <w:szCs w:val="32"/>
          <w:shd w:val="clear" w:color="auto" w:fill="FFFFFF"/>
        </w:rPr>
        <w:t>资产的配置、管理、处置等，符合财政部门要求</w:t>
      </w:r>
      <w:r>
        <w:rPr>
          <w:rFonts w:hint="eastAsia" w:ascii="仿宋_GB2312" w:hAnsi="仿宋_GB2312" w:eastAsia="仿宋_GB2312" w:cs="仿宋_GB2312"/>
          <w:color w:val="000000"/>
          <w:sz w:val="32"/>
          <w:szCs w:val="32"/>
          <w:shd w:val="clear" w:color="auto" w:fill="FFFFFF"/>
          <w:lang w:eastAsia="zh-CN"/>
        </w:rPr>
        <w:t>，《怀化市黄金工业管理局内部管理制度》中</w:t>
      </w:r>
      <w:r>
        <w:rPr>
          <w:rFonts w:hint="eastAsia" w:ascii="仿宋_GB2312" w:hAnsi="仿宋_GB2312" w:eastAsia="仿宋_GB2312" w:cs="仿宋_GB2312"/>
          <w:color w:val="000000"/>
          <w:sz w:val="32"/>
          <w:szCs w:val="32"/>
          <w:shd w:val="clear" w:color="auto" w:fill="FFFFFF"/>
        </w:rPr>
        <w:t>明确了</w:t>
      </w:r>
      <w:r>
        <w:rPr>
          <w:rFonts w:hint="eastAsia" w:ascii="仿宋_GB2312" w:hAnsi="仿宋_GB2312" w:eastAsia="仿宋_GB2312" w:cs="仿宋_GB2312"/>
          <w:color w:val="000000"/>
          <w:sz w:val="32"/>
          <w:szCs w:val="32"/>
          <w:shd w:val="clear" w:color="auto" w:fill="FFFFFF"/>
          <w:lang w:eastAsia="zh-CN"/>
        </w:rPr>
        <w:t>资产管理使用</w:t>
      </w:r>
      <w:r>
        <w:rPr>
          <w:rFonts w:hint="eastAsia" w:ascii="仿宋_GB2312" w:hAnsi="仿宋_GB2312" w:eastAsia="仿宋_GB2312" w:cs="仿宋_GB2312"/>
          <w:color w:val="000000"/>
          <w:sz w:val="32"/>
          <w:szCs w:val="32"/>
          <w:shd w:val="clear" w:color="auto" w:fill="FFFFFF"/>
        </w:rPr>
        <w:t>、配置处置的程序等。</w:t>
      </w:r>
      <w:r>
        <w:rPr>
          <w:rFonts w:hint="eastAsia" w:ascii="仿宋_GB2312" w:hAnsi="仿宋_GB2312" w:eastAsia="仿宋_GB2312" w:cs="仿宋_GB2312"/>
          <w:color w:val="000000"/>
          <w:sz w:val="32"/>
          <w:szCs w:val="32"/>
          <w:shd w:val="clear" w:color="auto" w:fill="FFFFFF"/>
          <w:lang w:eastAsia="zh-CN"/>
        </w:rPr>
        <w:t>严格</w:t>
      </w:r>
      <w:r>
        <w:rPr>
          <w:rFonts w:hint="eastAsia" w:ascii="仿宋_GB2312" w:hAnsi="仿宋_GB2312" w:eastAsia="仿宋_GB2312" w:cs="仿宋_GB2312"/>
          <w:color w:val="000000"/>
          <w:sz w:val="32"/>
          <w:szCs w:val="32"/>
          <w:shd w:val="clear" w:color="auto" w:fill="FFFFFF"/>
        </w:rPr>
        <w:t>贯彻执行财政关于加强资产管理</w:t>
      </w:r>
      <w:r>
        <w:rPr>
          <w:rFonts w:hint="eastAsia" w:ascii="仿宋_GB2312" w:hAnsi="仿宋_GB2312" w:eastAsia="仿宋_GB2312" w:cs="仿宋_GB2312"/>
          <w:color w:val="000000"/>
          <w:sz w:val="32"/>
          <w:szCs w:val="32"/>
          <w:shd w:val="clear" w:color="auto" w:fill="FFFFFF"/>
          <w:lang w:eastAsia="zh-CN"/>
        </w:rPr>
        <w:t>的相关</w:t>
      </w:r>
      <w:r>
        <w:rPr>
          <w:rFonts w:hint="eastAsia" w:ascii="仿宋_GB2312" w:hAnsi="仿宋_GB2312" w:eastAsia="仿宋_GB2312" w:cs="仿宋_GB2312"/>
          <w:color w:val="000000"/>
          <w:sz w:val="32"/>
          <w:szCs w:val="32"/>
          <w:shd w:val="clear" w:color="auto" w:fill="FFFFFF"/>
        </w:rPr>
        <w:t>文件，资产配置</w:t>
      </w:r>
      <w:r>
        <w:rPr>
          <w:rFonts w:hint="eastAsia" w:ascii="仿宋_GB2312" w:hAnsi="仿宋_GB2312" w:eastAsia="仿宋_GB2312" w:cs="仿宋_GB2312"/>
          <w:color w:val="000000"/>
          <w:sz w:val="32"/>
          <w:szCs w:val="32"/>
          <w:shd w:val="clear" w:color="auto" w:fill="FFFFFF"/>
          <w:lang w:eastAsia="zh-CN"/>
        </w:rPr>
        <w:t>执行</w:t>
      </w:r>
      <w:r>
        <w:rPr>
          <w:rFonts w:hint="eastAsia" w:ascii="仿宋_GB2312" w:hAnsi="仿宋_GB2312" w:eastAsia="仿宋_GB2312" w:cs="仿宋_GB2312"/>
          <w:color w:val="000000"/>
          <w:sz w:val="32"/>
          <w:szCs w:val="32"/>
          <w:shd w:val="clear" w:color="auto" w:fill="FFFFFF"/>
        </w:rPr>
        <w:t>审批</w:t>
      </w:r>
      <w:r>
        <w:rPr>
          <w:rFonts w:hint="eastAsia" w:ascii="仿宋_GB2312" w:hAnsi="仿宋_GB2312" w:eastAsia="仿宋_GB2312" w:cs="仿宋_GB2312"/>
          <w:color w:val="000000"/>
          <w:sz w:val="32"/>
          <w:szCs w:val="32"/>
          <w:shd w:val="clear" w:color="auto" w:fill="FFFFFF"/>
          <w:lang w:eastAsia="zh-CN"/>
        </w:rPr>
        <w:t>程序，</w:t>
      </w:r>
      <w:r>
        <w:rPr>
          <w:rFonts w:hint="eastAsia" w:ascii="仿宋_GB2312" w:hAnsi="仿宋_GB2312" w:eastAsia="仿宋_GB2312" w:cs="仿宋_GB2312"/>
          <w:color w:val="000000"/>
          <w:sz w:val="32"/>
          <w:szCs w:val="32"/>
          <w:shd w:val="clear" w:color="auto" w:fill="FFFFFF"/>
        </w:rPr>
        <w:t>资产处置履行报批制度。</w:t>
      </w:r>
    </w:p>
    <w:p>
      <w:pPr>
        <w:pStyle w:val="5"/>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部门整体支出绩效情况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b/>
          <w:bCs w:val="0"/>
          <w:color w:val="333333"/>
        </w:rPr>
      </w:pPr>
      <w:r>
        <w:rPr>
          <w:rFonts w:hint="eastAsia" w:ascii="仿宋_GB2312" w:hAnsi="仿宋_GB2312" w:eastAsia="仿宋_GB2312" w:cs="仿宋_GB2312"/>
          <w:b/>
          <w:bCs w:val="0"/>
          <w:color w:val="000000"/>
          <w:sz w:val="32"/>
          <w:szCs w:val="32"/>
          <w:shd w:val="clear" w:color="auto" w:fill="FFFFFF"/>
          <w:lang w:val="en-US" w:eastAsia="zh-CN"/>
        </w:rPr>
        <w:t>（一）经济性分析</w:t>
      </w:r>
    </w:p>
    <w:p>
      <w:pPr>
        <w:pStyle w:val="5"/>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预算配置：</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lang w:val="en-US" w:eastAsia="zh-CN"/>
        </w:rPr>
      </w:pPr>
      <w:r>
        <w:rPr>
          <w:rFonts w:ascii="仿宋_GB2312" w:hAnsi="微软雅黑" w:eastAsia="仿宋_GB2312" w:cs="仿宋_GB2312"/>
          <w:color w:val="333333"/>
          <w:sz w:val="32"/>
          <w:szCs w:val="32"/>
          <w:shd w:val="clear" w:fill="FFFFFF"/>
        </w:rPr>
        <w:t>201</w:t>
      </w:r>
      <w:r>
        <w:rPr>
          <w:rFonts w:hint="eastAsia" w:ascii="仿宋_GB2312" w:hAnsi="微软雅黑" w:eastAsia="仿宋_GB2312" w:cs="仿宋_GB2312"/>
          <w:color w:val="333333"/>
          <w:sz w:val="32"/>
          <w:szCs w:val="32"/>
          <w:shd w:val="clear" w:fill="FFFFFF"/>
          <w:lang w:val="en-US" w:eastAsia="zh-CN"/>
        </w:rPr>
        <w:t>9</w:t>
      </w:r>
      <w:r>
        <w:rPr>
          <w:rFonts w:hint="eastAsia" w:ascii="仿宋_GB2312" w:hAnsi="微软雅黑" w:eastAsia="仿宋_GB2312" w:cs="仿宋_GB2312"/>
          <w:color w:val="333333"/>
          <w:sz w:val="32"/>
          <w:szCs w:val="32"/>
          <w:shd w:val="clear" w:fill="FFFFFF"/>
        </w:rPr>
        <w:t>年</w:t>
      </w:r>
      <w:r>
        <w:rPr>
          <w:rFonts w:hint="eastAsia" w:ascii="仿宋_GB2312" w:hAnsi="微软雅黑" w:eastAsia="仿宋_GB2312" w:cs="仿宋_GB2312"/>
          <w:color w:val="333333"/>
          <w:sz w:val="32"/>
          <w:szCs w:val="32"/>
          <w:shd w:val="clear" w:fill="FFFFFF"/>
          <w:lang w:eastAsia="zh-CN"/>
        </w:rPr>
        <w:t>我局人员编制数</w:t>
      </w:r>
      <w:r>
        <w:rPr>
          <w:rFonts w:hint="eastAsia" w:ascii="仿宋_GB2312" w:hAnsi="微软雅黑" w:eastAsia="仿宋_GB2312" w:cs="仿宋_GB2312"/>
          <w:color w:val="333333"/>
          <w:sz w:val="32"/>
          <w:szCs w:val="32"/>
          <w:shd w:val="clear" w:fill="FFFFFF"/>
          <w:lang w:val="en-US" w:eastAsia="zh-CN"/>
        </w:rPr>
        <w:t>10人，在职人员10人，在职人员控制率100%，无超编现象。</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eastAsia="仿宋_GB2312"/>
          <w:color w:val="333333"/>
          <w:lang w:val="en-US" w:eastAsia="zh-CN"/>
        </w:rPr>
      </w:pPr>
      <w:r>
        <w:rPr>
          <w:rFonts w:hint="eastAsia" w:ascii="仿宋_GB2312" w:hAnsi="微软雅黑" w:eastAsia="仿宋_GB2312" w:cs="仿宋_GB2312"/>
          <w:color w:val="333333"/>
          <w:sz w:val="32"/>
          <w:szCs w:val="32"/>
          <w:shd w:val="clear" w:fill="FFFFFF"/>
          <w:lang w:val="en-US" w:eastAsia="zh-CN"/>
        </w:rPr>
        <w:t>2019年</w:t>
      </w:r>
      <w:r>
        <w:rPr>
          <w:rFonts w:hint="eastAsia" w:ascii="仿宋_GB2312" w:hAnsi="微软雅黑" w:eastAsia="仿宋_GB2312" w:cs="仿宋_GB2312"/>
          <w:color w:val="333333"/>
          <w:sz w:val="32"/>
          <w:szCs w:val="32"/>
          <w:shd w:val="clear" w:fill="FFFFFF"/>
        </w:rPr>
        <w:t>“三公经费”预算数</w:t>
      </w:r>
      <w:r>
        <w:rPr>
          <w:rFonts w:hint="eastAsia" w:ascii="仿宋_GB2312" w:hAnsi="微软雅黑" w:eastAsia="仿宋_GB2312" w:cs="仿宋_GB2312"/>
          <w:color w:val="333333"/>
          <w:sz w:val="32"/>
          <w:szCs w:val="32"/>
          <w:shd w:val="clear" w:fill="FFFFFF"/>
          <w:lang w:val="en-US" w:eastAsia="zh-CN"/>
        </w:rPr>
        <w:t>1.7</w:t>
      </w:r>
      <w:r>
        <w:rPr>
          <w:rFonts w:hint="eastAsia" w:ascii="仿宋_GB2312" w:hAnsi="微软雅黑" w:eastAsia="仿宋_GB2312" w:cs="仿宋_GB2312"/>
          <w:color w:val="333333"/>
          <w:sz w:val="32"/>
          <w:szCs w:val="32"/>
          <w:shd w:val="clear" w:fill="FFFFFF"/>
        </w:rPr>
        <w:t>万元，</w:t>
      </w:r>
      <w:r>
        <w:rPr>
          <w:rFonts w:hint="eastAsia" w:ascii="仿宋_GB2312" w:hAnsi="微软雅黑" w:eastAsia="仿宋_GB2312" w:cs="仿宋_GB2312"/>
          <w:color w:val="333333"/>
          <w:sz w:val="32"/>
          <w:szCs w:val="32"/>
          <w:shd w:val="clear" w:fill="FFFFFF"/>
          <w:lang w:val="en-US" w:eastAsia="zh-CN"/>
        </w:rPr>
        <w:t>2018年“三公”经费预算数为2万元，本年度“三公”经费变动率为-15%。</w:t>
      </w:r>
    </w:p>
    <w:p>
      <w:pPr>
        <w:pStyle w:val="5"/>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预算执行：</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2019年我局支出年初预算数为127.77万元，上年结转2.78万元，本年追加预算9万元，年末结余资金5万元，本年预算完成率为96.42%，预算控制率为7.04%。</w:t>
      </w:r>
    </w:p>
    <w:p>
      <w:pPr>
        <w:pStyle w:val="5"/>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预算管理：</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公用经费支出是指基本支出中的一般商品和服务支出，本年我局实际公用经费支出13.11万元，预算安排公用经费32.06万元，公用经费控制率为40.9%。</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2019年“三公”经费实际支出数为1.24万元，本年预算安排数为1.7万元，“三公”经费控制率为73.19%。</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default"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4、财务制度建设方面：</w:t>
      </w:r>
    </w:p>
    <w:p>
      <w:pPr>
        <w:pStyle w:val="5"/>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我局顺应财务制度要求，</w:t>
      </w:r>
      <w:r>
        <w:rPr>
          <w:rFonts w:hint="eastAsia" w:ascii="仿宋_GB2312" w:hAnsi="仿宋_GB2312" w:eastAsia="仿宋_GB2312" w:cs="仿宋_GB2312"/>
          <w:color w:val="000000"/>
          <w:sz w:val="32"/>
          <w:szCs w:val="32"/>
          <w:shd w:val="clear" w:color="auto" w:fill="FFFFFF"/>
        </w:rPr>
        <w:t>有较健全的财务制度、会计核算制度等管理制度</w:t>
      </w:r>
      <w:r>
        <w:rPr>
          <w:rFonts w:hint="eastAsia" w:ascii="仿宋_GB2312" w:hAnsi="仿宋_GB2312" w:eastAsia="仿宋_GB2312" w:cs="仿宋_GB2312"/>
          <w:color w:val="000000"/>
          <w:sz w:val="32"/>
          <w:szCs w:val="32"/>
          <w:shd w:val="clear" w:color="auto" w:fill="FFFFFF"/>
          <w:lang w:eastAsia="zh-CN"/>
        </w:rPr>
        <w:t>，并多次完善、修订了《怀化市黄金工业管理局内部管理制度》、《怀化市黄金工业管理局例行节约制度》等，</w:t>
      </w:r>
      <w:r>
        <w:rPr>
          <w:rFonts w:hint="eastAsia" w:ascii="仿宋_GB2312" w:hAnsi="仿宋_GB2312" w:eastAsia="仿宋_GB2312" w:cs="仿宋_GB2312"/>
          <w:color w:val="000000"/>
          <w:sz w:val="32"/>
          <w:szCs w:val="32"/>
          <w:shd w:val="clear" w:color="auto" w:fill="FFFFFF"/>
        </w:rPr>
        <w:t>相关</w:t>
      </w:r>
      <w:r>
        <w:rPr>
          <w:rFonts w:hint="eastAsia" w:ascii="仿宋_GB2312" w:hAnsi="仿宋_GB2312" w:eastAsia="仿宋_GB2312" w:cs="仿宋_GB2312"/>
          <w:color w:val="000000"/>
          <w:sz w:val="32"/>
          <w:szCs w:val="32"/>
          <w:shd w:val="clear" w:color="auto" w:fill="FFFFFF"/>
          <w:lang w:eastAsia="zh-CN"/>
        </w:rPr>
        <w:t>财务</w:t>
      </w:r>
      <w:r>
        <w:rPr>
          <w:rFonts w:hint="eastAsia" w:ascii="仿宋_GB2312" w:hAnsi="仿宋_GB2312" w:eastAsia="仿宋_GB2312" w:cs="仿宋_GB2312"/>
          <w:color w:val="000000"/>
          <w:sz w:val="32"/>
          <w:szCs w:val="32"/>
          <w:shd w:val="clear" w:color="auto" w:fill="FFFFFF"/>
        </w:rPr>
        <w:t>管理制度合法、合规、完整，并得到了有效执行。</w:t>
      </w:r>
    </w:p>
    <w:p>
      <w:pPr>
        <w:pStyle w:val="5"/>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资金使用合规：</w:t>
      </w:r>
      <w:r>
        <w:rPr>
          <w:rFonts w:hint="eastAsia" w:ascii="仿宋_GB2312" w:hAnsi="仿宋_GB2312" w:eastAsia="仿宋_GB2312" w:cs="仿宋_GB2312"/>
          <w:color w:val="000000"/>
          <w:sz w:val="32"/>
          <w:szCs w:val="32"/>
          <w:shd w:val="clear" w:color="auto" w:fill="FFFFFF"/>
        </w:rPr>
        <w:t>资金的拨付和支出严格按照相关规定，没有违规现象。</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预决算信息及时公开：</w:t>
      </w: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无门户网站，本</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预决算信息均按规定内容、规定时限委托市财政局进行公开</w:t>
      </w:r>
      <w:r>
        <w:rPr>
          <w:rFonts w:hint="eastAsia" w:ascii="仿宋_GB2312" w:hAnsi="仿宋_GB2312" w:eastAsia="仿宋_GB2312" w:cs="仿宋_GB2312"/>
          <w:color w:val="000000"/>
          <w:sz w:val="32"/>
          <w:szCs w:val="32"/>
          <w:shd w:val="clear" w:color="auto" w:fill="FFFFFF"/>
          <w:lang w:eastAsia="zh-CN"/>
        </w:rPr>
        <w:t>，年度部门整体支出绩效自评报告委托市工信局进行公开</w:t>
      </w:r>
      <w:r>
        <w:rPr>
          <w:rFonts w:hint="eastAsia" w:ascii="仿宋_GB2312" w:hAnsi="仿宋_GB2312" w:eastAsia="仿宋_GB2312" w:cs="仿宋_GB2312"/>
          <w:color w:val="000000"/>
          <w:sz w:val="32"/>
          <w:szCs w:val="32"/>
          <w:shd w:val="clear" w:color="auto" w:fill="FFFFFF"/>
        </w:rPr>
        <w:t>。基础数据信息和会计信息资料真实、完整、准确。</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741" w:leftChars="0" w:right="0" w:rightChars="0"/>
        <w:jc w:val="left"/>
        <w:textAlignment w:val="auto"/>
        <w:outlineLvl w:val="9"/>
        <w:rPr>
          <w:rFonts w:hint="eastAsia"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（二）效率性分析</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0" w:firstLineChars="1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lang w:eastAsia="zh-CN"/>
        </w:rPr>
        <w:t>主要经济指标完成情况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超额完成黄金年度生产目标。黄金产量持续增长，全市累计生产黄金38411.6公斤，同比增长4.62%。技改投入力度加大，本年度完成技改投入21420.75万元，同比增长50.88%。经济效益持续提升，黄金行业累计实现销售收入1159590.18万元，同比增长2.31%。</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0" w:firstLineChars="1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lang w:eastAsia="zh-CN"/>
        </w:rPr>
        <w:t>安全生产管理情况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加强黄金矿山安全生产管理。全市黄金行业安全生产投入8376.39万元，同比增长2.27%，全年未发生伤亡事故和重伤事故，也未发生任何重大经济损失的生产性事故，呈现良好的安全态势。</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①加大宣传教育，提高防范意识。2019年6月1日至6月30日，在生产黄金的相关县(市)及所属黄金企业开展了以“生命至上、安全发展”为主题的“安全生产月”宣传活动，并为各企业发放了我局编制的《有限空间作业安全科普》《常见事故伤害急救自救互救》宣传册，共计1000多册，大力宣传安全生产法律法规和安全科普知识，进一步筑牢企业安全生产红线意识。</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②加大检查力度，全面排查隐患。2019年10月至11月对全市黄金企业进行了安全生产大检查、大排查工作，对8家矿山企业进行现场督查，提出了有效意见和建议，有效弥补了矿山日常安全管理中存在的盲点漏洞，实现行业全年较大安全生产事故为零。    </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Chars="200" w:right="0" w:rightChars="0" w:firstLine="320" w:firstLineChars="1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3、特色工作完成情况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为了进一步加快黄金企业转型升级，促进企业做大做强，我局加强了调研和技术指导力度。一是充分挖潜，降本增效，实施精细化管理。如部分黄金矿山选厂入磨粒度过大，没有很好贯彻“多碎少磨”原则，导致选矿成本过高问题。通过和管理层沟通，调整二碎设备，增加闭路筛分来解决；二是针对矿山技术力量和技术人才薄弱的情况，开展培训。我市黄金矿山大部分面临保有储量不足，勘探缺乏突破的问题。我局于9月24日在怀化市迎宾馆举办了黄金企业入规培育培训班，聘请地质高工就怀化地区金矿成矿规律及找矿方向为企业答疑解惑；三是在提高产品质量和资源综合回收利用上寻求突破。我市大部分黄金企业存在金精矿品位偏低和尾矿库安全、环保、库容压力大的问题。我局就此问题和相关专家、企业主要负责人进行了多次的沟通和探讨，就金精矿再磨再选提高品位和尾矿综合回收二氧化硅变废为宝达成了共识并形成了初步实施方案。</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0" w:firstLineChars="1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4、脱贫攻坚工作完成情况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根据市委、市政府的统一安排部署，我局继续承担芷江县禾梨坳乡高塘坡村2019年精准扶贫工作。一年来，我局以习近平总书记关于精准扶贫的一系列重要讲话和指示精神为指导，以发展特色产业-柑桔种植业为主要抓手，完善基础设施建设，经过不懈努力，我局精准扶贫村村民生活水平有了很大改善，文化素质得到大幅度提高，全村经济得到迅速发展。2019年，除2户2人外，其余贫困户全部脱贫摘帽。我局全力保障扶贫经费，协调村委向财政成功申请了2万元扶贫资金，弥补了村级建设资金的不足。为保障扶贫工作的顺利开展，按文件要求保障了扶贫队员的各种待遇，本年度扶贫支出34057.7元，其中扶贫工作经费5000元，工作队员生活补助25700元，交通补助497元，通讯补助2400元，扶贫工作队员意外保险费460.7元。</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1" w:firstLineChars="1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（三）有效性分析</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rPr>
      </w:pPr>
      <w:r>
        <w:rPr>
          <w:rFonts w:hint="eastAsia" w:ascii="仿宋_GB2312" w:hAnsi="微软雅黑" w:eastAsia="仿宋_GB2312" w:cs="仿宋_GB2312"/>
          <w:color w:val="333333"/>
          <w:sz w:val="32"/>
          <w:szCs w:val="32"/>
          <w:shd w:val="clear" w:fill="FFFFFF"/>
          <w:lang w:val="en-US" w:eastAsia="zh-CN"/>
        </w:rPr>
        <w:t>2019年</w:t>
      </w:r>
      <w:r>
        <w:rPr>
          <w:rFonts w:hint="eastAsia" w:ascii="仿宋_GB2312" w:hAnsi="微软雅黑" w:eastAsia="仿宋_GB2312" w:cs="仿宋_GB2312"/>
          <w:color w:val="333333"/>
          <w:sz w:val="32"/>
          <w:szCs w:val="32"/>
          <w:shd w:val="clear" w:fill="FFFFFF"/>
        </w:rPr>
        <w:t>，我</w:t>
      </w:r>
      <w:r>
        <w:rPr>
          <w:rFonts w:hint="eastAsia" w:ascii="仿宋_GB2312" w:hAnsi="微软雅黑" w:eastAsia="仿宋_GB2312" w:cs="仿宋_GB2312"/>
          <w:color w:val="333333"/>
          <w:sz w:val="32"/>
          <w:szCs w:val="32"/>
          <w:shd w:val="clear" w:fill="FFFFFF"/>
          <w:lang w:eastAsia="zh-CN"/>
        </w:rPr>
        <w:t>局</w:t>
      </w:r>
      <w:r>
        <w:rPr>
          <w:rFonts w:hint="eastAsia" w:ascii="仿宋_GB2312" w:hAnsi="微软雅黑" w:eastAsia="仿宋_GB2312" w:cs="仿宋_GB2312"/>
          <w:color w:val="333333"/>
          <w:sz w:val="32"/>
          <w:szCs w:val="32"/>
          <w:shd w:val="clear" w:fill="FFFFFF"/>
        </w:rPr>
        <w:t>全面贯彻落实</w:t>
      </w:r>
      <w:r>
        <w:rPr>
          <w:rFonts w:hint="eastAsia" w:ascii="仿宋_GB2312" w:hAnsi="微软雅黑" w:eastAsia="仿宋_GB2312" w:cs="仿宋_GB2312"/>
          <w:color w:val="333333"/>
          <w:sz w:val="32"/>
          <w:szCs w:val="32"/>
          <w:shd w:val="clear" w:fill="FFFFFF"/>
          <w:lang w:eastAsia="zh-CN"/>
        </w:rPr>
        <w:t>党的十九大</w:t>
      </w:r>
      <w:r>
        <w:rPr>
          <w:rFonts w:hint="eastAsia" w:ascii="仿宋_GB2312" w:hAnsi="微软雅黑" w:eastAsia="仿宋_GB2312" w:cs="仿宋_GB2312"/>
          <w:color w:val="333333"/>
          <w:sz w:val="32"/>
          <w:szCs w:val="32"/>
          <w:shd w:val="clear" w:fill="FFFFFF"/>
        </w:rPr>
        <w:t>精神，按照</w:t>
      </w:r>
      <w:r>
        <w:rPr>
          <w:rFonts w:hint="eastAsia" w:ascii="仿宋_GB2312" w:hAnsi="微软雅黑" w:eastAsia="仿宋_GB2312" w:cs="仿宋_GB2312"/>
          <w:color w:val="333333"/>
          <w:sz w:val="32"/>
          <w:szCs w:val="32"/>
          <w:shd w:val="clear" w:fill="FFFFFF"/>
          <w:lang w:eastAsia="zh-CN"/>
        </w:rPr>
        <w:t>市委、市政府相关</w:t>
      </w:r>
      <w:r>
        <w:rPr>
          <w:rFonts w:hint="eastAsia" w:ascii="仿宋_GB2312" w:hAnsi="微软雅黑" w:eastAsia="仿宋_GB2312" w:cs="仿宋_GB2312"/>
          <w:color w:val="333333"/>
          <w:sz w:val="32"/>
          <w:szCs w:val="32"/>
          <w:shd w:val="clear" w:fill="FFFFFF"/>
        </w:rPr>
        <w:t>工作要求，精心谋划，</w:t>
      </w:r>
      <w:r>
        <w:rPr>
          <w:rFonts w:ascii="仿宋_GB2312" w:hAnsi="微软雅黑" w:eastAsia="仿宋_GB2312" w:cs="仿宋_GB2312"/>
          <w:color w:val="333333"/>
          <w:sz w:val="32"/>
          <w:szCs w:val="32"/>
          <w:shd w:val="clear" w:fill="FFFFFF"/>
        </w:rPr>
        <w:t>通过</w:t>
      </w:r>
      <w:r>
        <w:rPr>
          <w:rFonts w:hint="eastAsia" w:ascii="仿宋_GB2312" w:hAnsi="微软雅黑" w:eastAsia="仿宋_GB2312" w:cs="仿宋_GB2312"/>
          <w:color w:val="333333"/>
          <w:sz w:val="32"/>
          <w:szCs w:val="32"/>
          <w:shd w:val="clear" w:fill="FFFFFF"/>
        </w:rPr>
        <w:t>强化部署，强化措施，强化督查，强化落实</w:t>
      </w:r>
      <w:r>
        <w:rPr>
          <w:rFonts w:hint="eastAsia" w:ascii="仿宋_GB2312" w:hAnsi="微软雅黑" w:eastAsia="仿宋_GB2312" w:cs="仿宋_GB2312"/>
          <w:color w:val="333333"/>
          <w:sz w:val="32"/>
          <w:szCs w:val="32"/>
          <w:shd w:val="clear" w:fill="FFFFFF"/>
          <w:lang w:eastAsia="zh-CN"/>
        </w:rPr>
        <w:t>的有效手段</w:t>
      </w:r>
      <w:r>
        <w:rPr>
          <w:rFonts w:hint="eastAsia" w:ascii="仿宋_GB2312" w:hAnsi="微软雅黑" w:eastAsia="仿宋_GB2312" w:cs="仿宋_GB2312"/>
          <w:color w:val="333333"/>
          <w:sz w:val="32"/>
          <w:szCs w:val="32"/>
          <w:shd w:val="clear" w:fill="FFFFFF"/>
        </w:rPr>
        <w:t>，</w:t>
      </w:r>
      <w:r>
        <w:rPr>
          <w:rFonts w:hint="eastAsia" w:ascii="仿宋_GB2312" w:hAnsi="微软雅黑" w:eastAsia="仿宋_GB2312" w:cs="仿宋_GB2312"/>
          <w:color w:val="333333"/>
          <w:sz w:val="32"/>
          <w:szCs w:val="32"/>
          <w:shd w:val="clear" w:fill="FFFFFF"/>
          <w:lang w:eastAsia="zh-CN"/>
        </w:rPr>
        <w:t>以及</w:t>
      </w:r>
      <w:r>
        <w:rPr>
          <w:rFonts w:ascii="仿宋_GB2312" w:hAnsi="微软雅黑" w:eastAsia="仿宋_GB2312" w:cs="仿宋_GB2312"/>
          <w:color w:val="333333"/>
          <w:sz w:val="32"/>
          <w:szCs w:val="32"/>
          <w:shd w:val="clear" w:fill="FFFFFF"/>
        </w:rPr>
        <w:t>财政资金的有效保障，</w:t>
      </w:r>
      <w:r>
        <w:rPr>
          <w:rFonts w:hint="eastAsia" w:ascii="仿宋_GB2312" w:hAnsi="微软雅黑" w:eastAsia="仿宋_GB2312" w:cs="仿宋_GB2312"/>
          <w:color w:val="333333"/>
          <w:sz w:val="32"/>
          <w:szCs w:val="32"/>
          <w:shd w:val="clear" w:fill="FFFFFF"/>
        </w:rPr>
        <w:t>扎实推进年度</w:t>
      </w:r>
      <w:r>
        <w:rPr>
          <w:rFonts w:hint="eastAsia" w:ascii="仿宋_GB2312" w:hAnsi="微软雅黑" w:eastAsia="仿宋_GB2312" w:cs="仿宋_GB2312"/>
          <w:color w:val="333333"/>
          <w:sz w:val="32"/>
          <w:szCs w:val="32"/>
          <w:shd w:val="clear" w:fill="FFFFFF"/>
          <w:lang w:eastAsia="zh-CN"/>
        </w:rPr>
        <w:t>各项</w:t>
      </w:r>
      <w:r>
        <w:rPr>
          <w:rFonts w:hint="eastAsia" w:ascii="仿宋_GB2312" w:hAnsi="微软雅黑" w:eastAsia="仿宋_GB2312" w:cs="仿宋_GB2312"/>
          <w:color w:val="333333"/>
          <w:sz w:val="32"/>
          <w:szCs w:val="32"/>
          <w:shd w:val="clear" w:fill="FFFFFF"/>
        </w:rPr>
        <w:t>目标任务，较好地完成了各项工作。</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lang w:val="en-US" w:eastAsia="zh-CN"/>
        </w:rPr>
      </w:pPr>
      <w:r>
        <w:rPr>
          <w:rFonts w:hint="eastAsia" w:ascii="仿宋_GB2312" w:hAnsi="微软雅黑" w:eastAsia="仿宋_GB2312" w:cs="仿宋_GB2312"/>
          <w:color w:val="333333"/>
          <w:sz w:val="32"/>
          <w:szCs w:val="32"/>
          <w:shd w:val="clear" w:fill="FFFFFF"/>
          <w:lang w:val="en-US" w:eastAsia="zh-CN"/>
        </w:rPr>
        <w:t>根据部门整体支出绩效评价指标体系，市黄金局2019年绩效自评得分93分。</w:t>
      </w:r>
    </w:p>
    <w:p>
      <w:pPr>
        <w:pStyle w:val="5"/>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存在的主要问题</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color w:val="000000"/>
          <w:sz w:val="32"/>
          <w:szCs w:val="32"/>
          <w:shd w:val="clear" w:color="auto" w:fill="FFFFFF"/>
          <w:lang w:val="en-US" w:eastAsia="zh-CN"/>
        </w:rPr>
        <w:t>预算编制粗糙，预算执行存在差异。预算编制执行过程中年初预算无法准确编实，</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eastAsia="zh-CN"/>
        </w:rPr>
        <w:t>严格</w:t>
      </w:r>
      <w:r>
        <w:rPr>
          <w:rFonts w:hint="eastAsia" w:ascii="仿宋_GB2312" w:hAnsi="仿宋_GB2312" w:eastAsia="仿宋_GB2312" w:cs="仿宋_GB2312"/>
          <w:sz w:val="32"/>
          <w:szCs w:val="32"/>
        </w:rPr>
        <w:t>按批复的预算安排支出、超预算指标安排预算支出</w:t>
      </w:r>
      <w:r>
        <w:rPr>
          <w:rFonts w:hint="eastAsia" w:ascii="仿宋_GB2312" w:hAnsi="仿宋_GB2312" w:eastAsia="仿宋_GB2312" w:cs="仿宋_GB2312"/>
          <w:sz w:val="32"/>
          <w:szCs w:val="32"/>
          <w:lang w:eastAsia="zh-CN"/>
        </w:rPr>
        <w:t>。</w:t>
      </w:r>
    </w:p>
    <w:p>
      <w:pPr>
        <w:pStyle w:val="5"/>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改进措施及建议</w:t>
      </w:r>
    </w:p>
    <w:p>
      <w:pPr>
        <w:pStyle w:val="5"/>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eastAsia="zh-CN"/>
        </w:rPr>
        <w:t>在以后的工作中，我单位将按照单位实际情况合理编制预算，全面把握预算编制政策，细化预算编制，进一步完善和提高预算编制的科学性和合理性。</w:t>
      </w:r>
    </w:p>
    <w:p>
      <w:pPr>
        <w:pStyle w:val="5"/>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加强内控建设，完善内部管理制度，严格执行新会计制度提升资金效益，防范财务风险，进一步规范资金管理，提高财政资金使用效益。</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440" w:firstLineChars="1700"/>
        <w:jc w:val="left"/>
        <w:textAlignment w:val="auto"/>
        <w:outlineLvl w:val="9"/>
        <w:rPr>
          <w:rFonts w:hint="eastAsia" w:ascii="仿宋_GB2312" w:hAnsi="仿宋_GB2312" w:eastAsia="仿宋_GB2312" w:cs="仿宋_GB2312"/>
          <w:color w:val="000000"/>
          <w:sz w:val="32"/>
          <w:szCs w:val="32"/>
          <w:shd w:val="clear" w:color="auto" w:fill="FFFFFF"/>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440" w:firstLineChars="17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怀化市黄金工业管理局</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1" w:line="400" w:lineRule="exact"/>
        <w:ind w:firstLine="5760" w:firstLineChars="1800"/>
        <w:jc w:val="left"/>
        <w:textAlignment w:val="auto"/>
        <w:outlineLvl w:val="9"/>
        <w:rPr>
          <w:rFonts w:hint="eastAsia" w:ascii="楷体_GB2312" w:hAnsi="楷体_GB2312" w:eastAsia="楷体_GB2312" w:cs="楷体_GB2312"/>
          <w:sz w:val="32"/>
          <w:szCs w:val="32"/>
        </w:rPr>
      </w:pP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8</w:t>
      </w:r>
      <w:r>
        <w:rPr>
          <w:rFonts w:hint="eastAsia" w:ascii="仿宋_GB2312" w:hAnsi="仿宋_GB2312" w:eastAsia="仿宋_GB2312" w:cs="仿宋_GB2312"/>
          <w:color w:val="000000"/>
          <w:sz w:val="32"/>
          <w:szCs w:val="32"/>
          <w:shd w:val="clear" w:color="auto" w:fill="FFFFFF"/>
        </w:rPr>
        <w:t>月</w:t>
      </w:r>
      <w:r>
        <w:rPr>
          <w:rFonts w:hint="eastAsia" w:ascii="仿宋_GB2312" w:hAnsi="仿宋_GB2312" w:eastAsia="仿宋_GB2312" w:cs="仿宋_GB2312"/>
          <w:color w:val="000000"/>
          <w:sz w:val="32"/>
          <w:szCs w:val="32"/>
          <w:shd w:val="clear" w:color="auto" w:fill="FFFFFF"/>
          <w:lang w:val="en-US" w:eastAsia="zh-CN"/>
        </w:rPr>
        <w:t>28</w:t>
      </w:r>
      <w:r>
        <w:rPr>
          <w:rFonts w:hint="eastAsia" w:ascii="仿宋_GB2312" w:hAnsi="仿宋_GB2312" w:eastAsia="仿宋_GB2312" w:cs="仿宋_GB2312"/>
          <w:color w:val="000000"/>
          <w:sz w:val="32"/>
          <w:szCs w:val="32"/>
          <w:shd w:val="clear" w:color="auto" w:fill="FFFFFF"/>
        </w:rPr>
        <w:t>日</w:t>
      </w:r>
    </w:p>
    <w:sectPr>
      <w:headerReference r:id="rId3" w:type="default"/>
      <w:footerReference r:id="rId5" w:type="default"/>
      <w:headerReference r:id="rId4" w:type="even"/>
      <w:pgSz w:w="11906" w:h="16838"/>
      <w:pgMar w:top="1100" w:right="1236" w:bottom="1327" w:left="1236" w:header="851" w:footer="116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2A28F"/>
    <w:multiLevelType w:val="singleLevel"/>
    <w:tmpl w:val="8022A28F"/>
    <w:lvl w:ilvl="0" w:tentative="0">
      <w:start w:val="2"/>
      <w:numFmt w:val="chineseCounting"/>
      <w:suff w:val="nothing"/>
      <w:lvlText w:val="（%1）"/>
      <w:lvlJc w:val="left"/>
      <w:rPr>
        <w:rFonts w:hint="eastAsia"/>
      </w:rPr>
    </w:lvl>
  </w:abstractNum>
  <w:abstractNum w:abstractNumId="1">
    <w:nsid w:val="B6890850"/>
    <w:multiLevelType w:val="singleLevel"/>
    <w:tmpl w:val="B6890850"/>
    <w:lvl w:ilvl="0" w:tentative="0">
      <w:start w:val="2"/>
      <w:numFmt w:val="decimal"/>
      <w:suff w:val="nothing"/>
      <w:lvlText w:val="%1、"/>
      <w:lvlJc w:val="left"/>
    </w:lvl>
  </w:abstractNum>
  <w:abstractNum w:abstractNumId="2">
    <w:nsid w:val="250DBB50"/>
    <w:multiLevelType w:val="singleLevel"/>
    <w:tmpl w:val="250DBB50"/>
    <w:lvl w:ilvl="0" w:tentative="0">
      <w:start w:val="3"/>
      <w:numFmt w:val="chineseCounting"/>
      <w:suff w:val="nothing"/>
      <w:lvlText w:val="%1、"/>
      <w:lvlJc w:val="left"/>
      <w:rPr>
        <w:rFonts w:hint="eastAsia"/>
      </w:rPr>
    </w:lvl>
  </w:abstractNum>
  <w:abstractNum w:abstractNumId="3">
    <w:nsid w:val="305164AA"/>
    <w:multiLevelType w:val="singleLevel"/>
    <w:tmpl w:val="305164AA"/>
    <w:lvl w:ilvl="0" w:tentative="0">
      <w:start w:val="2"/>
      <w:numFmt w:val="chineseCounting"/>
      <w:suff w:val="nothing"/>
      <w:lvlText w:val="（%1）"/>
      <w:lvlJc w:val="left"/>
      <w:rPr>
        <w:rFonts w:hint="eastAsia"/>
      </w:rPr>
    </w:lvl>
  </w:abstractNum>
  <w:abstractNum w:abstractNumId="4">
    <w:nsid w:val="545A8AB1"/>
    <w:multiLevelType w:val="singleLevel"/>
    <w:tmpl w:val="545A8AB1"/>
    <w:lvl w:ilvl="0" w:tentative="0">
      <w:start w:val="1"/>
      <w:numFmt w:val="decimal"/>
      <w:suff w:val="nothing"/>
      <w:lvlText w:val="%1、"/>
      <w:lvlJc w:val="left"/>
    </w:lvl>
  </w:abstractNum>
  <w:abstractNum w:abstractNumId="5">
    <w:nsid w:val="606165C4"/>
    <w:multiLevelType w:val="singleLevel"/>
    <w:tmpl w:val="606165C4"/>
    <w:lvl w:ilvl="0" w:tentative="0">
      <w:start w:val="1"/>
      <w:numFmt w:val="decimal"/>
      <w:suff w:val="nothing"/>
      <w:lvlText w:val="%1、"/>
      <w:lvlJc w:val="left"/>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GNhNmY0YjU4NjVkOWQ2N2E3YzdhNWFmNzAwMTUifQ=="/>
  </w:docVars>
  <w:rsids>
    <w:rsidRoot w:val="009C401F"/>
    <w:rsid w:val="002802D2"/>
    <w:rsid w:val="009C401F"/>
    <w:rsid w:val="00AC7DF7"/>
    <w:rsid w:val="00B14EE5"/>
    <w:rsid w:val="00BA36CF"/>
    <w:rsid w:val="00C75A90"/>
    <w:rsid w:val="00DC0BBF"/>
    <w:rsid w:val="00EB7F6E"/>
    <w:rsid w:val="00F6570B"/>
    <w:rsid w:val="012C4C29"/>
    <w:rsid w:val="01480D77"/>
    <w:rsid w:val="01846F0A"/>
    <w:rsid w:val="01F03593"/>
    <w:rsid w:val="027D5BA2"/>
    <w:rsid w:val="02D04D16"/>
    <w:rsid w:val="03163E1D"/>
    <w:rsid w:val="038D72DF"/>
    <w:rsid w:val="03A27284"/>
    <w:rsid w:val="03C27583"/>
    <w:rsid w:val="03F77772"/>
    <w:rsid w:val="04B1534C"/>
    <w:rsid w:val="04B82DC4"/>
    <w:rsid w:val="052A3FB5"/>
    <w:rsid w:val="063912F0"/>
    <w:rsid w:val="076730C5"/>
    <w:rsid w:val="07C95666"/>
    <w:rsid w:val="07CE25B6"/>
    <w:rsid w:val="081C02FC"/>
    <w:rsid w:val="089B2115"/>
    <w:rsid w:val="095A5BE4"/>
    <w:rsid w:val="09D824D8"/>
    <w:rsid w:val="09DA6618"/>
    <w:rsid w:val="0A18124A"/>
    <w:rsid w:val="0A2224FB"/>
    <w:rsid w:val="0A3F005D"/>
    <w:rsid w:val="0C342C52"/>
    <w:rsid w:val="0C9049D6"/>
    <w:rsid w:val="0CA57B15"/>
    <w:rsid w:val="0DB0648C"/>
    <w:rsid w:val="0DD74237"/>
    <w:rsid w:val="0E5750FC"/>
    <w:rsid w:val="0EAF786A"/>
    <w:rsid w:val="0EDA1A80"/>
    <w:rsid w:val="0F603EC7"/>
    <w:rsid w:val="0FD92901"/>
    <w:rsid w:val="10176D1B"/>
    <w:rsid w:val="107A09CD"/>
    <w:rsid w:val="10907B24"/>
    <w:rsid w:val="109C4BCE"/>
    <w:rsid w:val="114A3926"/>
    <w:rsid w:val="1166592D"/>
    <w:rsid w:val="13600686"/>
    <w:rsid w:val="13EF4DDC"/>
    <w:rsid w:val="144262DF"/>
    <w:rsid w:val="15044A88"/>
    <w:rsid w:val="154D4194"/>
    <w:rsid w:val="15663828"/>
    <w:rsid w:val="168153C7"/>
    <w:rsid w:val="16F33977"/>
    <w:rsid w:val="17D4041E"/>
    <w:rsid w:val="17F94B9A"/>
    <w:rsid w:val="18435FD9"/>
    <w:rsid w:val="18AB3604"/>
    <w:rsid w:val="192D6B9F"/>
    <w:rsid w:val="19DA1AF8"/>
    <w:rsid w:val="1B3127A9"/>
    <w:rsid w:val="1B5B4A0F"/>
    <w:rsid w:val="1BB95D20"/>
    <w:rsid w:val="1C2A043A"/>
    <w:rsid w:val="1C63639A"/>
    <w:rsid w:val="1CF76BAC"/>
    <w:rsid w:val="1CFD009B"/>
    <w:rsid w:val="1D1E5709"/>
    <w:rsid w:val="1D756A60"/>
    <w:rsid w:val="1DA20211"/>
    <w:rsid w:val="1DB0485D"/>
    <w:rsid w:val="1DCC746F"/>
    <w:rsid w:val="1E2D620F"/>
    <w:rsid w:val="1E5B6C20"/>
    <w:rsid w:val="1E742E63"/>
    <w:rsid w:val="1E85155E"/>
    <w:rsid w:val="1E8F4FAF"/>
    <w:rsid w:val="1EDD0689"/>
    <w:rsid w:val="1F6F7857"/>
    <w:rsid w:val="1FAB1681"/>
    <w:rsid w:val="1FF26740"/>
    <w:rsid w:val="2056242A"/>
    <w:rsid w:val="20B47CB1"/>
    <w:rsid w:val="22413215"/>
    <w:rsid w:val="22436A93"/>
    <w:rsid w:val="22F437C5"/>
    <w:rsid w:val="2359040B"/>
    <w:rsid w:val="23827B48"/>
    <w:rsid w:val="23CE614C"/>
    <w:rsid w:val="2494490F"/>
    <w:rsid w:val="24F536AF"/>
    <w:rsid w:val="262C10BB"/>
    <w:rsid w:val="264719DD"/>
    <w:rsid w:val="26883893"/>
    <w:rsid w:val="26DE4854"/>
    <w:rsid w:val="274B7EEF"/>
    <w:rsid w:val="2830777B"/>
    <w:rsid w:val="28413D8B"/>
    <w:rsid w:val="28504014"/>
    <w:rsid w:val="28BC4A00"/>
    <w:rsid w:val="28C570BA"/>
    <w:rsid w:val="28ED473D"/>
    <w:rsid w:val="29214F7B"/>
    <w:rsid w:val="29E86135"/>
    <w:rsid w:val="2A08349F"/>
    <w:rsid w:val="2A642A64"/>
    <w:rsid w:val="2A6748C2"/>
    <w:rsid w:val="2AD575CD"/>
    <w:rsid w:val="2B925ED8"/>
    <w:rsid w:val="2BB17B65"/>
    <w:rsid w:val="2BCA23E3"/>
    <w:rsid w:val="2C2B39B2"/>
    <w:rsid w:val="2D237CD9"/>
    <w:rsid w:val="2E376059"/>
    <w:rsid w:val="2E956E09"/>
    <w:rsid w:val="2EC17EC2"/>
    <w:rsid w:val="2F6376CB"/>
    <w:rsid w:val="2FB6753D"/>
    <w:rsid w:val="3094583F"/>
    <w:rsid w:val="30C51E30"/>
    <w:rsid w:val="30C9271B"/>
    <w:rsid w:val="310762CB"/>
    <w:rsid w:val="314A17A7"/>
    <w:rsid w:val="319D385B"/>
    <w:rsid w:val="325563C6"/>
    <w:rsid w:val="325B150C"/>
    <w:rsid w:val="328714F2"/>
    <w:rsid w:val="32BA3EF7"/>
    <w:rsid w:val="32F14FC4"/>
    <w:rsid w:val="33696E47"/>
    <w:rsid w:val="33F41EDC"/>
    <w:rsid w:val="3415497E"/>
    <w:rsid w:val="342E63AB"/>
    <w:rsid w:val="34841BA9"/>
    <w:rsid w:val="34BA6835"/>
    <w:rsid w:val="34C8352C"/>
    <w:rsid w:val="35F30FCD"/>
    <w:rsid w:val="36A3723B"/>
    <w:rsid w:val="37070BBA"/>
    <w:rsid w:val="375C2CDF"/>
    <w:rsid w:val="376E2E28"/>
    <w:rsid w:val="37983D0A"/>
    <w:rsid w:val="37FB33A4"/>
    <w:rsid w:val="39D21572"/>
    <w:rsid w:val="39D522D3"/>
    <w:rsid w:val="39F30F2D"/>
    <w:rsid w:val="3A3132D0"/>
    <w:rsid w:val="3A760C06"/>
    <w:rsid w:val="3AC94171"/>
    <w:rsid w:val="3B285E89"/>
    <w:rsid w:val="3BFA7C99"/>
    <w:rsid w:val="3C1722D3"/>
    <w:rsid w:val="3D7874A5"/>
    <w:rsid w:val="3E302E21"/>
    <w:rsid w:val="3E730D34"/>
    <w:rsid w:val="3ED24E20"/>
    <w:rsid w:val="3EF07A9F"/>
    <w:rsid w:val="3EFB3800"/>
    <w:rsid w:val="3F551B76"/>
    <w:rsid w:val="3F662D54"/>
    <w:rsid w:val="40D16AE4"/>
    <w:rsid w:val="40E84F5C"/>
    <w:rsid w:val="413069BB"/>
    <w:rsid w:val="41A75B46"/>
    <w:rsid w:val="41E910F9"/>
    <w:rsid w:val="42161379"/>
    <w:rsid w:val="4409502C"/>
    <w:rsid w:val="44720E99"/>
    <w:rsid w:val="44DC74AA"/>
    <w:rsid w:val="451C69B0"/>
    <w:rsid w:val="45C8089F"/>
    <w:rsid w:val="45D2315E"/>
    <w:rsid w:val="464645F0"/>
    <w:rsid w:val="46E147D5"/>
    <w:rsid w:val="46E15CCC"/>
    <w:rsid w:val="47051160"/>
    <w:rsid w:val="47D8470A"/>
    <w:rsid w:val="47DB5B24"/>
    <w:rsid w:val="47EF7672"/>
    <w:rsid w:val="488601CB"/>
    <w:rsid w:val="48EF7DCB"/>
    <w:rsid w:val="49955B8B"/>
    <w:rsid w:val="4A0F498D"/>
    <w:rsid w:val="4A65539B"/>
    <w:rsid w:val="4A881739"/>
    <w:rsid w:val="4AE820F1"/>
    <w:rsid w:val="4B3F2B00"/>
    <w:rsid w:val="4B6128E5"/>
    <w:rsid w:val="4B901548"/>
    <w:rsid w:val="4BBC2792"/>
    <w:rsid w:val="4BF95BC7"/>
    <w:rsid w:val="4C76471F"/>
    <w:rsid w:val="4C7A7005"/>
    <w:rsid w:val="4D0379AC"/>
    <w:rsid w:val="4D6371B5"/>
    <w:rsid w:val="4E6A3B2D"/>
    <w:rsid w:val="4F3007F7"/>
    <w:rsid w:val="4F3D331B"/>
    <w:rsid w:val="4F627BB8"/>
    <w:rsid w:val="4FB3554D"/>
    <w:rsid w:val="4FBE6334"/>
    <w:rsid w:val="4FD3213E"/>
    <w:rsid w:val="51A21B44"/>
    <w:rsid w:val="51CB5698"/>
    <w:rsid w:val="52C70091"/>
    <w:rsid w:val="52D5055D"/>
    <w:rsid w:val="53153BE9"/>
    <w:rsid w:val="53376114"/>
    <w:rsid w:val="538E4B62"/>
    <w:rsid w:val="54626E21"/>
    <w:rsid w:val="54AC5CDA"/>
    <w:rsid w:val="54D86BB8"/>
    <w:rsid w:val="55053274"/>
    <w:rsid w:val="550E2557"/>
    <w:rsid w:val="55581683"/>
    <w:rsid w:val="55A44A60"/>
    <w:rsid w:val="56402567"/>
    <w:rsid w:val="568834B5"/>
    <w:rsid w:val="56F93965"/>
    <w:rsid w:val="573F3A30"/>
    <w:rsid w:val="57801F7A"/>
    <w:rsid w:val="57886384"/>
    <w:rsid w:val="57B64AD7"/>
    <w:rsid w:val="57D514A2"/>
    <w:rsid w:val="58B50171"/>
    <w:rsid w:val="59522196"/>
    <w:rsid w:val="59A370AB"/>
    <w:rsid w:val="5B297526"/>
    <w:rsid w:val="5C3527AA"/>
    <w:rsid w:val="5C8C6D96"/>
    <w:rsid w:val="5CCC49CC"/>
    <w:rsid w:val="5D2D376B"/>
    <w:rsid w:val="5D383F00"/>
    <w:rsid w:val="5D6A31A6"/>
    <w:rsid w:val="5D8241EC"/>
    <w:rsid w:val="5DE536EB"/>
    <w:rsid w:val="5E1338C0"/>
    <w:rsid w:val="5E612C1E"/>
    <w:rsid w:val="5E730F20"/>
    <w:rsid w:val="5EB37A14"/>
    <w:rsid w:val="5EFE6A1D"/>
    <w:rsid w:val="60E85D10"/>
    <w:rsid w:val="61407419"/>
    <w:rsid w:val="61F8244A"/>
    <w:rsid w:val="62A3486D"/>
    <w:rsid w:val="62BC7C0A"/>
    <w:rsid w:val="62DC02A2"/>
    <w:rsid w:val="632C5EEE"/>
    <w:rsid w:val="635476D6"/>
    <w:rsid w:val="638555E4"/>
    <w:rsid w:val="643E63E3"/>
    <w:rsid w:val="64DD0AC1"/>
    <w:rsid w:val="64F2004B"/>
    <w:rsid w:val="65421D00"/>
    <w:rsid w:val="65AD17B7"/>
    <w:rsid w:val="65F56152"/>
    <w:rsid w:val="66744A6F"/>
    <w:rsid w:val="66EB438E"/>
    <w:rsid w:val="677A2609"/>
    <w:rsid w:val="677A5055"/>
    <w:rsid w:val="67A31522"/>
    <w:rsid w:val="67B3265D"/>
    <w:rsid w:val="68AB31C8"/>
    <w:rsid w:val="691948CE"/>
    <w:rsid w:val="691B6B5C"/>
    <w:rsid w:val="698933F7"/>
    <w:rsid w:val="6A0D7B49"/>
    <w:rsid w:val="6A57608C"/>
    <w:rsid w:val="6A586755"/>
    <w:rsid w:val="6A8C7C25"/>
    <w:rsid w:val="6A9A4B33"/>
    <w:rsid w:val="6ABF15AE"/>
    <w:rsid w:val="6B21034E"/>
    <w:rsid w:val="6BA356E9"/>
    <w:rsid w:val="6BF41167"/>
    <w:rsid w:val="6C5164C2"/>
    <w:rsid w:val="6D835290"/>
    <w:rsid w:val="6DA762CA"/>
    <w:rsid w:val="6F285C6B"/>
    <w:rsid w:val="6F4A3BCB"/>
    <w:rsid w:val="6F4D20DB"/>
    <w:rsid w:val="6F8A4A0A"/>
    <w:rsid w:val="70AA00D5"/>
    <w:rsid w:val="711B191E"/>
    <w:rsid w:val="714B3A90"/>
    <w:rsid w:val="71BB56F1"/>
    <w:rsid w:val="71F26910"/>
    <w:rsid w:val="720D503E"/>
    <w:rsid w:val="722F377C"/>
    <w:rsid w:val="727D3867"/>
    <w:rsid w:val="727D649E"/>
    <w:rsid w:val="72F375AA"/>
    <w:rsid w:val="736E16ED"/>
    <w:rsid w:val="73F42C45"/>
    <w:rsid w:val="742D09F8"/>
    <w:rsid w:val="74547455"/>
    <w:rsid w:val="74D5786E"/>
    <w:rsid w:val="762D2262"/>
    <w:rsid w:val="76473B19"/>
    <w:rsid w:val="76DC22C4"/>
    <w:rsid w:val="77394975"/>
    <w:rsid w:val="77BD30BA"/>
    <w:rsid w:val="77E53ABD"/>
    <w:rsid w:val="78182189"/>
    <w:rsid w:val="785C5783"/>
    <w:rsid w:val="798C38F6"/>
    <w:rsid w:val="79E34305"/>
    <w:rsid w:val="7A2A68E9"/>
    <w:rsid w:val="7A854BF4"/>
    <w:rsid w:val="7AC54F33"/>
    <w:rsid w:val="7B7C0DE7"/>
    <w:rsid w:val="7B7F3D95"/>
    <w:rsid w:val="7BDA360D"/>
    <w:rsid w:val="7C0D1C93"/>
    <w:rsid w:val="7CC05F02"/>
    <w:rsid w:val="7D066B67"/>
    <w:rsid w:val="7D260BDE"/>
    <w:rsid w:val="7D785221"/>
    <w:rsid w:val="7DD01EC5"/>
    <w:rsid w:val="7E050D59"/>
    <w:rsid w:val="7E541C5F"/>
    <w:rsid w:val="7F347D26"/>
    <w:rsid w:val="7FF06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FollowedHyperlink"/>
    <w:basedOn w:val="7"/>
    <w:semiHidden/>
    <w:unhideWhenUsed/>
    <w:qFormat/>
    <w:uiPriority w:val="99"/>
    <w:rPr>
      <w:color w:val="333333"/>
      <w:u w:val="none"/>
    </w:rPr>
  </w:style>
  <w:style w:type="character" w:styleId="9">
    <w:name w:val="Emphasis"/>
    <w:basedOn w:val="7"/>
    <w:qFormat/>
    <w:uiPriority w:val="20"/>
  </w:style>
  <w:style w:type="character" w:styleId="10">
    <w:name w:val="Hyperlink"/>
    <w:basedOn w:val="7"/>
    <w:semiHidden/>
    <w:unhideWhenUsed/>
    <w:qFormat/>
    <w:uiPriority w:val="99"/>
    <w:rPr>
      <w:color w:val="333333"/>
      <w:u w:val="none"/>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 w:type="character" w:customStyle="1" w:styleId="13">
    <w:name w:val="hover5"/>
    <w:basedOn w:val="7"/>
    <w:qFormat/>
    <w:uiPriority w:val="0"/>
    <w:rPr>
      <w:color w:val="000000"/>
      <w:shd w:val="clear" w:fill="FFFFFF"/>
    </w:rPr>
  </w:style>
  <w:style w:type="character" w:customStyle="1" w:styleId="14">
    <w:name w:val="wx-space"/>
    <w:basedOn w:val="7"/>
    <w:qFormat/>
    <w:uiPriority w:val="0"/>
  </w:style>
  <w:style w:type="character" w:customStyle="1" w:styleId="15">
    <w:name w:val="wx-space1"/>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105</Words>
  <Characters>604</Characters>
  <Lines>5</Lines>
  <Paragraphs>1</Paragraphs>
  <TotalTime>105</TotalTime>
  <ScaleCrop>false</ScaleCrop>
  <LinksUpToDate>false</LinksUpToDate>
  <CharactersWithSpaces>708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2016-02-22T02:17:00Z</dcterms:created>
  <dc:creator>微软用户</dc:creator>
  <cp:lastModifiedBy>琼</cp:lastModifiedBy>
  <cp:lastPrinted>2020-06-30T08:29:00Z</cp:lastPrinted>
  <dcterms:modified xsi:type="dcterms:W3CDTF">2023-10-18T00:28:55Z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21187ACC31704BD7AAF94A31570EE8EF_13</vt:lpwstr>
  </property>
</Properties>
</file>