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suppressLineNumbers w:val="0"/>
        <w:tabs>
          <w:tab w:val="left" w:pos="2837"/>
        </w:tabs>
        <w:kinsoku/>
        <w:wordWrap/>
        <w:overflowPunct/>
        <w:topLinePunct w:val="0"/>
        <w:autoSpaceDE/>
        <w:autoSpaceDN/>
        <w:bidi w:val="0"/>
        <w:adjustRightInd/>
        <w:snapToGrid/>
        <w:spacing w:beforeAutospacing="0" w:afterAutospacing="0" w:line="240" w:lineRule="auto"/>
        <w:ind w:left="0" w:leftChars="0" w:right="0" w:rightChars="0" w:firstLine="0" w:firstLineChars="0"/>
        <w:jc w:val="both"/>
        <w:textAlignment w:val="auto"/>
        <w:outlineLvl w:val="9"/>
        <w:rPr>
          <w:rFonts w:hint="eastAsia" w:ascii="黑体" w:hAnsi="Times New Roman" w:eastAsia="黑体" w:cs="黑体"/>
          <w:kern w:val="2"/>
          <w:sz w:val="10"/>
          <w:szCs w:val="10"/>
          <w:lang w:val="en-US" w:eastAsia="zh-CN" w:bidi="ar"/>
        </w:rPr>
      </w:pP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460" w:lineRule="exact"/>
        <w:jc w:val="center"/>
        <w:textAlignment w:val="auto"/>
        <w:outlineLvl w:val="9"/>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b/>
          <w:color w:val="000000"/>
          <w:sz w:val="44"/>
          <w:szCs w:val="44"/>
          <w:shd w:val="clear" w:color="auto" w:fill="FFFFFF"/>
        </w:rPr>
        <w:t>怀化市黄金工业管理局</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460" w:lineRule="exact"/>
        <w:jc w:val="center"/>
        <w:textAlignment w:val="auto"/>
        <w:outlineLvl w:val="9"/>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b/>
          <w:color w:val="000000"/>
          <w:sz w:val="44"/>
          <w:szCs w:val="44"/>
          <w:shd w:val="clear" w:color="auto" w:fill="FFFFFF"/>
        </w:rPr>
        <w:t>20</w:t>
      </w:r>
      <w:r>
        <w:rPr>
          <w:rFonts w:hint="eastAsia" w:ascii="方正小标宋简体" w:hAnsi="方正小标宋简体" w:eastAsia="方正小标宋简体" w:cs="方正小标宋简体"/>
          <w:b/>
          <w:color w:val="000000"/>
          <w:sz w:val="44"/>
          <w:szCs w:val="44"/>
          <w:shd w:val="clear" w:color="auto" w:fill="FFFFFF"/>
          <w:lang w:val="en-US" w:eastAsia="zh-CN"/>
        </w:rPr>
        <w:t>20</w:t>
      </w:r>
      <w:r>
        <w:rPr>
          <w:rFonts w:hint="eastAsia" w:ascii="方正小标宋简体" w:hAnsi="方正小标宋简体" w:eastAsia="方正小标宋简体" w:cs="方正小标宋简体"/>
          <w:b/>
          <w:color w:val="000000"/>
          <w:sz w:val="44"/>
          <w:szCs w:val="44"/>
          <w:shd w:val="clear" w:color="auto" w:fill="FFFFFF"/>
        </w:rPr>
        <w:t>年部门整体支出绩效自评报告 </w:t>
      </w:r>
    </w:p>
    <w:p>
      <w:pPr>
        <w:pStyle w:val="5"/>
        <w:keepNext w:val="0"/>
        <w:keepLines w:val="0"/>
        <w:pageBreakBefore w:val="0"/>
        <w:widowControl/>
        <w:shd w:val="clear" w:color="auto" w:fill="FFFFFF"/>
        <w:kinsoku/>
        <w:wordWrap/>
        <w:overflowPunct/>
        <w:topLinePunct w:val="0"/>
        <w:autoSpaceDE/>
        <w:autoSpaceDN/>
        <w:bidi w:val="0"/>
        <w:adjustRightInd/>
        <w:snapToGrid/>
        <w:spacing w:before="625" w:beforeAutospacing="0" w:after="100" w:afterAutospacing="0" w:line="560" w:lineRule="exact"/>
        <w:ind w:firstLine="643" w:firstLineChars="200"/>
        <w:textAlignment w:val="auto"/>
        <w:outlineLvl w:val="9"/>
        <w:rPr>
          <w:rFonts w:hint="eastAsia"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一、部门概况</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b/>
          <w:bCs/>
          <w:color w:val="000000"/>
          <w:sz w:val="32"/>
          <w:szCs w:val="32"/>
          <w:shd w:val="clear" w:color="auto" w:fill="FFFFFF"/>
        </w:rPr>
        <w:t>（一）部门机构设置、职能、人员构成情况</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怀化市黄金工业管理局是参照公务员管理的副处级全额拨款事业单位。核定全额拨款事业编制</w:t>
      </w:r>
      <w:r>
        <w:rPr>
          <w:rFonts w:hint="eastAsia" w:ascii="仿宋_GB2312" w:hAnsi="仿宋_GB2312" w:eastAsia="仿宋_GB2312" w:cs="仿宋_GB2312"/>
          <w:color w:val="000000"/>
          <w:sz w:val="32"/>
          <w:szCs w:val="32"/>
          <w:shd w:val="clear" w:color="auto" w:fill="FFFFFF"/>
          <w:lang w:val="en-US" w:eastAsia="zh-CN"/>
        </w:rPr>
        <w:t>9</w:t>
      </w:r>
      <w:r>
        <w:rPr>
          <w:rFonts w:hint="eastAsia" w:ascii="仿宋_GB2312" w:hAnsi="仿宋_GB2312" w:eastAsia="仿宋_GB2312" w:cs="仿宋_GB2312"/>
          <w:color w:val="000000"/>
          <w:sz w:val="32"/>
          <w:szCs w:val="32"/>
          <w:shd w:val="clear" w:color="auto" w:fill="FFFFFF"/>
        </w:rPr>
        <w:t>名</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实有在职</w:t>
      </w:r>
      <w:bookmarkStart w:id="0" w:name="_GoBack"/>
      <w:bookmarkEnd w:id="0"/>
      <w:r>
        <w:rPr>
          <w:rFonts w:hint="eastAsia" w:ascii="仿宋_GB2312" w:hAnsi="仿宋_GB2312" w:eastAsia="仿宋_GB2312" w:cs="仿宋_GB2312"/>
          <w:color w:val="000000"/>
          <w:sz w:val="32"/>
          <w:szCs w:val="32"/>
          <w:shd w:val="clear" w:color="auto" w:fill="FFFFFF"/>
        </w:rPr>
        <w:t>人数</w:t>
      </w:r>
      <w:r>
        <w:rPr>
          <w:rFonts w:hint="eastAsia" w:ascii="仿宋_GB2312" w:hAnsi="仿宋_GB2312" w:eastAsia="仿宋_GB2312" w:cs="仿宋_GB2312"/>
          <w:color w:val="000000"/>
          <w:sz w:val="32"/>
          <w:szCs w:val="32"/>
          <w:shd w:val="clear" w:color="auto" w:fill="FFFFFF"/>
          <w:lang w:val="en-US" w:eastAsia="zh-CN"/>
        </w:rPr>
        <w:t>9</w:t>
      </w:r>
      <w:r>
        <w:rPr>
          <w:rFonts w:hint="eastAsia" w:ascii="仿宋_GB2312" w:hAnsi="仿宋_GB2312" w:eastAsia="仿宋_GB2312" w:cs="仿宋_GB2312"/>
          <w:color w:val="000000"/>
          <w:sz w:val="32"/>
          <w:szCs w:val="32"/>
          <w:shd w:val="clear" w:color="auto" w:fill="FFFFFF"/>
        </w:rPr>
        <w:t>人。主要职能:负责制定全市黄金行业发展规划和年度生产计划；对全市黄金企业安全生产实施行业管理，进行督促、检查；指导全市黄金生产企业贯彻国家有关黄金生产的采、选、冶技术政策，规范行业有序发展；负责全市黄金矿山行业主管部门申报地探资金并监督使用。根据上述职责，市黄金工业管理局设两个科室：综合科、行业科。</w:t>
      </w:r>
    </w:p>
    <w:p>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100" w:afterAutospacing="0" w:line="560" w:lineRule="exact"/>
        <w:ind w:firstLine="560"/>
        <w:textAlignment w:val="auto"/>
        <w:outlineLvl w:val="9"/>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重点工作计划</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100" w:afterAutospacing="0" w:line="560" w:lineRule="exact"/>
        <w:ind w:left="560" w:leftChars="0" w:right="0" w:rightChars="0"/>
        <w:textAlignment w:val="auto"/>
        <w:outlineLvl w:val="9"/>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1、业务工作</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default" w:ascii="Calibri" w:hAnsi="Calibri" w:eastAsia="仿宋_GB2312" w:cs="Calibri"/>
          <w:color w:val="000000"/>
          <w:sz w:val="32"/>
          <w:szCs w:val="32"/>
          <w:shd w:val="clear" w:color="auto" w:fill="FFFFFF"/>
          <w:lang w:val="en-US" w:eastAsia="zh-CN"/>
        </w:rPr>
        <w:t>①加强行业发展，完成年度目标。2020年计划完成黄金产量39000公斤，实现黄金销售收入、利润稳中有升，勘探和技改投入持续加大，全行业绿色发展水平持续提升的年度目标。</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default" w:ascii="Calibri" w:hAnsi="Calibri" w:eastAsia="仿宋_GB2312" w:cs="Calibri"/>
          <w:color w:val="000000"/>
          <w:sz w:val="32"/>
          <w:szCs w:val="32"/>
          <w:shd w:val="clear" w:color="auto" w:fill="FFFFFF"/>
          <w:lang w:val="en-US" w:eastAsia="zh-CN"/>
        </w:rPr>
        <w:t>②加强行业监管，筑牢安全防线。全面落实安全生产责任制，加强行业安全生产监管，督促和指导企业建立健全并认真落实安全生产规章制度、操作规程和安全生产责任追究制度，全面推行安全生产工作达标及检查考核办法</w:t>
      </w:r>
      <w:r>
        <w:rPr>
          <w:rFonts w:hint="eastAsia" w:ascii="Calibri" w:hAnsi="Calibri" w:eastAsia="仿宋_GB2312" w:cs="Calibri"/>
          <w:color w:val="000000"/>
          <w:sz w:val="32"/>
          <w:szCs w:val="32"/>
          <w:shd w:val="clear" w:color="auto" w:fill="FFFFFF"/>
          <w:lang w:val="en-US" w:eastAsia="zh-CN"/>
        </w:rPr>
        <w:t>，</w:t>
      </w:r>
      <w:r>
        <w:rPr>
          <w:rFonts w:hint="eastAsia" w:ascii="仿宋_GB2312" w:hAnsi="仿宋_GB2312" w:eastAsia="仿宋_GB2312" w:cs="仿宋_GB2312"/>
          <w:color w:val="000000"/>
          <w:sz w:val="32"/>
          <w:szCs w:val="32"/>
          <w:shd w:val="clear" w:color="auto" w:fill="FFFFFF"/>
          <w:lang w:val="en-US" w:eastAsia="zh-CN"/>
        </w:rPr>
        <w:t>确保行业不发生较大以上安全生产责任事故。</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default" w:ascii="Calibri" w:hAnsi="Calibri" w:eastAsia="仿宋_GB2312" w:cs="Calibri"/>
          <w:color w:val="000000"/>
          <w:sz w:val="32"/>
          <w:szCs w:val="32"/>
          <w:shd w:val="clear" w:color="auto" w:fill="FFFFFF"/>
          <w:lang w:val="en-US" w:eastAsia="zh-CN"/>
        </w:rPr>
        <w:t>③</w:t>
      </w:r>
      <w:r>
        <w:rPr>
          <w:rFonts w:hint="eastAsia" w:ascii="仿宋_GB2312" w:hAnsi="仿宋_GB2312" w:eastAsia="仿宋_GB2312" w:cs="仿宋_GB2312"/>
          <w:color w:val="000000"/>
          <w:sz w:val="32"/>
          <w:szCs w:val="32"/>
          <w:shd w:val="clear" w:color="auto" w:fill="FFFFFF"/>
          <w:lang w:val="en-US" w:eastAsia="zh-CN"/>
        </w:rPr>
        <w:t>加强信息收集，做好运行分析。一是加强对全市黄金产能的摸底调查，最大程度提高全市黄金产量统计调度覆盖面和准确度。二是要加快现有产能转化利用，力争行业现有产能利用率达到85%以上。三是加强行业运行分析，及时掌握并着力解决行业发展中出现的新情况新问题。</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宋体" w:hAnsi="宋体" w:eastAsia="宋体" w:cs="宋体"/>
          <w:color w:val="000000"/>
          <w:sz w:val="32"/>
          <w:szCs w:val="32"/>
          <w:shd w:val="clear" w:color="auto" w:fill="FFFFFF"/>
          <w:lang w:val="en-US" w:eastAsia="zh-CN"/>
        </w:rPr>
        <w:t>④</w:t>
      </w:r>
      <w:r>
        <w:rPr>
          <w:rFonts w:hint="eastAsia" w:ascii="仿宋_GB2312" w:hAnsi="仿宋_GB2312" w:eastAsia="仿宋_GB2312" w:cs="仿宋_GB2312"/>
          <w:color w:val="000000"/>
          <w:sz w:val="32"/>
          <w:szCs w:val="32"/>
          <w:shd w:val="clear" w:color="auto" w:fill="FFFFFF"/>
          <w:lang w:val="en-US" w:eastAsia="zh-CN"/>
        </w:rPr>
        <w:t xml:space="preserve">加强服务指导，增强发展动力。一是搭建技术服务平台，组织技术专家，对企业进行技术指导。二是做好协调服务，积极协调帮助解决问题。三是大力培育规模企业，实实在在培育对产业有带动，对增长有支撑的龙头企业，做大做强产业链。 </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3" w:firstLineChars="200"/>
        <w:textAlignment w:val="auto"/>
        <w:outlineLvl w:val="9"/>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2</w:t>
      </w:r>
      <w:r>
        <w:rPr>
          <w:rFonts w:hint="eastAsia" w:ascii="仿宋_GB2312" w:hAnsi="仿宋_GB2312" w:eastAsia="仿宋_GB2312" w:cs="仿宋_GB2312"/>
          <w:b/>
          <w:bCs/>
          <w:color w:val="000000"/>
          <w:sz w:val="32"/>
          <w:szCs w:val="32"/>
          <w:shd w:val="clear" w:color="auto" w:fill="FFFFFF"/>
          <w:lang w:eastAsia="zh-CN"/>
        </w:rPr>
        <w:t>、服务中心工作</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20</w:t>
      </w:r>
      <w:r>
        <w:rPr>
          <w:rFonts w:hint="eastAsia" w:ascii="仿宋_GB2312" w:hAnsi="仿宋_GB2312" w:eastAsia="仿宋_GB2312" w:cs="仿宋_GB2312"/>
          <w:color w:val="000000"/>
          <w:sz w:val="32"/>
          <w:szCs w:val="32"/>
          <w:shd w:val="clear" w:color="auto" w:fill="FFFFFF"/>
          <w:lang w:val="en-US" w:eastAsia="zh-CN"/>
        </w:rPr>
        <w:t>20</w:t>
      </w:r>
      <w:r>
        <w:rPr>
          <w:rFonts w:hint="eastAsia" w:ascii="仿宋_GB2312" w:hAnsi="仿宋_GB2312" w:eastAsia="仿宋_GB2312" w:cs="仿宋_GB2312"/>
          <w:color w:val="000000"/>
          <w:sz w:val="32"/>
          <w:szCs w:val="32"/>
          <w:shd w:val="clear" w:color="auto" w:fill="FFFFFF"/>
        </w:rPr>
        <w:t>年我局服务中心工作重点是继续做好</w:t>
      </w:r>
      <w:r>
        <w:rPr>
          <w:rFonts w:hint="eastAsia" w:ascii="仿宋_GB2312" w:hAnsi="仿宋_GB2312" w:eastAsia="仿宋_GB2312" w:cs="仿宋_GB2312"/>
          <w:color w:val="000000"/>
          <w:sz w:val="32"/>
          <w:szCs w:val="32"/>
          <w:shd w:val="clear" w:color="auto" w:fill="FFFFFF"/>
          <w:lang w:eastAsia="zh-CN"/>
        </w:rPr>
        <w:t>脱贫攻坚</w:t>
      </w:r>
      <w:r>
        <w:rPr>
          <w:rFonts w:hint="eastAsia" w:ascii="仿宋_GB2312" w:hAnsi="仿宋_GB2312" w:eastAsia="仿宋_GB2312" w:cs="仿宋_GB2312"/>
          <w:color w:val="000000"/>
          <w:sz w:val="32"/>
          <w:szCs w:val="32"/>
          <w:shd w:val="clear" w:color="auto" w:fill="FFFFFF"/>
        </w:rPr>
        <w:t>工作。我局要充分发挥后盾作用，从人力、物力、财力上支持驻村帮扶工作，扎实做好结对帮扶工作。</w:t>
      </w:r>
      <w:r>
        <w:rPr>
          <w:rFonts w:hint="eastAsia" w:ascii="仿宋_GB2312" w:hAnsi="仿宋_GB2312" w:eastAsia="仿宋_GB2312" w:cs="仿宋_GB2312"/>
          <w:color w:val="000000"/>
          <w:sz w:val="32"/>
          <w:szCs w:val="32"/>
          <w:shd w:val="clear" w:color="auto" w:fill="FFFFFF"/>
          <w:lang w:eastAsia="zh-CN"/>
        </w:rPr>
        <w:t>一是</w:t>
      </w:r>
      <w:r>
        <w:rPr>
          <w:rFonts w:hint="eastAsia" w:ascii="仿宋_GB2312" w:hAnsi="仿宋_GB2312" w:eastAsia="仿宋_GB2312" w:cs="仿宋_GB2312"/>
          <w:color w:val="000000"/>
          <w:sz w:val="32"/>
          <w:szCs w:val="32"/>
          <w:shd w:val="clear" w:color="auto" w:fill="FFFFFF"/>
          <w:lang w:val="en-US" w:eastAsia="zh-CN"/>
        </w:rPr>
        <w:t>抓好疫情防控，科学开展帮扶</w:t>
      </w:r>
      <w:r>
        <w:rPr>
          <w:rFonts w:hint="eastAsia" w:ascii="仿宋_GB2312" w:hAnsi="仿宋_GB2312" w:eastAsia="仿宋_GB2312" w:cs="仿宋_GB2312"/>
          <w:color w:val="000000"/>
          <w:sz w:val="32"/>
          <w:szCs w:val="32"/>
          <w:shd w:val="clear" w:color="auto" w:fill="FFFFFF"/>
          <w:lang w:eastAsia="zh-CN"/>
        </w:rPr>
        <w:t>；二是做好结对帮扶，确保全面脱贫；三是完善两基建设，提高生活水平；四是发展特色产业，增加集体收入。</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3" w:firstLineChars="200"/>
        <w:textAlignment w:val="auto"/>
        <w:outlineLvl w:val="9"/>
        <w:rPr>
          <w:rFonts w:hint="eastAsia" w:ascii="仿宋_GB2312" w:hAnsi="仿宋_GB2312" w:eastAsia="仿宋_GB2312" w:cs="仿宋_GB2312"/>
          <w:b/>
          <w:bCs/>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lang w:val="en-US" w:eastAsia="zh-CN"/>
        </w:rPr>
        <w:t>3</w:t>
      </w:r>
      <w:r>
        <w:rPr>
          <w:rFonts w:hint="eastAsia" w:ascii="仿宋_GB2312" w:hAnsi="仿宋_GB2312" w:eastAsia="仿宋_GB2312" w:cs="仿宋_GB2312"/>
          <w:b/>
          <w:bCs/>
          <w:color w:val="000000"/>
          <w:sz w:val="32"/>
          <w:szCs w:val="32"/>
          <w:shd w:val="clear" w:color="auto" w:fill="FFFFFF"/>
          <w:lang w:eastAsia="zh-CN"/>
        </w:rPr>
        <w:t>、</w:t>
      </w:r>
      <w:r>
        <w:rPr>
          <w:rFonts w:hint="eastAsia" w:ascii="仿宋_GB2312" w:hAnsi="仿宋_GB2312" w:eastAsia="仿宋_GB2312" w:cs="仿宋_GB2312"/>
          <w:b/>
          <w:bCs/>
          <w:color w:val="000000"/>
          <w:sz w:val="32"/>
          <w:szCs w:val="32"/>
          <w:shd w:val="clear" w:color="auto" w:fill="FFFFFF"/>
        </w:rPr>
        <w:t xml:space="preserve">其他工作 </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主要包括</w:t>
      </w:r>
      <w:r>
        <w:rPr>
          <w:rFonts w:hint="eastAsia" w:ascii="仿宋_GB2312" w:hAnsi="仿宋_GB2312" w:eastAsia="仿宋_GB2312" w:cs="仿宋_GB2312"/>
          <w:color w:val="000000"/>
          <w:sz w:val="32"/>
          <w:szCs w:val="32"/>
          <w:shd w:val="clear" w:color="auto" w:fill="FFFFFF"/>
          <w:lang w:eastAsia="zh-CN"/>
        </w:rPr>
        <w:t>平安建设</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eastAsia="zh-CN"/>
        </w:rPr>
        <w:t>党建</w:t>
      </w:r>
      <w:r>
        <w:rPr>
          <w:rFonts w:hint="eastAsia" w:ascii="仿宋_GB2312" w:hAnsi="仿宋_GB2312" w:eastAsia="仿宋_GB2312" w:cs="仿宋_GB2312"/>
          <w:color w:val="000000"/>
          <w:sz w:val="32"/>
          <w:szCs w:val="32"/>
          <w:shd w:val="clear" w:color="auto" w:fill="FFFFFF"/>
        </w:rPr>
        <w:t>以及机关管理工作等。</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1、按相关部门要求做好</w:t>
      </w:r>
      <w:r>
        <w:rPr>
          <w:rFonts w:hint="eastAsia" w:ascii="仿宋_GB2312" w:hAnsi="仿宋_GB2312" w:eastAsia="仿宋_GB2312" w:cs="仿宋_GB2312"/>
          <w:color w:val="000000"/>
          <w:sz w:val="32"/>
          <w:szCs w:val="32"/>
          <w:shd w:val="clear" w:color="auto" w:fill="FFFFFF"/>
          <w:lang w:eastAsia="zh-CN"/>
        </w:rPr>
        <w:t>平安建设</w:t>
      </w:r>
      <w:r>
        <w:rPr>
          <w:rFonts w:hint="eastAsia" w:ascii="仿宋_GB2312" w:hAnsi="仿宋_GB2312" w:eastAsia="仿宋_GB2312" w:cs="仿宋_GB2312"/>
          <w:color w:val="000000"/>
          <w:sz w:val="32"/>
          <w:szCs w:val="32"/>
          <w:shd w:val="clear" w:color="auto" w:fill="FFFFFF"/>
        </w:rPr>
        <w:t>、普法、爱国卫生</w:t>
      </w:r>
      <w:r>
        <w:rPr>
          <w:rFonts w:hint="eastAsia" w:ascii="仿宋_GB2312" w:hAnsi="仿宋_GB2312" w:eastAsia="仿宋_GB2312" w:cs="仿宋_GB2312"/>
          <w:color w:val="000000"/>
          <w:sz w:val="32"/>
          <w:szCs w:val="32"/>
          <w:shd w:val="clear" w:color="auto" w:fill="FFFFFF"/>
          <w:lang w:eastAsia="zh-CN"/>
        </w:rPr>
        <w:t>等</w:t>
      </w:r>
      <w:r>
        <w:rPr>
          <w:rFonts w:hint="eastAsia" w:ascii="仿宋_GB2312" w:hAnsi="仿宋_GB2312" w:eastAsia="仿宋_GB2312" w:cs="仿宋_GB2312"/>
          <w:color w:val="000000"/>
          <w:sz w:val="32"/>
          <w:szCs w:val="32"/>
          <w:shd w:val="clear" w:color="auto" w:fill="FFFFFF"/>
        </w:rPr>
        <w:t>工作；</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2、进一步加强财务管理，开源节流，完善财务制度，严肃财经纪律</w:t>
      </w:r>
      <w:r>
        <w:rPr>
          <w:rFonts w:hint="eastAsia" w:ascii="仿宋_GB2312" w:hAnsi="仿宋_GB2312" w:eastAsia="仿宋_GB2312" w:cs="仿宋_GB2312"/>
          <w:color w:val="000000"/>
          <w:sz w:val="32"/>
          <w:szCs w:val="32"/>
          <w:shd w:val="clear" w:color="auto" w:fill="FFFFFF"/>
          <w:lang w:eastAsia="zh-CN"/>
        </w:rPr>
        <w:t>；</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3、抓好党建工作，切实推进党支部“五化”建设，争创先锋支部。</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left="560" w:leftChars="0" w:right="0" w:rightChars="0"/>
        <w:textAlignment w:val="auto"/>
        <w:outlineLvl w:val="9"/>
        <w:rPr>
          <w:rFonts w:hint="eastAsia" w:ascii="仿宋_GB2312" w:hAnsi="仿宋_GB2312" w:eastAsia="仿宋_GB2312" w:cs="仿宋_GB2312"/>
          <w:b/>
          <w:bCs/>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lang w:eastAsia="zh-CN"/>
        </w:rPr>
        <w:t>（三）</w:t>
      </w:r>
      <w:r>
        <w:rPr>
          <w:rFonts w:hint="eastAsia" w:ascii="仿宋_GB2312" w:hAnsi="仿宋_GB2312" w:eastAsia="仿宋_GB2312" w:cs="仿宋_GB2312"/>
          <w:b/>
          <w:bCs/>
          <w:color w:val="000000"/>
          <w:sz w:val="32"/>
          <w:szCs w:val="32"/>
          <w:shd w:val="clear" w:color="auto" w:fill="FFFFFF"/>
        </w:rPr>
        <w:t>部门整体支出情况</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rPr>
        <w:t>20</w:t>
      </w:r>
      <w:r>
        <w:rPr>
          <w:rFonts w:hint="eastAsia" w:ascii="仿宋_GB2312" w:hAnsi="仿宋_GB2312" w:eastAsia="仿宋_GB2312" w:cs="仿宋_GB2312"/>
          <w:color w:val="000000"/>
          <w:sz w:val="32"/>
          <w:szCs w:val="32"/>
          <w:shd w:val="clear" w:color="auto" w:fill="FFFFFF"/>
          <w:lang w:val="en-US" w:eastAsia="zh-CN"/>
        </w:rPr>
        <w:t>20</w:t>
      </w:r>
      <w:r>
        <w:rPr>
          <w:rFonts w:hint="eastAsia" w:ascii="仿宋_GB2312" w:hAnsi="仿宋_GB2312" w:eastAsia="仿宋_GB2312" w:cs="仿宋_GB2312"/>
          <w:color w:val="000000"/>
          <w:sz w:val="32"/>
          <w:szCs w:val="32"/>
          <w:shd w:val="clear" w:color="auto" w:fill="FFFFFF"/>
        </w:rPr>
        <w:t>年</w:t>
      </w:r>
      <w:r>
        <w:rPr>
          <w:rFonts w:hint="eastAsia" w:ascii="仿宋_GB2312" w:hAnsi="仿宋_GB2312" w:eastAsia="仿宋_GB2312" w:cs="仿宋_GB2312"/>
          <w:color w:val="000000"/>
          <w:sz w:val="32"/>
          <w:szCs w:val="32"/>
          <w:shd w:val="clear" w:color="auto" w:fill="FFFFFF"/>
          <w:lang w:eastAsia="zh-CN"/>
        </w:rPr>
        <w:t>市黄金局收入总计</w:t>
      </w:r>
      <w:r>
        <w:rPr>
          <w:rFonts w:hint="eastAsia" w:ascii="仿宋_GB2312" w:hAnsi="仿宋_GB2312" w:eastAsia="仿宋_GB2312" w:cs="仿宋_GB2312"/>
          <w:color w:val="000000"/>
          <w:sz w:val="32"/>
          <w:szCs w:val="32"/>
          <w:shd w:val="clear" w:color="auto" w:fill="FFFFFF"/>
          <w:lang w:val="en-US" w:eastAsia="zh-CN"/>
        </w:rPr>
        <w:t>187.87万元，全部为财政拨款收入。本年支出总计188.83万元，其中，基本支出179.08万元，项目支出-专项业务经费支出9.75万元。年初结转结余4.07万元，年末结转结余3.11万元。</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部门整体支出涉及的范围主要包括工资福利支出、商品和服务支出、对个人和家庭的补助支出等。</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3" w:firstLineChars="200"/>
        <w:jc w:val="left"/>
        <w:textAlignment w:val="auto"/>
        <w:outlineLvl w:val="9"/>
        <w:rPr>
          <w:rFonts w:hint="eastAsia"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二、部门整体支出管理及使用情况</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jc w:val="left"/>
        <w:textAlignment w:val="auto"/>
        <w:outlineLvl w:val="9"/>
        <w:rPr>
          <w:rFonts w:hint="eastAsia" w:ascii="仿宋_GB2312" w:hAnsi="仿宋_GB2312" w:eastAsia="仿宋_GB2312" w:cs="仿宋_GB2312"/>
          <w:b/>
          <w:bCs/>
          <w:color w:val="000000"/>
          <w:sz w:val="32"/>
          <w:szCs w:val="32"/>
          <w:shd w:val="clear" w:color="auto" w:fill="FFFFFF"/>
          <w:lang w:eastAsia="zh-CN"/>
        </w:rPr>
      </w:pPr>
      <w:r>
        <w:rPr>
          <w:rFonts w:hint="eastAsia" w:ascii="仿宋_GB2312" w:hAnsi="仿宋_GB2312" w:eastAsia="仿宋_GB2312" w:cs="仿宋_GB2312"/>
          <w:b/>
          <w:bCs/>
          <w:color w:val="000000"/>
          <w:sz w:val="32"/>
          <w:szCs w:val="32"/>
          <w:shd w:val="clear" w:color="auto" w:fill="FFFFFF"/>
        </w:rPr>
        <w:t>（一）基本支出</w:t>
      </w:r>
      <w:r>
        <w:rPr>
          <w:rFonts w:hint="eastAsia" w:ascii="仿宋_GB2312" w:hAnsi="仿宋_GB2312" w:eastAsia="仿宋_GB2312" w:cs="仿宋_GB2312"/>
          <w:b/>
          <w:bCs/>
          <w:color w:val="000000"/>
          <w:sz w:val="32"/>
          <w:szCs w:val="32"/>
          <w:shd w:val="clear" w:color="auto" w:fill="FFFFFF"/>
          <w:lang w:eastAsia="zh-CN"/>
        </w:rPr>
        <w:t>情况</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jc w:val="left"/>
        <w:textAlignment w:val="auto"/>
        <w:outlineLvl w:val="9"/>
        <w:rPr>
          <w:rFonts w:hint="default"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1、基本支出总体情况</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2020年我局基本支出总计179.08万元，主要用于人员经费和日常公用经费的基本开支。</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sz w:val="32"/>
          <w:szCs w:val="32"/>
          <w:lang w:val="en-US" w:eastAsia="zh-CN"/>
        </w:rPr>
        <w:t>按支出性质分类：1、人员经费支出155.96万元，主要包括人员工资、津补贴和社会保障缴费支出；2、日常公用经费支出23.12万元，是指维持局本级运行的公用经费支出，主要包括办公费、差旅费、邮电费、其他交通费等。</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lang w:eastAsia="zh-CN"/>
        </w:rPr>
        <w:t>按支出经济分类：</w:t>
      </w:r>
      <w:r>
        <w:rPr>
          <w:rFonts w:hint="eastAsia" w:ascii="仿宋_GB2312" w:hAnsi="仿宋_GB2312" w:eastAsia="仿宋_GB2312" w:cs="仿宋_GB2312"/>
          <w:color w:val="000000"/>
          <w:sz w:val="32"/>
          <w:szCs w:val="32"/>
          <w:shd w:val="clear" w:color="auto" w:fill="FFFFFF"/>
          <w:lang w:val="en-US" w:eastAsia="zh-CN"/>
        </w:rPr>
        <w:t>1、</w:t>
      </w:r>
      <w:r>
        <w:rPr>
          <w:rFonts w:hint="eastAsia" w:ascii="仿宋_GB2312" w:hAnsi="仿宋_GB2312" w:eastAsia="仿宋_GB2312" w:cs="仿宋_GB2312"/>
          <w:color w:val="000000"/>
          <w:sz w:val="32"/>
          <w:szCs w:val="32"/>
          <w:shd w:val="clear" w:color="auto" w:fill="FFFFFF"/>
        </w:rPr>
        <w:t>工资福利支出</w:t>
      </w:r>
      <w:r>
        <w:rPr>
          <w:rFonts w:hint="eastAsia" w:ascii="仿宋_GB2312" w:hAnsi="仿宋_GB2312" w:eastAsia="仿宋_GB2312" w:cs="仿宋_GB2312"/>
          <w:color w:val="000000"/>
          <w:sz w:val="32"/>
          <w:szCs w:val="32"/>
          <w:shd w:val="clear" w:color="auto" w:fill="FFFFFF"/>
          <w:lang w:val="en-US" w:eastAsia="zh-CN"/>
        </w:rPr>
        <w:t>126.73万</w:t>
      </w:r>
      <w:r>
        <w:rPr>
          <w:rFonts w:hint="eastAsia" w:ascii="仿宋_GB2312" w:hAnsi="仿宋_GB2312" w:eastAsia="仿宋_GB2312" w:cs="仿宋_GB2312"/>
          <w:color w:val="000000"/>
          <w:sz w:val="32"/>
          <w:szCs w:val="32"/>
          <w:shd w:val="clear" w:color="auto" w:fill="FFFFFF"/>
        </w:rPr>
        <w:t>元；</w:t>
      </w:r>
      <w:r>
        <w:rPr>
          <w:rFonts w:hint="eastAsia" w:ascii="仿宋_GB2312" w:hAnsi="仿宋_GB2312" w:eastAsia="仿宋_GB2312" w:cs="仿宋_GB2312"/>
          <w:color w:val="000000"/>
          <w:sz w:val="32"/>
          <w:szCs w:val="32"/>
          <w:shd w:val="clear" w:color="auto" w:fill="FFFFFF"/>
          <w:lang w:val="en-US" w:eastAsia="zh-CN"/>
        </w:rPr>
        <w:t>2、</w:t>
      </w:r>
      <w:r>
        <w:rPr>
          <w:rFonts w:hint="eastAsia" w:ascii="仿宋_GB2312" w:hAnsi="仿宋_GB2312" w:eastAsia="仿宋_GB2312" w:cs="仿宋_GB2312"/>
          <w:color w:val="000000"/>
          <w:sz w:val="32"/>
          <w:szCs w:val="32"/>
          <w:shd w:val="clear" w:color="auto" w:fill="FFFFFF"/>
        </w:rPr>
        <w:t>商品和服务支出</w:t>
      </w:r>
      <w:r>
        <w:rPr>
          <w:rFonts w:hint="eastAsia" w:ascii="仿宋_GB2312" w:hAnsi="仿宋_GB2312" w:eastAsia="仿宋_GB2312" w:cs="仿宋_GB2312"/>
          <w:color w:val="000000"/>
          <w:sz w:val="32"/>
          <w:szCs w:val="32"/>
          <w:shd w:val="clear" w:color="auto" w:fill="FFFFFF"/>
          <w:lang w:val="en-US" w:eastAsia="zh-CN"/>
        </w:rPr>
        <w:t>23.12万</w:t>
      </w:r>
      <w:r>
        <w:rPr>
          <w:rFonts w:hint="eastAsia" w:ascii="仿宋_GB2312" w:hAnsi="仿宋_GB2312" w:eastAsia="仿宋_GB2312" w:cs="仿宋_GB2312"/>
          <w:color w:val="000000"/>
          <w:sz w:val="32"/>
          <w:szCs w:val="32"/>
          <w:shd w:val="clear" w:color="auto" w:fill="FFFFFF"/>
        </w:rPr>
        <w:t>元；</w:t>
      </w:r>
      <w:r>
        <w:rPr>
          <w:rFonts w:hint="eastAsia" w:ascii="仿宋_GB2312" w:hAnsi="仿宋_GB2312" w:eastAsia="仿宋_GB2312" w:cs="仿宋_GB2312"/>
          <w:color w:val="000000"/>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rPr>
        <w:t>对个人和家庭的补助支出</w:t>
      </w:r>
      <w:r>
        <w:rPr>
          <w:rFonts w:hint="eastAsia" w:ascii="仿宋_GB2312" w:hAnsi="仿宋_GB2312" w:eastAsia="仿宋_GB2312" w:cs="仿宋_GB2312"/>
          <w:color w:val="000000"/>
          <w:sz w:val="32"/>
          <w:szCs w:val="32"/>
          <w:shd w:val="clear" w:color="auto" w:fill="FFFFFF"/>
          <w:lang w:val="en-US" w:eastAsia="zh-CN"/>
        </w:rPr>
        <w:t>29.23万</w:t>
      </w:r>
      <w:r>
        <w:rPr>
          <w:rFonts w:hint="eastAsia" w:ascii="仿宋_GB2312" w:hAnsi="仿宋_GB2312" w:eastAsia="仿宋_GB2312" w:cs="仿宋_GB2312"/>
          <w:color w:val="000000"/>
          <w:sz w:val="32"/>
          <w:szCs w:val="32"/>
          <w:shd w:val="clear" w:color="auto" w:fill="FFFFFF"/>
        </w:rPr>
        <w:t>元</w:t>
      </w:r>
      <w:r>
        <w:rPr>
          <w:rFonts w:hint="eastAsia" w:ascii="仿宋_GB2312" w:hAnsi="仿宋_GB2312" w:eastAsia="仿宋_GB2312" w:cs="仿宋_GB2312"/>
          <w:color w:val="000000"/>
          <w:sz w:val="32"/>
          <w:szCs w:val="32"/>
          <w:shd w:val="clear" w:color="auto" w:fill="FFFFFF"/>
          <w:lang w:eastAsia="zh-CN"/>
        </w:rPr>
        <w:t>。</w:t>
      </w:r>
    </w:p>
    <w:p>
      <w:pPr>
        <w:pStyle w:val="5"/>
        <w:keepNext w:val="0"/>
        <w:keepLines w:val="0"/>
        <w:pageBreakBefore w:val="0"/>
        <w:widowControl/>
        <w:numPr>
          <w:ilvl w:val="0"/>
          <w:numId w:val="2"/>
        </w:numPr>
        <w:shd w:val="clear" w:color="auto" w:fill="FFFFFF"/>
        <w:kinsoku/>
        <w:wordWrap/>
        <w:overflowPunct/>
        <w:topLinePunct w:val="0"/>
        <w:autoSpaceDE/>
        <w:autoSpaceDN/>
        <w:bidi w:val="0"/>
        <w:adjustRightInd/>
        <w:snapToGrid/>
        <w:spacing w:before="100" w:beforeAutospacing="0" w:after="100" w:afterAutospacing="0" w:line="560" w:lineRule="exact"/>
        <w:ind w:firstLine="643" w:firstLineChars="200"/>
        <w:jc w:val="left"/>
        <w:textAlignment w:val="auto"/>
        <w:outlineLvl w:val="9"/>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基本支出资金管理情况</w:t>
      </w:r>
    </w:p>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default"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我局基本支出各项资金严格按年初预算执行，资金使用按局财务制度要求执行，严格审批，各项资金的使用合理合规。</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3" w:firstLineChars="200"/>
        <w:jc w:val="left"/>
        <w:textAlignment w:val="auto"/>
        <w:outlineLvl w:val="9"/>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3、“三公”经费支出情况</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default"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rPr>
        <w:t>我</w:t>
      </w:r>
      <w:r>
        <w:rPr>
          <w:rFonts w:hint="eastAsia" w:ascii="仿宋_GB2312" w:hAnsi="仿宋_GB2312" w:eastAsia="仿宋_GB2312" w:cs="仿宋_GB2312"/>
          <w:color w:val="000000"/>
          <w:sz w:val="32"/>
          <w:szCs w:val="32"/>
          <w:shd w:val="clear" w:color="auto" w:fill="FFFFFF"/>
          <w:lang w:eastAsia="zh-CN"/>
        </w:rPr>
        <w:t>局</w:t>
      </w:r>
      <w:r>
        <w:rPr>
          <w:rFonts w:hint="eastAsia" w:ascii="仿宋_GB2312" w:hAnsi="仿宋_GB2312" w:eastAsia="仿宋_GB2312" w:cs="仿宋_GB2312"/>
          <w:color w:val="000000"/>
          <w:sz w:val="32"/>
          <w:szCs w:val="32"/>
          <w:shd w:val="clear" w:color="auto" w:fill="FFFFFF"/>
        </w:rPr>
        <w:t>对</w:t>
      </w:r>
      <w:r>
        <w:rPr>
          <w:rFonts w:hint="eastAsia" w:ascii="仿宋_GB2312" w:hAnsi="仿宋_GB2312" w:eastAsia="仿宋_GB2312" w:cs="仿宋_GB2312"/>
          <w:color w:val="000000"/>
          <w:sz w:val="32"/>
          <w:szCs w:val="32"/>
          <w:shd w:val="clear" w:color="auto" w:fill="FFFFFF"/>
          <w:lang w:val="en-US" w:eastAsia="zh-CN"/>
        </w:rPr>
        <w:t>“三公”</w:t>
      </w:r>
      <w:r>
        <w:rPr>
          <w:rFonts w:hint="eastAsia" w:ascii="仿宋_GB2312" w:hAnsi="仿宋_GB2312" w:eastAsia="仿宋_GB2312" w:cs="仿宋_GB2312"/>
          <w:color w:val="000000"/>
          <w:sz w:val="32"/>
          <w:szCs w:val="32"/>
          <w:shd w:val="clear" w:color="auto" w:fill="FFFFFF"/>
        </w:rPr>
        <w:t>经费严格控制，</w:t>
      </w:r>
      <w:r>
        <w:rPr>
          <w:rFonts w:hint="eastAsia" w:ascii="仿宋_GB2312" w:hAnsi="仿宋_GB2312" w:eastAsia="仿宋_GB2312" w:cs="仿宋_GB2312"/>
          <w:sz w:val="32"/>
          <w:szCs w:val="32"/>
        </w:rPr>
        <w:t>本年度</w:t>
      </w:r>
      <w:r>
        <w:rPr>
          <w:rFonts w:hint="eastAsia" w:ascii="仿宋_GB2312" w:hAnsi="仿宋_GB2312" w:eastAsia="仿宋_GB2312" w:cs="仿宋_GB2312"/>
          <w:color w:val="000000"/>
          <w:sz w:val="32"/>
          <w:szCs w:val="32"/>
          <w:shd w:val="clear" w:color="auto" w:fill="FFFFFF"/>
          <w:lang w:val="en-US" w:eastAsia="zh-CN"/>
        </w:rPr>
        <w:t>“三公”</w:t>
      </w:r>
      <w:r>
        <w:rPr>
          <w:rFonts w:hint="eastAsia" w:ascii="仿宋_GB2312" w:hAnsi="仿宋_GB2312" w:eastAsia="仿宋_GB2312" w:cs="仿宋_GB2312"/>
          <w:sz w:val="32"/>
          <w:szCs w:val="32"/>
        </w:rPr>
        <w:t>经费</w:t>
      </w:r>
      <w:r>
        <w:rPr>
          <w:rFonts w:hint="eastAsia" w:ascii="仿宋_GB2312" w:hAnsi="仿宋_GB2312" w:eastAsia="仿宋_GB2312" w:cs="仿宋_GB2312"/>
          <w:color w:val="000000"/>
          <w:sz w:val="32"/>
          <w:szCs w:val="32"/>
          <w:shd w:val="clear" w:color="auto" w:fill="FFFFFF"/>
        </w:rPr>
        <w:t>共支出</w:t>
      </w:r>
      <w:r>
        <w:rPr>
          <w:rFonts w:hint="eastAsia" w:ascii="仿宋_GB2312" w:hAnsi="仿宋_GB2312" w:eastAsia="仿宋_GB2312" w:cs="仿宋_GB2312"/>
          <w:color w:val="000000"/>
          <w:sz w:val="32"/>
          <w:szCs w:val="32"/>
          <w:shd w:val="clear" w:color="auto" w:fill="FFFFFF"/>
          <w:lang w:val="en-US" w:eastAsia="zh-CN"/>
        </w:rPr>
        <w:t>1.19万</w:t>
      </w:r>
      <w:r>
        <w:rPr>
          <w:rFonts w:hint="eastAsia" w:ascii="仿宋_GB2312" w:hAnsi="仿宋_GB2312" w:eastAsia="仿宋_GB2312" w:cs="仿宋_GB2312"/>
          <w:color w:val="000000"/>
          <w:sz w:val="32"/>
          <w:szCs w:val="32"/>
          <w:shd w:val="clear" w:color="auto" w:fill="FFFFFF"/>
        </w:rPr>
        <w:t>元，</w:t>
      </w:r>
      <w:r>
        <w:rPr>
          <w:rFonts w:hint="eastAsia" w:ascii="仿宋_GB2312" w:hAnsi="仿宋_GB2312" w:eastAsia="仿宋_GB2312" w:cs="仿宋_GB2312"/>
          <w:color w:val="000000"/>
          <w:sz w:val="32"/>
          <w:szCs w:val="32"/>
          <w:shd w:val="clear" w:color="auto" w:fill="FFFFFF"/>
          <w:lang w:eastAsia="zh-CN"/>
        </w:rPr>
        <w:t>全部为公务接待费，本年公务接待较上年支出减少，</w:t>
      </w:r>
      <w:r>
        <w:rPr>
          <w:rFonts w:hint="eastAsia" w:ascii="仿宋_GB2312" w:hAnsi="仿宋_GB2312" w:eastAsia="仿宋_GB2312" w:cs="仿宋_GB2312"/>
          <w:sz w:val="32"/>
          <w:szCs w:val="32"/>
        </w:rPr>
        <w:t>较201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4.03%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shd w:val="clear" w:color="auto" w:fill="FFFFFF"/>
          <w:lang w:val="en-US" w:eastAsia="zh-CN"/>
        </w:rPr>
        <w:t>减少的主要原因是本年度我局严格贯彻落实例行节约制度，按要求压减一般性支出，严控招待费支出。</w:t>
      </w:r>
    </w:p>
    <w:p>
      <w:pPr>
        <w:pStyle w:val="5"/>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100" w:beforeAutospacing="0" w:after="100" w:afterAutospacing="0" w:line="560" w:lineRule="exact"/>
        <w:ind w:leftChars="200" w:right="0" w:rightChars="0" w:firstLine="321" w:firstLineChars="100"/>
        <w:jc w:val="left"/>
        <w:textAlignment w:val="auto"/>
        <w:outlineLvl w:val="9"/>
        <w:rPr>
          <w:rFonts w:hint="eastAsia" w:ascii="仿宋_GB2312" w:hAnsi="仿宋_GB2312" w:eastAsia="仿宋_GB2312" w:cs="仿宋_GB2312"/>
          <w:b/>
          <w:bCs/>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rPr>
        <w:t>专项支出</w:t>
      </w:r>
      <w:r>
        <w:rPr>
          <w:rFonts w:hint="eastAsia" w:ascii="仿宋_GB2312" w:hAnsi="仿宋_GB2312" w:eastAsia="仿宋_GB2312" w:cs="仿宋_GB2312"/>
          <w:b/>
          <w:bCs/>
          <w:color w:val="000000"/>
          <w:sz w:val="32"/>
          <w:szCs w:val="32"/>
          <w:shd w:val="clear" w:color="auto" w:fill="FFFFFF"/>
          <w:lang w:eastAsia="zh-CN"/>
        </w:rPr>
        <w:t>情况</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leftChars="300" w:right="0" w:rightChars="0"/>
        <w:jc w:val="left"/>
        <w:textAlignment w:val="auto"/>
        <w:outlineLvl w:val="9"/>
        <w:rPr>
          <w:rFonts w:hint="default"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 xml:space="preserve"> 1、专项资金收入支出情况</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jc w:val="left"/>
        <w:textAlignment w:val="auto"/>
        <w:outlineLvl w:val="9"/>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 xml:space="preserve">     20</w:t>
      </w:r>
      <w:r>
        <w:rPr>
          <w:rFonts w:hint="eastAsia" w:ascii="仿宋_GB2312" w:hAnsi="仿宋_GB2312" w:eastAsia="仿宋_GB2312" w:cs="仿宋_GB2312"/>
          <w:color w:val="000000"/>
          <w:sz w:val="32"/>
          <w:szCs w:val="32"/>
          <w:shd w:val="clear" w:color="auto" w:fill="FFFFFF"/>
          <w:lang w:val="en-US" w:eastAsia="zh-CN"/>
        </w:rPr>
        <w:t>20</w:t>
      </w:r>
      <w:r>
        <w:rPr>
          <w:rFonts w:hint="eastAsia" w:ascii="仿宋_GB2312" w:hAnsi="仿宋_GB2312" w:eastAsia="仿宋_GB2312" w:cs="仿宋_GB2312"/>
          <w:color w:val="000000"/>
          <w:sz w:val="32"/>
          <w:szCs w:val="32"/>
          <w:shd w:val="clear" w:color="auto" w:fill="FFFFFF"/>
        </w:rPr>
        <w:t>年我</w:t>
      </w:r>
      <w:r>
        <w:rPr>
          <w:rFonts w:hint="eastAsia" w:ascii="仿宋_GB2312" w:hAnsi="仿宋_GB2312" w:eastAsia="仿宋_GB2312" w:cs="仿宋_GB2312"/>
          <w:color w:val="000000"/>
          <w:sz w:val="32"/>
          <w:szCs w:val="32"/>
          <w:shd w:val="clear" w:color="auto" w:fill="FFFFFF"/>
          <w:lang w:eastAsia="zh-CN"/>
        </w:rPr>
        <w:t>局有</w:t>
      </w:r>
      <w:r>
        <w:rPr>
          <w:rFonts w:hint="eastAsia" w:ascii="仿宋_GB2312" w:hAnsi="仿宋_GB2312" w:eastAsia="仿宋_GB2312" w:cs="仿宋_GB2312"/>
          <w:color w:val="000000"/>
          <w:sz w:val="32"/>
          <w:szCs w:val="32"/>
          <w:shd w:val="clear" w:color="auto" w:fill="FFFFFF"/>
        </w:rPr>
        <w:t>专项业务工作经费1</w:t>
      </w:r>
      <w:r>
        <w:rPr>
          <w:rFonts w:hint="eastAsia" w:ascii="仿宋_GB2312" w:hAnsi="仿宋_GB2312" w:eastAsia="仿宋_GB2312" w:cs="仿宋_GB2312"/>
          <w:color w:val="000000"/>
          <w:sz w:val="32"/>
          <w:szCs w:val="32"/>
          <w:shd w:val="clear" w:color="auto" w:fill="FFFFFF"/>
          <w:lang w:val="en-US" w:eastAsia="zh-CN"/>
        </w:rPr>
        <w:t>2</w:t>
      </w:r>
      <w:r>
        <w:rPr>
          <w:rFonts w:hint="eastAsia" w:ascii="仿宋_GB2312" w:hAnsi="仿宋_GB2312" w:eastAsia="仿宋_GB2312" w:cs="仿宋_GB2312"/>
          <w:color w:val="000000"/>
          <w:sz w:val="32"/>
          <w:szCs w:val="32"/>
          <w:shd w:val="clear" w:color="auto" w:fill="FFFFFF"/>
        </w:rPr>
        <w:t>万元，</w:t>
      </w:r>
      <w:r>
        <w:rPr>
          <w:rFonts w:hint="eastAsia" w:ascii="仿宋_GB2312" w:hAnsi="仿宋_GB2312" w:eastAsia="仿宋_GB2312" w:cs="仿宋_GB2312"/>
          <w:color w:val="000000"/>
          <w:sz w:val="32"/>
          <w:szCs w:val="32"/>
          <w:shd w:val="clear" w:color="auto" w:fill="FFFFFF"/>
          <w:lang w:eastAsia="zh-CN"/>
        </w:rPr>
        <w:t>其中，</w:t>
      </w:r>
      <w:r>
        <w:rPr>
          <w:rFonts w:hint="eastAsia" w:ascii="仿宋_GB2312" w:hAnsi="仿宋_GB2312" w:eastAsia="仿宋_GB2312" w:cs="仿宋_GB2312"/>
          <w:color w:val="000000"/>
          <w:sz w:val="32"/>
          <w:szCs w:val="32"/>
          <w:shd w:val="clear" w:color="auto" w:fill="FFFFFF"/>
        </w:rPr>
        <w:t>安全生产工作经费</w:t>
      </w:r>
      <w:r>
        <w:rPr>
          <w:rFonts w:hint="eastAsia" w:ascii="仿宋_GB2312" w:hAnsi="仿宋_GB2312" w:eastAsia="仿宋_GB2312" w:cs="仿宋_GB2312"/>
          <w:color w:val="000000"/>
          <w:sz w:val="32"/>
          <w:szCs w:val="32"/>
          <w:shd w:val="clear" w:color="auto" w:fill="FFFFFF"/>
          <w:lang w:val="en-US" w:eastAsia="zh-CN"/>
        </w:rPr>
        <w:t>7万元</w:t>
      </w:r>
      <w:r>
        <w:rPr>
          <w:rFonts w:hint="eastAsia" w:ascii="仿宋_GB2312" w:hAnsi="仿宋_GB2312" w:eastAsia="仿宋_GB2312" w:cs="仿宋_GB2312"/>
          <w:color w:val="000000"/>
          <w:sz w:val="32"/>
          <w:szCs w:val="32"/>
          <w:shd w:val="clear" w:color="auto" w:fill="FFFFFF"/>
          <w:lang w:eastAsia="zh-CN"/>
        </w:rPr>
        <w:t>，入规培育工作经费</w:t>
      </w:r>
      <w:r>
        <w:rPr>
          <w:rFonts w:hint="eastAsia" w:ascii="仿宋_GB2312" w:hAnsi="仿宋_GB2312" w:eastAsia="仿宋_GB2312" w:cs="仿宋_GB2312"/>
          <w:color w:val="000000"/>
          <w:sz w:val="32"/>
          <w:szCs w:val="32"/>
          <w:shd w:val="clear" w:color="auto" w:fill="FFFFFF"/>
          <w:lang w:val="en-US" w:eastAsia="zh-CN"/>
        </w:rPr>
        <w:t>5万元，</w:t>
      </w:r>
      <w:r>
        <w:rPr>
          <w:rFonts w:hint="eastAsia" w:ascii="仿宋_GB2312" w:hAnsi="仿宋_GB2312" w:eastAsia="仿宋_GB2312" w:cs="仿宋_GB2312"/>
          <w:color w:val="000000"/>
          <w:sz w:val="32"/>
          <w:szCs w:val="32"/>
          <w:shd w:val="clear" w:color="auto" w:fill="FFFFFF"/>
          <w:lang w:eastAsia="zh-CN"/>
        </w:rPr>
        <w:t>资金来源全部为财政拨款。</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default" w:ascii="Calibri" w:hAnsi="Calibri" w:eastAsia="仿宋_GB2312" w:cs="Calibri"/>
          <w:color w:val="000000"/>
          <w:sz w:val="32"/>
          <w:szCs w:val="32"/>
          <w:shd w:val="clear" w:color="auto" w:fill="FFFFFF"/>
          <w:lang w:eastAsia="zh-CN"/>
        </w:rPr>
        <w:t>①</w:t>
      </w:r>
      <w:r>
        <w:rPr>
          <w:rFonts w:hint="eastAsia" w:ascii="仿宋_GB2312" w:hAnsi="仿宋_GB2312" w:eastAsia="仿宋_GB2312" w:cs="仿宋_GB2312"/>
          <w:color w:val="000000"/>
          <w:sz w:val="32"/>
          <w:szCs w:val="32"/>
          <w:shd w:val="clear" w:color="auto" w:fill="FFFFFF"/>
          <w:lang w:eastAsia="zh-CN"/>
        </w:rPr>
        <w:t>本年度安全生产工作经费</w:t>
      </w:r>
      <w:r>
        <w:rPr>
          <w:rFonts w:hint="eastAsia" w:ascii="仿宋_GB2312" w:hAnsi="仿宋_GB2312" w:eastAsia="仿宋_GB2312" w:cs="仿宋_GB2312"/>
          <w:color w:val="000000"/>
          <w:sz w:val="32"/>
          <w:szCs w:val="32"/>
          <w:shd w:val="clear" w:color="auto" w:fill="FFFFFF"/>
        </w:rPr>
        <w:t>实际支出</w:t>
      </w:r>
      <w:r>
        <w:rPr>
          <w:rFonts w:hint="eastAsia" w:ascii="仿宋_GB2312" w:hAnsi="仿宋_GB2312" w:eastAsia="仿宋_GB2312" w:cs="仿宋_GB2312"/>
          <w:color w:val="000000"/>
          <w:sz w:val="32"/>
          <w:szCs w:val="32"/>
          <w:shd w:val="clear" w:color="auto" w:fill="FFFFFF"/>
          <w:lang w:val="en-US" w:eastAsia="zh-CN"/>
        </w:rPr>
        <w:t>7</w:t>
      </w:r>
      <w:r>
        <w:rPr>
          <w:rFonts w:hint="eastAsia" w:ascii="仿宋_GB2312" w:hAnsi="仿宋_GB2312" w:eastAsia="仿宋_GB2312" w:cs="仿宋_GB2312"/>
          <w:color w:val="000000"/>
          <w:sz w:val="32"/>
          <w:szCs w:val="32"/>
          <w:shd w:val="clear" w:color="auto" w:fill="FFFFFF"/>
        </w:rPr>
        <w:t>万元</w:t>
      </w:r>
      <w:r>
        <w:rPr>
          <w:rFonts w:hint="eastAsia" w:ascii="仿宋_GB2312" w:hAnsi="仿宋_GB2312" w:eastAsia="仿宋_GB2312" w:cs="仿宋_GB2312"/>
          <w:color w:val="000000"/>
          <w:sz w:val="32"/>
          <w:szCs w:val="32"/>
          <w:shd w:val="clear" w:color="auto" w:fill="FFFFFF"/>
          <w:lang w:eastAsia="zh-CN"/>
        </w:rPr>
        <w:t>，主要用于</w:t>
      </w:r>
      <w:r>
        <w:rPr>
          <w:rFonts w:hint="eastAsia" w:ascii="仿宋_GB2312" w:hAnsi="仿宋_GB2312" w:eastAsia="仿宋_GB2312" w:cs="仿宋_GB2312"/>
          <w:color w:val="000000"/>
          <w:sz w:val="32"/>
          <w:szCs w:val="32"/>
          <w:shd w:val="clear" w:color="auto" w:fill="FFFFFF"/>
        </w:rPr>
        <w:t>安全生产调度运行监测、分析，</w:t>
      </w:r>
      <w:r>
        <w:rPr>
          <w:rFonts w:hint="eastAsia" w:ascii="仿宋_GB2312" w:hAnsi="仿宋_GB2312" w:eastAsia="仿宋_GB2312" w:cs="仿宋_GB2312"/>
          <w:color w:val="000000"/>
          <w:sz w:val="32"/>
          <w:szCs w:val="32"/>
          <w:shd w:val="clear" w:color="auto" w:fill="FFFFFF"/>
          <w:lang w:eastAsia="zh-CN"/>
        </w:rPr>
        <w:t>安全生产宣传，</w:t>
      </w:r>
      <w:r>
        <w:rPr>
          <w:rFonts w:hint="eastAsia" w:ascii="仿宋_GB2312" w:hAnsi="仿宋_GB2312" w:eastAsia="仿宋_GB2312" w:cs="仿宋_GB2312"/>
          <w:color w:val="000000"/>
          <w:sz w:val="32"/>
          <w:szCs w:val="32"/>
          <w:shd w:val="clear" w:color="auto" w:fill="FFFFFF"/>
        </w:rPr>
        <w:t>开展安全生产大检查。</w:t>
      </w:r>
      <w:r>
        <w:rPr>
          <w:rFonts w:hint="eastAsia" w:ascii="仿宋_GB2312" w:hAnsi="仿宋_GB2312" w:eastAsia="仿宋_GB2312" w:cs="仿宋_GB2312"/>
          <w:color w:val="000000"/>
          <w:sz w:val="32"/>
          <w:szCs w:val="32"/>
          <w:shd w:val="clear" w:color="auto" w:fill="FFFFFF"/>
          <w:lang w:eastAsia="zh-CN"/>
        </w:rPr>
        <w:t>具体支出情况如下：</w:t>
      </w:r>
      <w:r>
        <w:rPr>
          <w:rFonts w:hint="eastAsia" w:ascii="仿宋_GB2312" w:hAnsi="仿宋_GB2312" w:eastAsia="仿宋_GB2312" w:cs="仿宋_GB2312"/>
          <w:color w:val="000000"/>
          <w:sz w:val="32"/>
          <w:szCs w:val="32"/>
          <w:shd w:val="clear" w:color="auto" w:fill="FFFFFF"/>
          <w:lang w:val="en-US" w:eastAsia="zh-CN"/>
        </w:rPr>
        <w:t>办公费1.6万元，印刷费0.84万元，邮电费0.12万元，差旅费1.3万元，维修费0.3万元，招待费1.19万元，其他交通费用0.99万元，其他商品和服务支出0.66万元。</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default" w:ascii="Calibri" w:hAnsi="Calibri" w:eastAsia="仿宋_GB2312" w:cs="Calibri"/>
          <w:color w:val="000000"/>
          <w:sz w:val="32"/>
          <w:szCs w:val="32"/>
          <w:shd w:val="clear" w:color="auto" w:fill="FFFFFF"/>
          <w:lang w:val="en-US" w:eastAsia="zh-CN"/>
        </w:rPr>
        <w:t>②</w:t>
      </w:r>
      <w:r>
        <w:rPr>
          <w:rFonts w:hint="eastAsia" w:ascii="仿宋_GB2312" w:hAnsi="仿宋_GB2312" w:eastAsia="仿宋_GB2312" w:cs="仿宋_GB2312"/>
          <w:color w:val="000000"/>
          <w:sz w:val="32"/>
          <w:szCs w:val="32"/>
          <w:shd w:val="clear" w:color="auto" w:fill="FFFFFF"/>
          <w:lang w:eastAsia="zh-CN"/>
        </w:rPr>
        <w:t>本年度入规培育工作经费</w:t>
      </w:r>
      <w:r>
        <w:rPr>
          <w:rFonts w:hint="eastAsia" w:ascii="仿宋_GB2312" w:hAnsi="仿宋_GB2312" w:eastAsia="仿宋_GB2312" w:cs="仿宋_GB2312"/>
          <w:color w:val="000000"/>
          <w:sz w:val="32"/>
          <w:szCs w:val="32"/>
          <w:shd w:val="clear" w:color="auto" w:fill="FFFFFF"/>
        </w:rPr>
        <w:t>实际支出</w:t>
      </w:r>
      <w:r>
        <w:rPr>
          <w:rFonts w:hint="eastAsia" w:ascii="仿宋_GB2312" w:hAnsi="仿宋_GB2312" w:eastAsia="仿宋_GB2312" w:cs="仿宋_GB2312"/>
          <w:color w:val="000000"/>
          <w:sz w:val="32"/>
          <w:szCs w:val="32"/>
          <w:shd w:val="clear" w:color="auto" w:fill="FFFFFF"/>
          <w:lang w:val="en-US" w:eastAsia="zh-CN"/>
        </w:rPr>
        <w:t>2.75</w:t>
      </w:r>
      <w:r>
        <w:rPr>
          <w:rFonts w:hint="eastAsia" w:ascii="仿宋_GB2312" w:hAnsi="仿宋_GB2312" w:eastAsia="仿宋_GB2312" w:cs="仿宋_GB2312"/>
          <w:color w:val="000000"/>
          <w:sz w:val="32"/>
          <w:szCs w:val="32"/>
          <w:shd w:val="clear" w:color="auto" w:fill="FFFFFF"/>
        </w:rPr>
        <w:t>万元</w:t>
      </w:r>
      <w:r>
        <w:rPr>
          <w:rFonts w:hint="eastAsia" w:ascii="仿宋_GB2312" w:hAnsi="仿宋_GB2312" w:eastAsia="仿宋_GB2312" w:cs="仿宋_GB2312"/>
          <w:color w:val="000000"/>
          <w:sz w:val="32"/>
          <w:szCs w:val="32"/>
          <w:shd w:val="clear" w:color="auto" w:fill="FFFFFF"/>
          <w:lang w:eastAsia="zh-CN"/>
        </w:rPr>
        <w:t>，主要用于</w:t>
      </w:r>
      <w:r>
        <w:rPr>
          <w:rFonts w:hint="eastAsia" w:ascii="仿宋_GB2312" w:hAnsi="仿宋_GB2312" w:eastAsia="仿宋_GB2312" w:cs="仿宋_GB2312"/>
          <w:color w:val="000000"/>
          <w:sz w:val="32"/>
          <w:szCs w:val="32"/>
          <w:shd w:val="clear" w:color="auto" w:fill="FFFFFF"/>
          <w:lang w:val="en-US" w:eastAsia="zh-CN"/>
        </w:rPr>
        <w:t>疫情防控期间帮助规模企业复工复产、宣传惠企政策等工作。</w:t>
      </w:r>
      <w:r>
        <w:rPr>
          <w:rFonts w:hint="eastAsia" w:ascii="仿宋_GB2312" w:hAnsi="仿宋_GB2312" w:eastAsia="仿宋_GB2312" w:cs="仿宋_GB2312"/>
          <w:color w:val="000000"/>
          <w:sz w:val="32"/>
          <w:szCs w:val="32"/>
          <w:shd w:val="clear" w:color="auto" w:fill="FFFFFF"/>
          <w:lang w:eastAsia="zh-CN"/>
        </w:rPr>
        <w:t>具体支出情况如下：</w:t>
      </w:r>
      <w:r>
        <w:rPr>
          <w:rFonts w:hint="eastAsia" w:ascii="仿宋_GB2312" w:hAnsi="仿宋_GB2312" w:eastAsia="仿宋_GB2312" w:cs="仿宋_GB2312"/>
          <w:color w:val="000000"/>
          <w:sz w:val="32"/>
          <w:szCs w:val="32"/>
          <w:shd w:val="clear" w:color="auto" w:fill="FFFFFF"/>
          <w:lang w:val="en-US" w:eastAsia="zh-CN"/>
        </w:rPr>
        <w:t>差旅费0.78万元，印刷费0.65万元，其他交通费用1.32万元。</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3" w:firstLineChars="200"/>
        <w:jc w:val="left"/>
        <w:textAlignment w:val="auto"/>
        <w:outlineLvl w:val="9"/>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2、专项资金管理情况</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为了更好地规范和使用专项资金，我局结合实际，制定了《市黄金局安全生产工作经费管理办法》。为确保财政资金安全，多次修订完善了《怀化市黄金工业管理局内部管理制度》。进一步加强财务监督，确保专项资金专款专用，每半年对工作开展和经费支出情况进行督促检查，年底进行总结、考核，并及时向局支委会报告预算执行情况，自觉接受全体干部职工的监督。</w:t>
      </w:r>
    </w:p>
    <w:p>
      <w:pPr>
        <w:pStyle w:val="5"/>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100" w:beforeAutospacing="0" w:after="100" w:afterAutospacing="0" w:line="560" w:lineRule="exact"/>
        <w:ind w:firstLine="643" w:firstLineChars="200"/>
        <w:jc w:val="left"/>
        <w:textAlignment w:val="auto"/>
        <w:outlineLvl w:val="9"/>
        <w:rPr>
          <w:rFonts w:hint="eastAsia"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资产管理情况</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default" w:ascii="仿宋_GB2312" w:hAnsi="仿宋_GB2312" w:eastAsia="仿宋_GB2312" w:cs="仿宋_GB2312"/>
          <w:color w:val="000000"/>
          <w:sz w:val="32"/>
          <w:szCs w:val="32"/>
          <w:shd w:val="clear" w:color="auto" w:fill="FFFFFF"/>
          <w:lang w:val="en-US"/>
        </w:rPr>
      </w:pPr>
      <w:r>
        <w:rPr>
          <w:rFonts w:hint="eastAsia" w:ascii="仿宋_GB2312" w:hAnsi="仿宋_GB2312" w:eastAsia="仿宋_GB2312" w:cs="仿宋_GB2312"/>
          <w:color w:val="000000"/>
          <w:sz w:val="32"/>
          <w:szCs w:val="32"/>
          <w:shd w:val="clear" w:color="auto" w:fill="FFFFFF"/>
          <w:lang w:eastAsia="zh-CN"/>
        </w:rPr>
        <w:t>截止到</w:t>
      </w:r>
      <w:r>
        <w:rPr>
          <w:rFonts w:hint="eastAsia" w:ascii="仿宋_GB2312" w:hAnsi="仿宋_GB2312" w:eastAsia="仿宋_GB2312" w:cs="仿宋_GB2312"/>
          <w:color w:val="000000"/>
          <w:sz w:val="32"/>
          <w:szCs w:val="32"/>
          <w:shd w:val="clear" w:color="auto" w:fill="FFFFFF"/>
          <w:lang w:val="en-US" w:eastAsia="zh-CN"/>
        </w:rPr>
        <w:t>2020年12月31日</w:t>
      </w:r>
      <w:r>
        <w:rPr>
          <w:rFonts w:hint="eastAsia" w:ascii="仿宋_GB2312" w:hAnsi="仿宋_GB2312" w:eastAsia="仿宋_GB2312" w:cs="仿宋_GB2312"/>
          <w:color w:val="000000"/>
          <w:sz w:val="32"/>
          <w:szCs w:val="32"/>
          <w:shd w:val="clear" w:color="auto" w:fill="FFFFFF"/>
        </w:rPr>
        <w:t>，我</w:t>
      </w:r>
      <w:r>
        <w:rPr>
          <w:rFonts w:hint="eastAsia" w:ascii="仿宋_GB2312" w:hAnsi="仿宋_GB2312" w:eastAsia="仿宋_GB2312" w:cs="仿宋_GB2312"/>
          <w:color w:val="000000"/>
          <w:sz w:val="32"/>
          <w:szCs w:val="32"/>
          <w:shd w:val="clear" w:color="auto" w:fill="FFFFFF"/>
          <w:lang w:eastAsia="zh-CN"/>
        </w:rPr>
        <w:t>局</w:t>
      </w:r>
      <w:r>
        <w:rPr>
          <w:rFonts w:hint="eastAsia" w:ascii="仿宋_GB2312" w:hAnsi="仿宋_GB2312" w:eastAsia="仿宋_GB2312" w:cs="仿宋_GB2312"/>
          <w:color w:val="000000"/>
          <w:sz w:val="32"/>
          <w:szCs w:val="32"/>
          <w:shd w:val="clear" w:color="auto" w:fill="FFFFFF"/>
        </w:rPr>
        <w:t>资产总额为</w:t>
      </w:r>
      <w:r>
        <w:rPr>
          <w:rFonts w:hint="eastAsia" w:ascii="仿宋_GB2312" w:hAnsi="仿宋_GB2312" w:eastAsia="仿宋_GB2312" w:cs="仿宋_GB2312"/>
          <w:color w:val="000000"/>
          <w:sz w:val="32"/>
          <w:szCs w:val="32"/>
          <w:shd w:val="clear" w:color="auto" w:fill="FFFFFF"/>
          <w:lang w:val="en-US" w:eastAsia="zh-CN"/>
        </w:rPr>
        <w:t>86.62万</w:t>
      </w:r>
      <w:r>
        <w:rPr>
          <w:rFonts w:hint="eastAsia" w:ascii="仿宋_GB2312" w:hAnsi="仿宋_GB2312" w:eastAsia="仿宋_GB2312" w:cs="仿宋_GB2312"/>
          <w:color w:val="000000"/>
          <w:sz w:val="32"/>
          <w:szCs w:val="32"/>
          <w:shd w:val="clear" w:color="auto" w:fill="FFFFFF"/>
        </w:rPr>
        <w:t>元。其中：固定资产</w:t>
      </w:r>
      <w:r>
        <w:rPr>
          <w:rFonts w:hint="eastAsia" w:ascii="仿宋_GB2312" w:hAnsi="仿宋_GB2312" w:eastAsia="仿宋_GB2312" w:cs="仿宋_GB2312"/>
          <w:color w:val="000000"/>
          <w:sz w:val="32"/>
          <w:szCs w:val="32"/>
          <w:shd w:val="clear" w:color="auto" w:fill="FFFFFF"/>
          <w:lang w:val="en-US" w:eastAsia="zh-CN"/>
        </w:rPr>
        <w:t>净值59.7万</w:t>
      </w:r>
      <w:r>
        <w:rPr>
          <w:rFonts w:hint="eastAsia" w:ascii="仿宋_GB2312" w:hAnsi="仿宋_GB2312" w:eastAsia="仿宋_GB2312" w:cs="仿宋_GB2312"/>
          <w:color w:val="000000"/>
          <w:sz w:val="32"/>
          <w:szCs w:val="32"/>
          <w:shd w:val="clear" w:color="auto" w:fill="FFFFFF"/>
        </w:rPr>
        <w:t>元；流动资产</w:t>
      </w:r>
      <w:r>
        <w:rPr>
          <w:rFonts w:hint="eastAsia" w:ascii="仿宋_GB2312" w:hAnsi="仿宋_GB2312" w:eastAsia="仿宋_GB2312" w:cs="仿宋_GB2312"/>
          <w:color w:val="000000"/>
          <w:sz w:val="32"/>
          <w:szCs w:val="32"/>
          <w:shd w:val="clear" w:color="auto" w:fill="FFFFFF"/>
          <w:lang w:val="en-US" w:eastAsia="zh-CN"/>
        </w:rPr>
        <w:t>8.77万</w:t>
      </w:r>
      <w:r>
        <w:rPr>
          <w:rFonts w:hint="eastAsia" w:ascii="仿宋_GB2312" w:hAnsi="仿宋_GB2312" w:eastAsia="仿宋_GB2312" w:cs="仿宋_GB2312"/>
          <w:color w:val="000000"/>
          <w:sz w:val="32"/>
          <w:szCs w:val="32"/>
          <w:shd w:val="clear" w:color="auto" w:fill="FFFFFF"/>
        </w:rPr>
        <w:t>元；无形资产</w:t>
      </w:r>
      <w:r>
        <w:rPr>
          <w:rFonts w:hint="eastAsia" w:ascii="仿宋_GB2312" w:hAnsi="仿宋_GB2312" w:eastAsia="仿宋_GB2312" w:cs="仿宋_GB2312"/>
          <w:color w:val="000000"/>
          <w:sz w:val="32"/>
          <w:szCs w:val="32"/>
          <w:shd w:val="clear" w:color="auto" w:fill="FFFFFF"/>
          <w:lang w:eastAsia="zh-CN"/>
        </w:rPr>
        <w:t>净值</w:t>
      </w:r>
      <w:r>
        <w:rPr>
          <w:rFonts w:hint="eastAsia" w:ascii="仿宋_GB2312" w:hAnsi="仿宋_GB2312" w:eastAsia="仿宋_GB2312" w:cs="仿宋_GB2312"/>
          <w:color w:val="000000"/>
          <w:sz w:val="32"/>
          <w:szCs w:val="32"/>
          <w:shd w:val="clear" w:color="auto" w:fill="FFFFFF"/>
          <w:lang w:val="en-US" w:eastAsia="zh-CN"/>
        </w:rPr>
        <w:t>18.14</w:t>
      </w:r>
      <w:r>
        <w:rPr>
          <w:rFonts w:hint="eastAsia" w:ascii="仿宋_GB2312" w:hAnsi="仿宋_GB2312" w:eastAsia="仿宋_GB2312" w:cs="仿宋_GB2312"/>
          <w:color w:val="000000"/>
          <w:sz w:val="32"/>
          <w:szCs w:val="32"/>
          <w:shd w:val="clear" w:color="auto" w:fill="FFFFFF"/>
          <w:lang w:eastAsia="zh-CN"/>
        </w:rPr>
        <w:t>万</w:t>
      </w:r>
      <w:r>
        <w:rPr>
          <w:rFonts w:hint="eastAsia" w:ascii="仿宋_GB2312" w:hAnsi="仿宋_GB2312" w:eastAsia="仿宋_GB2312" w:cs="仿宋_GB2312"/>
          <w:color w:val="000000"/>
          <w:sz w:val="32"/>
          <w:szCs w:val="32"/>
          <w:shd w:val="clear" w:color="auto" w:fill="FFFFFF"/>
        </w:rPr>
        <w:t>元。</w:t>
      </w:r>
      <w:r>
        <w:rPr>
          <w:rFonts w:hint="eastAsia" w:ascii="仿宋_GB2312" w:hAnsi="仿宋_GB2312" w:eastAsia="仿宋_GB2312" w:cs="仿宋_GB2312"/>
          <w:color w:val="000000"/>
          <w:sz w:val="32"/>
          <w:szCs w:val="32"/>
          <w:shd w:val="clear" w:color="auto" w:fill="FFFFFF"/>
          <w:lang w:eastAsia="zh-CN"/>
        </w:rPr>
        <w:t>按政府会计制度要求，我局每月对固定资产及无形资产计提折旧（摊销），其中，固定资产累计折旧</w:t>
      </w:r>
      <w:r>
        <w:rPr>
          <w:rFonts w:hint="eastAsia" w:ascii="仿宋_GB2312" w:hAnsi="仿宋_GB2312" w:eastAsia="仿宋_GB2312" w:cs="仿宋_GB2312"/>
          <w:color w:val="000000"/>
          <w:sz w:val="32"/>
          <w:szCs w:val="32"/>
          <w:shd w:val="clear" w:color="auto" w:fill="FFFFFF"/>
          <w:lang w:val="en-US" w:eastAsia="zh-CN"/>
        </w:rPr>
        <w:t>74.16万元，无形资产累计摊销10.2万元。</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eastAsia="zh-CN"/>
        </w:rPr>
        <w:t>我局</w:t>
      </w:r>
      <w:r>
        <w:rPr>
          <w:rFonts w:hint="eastAsia" w:ascii="仿宋_GB2312" w:hAnsi="仿宋_GB2312" w:eastAsia="仿宋_GB2312" w:cs="仿宋_GB2312"/>
          <w:color w:val="000000"/>
          <w:sz w:val="32"/>
          <w:szCs w:val="32"/>
          <w:shd w:val="clear" w:color="auto" w:fill="FFFFFF"/>
        </w:rPr>
        <w:t>资产的配置、管理、处置等，符合财政部门要求</w:t>
      </w:r>
      <w:r>
        <w:rPr>
          <w:rFonts w:hint="eastAsia" w:ascii="仿宋_GB2312" w:hAnsi="仿宋_GB2312" w:eastAsia="仿宋_GB2312" w:cs="仿宋_GB2312"/>
          <w:color w:val="000000"/>
          <w:sz w:val="32"/>
          <w:szCs w:val="32"/>
          <w:shd w:val="clear" w:color="auto" w:fill="FFFFFF"/>
          <w:lang w:eastAsia="zh-CN"/>
        </w:rPr>
        <w:t>，《怀化市黄金工业管理局内部管理制度》中</w:t>
      </w:r>
      <w:r>
        <w:rPr>
          <w:rFonts w:hint="eastAsia" w:ascii="仿宋_GB2312" w:hAnsi="仿宋_GB2312" w:eastAsia="仿宋_GB2312" w:cs="仿宋_GB2312"/>
          <w:color w:val="000000"/>
          <w:sz w:val="32"/>
          <w:szCs w:val="32"/>
          <w:shd w:val="clear" w:color="auto" w:fill="FFFFFF"/>
        </w:rPr>
        <w:t>明确了</w:t>
      </w:r>
      <w:r>
        <w:rPr>
          <w:rFonts w:hint="eastAsia" w:ascii="仿宋_GB2312" w:hAnsi="仿宋_GB2312" w:eastAsia="仿宋_GB2312" w:cs="仿宋_GB2312"/>
          <w:color w:val="000000"/>
          <w:sz w:val="32"/>
          <w:szCs w:val="32"/>
          <w:shd w:val="clear" w:color="auto" w:fill="FFFFFF"/>
          <w:lang w:eastAsia="zh-CN"/>
        </w:rPr>
        <w:t>资产管理使用</w:t>
      </w:r>
      <w:r>
        <w:rPr>
          <w:rFonts w:hint="eastAsia" w:ascii="仿宋_GB2312" w:hAnsi="仿宋_GB2312" w:eastAsia="仿宋_GB2312" w:cs="仿宋_GB2312"/>
          <w:color w:val="000000"/>
          <w:sz w:val="32"/>
          <w:szCs w:val="32"/>
          <w:shd w:val="clear" w:color="auto" w:fill="FFFFFF"/>
        </w:rPr>
        <w:t>、配置处置的程序等。</w:t>
      </w:r>
      <w:r>
        <w:rPr>
          <w:rFonts w:hint="eastAsia" w:ascii="仿宋_GB2312" w:hAnsi="仿宋_GB2312" w:eastAsia="仿宋_GB2312" w:cs="仿宋_GB2312"/>
          <w:color w:val="000000"/>
          <w:sz w:val="32"/>
          <w:szCs w:val="32"/>
          <w:shd w:val="clear" w:color="auto" w:fill="FFFFFF"/>
          <w:lang w:eastAsia="zh-CN"/>
        </w:rPr>
        <w:t>严格</w:t>
      </w:r>
      <w:r>
        <w:rPr>
          <w:rFonts w:hint="eastAsia" w:ascii="仿宋_GB2312" w:hAnsi="仿宋_GB2312" w:eastAsia="仿宋_GB2312" w:cs="仿宋_GB2312"/>
          <w:color w:val="000000"/>
          <w:sz w:val="32"/>
          <w:szCs w:val="32"/>
          <w:shd w:val="clear" w:color="auto" w:fill="FFFFFF"/>
        </w:rPr>
        <w:t>贯彻执行财政关于加强资产管理</w:t>
      </w:r>
      <w:r>
        <w:rPr>
          <w:rFonts w:hint="eastAsia" w:ascii="仿宋_GB2312" w:hAnsi="仿宋_GB2312" w:eastAsia="仿宋_GB2312" w:cs="仿宋_GB2312"/>
          <w:color w:val="000000"/>
          <w:sz w:val="32"/>
          <w:szCs w:val="32"/>
          <w:shd w:val="clear" w:color="auto" w:fill="FFFFFF"/>
          <w:lang w:eastAsia="zh-CN"/>
        </w:rPr>
        <w:t>的相关</w:t>
      </w:r>
      <w:r>
        <w:rPr>
          <w:rFonts w:hint="eastAsia" w:ascii="仿宋_GB2312" w:hAnsi="仿宋_GB2312" w:eastAsia="仿宋_GB2312" w:cs="仿宋_GB2312"/>
          <w:color w:val="000000"/>
          <w:sz w:val="32"/>
          <w:szCs w:val="32"/>
          <w:shd w:val="clear" w:color="auto" w:fill="FFFFFF"/>
        </w:rPr>
        <w:t>文件，资产配置</w:t>
      </w:r>
      <w:r>
        <w:rPr>
          <w:rFonts w:hint="eastAsia" w:ascii="仿宋_GB2312" w:hAnsi="仿宋_GB2312" w:eastAsia="仿宋_GB2312" w:cs="仿宋_GB2312"/>
          <w:color w:val="000000"/>
          <w:sz w:val="32"/>
          <w:szCs w:val="32"/>
          <w:shd w:val="clear" w:color="auto" w:fill="FFFFFF"/>
          <w:lang w:eastAsia="zh-CN"/>
        </w:rPr>
        <w:t>执行</w:t>
      </w:r>
      <w:r>
        <w:rPr>
          <w:rFonts w:hint="eastAsia" w:ascii="仿宋_GB2312" w:hAnsi="仿宋_GB2312" w:eastAsia="仿宋_GB2312" w:cs="仿宋_GB2312"/>
          <w:color w:val="000000"/>
          <w:sz w:val="32"/>
          <w:szCs w:val="32"/>
          <w:shd w:val="clear" w:color="auto" w:fill="FFFFFF"/>
        </w:rPr>
        <w:t>审批</w:t>
      </w:r>
      <w:r>
        <w:rPr>
          <w:rFonts w:hint="eastAsia" w:ascii="仿宋_GB2312" w:hAnsi="仿宋_GB2312" w:eastAsia="仿宋_GB2312" w:cs="仿宋_GB2312"/>
          <w:color w:val="000000"/>
          <w:sz w:val="32"/>
          <w:szCs w:val="32"/>
          <w:shd w:val="clear" w:color="auto" w:fill="FFFFFF"/>
          <w:lang w:eastAsia="zh-CN"/>
        </w:rPr>
        <w:t>程序，</w:t>
      </w:r>
      <w:r>
        <w:rPr>
          <w:rFonts w:hint="eastAsia" w:ascii="仿宋_GB2312" w:hAnsi="仿宋_GB2312" w:eastAsia="仿宋_GB2312" w:cs="仿宋_GB2312"/>
          <w:color w:val="000000"/>
          <w:sz w:val="32"/>
          <w:szCs w:val="32"/>
          <w:shd w:val="clear" w:color="auto" w:fill="FFFFFF"/>
        </w:rPr>
        <w:t>资产处置履行报批制度。</w:t>
      </w:r>
    </w:p>
    <w:p>
      <w:pPr>
        <w:pStyle w:val="5"/>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100" w:beforeAutospacing="0" w:after="100" w:afterAutospacing="0" w:line="560" w:lineRule="exact"/>
        <w:ind w:left="0" w:leftChars="0" w:firstLine="643" w:firstLineChars="200"/>
        <w:jc w:val="left"/>
        <w:textAlignment w:val="auto"/>
        <w:outlineLvl w:val="9"/>
        <w:rPr>
          <w:rFonts w:hint="eastAsia"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部门整体支出绩效情况</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3" w:firstLineChars="200"/>
        <w:jc w:val="left"/>
        <w:textAlignment w:val="auto"/>
        <w:outlineLvl w:val="9"/>
        <w:rPr>
          <w:b/>
          <w:bCs w:val="0"/>
          <w:color w:val="333333"/>
        </w:rPr>
      </w:pPr>
      <w:r>
        <w:rPr>
          <w:rFonts w:hint="eastAsia" w:ascii="仿宋_GB2312" w:hAnsi="仿宋_GB2312" w:eastAsia="仿宋_GB2312" w:cs="仿宋_GB2312"/>
          <w:b/>
          <w:bCs w:val="0"/>
          <w:color w:val="000000"/>
          <w:sz w:val="32"/>
          <w:szCs w:val="32"/>
          <w:shd w:val="clear" w:color="auto" w:fill="FFFFFF"/>
          <w:lang w:val="en-US" w:eastAsia="zh-CN"/>
        </w:rPr>
        <w:t>（一）经济性分析</w:t>
      </w:r>
    </w:p>
    <w:p>
      <w:pPr>
        <w:pStyle w:val="5"/>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3" w:firstLineChars="200"/>
        <w:jc w:val="left"/>
        <w:textAlignment w:val="auto"/>
        <w:outlineLvl w:val="9"/>
        <w:rPr>
          <w:rFonts w:hint="eastAsia" w:ascii="仿宋_GB2312" w:hAnsi="仿宋_GB2312" w:eastAsia="仿宋_GB2312" w:cs="仿宋_GB2312"/>
          <w:b/>
          <w:bCs w:val="0"/>
          <w:color w:val="000000"/>
          <w:sz w:val="32"/>
          <w:szCs w:val="32"/>
          <w:shd w:val="clear" w:color="auto" w:fill="FFFFFF"/>
          <w:lang w:val="en-US" w:eastAsia="zh-CN"/>
        </w:rPr>
      </w:pPr>
      <w:r>
        <w:rPr>
          <w:rFonts w:hint="eastAsia" w:ascii="仿宋_GB2312" w:hAnsi="仿宋_GB2312" w:eastAsia="仿宋_GB2312" w:cs="仿宋_GB2312"/>
          <w:b/>
          <w:bCs w:val="0"/>
          <w:color w:val="000000"/>
          <w:sz w:val="32"/>
          <w:szCs w:val="32"/>
          <w:shd w:val="clear" w:color="auto" w:fill="FFFFFF"/>
          <w:lang w:val="en-US" w:eastAsia="zh-CN"/>
        </w:rPr>
        <w:t>预算配置：</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微软雅黑" w:eastAsia="仿宋_GB2312" w:cs="仿宋_GB2312"/>
          <w:color w:val="333333"/>
          <w:sz w:val="32"/>
          <w:szCs w:val="32"/>
          <w:shd w:val="clear" w:fill="FFFFFF"/>
          <w:lang w:val="en-US" w:eastAsia="zh-CN"/>
        </w:rPr>
      </w:pPr>
      <w:r>
        <w:rPr>
          <w:rFonts w:ascii="仿宋_GB2312" w:hAnsi="微软雅黑" w:eastAsia="仿宋_GB2312" w:cs="仿宋_GB2312"/>
          <w:color w:val="333333"/>
          <w:sz w:val="32"/>
          <w:szCs w:val="32"/>
          <w:shd w:val="clear" w:fill="FFFFFF"/>
        </w:rPr>
        <w:t>20</w:t>
      </w:r>
      <w:r>
        <w:rPr>
          <w:rFonts w:hint="eastAsia" w:ascii="仿宋_GB2312" w:hAnsi="微软雅黑" w:eastAsia="仿宋_GB2312" w:cs="仿宋_GB2312"/>
          <w:color w:val="333333"/>
          <w:sz w:val="32"/>
          <w:szCs w:val="32"/>
          <w:shd w:val="clear" w:fill="FFFFFF"/>
          <w:lang w:val="en-US" w:eastAsia="zh-CN"/>
        </w:rPr>
        <w:t>20</w:t>
      </w:r>
      <w:r>
        <w:rPr>
          <w:rFonts w:hint="eastAsia" w:ascii="仿宋_GB2312" w:hAnsi="微软雅黑" w:eastAsia="仿宋_GB2312" w:cs="仿宋_GB2312"/>
          <w:color w:val="333333"/>
          <w:sz w:val="32"/>
          <w:szCs w:val="32"/>
          <w:shd w:val="clear" w:fill="FFFFFF"/>
        </w:rPr>
        <w:t>年</w:t>
      </w:r>
      <w:r>
        <w:rPr>
          <w:rFonts w:hint="eastAsia" w:ascii="仿宋_GB2312" w:hAnsi="微软雅黑" w:eastAsia="仿宋_GB2312" w:cs="仿宋_GB2312"/>
          <w:color w:val="333333"/>
          <w:sz w:val="32"/>
          <w:szCs w:val="32"/>
          <w:shd w:val="clear" w:fill="FFFFFF"/>
          <w:lang w:eastAsia="zh-CN"/>
        </w:rPr>
        <w:t>我局人员编制数</w:t>
      </w:r>
      <w:r>
        <w:rPr>
          <w:rFonts w:hint="eastAsia" w:ascii="仿宋_GB2312" w:hAnsi="微软雅黑" w:eastAsia="仿宋_GB2312" w:cs="仿宋_GB2312"/>
          <w:color w:val="333333"/>
          <w:sz w:val="32"/>
          <w:szCs w:val="32"/>
          <w:shd w:val="clear" w:fill="FFFFFF"/>
          <w:lang w:val="en-US" w:eastAsia="zh-CN"/>
        </w:rPr>
        <w:t>9人，在职人员9人，在职人员控制率100%，无超编现象。</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eastAsia="仿宋_GB2312"/>
          <w:color w:val="333333"/>
          <w:lang w:val="en-US" w:eastAsia="zh-CN"/>
        </w:rPr>
      </w:pPr>
      <w:r>
        <w:rPr>
          <w:rFonts w:hint="eastAsia" w:ascii="仿宋_GB2312" w:hAnsi="微软雅黑" w:eastAsia="仿宋_GB2312" w:cs="仿宋_GB2312"/>
          <w:color w:val="333333"/>
          <w:sz w:val="32"/>
          <w:szCs w:val="32"/>
          <w:shd w:val="clear" w:fill="FFFFFF"/>
          <w:lang w:val="en-US" w:eastAsia="zh-CN"/>
        </w:rPr>
        <w:t>2020年</w:t>
      </w:r>
      <w:r>
        <w:rPr>
          <w:rFonts w:hint="eastAsia" w:ascii="仿宋_GB2312" w:hAnsi="微软雅黑" w:eastAsia="仿宋_GB2312" w:cs="仿宋_GB2312"/>
          <w:color w:val="333333"/>
          <w:sz w:val="32"/>
          <w:szCs w:val="32"/>
          <w:shd w:val="clear" w:fill="FFFFFF"/>
        </w:rPr>
        <w:t>“三公经费”预算数</w:t>
      </w:r>
      <w:r>
        <w:rPr>
          <w:rFonts w:hint="eastAsia" w:ascii="仿宋_GB2312" w:hAnsi="微软雅黑" w:eastAsia="仿宋_GB2312" w:cs="仿宋_GB2312"/>
          <w:color w:val="333333"/>
          <w:sz w:val="32"/>
          <w:szCs w:val="32"/>
          <w:shd w:val="clear" w:fill="FFFFFF"/>
          <w:lang w:val="en-US" w:eastAsia="zh-CN"/>
        </w:rPr>
        <w:t>1.5</w:t>
      </w:r>
      <w:r>
        <w:rPr>
          <w:rFonts w:hint="eastAsia" w:ascii="仿宋_GB2312" w:hAnsi="微软雅黑" w:eastAsia="仿宋_GB2312" w:cs="仿宋_GB2312"/>
          <w:color w:val="333333"/>
          <w:sz w:val="32"/>
          <w:szCs w:val="32"/>
          <w:shd w:val="clear" w:fill="FFFFFF"/>
        </w:rPr>
        <w:t>万元，</w:t>
      </w:r>
      <w:r>
        <w:rPr>
          <w:rFonts w:hint="eastAsia" w:ascii="仿宋_GB2312" w:hAnsi="微软雅黑" w:eastAsia="仿宋_GB2312" w:cs="仿宋_GB2312"/>
          <w:color w:val="333333"/>
          <w:sz w:val="32"/>
          <w:szCs w:val="32"/>
          <w:shd w:val="clear" w:fill="FFFFFF"/>
          <w:lang w:val="en-US" w:eastAsia="zh-CN"/>
        </w:rPr>
        <w:t>2019年“三公”经费预算数为1.7万元，本年度“三公”经费变动率为-11.76%。</w:t>
      </w:r>
    </w:p>
    <w:p>
      <w:pPr>
        <w:pStyle w:val="5"/>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3" w:firstLineChars="200"/>
        <w:jc w:val="left"/>
        <w:textAlignment w:val="auto"/>
        <w:outlineLvl w:val="9"/>
        <w:rPr>
          <w:rFonts w:hint="eastAsia" w:ascii="仿宋_GB2312" w:hAnsi="仿宋_GB2312" w:eastAsia="仿宋_GB2312" w:cs="仿宋_GB2312"/>
          <w:b/>
          <w:bCs w:val="0"/>
          <w:color w:val="000000"/>
          <w:sz w:val="32"/>
          <w:szCs w:val="32"/>
          <w:shd w:val="clear" w:color="auto" w:fill="FFFFFF"/>
          <w:lang w:val="en-US" w:eastAsia="zh-CN"/>
        </w:rPr>
      </w:pPr>
      <w:r>
        <w:rPr>
          <w:rFonts w:hint="eastAsia" w:ascii="仿宋_GB2312" w:hAnsi="仿宋_GB2312" w:eastAsia="仿宋_GB2312" w:cs="仿宋_GB2312"/>
          <w:b/>
          <w:bCs w:val="0"/>
          <w:color w:val="000000"/>
          <w:sz w:val="32"/>
          <w:szCs w:val="32"/>
          <w:shd w:val="clear" w:color="auto" w:fill="FFFFFF"/>
          <w:lang w:val="en-US" w:eastAsia="zh-CN"/>
        </w:rPr>
        <w:t>预算执行：</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color w:val="000000"/>
          <w:sz w:val="32"/>
          <w:szCs w:val="32"/>
          <w:shd w:val="clear" w:color="auto" w:fill="FFFFFF"/>
          <w:lang w:val="en-US" w:eastAsia="zh-CN"/>
        </w:rPr>
      </w:pPr>
      <w:r>
        <w:rPr>
          <w:rFonts w:hint="eastAsia" w:ascii="仿宋_GB2312" w:hAnsi="仿宋_GB2312" w:eastAsia="仿宋_GB2312" w:cs="仿宋_GB2312"/>
          <w:b w:val="0"/>
          <w:bCs/>
          <w:color w:val="000000"/>
          <w:sz w:val="32"/>
          <w:szCs w:val="32"/>
          <w:shd w:val="clear" w:color="auto" w:fill="FFFFFF"/>
          <w:lang w:val="en-US" w:eastAsia="zh-CN"/>
        </w:rPr>
        <w:t>2020年我局支出年初预算数为120.02万元，上年结转4.07万元，本年追加预算12万元，年末结余资金3.11万元，本年预算完成率为97.71%，预算控制率为10%。</w:t>
      </w:r>
    </w:p>
    <w:p>
      <w:pPr>
        <w:pStyle w:val="5"/>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3" w:firstLineChars="200"/>
        <w:jc w:val="left"/>
        <w:textAlignment w:val="auto"/>
        <w:outlineLvl w:val="9"/>
        <w:rPr>
          <w:rFonts w:hint="eastAsia" w:ascii="仿宋_GB2312" w:hAnsi="仿宋_GB2312" w:eastAsia="仿宋_GB2312" w:cs="仿宋_GB2312"/>
          <w:b/>
          <w:bCs w:val="0"/>
          <w:color w:val="000000"/>
          <w:sz w:val="32"/>
          <w:szCs w:val="32"/>
          <w:shd w:val="clear" w:color="auto" w:fill="FFFFFF"/>
          <w:lang w:val="en-US" w:eastAsia="zh-CN"/>
        </w:rPr>
      </w:pPr>
      <w:r>
        <w:rPr>
          <w:rFonts w:hint="eastAsia" w:ascii="仿宋_GB2312" w:hAnsi="仿宋_GB2312" w:eastAsia="仿宋_GB2312" w:cs="仿宋_GB2312"/>
          <w:b/>
          <w:bCs w:val="0"/>
          <w:color w:val="000000"/>
          <w:sz w:val="32"/>
          <w:szCs w:val="32"/>
          <w:shd w:val="clear" w:color="auto" w:fill="FFFFFF"/>
          <w:lang w:val="en-US" w:eastAsia="zh-CN"/>
        </w:rPr>
        <w:t>预算管理：</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color w:val="000000"/>
          <w:sz w:val="32"/>
          <w:szCs w:val="32"/>
          <w:shd w:val="clear" w:color="auto" w:fill="FFFFFF"/>
          <w:lang w:val="en-US" w:eastAsia="zh-CN"/>
        </w:rPr>
      </w:pPr>
      <w:r>
        <w:rPr>
          <w:rFonts w:hint="eastAsia" w:ascii="仿宋_GB2312" w:hAnsi="仿宋_GB2312" w:eastAsia="仿宋_GB2312" w:cs="仿宋_GB2312"/>
          <w:b w:val="0"/>
          <w:bCs/>
          <w:color w:val="000000"/>
          <w:sz w:val="32"/>
          <w:szCs w:val="32"/>
          <w:shd w:val="clear" w:color="auto" w:fill="FFFFFF"/>
          <w:lang w:val="en-US" w:eastAsia="zh-CN"/>
        </w:rPr>
        <w:t>公用经费支出是指基本支出中的一般商品和服务支出，本年我局实际公用经费支出23.12万元，预算安排公用经费29.34万元，公用经费控制率为78.79%。</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color w:val="000000"/>
          <w:sz w:val="32"/>
          <w:szCs w:val="32"/>
          <w:shd w:val="clear" w:color="auto" w:fill="FFFFFF"/>
          <w:lang w:val="en-US" w:eastAsia="zh-CN"/>
        </w:rPr>
      </w:pPr>
      <w:r>
        <w:rPr>
          <w:rFonts w:hint="eastAsia" w:ascii="仿宋_GB2312" w:hAnsi="仿宋_GB2312" w:eastAsia="仿宋_GB2312" w:cs="仿宋_GB2312"/>
          <w:b w:val="0"/>
          <w:bCs/>
          <w:color w:val="000000"/>
          <w:sz w:val="32"/>
          <w:szCs w:val="32"/>
          <w:shd w:val="clear" w:color="auto" w:fill="FFFFFF"/>
          <w:lang w:val="en-US" w:eastAsia="zh-CN"/>
        </w:rPr>
        <w:t>2020年“三公”经费实际支出数为1.19万元，本年预算安排数为1.5万元，“三公”经费控制率为79.22%。</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3" w:firstLineChars="200"/>
        <w:jc w:val="left"/>
        <w:textAlignment w:val="auto"/>
        <w:outlineLvl w:val="9"/>
        <w:rPr>
          <w:rFonts w:hint="default" w:ascii="仿宋_GB2312" w:hAnsi="仿宋_GB2312" w:eastAsia="仿宋_GB2312" w:cs="仿宋_GB2312"/>
          <w:b/>
          <w:bCs w:val="0"/>
          <w:color w:val="000000"/>
          <w:sz w:val="32"/>
          <w:szCs w:val="32"/>
          <w:shd w:val="clear" w:color="auto" w:fill="FFFFFF"/>
          <w:lang w:val="en-US" w:eastAsia="zh-CN"/>
        </w:rPr>
      </w:pPr>
      <w:r>
        <w:rPr>
          <w:rFonts w:hint="eastAsia" w:ascii="仿宋_GB2312" w:hAnsi="仿宋_GB2312" w:eastAsia="仿宋_GB2312" w:cs="仿宋_GB2312"/>
          <w:b/>
          <w:bCs w:val="0"/>
          <w:color w:val="000000"/>
          <w:sz w:val="32"/>
          <w:szCs w:val="32"/>
          <w:shd w:val="clear" w:color="auto" w:fill="FFFFFF"/>
          <w:lang w:val="en-US" w:eastAsia="zh-CN"/>
        </w:rPr>
        <w:t>4、财务制度建设方面：</w:t>
      </w:r>
    </w:p>
    <w:p>
      <w:pPr>
        <w:pStyle w:val="5"/>
        <w:keepNext w:val="0"/>
        <w:keepLines w:val="0"/>
        <w:pageBreakBefore w:val="0"/>
        <w:kinsoku/>
        <w:wordWrap/>
        <w:overflowPunct/>
        <w:topLinePunct w:val="0"/>
        <w:autoSpaceDE/>
        <w:autoSpaceDN/>
        <w:bidi w:val="0"/>
        <w:adjustRightInd/>
        <w:snapToGrid/>
        <w:spacing w:before="100"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eastAsia="zh-CN"/>
        </w:rPr>
        <w:t>我局顺应财务制度要求，</w:t>
      </w:r>
      <w:r>
        <w:rPr>
          <w:rFonts w:hint="eastAsia" w:ascii="仿宋_GB2312" w:hAnsi="仿宋_GB2312" w:eastAsia="仿宋_GB2312" w:cs="仿宋_GB2312"/>
          <w:color w:val="000000"/>
          <w:sz w:val="32"/>
          <w:szCs w:val="32"/>
          <w:shd w:val="clear" w:color="auto" w:fill="FFFFFF"/>
        </w:rPr>
        <w:t>有较健全的财务制度、会计核算制度等管理制度</w:t>
      </w:r>
      <w:r>
        <w:rPr>
          <w:rFonts w:hint="eastAsia" w:ascii="仿宋_GB2312" w:hAnsi="仿宋_GB2312" w:eastAsia="仿宋_GB2312" w:cs="仿宋_GB2312"/>
          <w:color w:val="000000"/>
          <w:sz w:val="32"/>
          <w:szCs w:val="32"/>
          <w:shd w:val="clear" w:color="auto" w:fill="FFFFFF"/>
          <w:lang w:eastAsia="zh-CN"/>
        </w:rPr>
        <w:t>，并多次完善、修订了《怀化市黄金工业管理局内部管理制度》、《怀化市黄金工业管理局例行节约制度》等，</w:t>
      </w:r>
      <w:r>
        <w:rPr>
          <w:rFonts w:hint="eastAsia" w:ascii="仿宋_GB2312" w:hAnsi="仿宋_GB2312" w:eastAsia="仿宋_GB2312" w:cs="仿宋_GB2312"/>
          <w:color w:val="000000"/>
          <w:sz w:val="32"/>
          <w:szCs w:val="32"/>
          <w:shd w:val="clear" w:color="auto" w:fill="FFFFFF"/>
        </w:rPr>
        <w:t>相关</w:t>
      </w:r>
      <w:r>
        <w:rPr>
          <w:rFonts w:hint="eastAsia" w:ascii="仿宋_GB2312" w:hAnsi="仿宋_GB2312" w:eastAsia="仿宋_GB2312" w:cs="仿宋_GB2312"/>
          <w:color w:val="000000"/>
          <w:sz w:val="32"/>
          <w:szCs w:val="32"/>
          <w:shd w:val="clear" w:color="auto" w:fill="FFFFFF"/>
          <w:lang w:eastAsia="zh-CN"/>
        </w:rPr>
        <w:t>财务</w:t>
      </w:r>
      <w:r>
        <w:rPr>
          <w:rFonts w:hint="eastAsia" w:ascii="仿宋_GB2312" w:hAnsi="仿宋_GB2312" w:eastAsia="仿宋_GB2312" w:cs="仿宋_GB2312"/>
          <w:color w:val="000000"/>
          <w:sz w:val="32"/>
          <w:szCs w:val="32"/>
          <w:shd w:val="clear" w:color="auto" w:fill="FFFFFF"/>
        </w:rPr>
        <w:t>管理制度合法、合规、完整，并得到了有效执行。</w:t>
      </w:r>
    </w:p>
    <w:p>
      <w:pPr>
        <w:pStyle w:val="5"/>
        <w:keepNext w:val="0"/>
        <w:keepLines w:val="0"/>
        <w:pageBreakBefore w:val="0"/>
        <w:kinsoku/>
        <w:wordWrap/>
        <w:overflowPunct/>
        <w:topLinePunct w:val="0"/>
        <w:autoSpaceDE/>
        <w:autoSpaceDN/>
        <w:bidi w:val="0"/>
        <w:adjustRightInd/>
        <w:snapToGrid/>
        <w:spacing w:before="100" w:beforeAutospacing="0" w:after="100" w:afterAutospacing="0" w:line="560" w:lineRule="exact"/>
        <w:ind w:firstLine="640" w:firstLineChars="200"/>
        <w:textAlignment w:val="auto"/>
        <w:outlineLvl w:val="9"/>
        <w:rPr>
          <w:rFonts w:hint="eastAsia" w:ascii="仿宋_GB2312" w:hAnsi="仿宋_GB2312" w:eastAsia="仿宋_GB2312" w:cs="仿宋_GB2312"/>
          <w:b w:val="0"/>
          <w:bCs/>
          <w:color w:val="000000"/>
          <w:sz w:val="32"/>
          <w:szCs w:val="32"/>
          <w:shd w:val="clear" w:color="auto" w:fill="FFFFFF"/>
          <w:lang w:val="en-US" w:eastAsia="zh-CN"/>
        </w:rPr>
      </w:pPr>
      <w:r>
        <w:rPr>
          <w:rFonts w:hint="eastAsia" w:ascii="仿宋_GB2312" w:hAnsi="仿宋_GB2312" w:eastAsia="仿宋_GB2312" w:cs="仿宋_GB2312"/>
          <w:b w:val="0"/>
          <w:bCs/>
          <w:color w:val="000000"/>
          <w:sz w:val="32"/>
          <w:szCs w:val="32"/>
          <w:shd w:val="clear" w:color="auto" w:fill="FFFFFF"/>
          <w:lang w:val="en-US" w:eastAsia="zh-CN"/>
        </w:rPr>
        <w:t>资金使用合规：</w:t>
      </w:r>
      <w:r>
        <w:rPr>
          <w:rFonts w:hint="eastAsia" w:ascii="仿宋_GB2312" w:hAnsi="仿宋_GB2312" w:eastAsia="仿宋_GB2312" w:cs="仿宋_GB2312"/>
          <w:color w:val="000000"/>
          <w:sz w:val="32"/>
          <w:szCs w:val="32"/>
          <w:shd w:val="clear" w:color="auto" w:fill="FFFFFF"/>
        </w:rPr>
        <w:t>资金的拨付和支出严格按照相关规定，没有违规现象。</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color w:val="000000"/>
          <w:sz w:val="32"/>
          <w:szCs w:val="32"/>
          <w:shd w:val="clear" w:color="auto" w:fill="FFFFFF"/>
          <w:lang w:val="en-US" w:eastAsia="zh-CN"/>
        </w:rPr>
      </w:pPr>
      <w:r>
        <w:rPr>
          <w:rFonts w:hint="eastAsia" w:ascii="仿宋_GB2312" w:hAnsi="仿宋_GB2312" w:eastAsia="仿宋_GB2312" w:cs="仿宋_GB2312"/>
          <w:b w:val="0"/>
          <w:bCs/>
          <w:color w:val="000000"/>
          <w:sz w:val="32"/>
          <w:szCs w:val="32"/>
          <w:shd w:val="clear" w:color="auto" w:fill="FFFFFF"/>
          <w:lang w:val="en-US" w:eastAsia="zh-CN"/>
        </w:rPr>
        <w:t>预决算信息及时公开：</w:t>
      </w:r>
      <w:r>
        <w:rPr>
          <w:rFonts w:hint="eastAsia" w:ascii="仿宋_GB2312" w:hAnsi="仿宋_GB2312" w:eastAsia="仿宋_GB2312" w:cs="仿宋_GB2312"/>
          <w:color w:val="000000"/>
          <w:sz w:val="32"/>
          <w:szCs w:val="32"/>
          <w:shd w:val="clear" w:color="auto" w:fill="FFFFFF"/>
        </w:rPr>
        <w:t>我</w:t>
      </w:r>
      <w:r>
        <w:rPr>
          <w:rFonts w:hint="eastAsia" w:ascii="仿宋_GB2312" w:hAnsi="仿宋_GB2312" w:eastAsia="仿宋_GB2312" w:cs="仿宋_GB2312"/>
          <w:color w:val="000000"/>
          <w:sz w:val="32"/>
          <w:szCs w:val="32"/>
          <w:shd w:val="clear" w:color="auto" w:fill="FFFFFF"/>
          <w:lang w:eastAsia="zh-CN"/>
        </w:rPr>
        <w:t>局</w:t>
      </w:r>
      <w:r>
        <w:rPr>
          <w:rFonts w:hint="eastAsia" w:ascii="仿宋_GB2312" w:hAnsi="仿宋_GB2312" w:eastAsia="仿宋_GB2312" w:cs="仿宋_GB2312"/>
          <w:color w:val="000000"/>
          <w:sz w:val="32"/>
          <w:szCs w:val="32"/>
          <w:shd w:val="clear" w:color="auto" w:fill="FFFFFF"/>
        </w:rPr>
        <w:t>无门户网站，本</w:t>
      </w:r>
      <w:r>
        <w:rPr>
          <w:rFonts w:hint="eastAsia" w:ascii="仿宋_GB2312" w:hAnsi="仿宋_GB2312" w:eastAsia="仿宋_GB2312" w:cs="仿宋_GB2312"/>
          <w:color w:val="000000"/>
          <w:sz w:val="32"/>
          <w:szCs w:val="32"/>
          <w:shd w:val="clear" w:color="auto" w:fill="FFFFFF"/>
          <w:lang w:eastAsia="zh-CN"/>
        </w:rPr>
        <w:t>局</w:t>
      </w:r>
      <w:r>
        <w:rPr>
          <w:rFonts w:hint="eastAsia" w:ascii="仿宋_GB2312" w:hAnsi="仿宋_GB2312" w:eastAsia="仿宋_GB2312" w:cs="仿宋_GB2312"/>
          <w:color w:val="000000"/>
          <w:sz w:val="32"/>
          <w:szCs w:val="32"/>
          <w:shd w:val="clear" w:color="auto" w:fill="FFFFFF"/>
        </w:rPr>
        <w:t>预决算信息均按规定内容、规定时限委托市财政局进行公开</w:t>
      </w:r>
      <w:r>
        <w:rPr>
          <w:rFonts w:hint="eastAsia" w:ascii="仿宋_GB2312" w:hAnsi="仿宋_GB2312" w:eastAsia="仿宋_GB2312" w:cs="仿宋_GB2312"/>
          <w:color w:val="000000"/>
          <w:sz w:val="32"/>
          <w:szCs w:val="32"/>
          <w:shd w:val="clear" w:color="auto" w:fill="FFFFFF"/>
          <w:lang w:eastAsia="zh-CN"/>
        </w:rPr>
        <w:t>，年度部门整体支出绩效自评报告委托市工信局进行公开</w:t>
      </w:r>
      <w:r>
        <w:rPr>
          <w:rFonts w:hint="eastAsia" w:ascii="仿宋_GB2312" w:hAnsi="仿宋_GB2312" w:eastAsia="仿宋_GB2312" w:cs="仿宋_GB2312"/>
          <w:color w:val="000000"/>
          <w:sz w:val="32"/>
          <w:szCs w:val="32"/>
          <w:shd w:val="clear" w:color="auto" w:fill="FFFFFF"/>
        </w:rPr>
        <w:t>。基础数据信息和会计信息资料真实、完整、准确。</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left="741" w:leftChars="0" w:right="0" w:rightChars="0"/>
        <w:jc w:val="left"/>
        <w:textAlignment w:val="auto"/>
        <w:outlineLvl w:val="9"/>
        <w:rPr>
          <w:rFonts w:hint="eastAsia" w:ascii="仿宋_GB2312" w:hAnsi="仿宋_GB2312" w:eastAsia="仿宋_GB2312" w:cs="仿宋_GB2312"/>
          <w:b/>
          <w:bCs w:val="0"/>
          <w:color w:val="000000"/>
          <w:sz w:val="32"/>
          <w:szCs w:val="32"/>
          <w:shd w:val="clear" w:color="auto" w:fill="FFFFFF"/>
          <w:lang w:val="en-US" w:eastAsia="zh-CN"/>
        </w:rPr>
      </w:pPr>
      <w:r>
        <w:rPr>
          <w:rFonts w:hint="eastAsia" w:ascii="仿宋_GB2312" w:hAnsi="仿宋_GB2312" w:eastAsia="仿宋_GB2312" w:cs="仿宋_GB2312"/>
          <w:b/>
          <w:bCs w:val="0"/>
          <w:color w:val="000000"/>
          <w:sz w:val="32"/>
          <w:szCs w:val="32"/>
          <w:shd w:val="clear" w:color="auto" w:fill="FFFFFF"/>
          <w:lang w:val="en-US" w:eastAsia="zh-CN"/>
        </w:rPr>
        <w:t>（二）效率性分析</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left="408" w:leftChars="0" w:firstLine="321" w:firstLineChars="100"/>
        <w:textAlignment w:val="auto"/>
        <w:outlineLvl w:val="9"/>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1、</w:t>
      </w:r>
      <w:r>
        <w:rPr>
          <w:rFonts w:hint="eastAsia" w:ascii="仿宋_GB2312" w:hAnsi="仿宋_GB2312" w:eastAsia="仿宋_GB2312" w:cs="仿宋_GB2312"/>
          <w:b/>
          <w:bCs/>
          <w:color w:val="000000"/>
          <w:sz w:val="32"/>
          <w:szCs w:val="32"/>
          <w:shd w:val="clear" w:color="auto" w:fill="FFFFFF"/>
          <w:lang w:eastAsia="zh-CN"/>
        </w:rPr>
        <w:t>主要经济指标完成情况</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本年度全市累计生产黄金30963.79公斤，实现销售收入1266649.8万元，同比增长9.23%；其中自产金2095.31公斤，同比增长3.49%。全市黄金行业探矿投入4950万元，同比增长74.91 %；探矿进尺15857.2米，同比减少24.87%；新增储量金金属量2299.82公斤，同比减少56.38%；探矿投入加大而探矿进尺减少的原因是掘进单位成本上升较快，新增储量金金属量减少原因是部分黄金企业探矿陷入瓶颈；技改投入8894万元，同比减少28.91%。</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left="408" w:leftChars="0" w:firstLine="321" w:firstLineChars="100"/>
        <w:textAlignment w:val="auto"/>
        <w:outlineLvl w:val="9"/>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2、</w:t>
      </w:r>
      <w:r>
        <w:rPr>
          <w:rFonts w:hint="eastAsia" w:ascii="仿宋_GB2312" w:hAnsi="仿宋_GB2312" w:eastAsia="仿宋_GB2312" w:cs="仿宋_GB2312"/>
          <w:b/>
          <w:bCs/>
          <w:color w:val="000000"/>
          <w:sz w:val="32"/>
          <w:szCs w:val="32"/>
          <w:shd w:val="clear" w:color="auto" w:fill="FFFFFF"/>
          <w:lang w:eastAsia="zh-CN"/>
        </w:rPr>
        <w:t>安全生产管理情况</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right="0" w:rightChars="0"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①落实安全生产责任制。认真贯彻执行“安全第一、预防为主、综合治理”的安全生产工作方针，牢固树立安全生产“责任重于泰山”的思想观念，始终把安全生产工作放在心头，做到警钟长鸣，常抓不懈，消除事故隐患，防止事故发生。本年安全生产投入11882.35万元，同比增长41.85%。</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right="0" w:rightChars="0"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②开展“安全生产月”活动。为扎实有效地开展安全生产宣教工作，成立了以局长申小兵为组长的“安全生产月”领导小组，并于2020年6月1日至6月30日到黄金企业开展了以“防风险、除隐患、遏事故”为主题的“安全生产月”宣传活动，印制并发放了《怀化黄金行业安全生产文件汇编》、《黄金行业绿色矿山建设规范》、《安全生产宣传册》共1000多册，进一步强化企业安全红线意识、落实安全责任，坚决防范遏制各类生产安全事故，为全市黄金行业发展创造安全稳定的环境。</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right="0" w:rightChars="0"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default" w:ascii="仿宋_GB2312" w:hAnsi="仿宋_GB2312" w:eastAsia="仿宋_GB2312" w:cs="仿宋_GB2312"/>
          <w:color w:val="000000"/>
          <w:sz w:val="32"/>
          <w:szCs w:val="32"/>
          <w:shd w:val="clear" w:color="auto" w:fill="FFFFFF"/>
          <w:lang w:val="en-US" w:eastAsia="zh-CN"/>
        </w:rPr>
        <w:t>③</w:t>
      </w:r>
      <w:r>
        <w:rPr>
          <w:rFonts w:hint="eastAsia" w:ascii="仿宋_GB2312" w:hAnsi="仿宋_GB2312" w:eastAsia="仿宋_GB2312" w:cs="仿宋_GB2312"/>
          <w:color w:val="000000"/>
          <w:sz w:val="32"/>
          <w:szCs w:val="32"/>
          <w:shd w:val="clear" w:color="auto" w:fill="FFFFFF"/>
          <w:lang w:val="en-US" w:eastAsia="zh-CN"/>
        </w:rPr>
        <w:t>做好安全生产检查。2020年9月21日至10月30日在全市黄金企业进行为期一个半月的安全生产大检查、大排查工作。对7家矿山进行现场督查，督促黄金企业履行好安全生产主体责任，加快构建安全风险分级管控和隐患排查治理双重预防机制，此次检查共提出整改意见建议23条，有效弥补了矿山日常安全管理中存在的盲点漏洞，实现行业全年安全生产零伤亡事故。</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leftChars="200" w:right="0" w:rightChars="0" w:firstLine="321" w:firstLineChars="100"/>
        <w:textAlignment w:val="auto"/>
        <w:outlineLvl w:val="9"/>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3、重点业务工作完成情况</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default" w:ascii="仿宋_GB2312" w:hAnsi="仿宋_GB2312" w:eastAsia="仿宋_GB2312" w:cs="仿宋_GB2312"/>
          <w:color w:val="000000"/>
          <w:sz w:val="32"/>
          <w:szCs w:val="32"/>
          <w:shd w:val="clear" w:color="auto" w:fill="FFFFFF"/>
          <w:lang w:val="en-US" w:eastAsia="zh-CN"/>
        </w:rPr>
        <w:t>①</w:t>
      </w:r>
      <w:r>
        <w:rPr>
          <w:rFonts w:hint="eastAsia" w:ascii="仿宋_GB2312" w:hAnsi="仿宋_GB2312" w:eastAsia="仿宋_GB2312" w:cs="仿宋_GB2312"/>
          <w:color w:val="000000"/>
          <w:sz w:val="32"/>
          <w:szCs w:val="32"/>
          <w:shd w:val="clear" w:color="auto" w:fill="FFFFFF"/>
          <w:lang w:val="en-US" w:eastAsia="zh-CN"/>
        </w:rPr>
        <w:t>统一部署，做好疫情防控和复工复产工作。</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一是加强领导，明确责任。成立了以局长申小兵为组长的新型冠状肺炎疫情防控工作领导小组，负责统一指挥、协调7家黄金矿山疫情防控及解决企业疫情防控工作中存在的困难和问题。二是成立专班，推进工作。抽调骨干力量成立疫情防控工作专班到企业进行督促检查，确保复工复产安全有序、稳步推进。三是协调物资，做好后勤。在一切防护产品脱销的情况下，为确保黄金企业顺利复工复产，我局通过各种渠道帮助企业协调口罩、医用酒精、消毒液、洗手液、体温枪等必备的防疫物资。四是梳理落实惠企政策。疫情期间为黄金企业落实减免2至6月份的职工养老、失业和工伤保险，稳岗企业返还上年度实际交纳失业保险的50%，电价优惠，减税降费及提供优惠利率贷款等系列优惠政策。五是沟通协调，渡过难关。协同企业通过线上和线下招聘方式，在确保求职者身体健康的情况下招聘用工，全力保障企业有序复工，并通过对接县（市）相关部门为各黄金企业办理健康卡绿色通行证解决其物流和物资运输问题。</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default" w:ascii="仿宋_GB2312" w:hAnsi="仿宋_GB2312" w:eastAsia="仿宋_GB2312" w:cs="仿宋_GB2312"/>
          <w:color w:val="000000"/>
          <w:sz w:val="32"/>
          <w:szCs w:val="32"/>
          <w:shd w:val="clear" w:color="auto" w:fill="FFFFFF"/>
          <w:lang w:val="en-US" w:eastAsia="zh-CN"/>
        </w:rPr>
        <w:t>②</w:t>
      </w:r>
      <w:r>
        <w:rPr>
          <w:rFonts w:hint="eastAsia" w:ascii="仿宋_GB2312" w:hAnsi="仿宋_GB2312" w:eastAsia="仿宋_GB2312" w:cs="仿宋_GB2312"/>
          <w:color w:val="000000"/>
          <w:sz w:val="32"/>
          <w:szCs w:val="32"/>
          <w:shd w:val="clear" w:color="auto" w:fill="FFFFFF"/>
          <w:lang w:val="en-US" w:eastAsia="zh-CN"/>
        </w:rPr>
        <w:t>精心谋划，做好“十四五”发展规划工作。</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为做好黄金工业“十四五”规划编制工作，行业科精心组织业务骨干于9月21日至10月30日到各黄金企业开展为期一个半月的调研，采取实地查看、听取介绍、现场询问、调取数据等方式，详细了解企业生产、销售、保有储量、下步规划等情况。通过此次调研，较为详实的掌握了我市黄金企业的第一手材料，为编制具有前瞻性、可操作性的高质量规划奠定了基础。</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left="408" w:leftChars="0" w:firstLine="321" w:firstLineChars="100"/>
        <w:textAlignment w:val="auto"/>
        <w:outlineLvl w:val="9"/>
        <w:rPr>
          <w:rFonts w:hint="eastAsia" w:ascii="仿宋_GB2312" w:hAnsi="仿宋_GB2312" w:eastAsia="仿宋_GB2312" w:cs="仿宋_GB2312"/>
          <w:b/>
          <w:bCs/>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lang w:val="en-US" w:eastAsia="zh-CN"/>
        </w:rPr>
        <w:t>4、脱贫攻坚工作完成情况</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firstLine="640" w:firstLineChars="200"/>
        <w:textAlignment w:val="auto"/>
        <w:outlineLvl w:val="9"/>
        <w:rPr>
          <w:rFonts w:hint="eastAsia" w:ascii="仿宋_GB2312" w:hAnsi="仿宋_GB2312" w:eastAsia="仿宋_GB2312" w:cs="仿宋_GB2312"/>
          <w:color w:val="000000"/>
          <w:kern w:val="0"/>
          <w:sz w:val="32"/>
          <w:szCs w:val="32"/>
          <w:shd w:val="clear" w:color="auto" w:fill="FFFFFF"/>
          <w:lang w:val="en-US" w:eastAsia="zh-CN" w:bidi="ar"/>
        </w:rPr>
      </w:pPr>
      <w:r>
        <w:rPr>
          <w:rFonts w:hint="eastAsia" w:ascii="仿宋_GB2312" w:hAnsi="仿宋_GB2312" w:eastAsia="仿宋_GB2312" w:cs="仿宋_GB2312"/>
          <w:color w:val="000000"/>
          <w:kern w:val="0"/>
          <w:sz w:val="32"/>
          <w:szCs w:val="32"/>
          <w:shd w:val="clear" w:color="auto" w:fill="FFFFFF"/>
          <w:lang w:val="en-US" w:eastAsia="zh-CN" w:bidi="ar"/>
        </w:rPr>
        <w:t>根据市委、市政府的统一安排部署，我局继续承担芷江县禾梨坳乡高塘坡村2020年精准扶贫工作。全村实现集体经济收入7万元。全村建档立卡贫困户91户314人，已脱贫贫困户91户314人，其中去年未脱贫2户2人今年已顺利脱贫，全村所有贫困户2020年已全部脱贫。今年我局积极与财政等其他部门沟通协调，为高塘坡村成功争取了7万元扶贫项目资金。优先保障驻村帮扶工作队员工作经费和福利待遇，本年度扶贫工作经费及队员补助支出等共计4.69万元，工作队员生活补助、交通补助、通讯补助、人身意外险均按要求落实到位。</w:t>
      </w:r>
    </w:p>
    <w:p>
      <w:pPr>
        <w:pStyle w:val="5"/>
        <w:keepNext w:val="0"/>
        <w:keepLines w:val="0"/>
        <w:pageBreakBefore w:val="0"/>
        <w:numPr>
          <w:ilvl w:val="0"/>
          <w:numId w:val="0"/>
        </w:numPr>
        <w:kinsoku/>
        <w:wordWrap/>
        <w:overflowPunct/>
        <w:topLinePunct w:val="0"/>
        <w:autoSpaceDE/>
        <w:autoSpaceDN/>
        <w:bidi w:val="0"/>
        <w:adjustRightInd/>
        <w:snapToGrid/>
        <w:spacing w:before="100" w:beforeAutospacing="0" w:after="100" w:afterAutospacing="0" w:line="560" w:lineRule="exact"/>
        <w:ind w:left="408" w:leftChars="0" w:firstLine="321" w:firstLineChars="100"/>
        <w:textAlignment w:val="auto"/>
        <w:outlineLvl w:val="9"/>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仿宋_GB2312" w:eastAsia="仿宋_GB2312" w:cs="仿宋_GB2312"/>
          <w:b/>
          <w:bCs/>
          <w:color w:val="000000"/>
          <w:sz w:val="32"/>
          <w:szCs w:val="32"/>
          <w:shd w:val="clear" w:color="auto" w:fill="FFFFFF"/>
          <w:lang w:val="en-US" w:eastAsia="zh-CN"/>
        </w:rPr>
        <w:t>（三）有效性分析</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微软雅黑" w:eastAsia="仿宋_GB2312" w:cs="仿宋_GB2312"/>
          <w:color w:val="333333"/>
          <w:sz w:val="32"/>
          <w:szCs w:val="32"/>
          <w:shd w:val="clear" w:fill="FFFFFF"/>
        </w:rPr>
      </w:pPr>
      <w:r>
        <w:rPr>
          <w:rFonts w:hint="eastAsia" w:ascii="仿宋_GB2312" w:hAnsi="微软雅黑" w:eastAsia="仿宋_GB2312" w:cs="仿宋_GB2312"/>
          <w:color w:val="333333"/>
          <w:sz w:val="32"/>
          <w:szCs w:val="32"/>
          <w:shd w:val="clear" w:fill="FFFFFF"/>
          <w:lang w:val="en-US" w:eastAsia="zh-CN"/>
        </w:rPr>
        <w:t>2020年</w:t>
      </w:r>
      <w:r>
        <w:rPr>
          <w:rFonts w:hint="eastAsia" w:ascii="仿宋_GB2312" w:hAnsi="微软雅黑" w:eastAsia="仿宋_GB2312" w:cs="仿宋_GB2312"/>
          <w:color w:val="333333"/>
          <w:sz w:val="32"/>
          <w:szCs w:val="32"/>
          <w:shd w:val="clear" w:fill="FFFFFF"/>
        </w:rPr>
        <w:t>，我</w:t>
      </w:r>
      <w:r>
        <w:rPr>
          <w:rFonts w:hint="eastAsia" w:ascii="仿宋_GB2312" w:hAnsi="微软雅黑" w:eastAsia="仿宋_GB2312" w:cs="仿宋_GB2312"/>
          <w:color w:val="333333"/>
          <w:sz w:val="32"/>
          <w:szCs w:val="32"/>
          <w:shd w:val="clear" w:fill="FFFFFF"/>
          <w:lang w:eastAsia="zh-CN"/>
        </w:rPr>
        <w:t>局</w:t>
      </w:r>
      <w:r>
        <w:rPr>
          <w:rFonts w:hint="eastAsia" w:ascii="仿宋_GB2312" w:hAnsi="微软雅黑" w:eastAsia="仿宋_GB2312" w:cs="仿宋_GB2312"/>
          <w:color w:val="333333"/>
          <w:sz w:val="32"/>
          <w:szCs w:val="32"/>
          <w:shd w:val="clear" w:fill="FFFFFF"/>
        </w:rPr>
        <w:t>全面贯彻落实</w:t>
      </w:r>
      <w:r>
        <w:rPr>
          <w:rFonts w:hint="eastAsia" w:ascii="仿宋_GB2312" w:hAnsi="微软雅黑" w:eastAsia="仿宋_GB2312" w:cs="仿宋_GB2312"/>
          <w:color w:val="333333"/>
          <w:sz w:val="32"/>
          <w:szCs w:val="32"/>
          <w:shd w:val="clear" w:fill="FFFFFF"/>
          <w:lang w:eastAsia="zh-CN"/>
        </w:rPr>
        <w:t>党的十九大</w:t>
      </w:r>
      <w:r>
        <w:rPr>
          <w:rFonts w:hint="eastAsia" w:ascii="仿宋_GB2312" w:hAnsi="微软雅黑" w:eastAsia="仿宋_GB2312" w:cs="仿宋_GB2312"/>
          <w:color w:val="333333"/>
          <w:sz w:val="32"/>
          <w:szCs w:val="32"/>
          <w:shd w:val="clear" w:fill="FFFFFF"/>
        </w:rPr>
        <w:t>精神，按照</w:t>
      </w:r>
      <w:r>
        <w:rPr>
          <w:rFonts w:hint="eastAsia" w:ascii="仿宋_GB2312" w:hAnsi="微软雅黑" w:eastAsia="仿宋_GB2312" w:cs="仿宋_GB2312"/>
          <w:color w:val="333333"/>
          <w:sz w:val="32"/>
          <w:szCs w:val="32"/>
          <w:shd w:val="clear" w:fill="FFFFFF"/>
          <w:lang w:eastAsia="zh-CN"/>
        </w:rPr>
        <w:t>市委、市政府相关</w:t>
      </w:r>
      <w:r>
        <w:rPr>
          <w:rFonts w:hint="eastAsia" w:ascii="仿宋_GB2312" w:hAnsi="微软雅黑" w:eastAsia="仿宋_GB2312" w:cs="仿宋_GB2312"/>
          <w:color w:val="333333"/>
          <w:sz w:val="32"/>
          <w:szCs w:val="32"/>
          <w:shd w:val="clear" w:fill="FFFFFF"/>
        </w:rPr>
        <w:t>工作要求，精心谋划，</w:t>
      </w:r>
      <w:r>
        <w:rPr>
          <w:rFonts w:ascii="仿宋_GB2312" w:hAnsi="微软雅黑" w:eastAsia="仿宋_GB2312" w:cs="仿宋_GB2312"/>
          <w:color w:val="333333"/>
          <w:sz w:val="32"/>
          <w:szCs w:val="32"/>
          <w:shd w:val="clear" w:fill="FFFFFF"/>
        </w:rPr>
        <w:t>通过</w:t>
      </w:r>
      <w:r>
        <w:rPr>
          <w:rFonts w:hint="eastAsia" w:ascii="仿宋_GB2312" w:hAnsi="微软雅黑" w:eastAsia="仿宋_GB2312" w:cs="仿宋_GB2312"/>
          <w:color w:val="333333"/>
          <w:sz w:val="32"/>
          <w:szCs w:val="32"/>
          <w:shd w:val="clear" w:fill="FFFFFF"/>
        </w:rPr>
        <w:t>强化部署，强化措施，强化督查，强化落实</w:t>
      </w:r>
      <w:r>
        <w:rPr>
          <w:rFonts w:hint="eastAsia" w:ascii="仿宋_GB2312" w:hAnsi="微软雅黑" w:eastAsia="仿宋_GB2312" w:cs="仿宋_GB2312"/>
          <w:color w:val="333333"/>
          <w:sz w:val="32"/>
          <w:szCs w:val="32"/>
          <w:shd w:val="clear" w:fill="FFFFFF"/>
          <w:lang w:eastAsia="zh-CN"/>
        </w:rPr>
        <w:t>的有效手段</w:t>
      </w:r>
      <w:r>
        <w:rPr>
          <w:rFonts w:hint="eastAsia" w:ascii="仿宋_GB2312" w:hAnsi="微软雅黑" w:eastAsia="仿宋_GB2312" w:cs="仿宋_GB2312"/>
          <w:color w:val="333333"/>
          <w:sz w:val="32"/>
          <w:szCs w:val="32"/>
          <w:shd w:val="clear" w:fill="FFFFFF"/>
        </w:rPr>
        <w:t>，</w:t>
      </w:r>
      <w:r>
        <w:rPr>
          <w:rFonts w:hint="eastAsia" w:ascii="仿宋_GB2312" w:hAnsi="微软雅黑" w:eastAsia="仿宋_GB2312" w:cs="仿宋_GB2312"/>
          <w:color w:val="333333"/>
          <w:sz w:val="32"/>
          <w:szCs w:val="32"/>
          <w:shd w:val="clear" w:fill="FFFFFF"/>
          <w:lang w:eastAsia="zh-CN"/>
        </w:rPr>
        <w:t>以及</w:t>
      </w:r>
      <w:r>
        <w:rPr>
          <w:rFonts w:ascii="仿宋_GB2312" w:hAnsi="微软雅黑" w:eastAsia="仿宋_GB2312" w:cs="仿宋_GB2312"/>
          <w:color w:val="333333"/>
          <w:sz w:val="32"/>
          <w:szCs w:val="32"/>
          <w:shd w:val="clear" w:fill="FFFFFF"/>
        </w:rPr>
        <w:t>财政资金的有效保障，</w:t>
      </w:r>
      <w:r>
        <w:rPr>
          <w:rFonts w:hint="eastAsia" w:ascii="仿宋_GB2312" w:hAnsi="微软雅黑" w:eastAsia="仿宋_GB2312" w:cs="仿宋_GB2312"/>
          <w:color w:val="333333"/>
          <w:sz w:val="32"/>
          <w:szCs w:val="32"/>
          <w:shd w:val="clear" w:fill="FFFFFF"/>
        </w:rPr>
        <w:t>扎实推进年度</w:t>
      </w:r>
      <w:r>
        <w:rPr>
          <w:rFonts w:hint="eastAsia" w:ascii="仿宋_GB2312" w:hAnsi="微软雅黑" w:eastAsia="仿宋_GB2312" w:cs="仿宋_GB2312"/>
          <w:color w:val="333333"/>
          <w:sz w:val="32"/>
          <w:szCs w:val="32"/>
          <w:shd w:val="clear" w:fill="FFFFFF"/>
          <w:lang w:eastAsia="zh-CN"/>
        </w:rPr>
        <w:t>各项</w:t>
      </w:r>
      <w:r>
        <w:rPr>
          <w:rFonts w:hint="eastAsia" w:ascii="仿宋_GB2312" w:hAnsi="微软雅黑" w:eastAsia="仿宋_GB2312" w:cs="仿宋_GB2312"/>
          <w:color w:val="333333"/>
          <w:sz w:val="32"/>
          <w:szCs w:val="32"/>
          <w:shd w:val="clear" w:fill="FFFFFF"/>
        </w:rPr>
        <w:t>目标任务，较好地完成了各项工作。</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微软雅黑" w:eastAsia="仿宋_GB2312" w:cs="仿宋_GB2312"/>
          <w:color w:val="333333"/>
          <w:sz w:val="32"/>
          <w:szCs w:val="32"/>
          <w:shd w:val="clear" w:fill="FFFFFF"/>
          <w:lang w:val="en-US" w:eastAsia="zh-CN"/>
        </w:rPr>
      </w:pPr>
      <w:r>
        <w:rPr>
          <w:rFonts w:hint="eastAsia" w:ascii="仿宋_GB2312" w:hAnsi="微软雅黑" w:eastAsia="仿宋_GB2312" w:cs="仿宋_GB2312"/>
          <w:color w:val="333333"/>
          <w:sz w:val="32"/>
          <w:szCs w:val="32"/>
          <w:shd w:val="clear" w:fill="FFFFFF"/>
          <w:lang w:val="en-US" w:eastAsia="zh-CN"/>
        </w:rPr>
        <w:t>根据部门整体支出绩效评价指标体系，市黄金局2020年绩效自评得分95分。</w:t>
      </w:r>
    </w:p>
    <w:p>
      <w:pPr>
        <w:pStyle w:val="5"/>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100" w:beforeAutospacing="0" w:after="100" w:afterAutospacing="0" w:line="560" w:lineRule="exact"/>
        <w:ind w:left="0" w:leftChars="0" w:firstLine="643" w:firstLineChars="200"/>
        <w:jc w:val="left"/>
        <w:textAlignment w:val="auto"/>
        <w:outlineLvl w:val="9"/>
        <w:rPr>
          <w:rFonts w:hint="eastAsia"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存在的主要问题</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0" w:after="100" w:afterAutospacing="0" w:line="560" w:lineRule="exact"/>
        <w:ind w:right="0" w:rightChars="0"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color w:val="000000"/>
          <w:sz w:val="32"/>
          <w:szCs w:val="32"/>
          <w:shd w:val="clear" w:color="auto" w:fill="FFFFFF"/>
          <w:lang w:val="en-US" w:eastAsia="zh-CN"/>
        </w:rPr>
        <w:t>预算编制粗糙，预算执行存在差异。预算编制执行过程中年初预算无法准确编实，</w:t>
      </w:r>
      <w:r>
        <w:rPr>
          <w:rFonts w:hint="eastAsia" w:ascii="仿宋_GB2312" w:hAnsi="仿宋_GB2312" w:eastAsia="仿宋_GB2312" w:cs="仿宋_GB2312"/>
          <w:sz w:val="32"/>
          <w:szCs w:val="32"/>
        </w:rPr>
        <w:t>没有</w:t>
      </w:r>
      <w:r>
        <w:rPr>
          <w:rFonts w:hint="eastAsia" w:ascii="仿宋_GB2312" w:hAnsi="仿宋_GB2312" w:eastAsia="仿宋_GB2312" w:cs="仿宋_GB2312"/>
          <w:sz w:val="32"/>
          <w:szCs w:val="32"/>
          <w:lang w:eastAsia="zh-CN"/>
        </w:rPr>
        <w:t>严格</w:t>
      </w:r>
      <w:r>
        <w:rPr>
          <w:rFonts w:hint="eastAsia" w:ascii="仿宋_GB2312" w:hAnsi="仿宋_GB2312" w:eastAsia="仿宋_GB2312" w:cs="仿宋_GB2312"/>
          <w:sz w:val="32"/>
          <w:szCs w:val="32"/>
        </w:rPr>
        <w:t>按批复的预算安排支出、超预算指标安排预算支出</w:t>
      </w:r>
      <w:r>
        <w:rPr>
          <w:rFonts w:hint="eastAsia" w:ascii="仿宋_GB2312" w:hAnsi="仿宋_GB2312" w:eastAsia="仿宋_GB2312" w:cs="仿宋_GB2312"/>
          <w:sz w:val="32"/>
          <w:szCs w:val="32"/>
          <w:lang w:eastAsia="zh-CN"/>
        </w:rPr>
        <w:t>。</w:t>
      </w:r>
    </w:p>
    <w:p>
      <w:pPr>
        <w:pStyle w:val="5"/>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100" w:beforeAutospacing="0" w:after="100" w:afterAutospacing="0" w:line="560" w:lineRule="exact"/>
        <w:ind w:left="0" w:leftChars="0" w:firstLine="643" w:firstLineChars="200"/>
        <w:jc w:val="left"/>
        <w:textAlignment w:val="auto"/>
        <w:outlineLvl w:val="9"/>
        <w:rPr>
          <w:rFonts w:hint="eastAsia"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改进措施及建议</w:t>
      </w:r>
    </w:p>
    <w:p>
      <w:pPr>
        <w:pStyle w:val="5"/>
        <w:keepNext w:val="0"/>
        <w:keepLines w:val="0"/>
        <w:pageBreakBefore w:val="0"/>
        <w:widowControl/>
        <w:numPr>
          <w:ilvl w:val="0"/>
          <w:numId w:val="7"/>
        </w:numPr>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sz w:val="32"/>
          <w:szCs w:val="32"/>
          <w:lang w:eastAsia="zh-CN"/>
        </w:rPr>
        <w:t>在以后的工作中，我单位将按照单位实际情况合理编制预算，全面把握预算编制政策，细化预算编制，进一步完善和提高预算编制的科学性和合理性。</w:t>
      </w:r>
    </w:p>
    <w:p>
      <w:pPr>
        <w:pStyle w:val="5"/>
        <w:keepNext w:val="0"/>
        <w:keepLines w:val="0"/>
        <w:pageBreakBefore w:val="0"/>
        <w:widowControl/>
        <w:numPr>
          <w:ilvl w:val="0"/>
          <w:numId w:val="7"/>
        </w:numPr>
        <w:shd w:val="clear" w:color="auto" w:fill="FFFFFF"/>
        <w:kinsoku/>
        <w:wordWrap/>
        <w:overflowPunct/>
        <w:topLinePunct w:val="0"/>
        <w:autoSpaceDE/>
        <w:autoSpaceDN/>
        <w:bidi w:val="0"/>
        <w:adjustRightInd/>
        <w:snapToGrid/>
        <w:spacing w:before="100" w:beforeAutospacing="0" w:after="100" w:afterAutospacing="0" w:line="560" w:lineRule="exact"/>
        <w:ind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加强内控建设，完善内部管理制度，严格执行新会计制度提升资金效益，防范财务风险，进一步规范资金管理，提高财政资金使用效益。</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1" w:line="400" w:lineRule="exact"/>
        <w:ind w:firstLine="5440" w:firstLineChars="1700"/>
        <w:jc w:val="left"/>
        <w:textAlignment w:val="auto"/>
        <w:outlineLvl w:val="9"/>
        <w:rPr>
          <w:rFonts w:hint="eastAsia" w:ascii="仿宋_GB2312" w:hAnsi="仿宋_GB2312" w:eastAsia="仿宋_GB2312" w:cs="仿宋_GB2312"/>
          <w:color w:val="000000"/>
          <w:sz w:val="32"/>
          <w:szCs w:val="32"/>
          <w:shd w:val="clear" w:color="auto" w:fill="FFFFFF"/>
        </w:rPr>
      </w:pP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100" w:afterAutospacing="1" w:line="400" w:lineRule="exact"/>
        <w:ind w:firstLine="5440" w:firstLineChars="1700"/>
        <w:jc w:val="left"/>
        <w:textAlignment w:val="auto"/>
        <w:outlineLvl w:val="9"/>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怀化市黄金工业管理局</w:t>
      </w:r>
    </w:p>
    <w:p>
      <w:pPr>
        <w:pStyle w:val="5"/>
        <w:keepNext w:val="0"/>
        <w:keepLines w:val="0"/>
        <w:pageBreakBefore w:val="0"/>
        <w:widowControl/>
        <w:shd w:val="clear" w:color="auto" w:fill="FFFFFF"/>
        <w:kinsoku/>
        <w:wordWrap/>
        <w:overflowPunct/>
        <w:topLinePunct w:val="0"/>
        <w:autoSpaceDE/>
        <w:autoSpaceDN/>
        <w:bidi w:val="0"/>
        <w:adjustRightInd/>
        <w:snapToGrid/>
        <w:spacing w:before="100" w:beforeAutospacing="0" w:after="100" w:afterAutospacing="1" w:line="400" w:lineRule="exact"/>
        <w:ind w:firstLine="5760" w:firstLineChars="1800"/>
        <w:jc w:val="left"/>
        <w:textAlignment w:val="auto"/>
        <w:outlineLvl w:val="9"/>
        <w:rPr>
          <w:rFonts w:hint="eastAsia" w:ascii="楷体_GB2312" w:hAnsi="楷体_GB2312" w:eastAsia="楷体_GB2312" w:cs="楷体_GB2312"/>
          <w:sz w:val="32"/>
          <w:szCs w:val="32"/>
        </w:rPr>
      </w:pPr>
      <w:r>
        <w:rPr>
          <w:rFonts w:hint="eastAsia" w:ascii="仿宋_GB2312" w:hAnsi="仿宋_GB2312" w:eastAsia="仿宋_GB2312" w:cs="仿宋_GB2312"/>
          <w:color w:val="000000"/>
          <w:sz w:val="32"/>
          <w:szCs w:val="32"/>
          <w:shd w:val="clear" w:color="auto" w:fill="FFFFFF"/>
        </w:rPr>
        <w:t>20</w:t>
      </w:r>
      <w:r>
        <w:rPr>
          <w:rFonts w:hint="eastAsia" w:ascii="仿宋_GB2312" w:hAnsi="仿宋_GB2312" w:eastAsia="仿宋_GB2312" w:cs="仿宋_GB2312"/>
          <w:color w:val="000000"/>
          <w:sz w:val="32"/>
          <w:szCs w:val="32"/>
          <w:shd w:val="clear" w:color="auto" w:fill="FFFFFF"/>
          <w:lang w:val="en-US" w:eastAsia="zh-CN"/>
        </w:rPr>
        <w:t>21</w:t>
      </w:r>
      <w:r>
        <w:rPr>
          <w:rFonts w:hint="eastAsia" w:ascii="仿宋_GB2312" w:hAnsi="仿宋_GB2312" w:eastAsia="仿宋_GB2312" w:cs="仿宋_GB2312"/>
          <w:color w:val="000000"/>
          <w:sz w:val="32"/>
          <w:szCs w:val="32"/>
          <w:shd w:val="clear" w:color="auto" w:fill="FFFFFF"/>
        </w:rPr>
        <w:t>年</w:t>
      </w:r>
      <w:r>
        <w:rPr>
          <w:rFonts w:hint="eastAsia" w:ascii="仿宋_GB2312" w:hAnsi="仿宋_GB2312" w:eastAsia="仿宋_GB2312" w:cs="仿宋_GB2312"/>
          <w:color w:val="000000"/>
          <w:sz w:val="32"/>
          <w:szCs w:val="32"/>
          <w:shd w:val="clear" w:color="auto" w:fill="FFFFFF"/>
          <w:lang w:val="en-US" w:eastAsia="zh-CN"/>
        </w:rPr>
        <w:t>6</w:t>
      </w:r>
      <w:r>
        <w:rPr>
          <w:rFonts w:hint="eastAsia" w:ascii="仿宋_GB2312" w:hAnsi="仿宋_GB2312" w:eastAsia="仿宋_GB2312" w:cs="仿宋_GB2312"/>
          <w:color w:val="000000"/>
          <w:sz w:val="32"/>
          <w:szCs w:val="32"/>
          <w:shd w:val="clear" w:color="auto" w:fill="FFFFFF"/>
        </w:rPr>
        <w:t>月</w:t>
      </w:r>
      <w:r>
        <w:rPr>
          <w:rFonts w:hint="eastAsia" w:ascii="仿宋_GB2312" w:hAnsi="仿宋_GB2312" w:eastAsia="仿宋_GB2312" w:cs="仿宋_GB2312"/>
          <w:color w:val="000000"/>
          <w:sz w:val="32"/>
          <w:szCs w:val="32"/>
          <w:shd w:val="clear" w:color="auto" w:fill="FFFFFF"/>
          <w:lang w:val="en-US" w:eastAsia="zh-CN"/>
        </w:rPr>
        <w:t>22</w:t>
      </w:r>
      <w:r>
        <w:rPr>
          <w:rFonts w:hint="eastAsia" w:ascii="仿宋_GB2312" w:hAnsi="仿宋_GB2312" w:eastAsia="仿宋_GB2312" w:cs="仿宋_GB2312"/>
          <w:color w:val="000000"/>
          <w:sz w:val="32"/>
          <w:szCs w:val="32"/>
          <w:shd w:val="clear" w:color="auto" w:fill="FFFFFF"/>
        </w:rPr>
        <w:t>日</w:t>
      </w:r>
    </w:p>
    <w:sectPr>
      <w:headerReference r:id="rId3" w:type="default"/>
      <w:footerReference r:id="rId5" w:type="default"/>
      <w:headerReference r:id="rId4" w:type="even"/>
      <w:pgSz w:w="11906" w:h="16838"/>
      <w:pgMar w:top="1100" w:right="1236" w:bottom="1327" w:left="1236" w:header="851" w:footer="116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2A28F"/>
    <w:multiLevelType w:val="singleLevel"/>
    <w:tmpl w:val="8022A28F"/>
    <w:lvl w:ilvl="0" w:tentative="0">
      <w:start w:val="2"/>
      <w:numFmt w:val="chineseCounting"/>
      <w:suff w:val="nothing"/>
      <w:lvlText w:val="（%1）"/>
      <w:lvlJc w:val="left"/>
      <w:rPr>
        <w:rFonts w:hint="eastAsia"/>
      </w:rPr>
    </w:lvl>
  </w:abstractNum>
  <w:abstractNum w:abstractNumId="1">
    <w:nsid w:val="B6890850"/>
    <w:multiLevelType w:val="singleLevel"/>
    <w:tmpl w:val="B6890850"/>
    <w:lvl w:ilvl="0" w:tentative="0">
      <w:start w:val="2"/>
      <w:numFmt w:val="decimal"/>
      <w:suff w:val="nothing"/>
      <w:lvlText w:val="%1、"/>
      <w:lvlJc w:val="left"/>
    </w:lvl>
  </w:abstractNum>
  <w:abstractNum w:abstractNumId="2">
    <w:nsid w:val="F2783128"/>
    <w:multiLevelType w:val="singleLevel"/>
    <w:tmpl w:val="F2783128"/>
    <w:lvl w:ilvl="0" w:tentative="0">
      <w:start w:val="2"/>
      <w:numFmt w:val="decimal"/>
      <w:suff w:val="nothing"/>
      <w:lvlText w:val="%1、"/>
      <w:lvlJc w:val="left"/>
    </w:lvl>
  </w:abstractNum>
  <w:abstractNum w:abstractNumId="3">
    <w:nsid w:val="250DBB50"/>
    <w:multiLevelType w:val="singleLevel"/>
    <w:tmpl w:val="250DBB50"/>
    <w:lvl w:ilvl="0" w:tentative="0">
      <w:start w:val="3"/>
      <w:numFmt w:val="chineseCounting"/>
      <w:suff w:val="nothing"/>
      <w:lvlText w:val="%1、"/>
      <w:lvlJc w:val="left"/>
      <w:rPr>
        <w:rFonts w:hint="eastAsia"/>
      </w:rPr>
    </w:lvl>
  </w:abstractNum>
  <w:abstractNum w:abstractNumId="4">
    <w:nsid w:val="305164AA"/>
    <w:multiLevelType w:val="singleLevel"/>
    <w:tmpl w:val="305164AA"/>
    <w:lvl w:ilvl="0" w:tentative="0">
      <w:start w:val="2"/>
      <w:numFmt w:val="chineseCounting"/>
      <w:suff w:val="nothing"/>
      <w:lvlText w:val="（%1）"/>
      <w:lvlJc w:val="left"/>
      <w:rPr>
        <w:rFonts w:hint="eastAsia"/>
      </w:rPr>
    </w:lvl>
  </w:abstractNum>
  <w:abstractNum w:abstractNumId="5">
    <w:nsid w:val="545A8AB1"/>
    <w:multiLevelType w:val="singleLevel"/>
    <w:tmpl w:val="545A8AB1"/>
    <w:lvl w:ilvl="0" w:tentative="0">
      <w:start w:val="1"/>
      <w:numFmt w:val="decimal"/>
      <w:suff w:val="nothing"/>
      <w:lvlText w:val="%1、"/>
      <w:lvlJc w:val="left"/>
    </w:lvl>
  </w:abstractNum>
  <w:abstractNum w:abstractNumId="6">
    <w:nsid w:val="606165C4"/>
    <w:multiLevelType w:val="singleLevel"/>
    <w:tmpl w:val="606165C4"/>
    <w:lvl w:ilvl="0" w:tentative="0">
      <w:start w:val="1"/>
      <w:numFmt w:val="decimal"/>
      <w:suff w:val="nothing"/>
      <w:lvlText w:val="%1、"/>
      <w:lvlJc w:val="left"/>
    </w:lvl>
  </w:abstractNum>
  <w:num w:numId="1">
    <w:abstractNumId w:val="4"/>
  </w:num>
  <w:num w:numId="2">
    <w:abstractNumId w:val="2"/>
  </w:num>
  <w:num w:numId="3">
    <w:abstractNumId w:val="0"/>
  </w:num>
  <w:num w:numId="4">
    <w:abstractNumId w:val="3"/>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mMGNhNmY0YjU4NjVkOWQ2N2E3YzdhNWFmNzAwMTUifQ=="/>
  </w:docVars>
  <w:rsids>
    <w:rsidRoot w:val="009C401F"/>
    <w:rsid w:val="002802D2"/>
    <w:rsid w:val="009C401F"/>
    <w:rsid w:val="00AC7DF7"/>
    <w:rsid w:val="00B14EE5"/>
    <w:rsid w:val="00BA36CF"/>
    <w:rsid w:val="00C75A90"/>
    <w:rsid w:val="00DC0BBF"/>
    <w:rsid w:val="00EB7F6E"/>
    <w:rsid w:val="00F6570B"/>
    <w:rsid w:val="012C4C29"/>
    <w:rsid w:val="01480D77"/>
    <w:rsid w:val="016638A9"/>
    <w:rsid w:val="01846F0A"/>
    <w:rsid w:val="01F03593"/>
    <w:rsid w:val="027D5BA2"/>
    <w:rsid w:val="02A51670"/>
    <w:rsid w:val="02D04D16"/>
    <w:rsid w:val="03163E1D"/>
    <w:rsid w:val="038D72DF"/>
    <w:rsid w:val="03A27284"/>
    <w:rsid w:val="03C27583"/>
    <w:rsid w:val="03F77772"/>
    <w:rsid w:val="04B1534C"/>
    <w:rsid w:val="04B82DC4"/>
    <w:rsid w:val="052A3FB5"/>
    <w:rsid w:val="05DD4F58"/>
    <w:rsid w:val="063912F0"/>
    <w:rsid w:val="076730C5"/>
    <w:rsid w:val="07C95666"/>
    <w:rsid w:val="07CE25B6"/>
    <w:rsid w:val="081C02FC"/>
    <w:rsid w:val="089B2115"/>
    <w:rsid w:val="095A5BE4"/>
    <w:rsid w:val="09D824D8"/>
    <w:rsid w:val="09DA6618"/>
    <w:rsid w:val="0A18124A"/>
    <w:rsid w:val="0A2224FB"/>
    <w:rsid w:val="0A3F005D"/>
    <w:rsid w:val="0C342C52"/>
    <w:rsid w:val="0C9049D6"/>
    <w:rsid w:val="0CA57B15"/>
    <w:rsid w:val="0DB0648C"/>
    <w:rsid w:val="0DD74237"/>
    <w:rsid w:val="0E5750FC"/>
    <w:rsid w:val="0EAF786A"/>
    <w:rsid w:val="0EDA1A80"/>
    <w:rsid w:val="0F152277"/>
    <w:rsid w:val="0F603EC7"/>
    <w:rsid w:val="0FD92901"/>
    <w:rsid w:val="10176D1B"/>
    <w:rsid w:val="107A09CD"/>
    <w:rsid w:val="10907B24"/>
    <w:rsid w:val="109C4BCE"/>
    <w:rsid w:val="114A3926"/>
    <w:rsid w:val="1166592D"/>
    <w:rsid w:val="13600686"/>
    <w:rsid w:val="13EF4DDC"/>
    <w:rsid w:val="13F04145"/>
    <w:rsid w:val="144262DF"/>
    <w:rsid w:val="15044A88"/>
    <w:rsid w:val="151C7FE4"/>
    <w:rsid w:val="154D4194"/>
    <w:rsid w:val="15663828"/>
    <w:rsid w:val="164D743A"/>
    <w:rsid w:val="168153C7"/>
    <w:rsid w:val="16F33977"/>
    <w:rsid w:val="17D4041E"/>
    <w:rsid w:val="17F94B9A"/>
    <w:rsid w:val="18435FD9"/>
    <w:rsid w:val="18AB3604"/>
    <w:rsid w:val="192D6B9F"/>
    <w:rsid w:val="19DA1AF8"/>
    <w:rsid w:val="1A99630B"/>
    <w:rsid w:val="1AB2773F"/>
    <w:rsid w:val="1B3127A9"/>
    <w:rsid w:val="1B5B4A0F"/>
    <w:rsid w:val="1BB95D20"/>
    <w:rsid w:val="1C2A043A"/>
    <w:rsid w:val="1C63639A"/>
    <w:rsid w:val="1CF76BAC"/>
    <w:rsid w:val="1CFD009B"/>
    <w:rsid w:val="1D1E5709"/>
    <w:rsid w:val="1D756A60"/>
    <w:rsid w:val="1DA20211"/>
    <w:rsid w:val="1DB0485D"/>
    <w:rsid w:val="1DCC746F"/>
    <w:rsid w:val="1E187D5A"/>
    <w:rsid w:val="1E2D620F"/>
    <w:rsid w:val="1E5B6C20"/>
    <w:rsid w:val="1E742E63"/>
    <w:rsid w:val="1E85155E"/>
    <w:rsid w:val="1E8F4FAF"/>
    <w:rsid w:val="1EDD0689"/>
    <w:rsid w:val="1F6F7857"/>
    <w:rsid w:val="1FAB1681"/>
    <w:rsid w:val="1FF26740"/>
    <w:rsid w:val="2056242A"/>
    <w:rsid w:val="20B47CB1"/>
    <w:rsid w:val="22413215"/>
    <w:rsid w:val="22436A93"/>
    <w:rsid w:val="22F437C5"/>
    <w:rsid w:val="2359040B"/>
    <w:rsid w:val="23827B48"/>
    <w:rsid w:val="23CE614C"/>
    <w:rsid w:val="2494490F"/>
    <w:rsid w:val="24F536AF"/>
    <w:rsid w:val="262C10BB"/>
    <w:rsid w:val="264719DD"/>
    <w:rsid w:val="26883893"/>
    <w:rsid w:val="26DE4854"/>
    <w:rsid w:val="274B7EEF"/>
    <w:rsid w:val="274E4505"/>
    <w:rsid w:val="2830777B"/>
    <w:rsid w:val="28413D8B"/>
    <w:rsid w:val="28504014"/>
    <w:rsid w:val="28BC4A00"/>
    <w:rsid w:val="28C570BA"/>
    <w:rsid w:val="28ED473D"/>
    <w:rsid w:val="29214F7B"/>
    <w:rsid w:val="29843039"/>
    <w:rsid w:val="29E86135"/>
    <w:rsid w:val="2A08349F"/>
    <w:rsid w:val="2A642A64"/>
    <w:rsid w:val="2A6748C2"/>
    <w:rsid w:val="2AD575CD"/>
    <w:rsid w:val="2B032087"/>
    <w:rsid w:val="2B925ED8"/>
    <w:rsid w:val="2BB17B65"/>
    <w:rsid w:val="2BCA23E3"/>
    <w:rsid w:val="2C2B39B2"/>
    <w:rsid w:val="2D237CD9"/>
    <w:rsid w:val="2E376059"/>
    <w:rsid w:val="2E956E09"/>
    <w:rsid w:val="2EC17EC2"/>
    <w:rsid w:val="2F6376CB"/>
    <w:rsid w:val="2FB6753D"/>
    <w:rsid w:val="3094583F"/>
    <w:rsid w:val="30C51E30"/>
    <w:rsid w:val="30C9271B"/>
    <w:rsid w:val="310762CB"/>
    <w:rsid w:val="314A17A7"/>
    <w:rsid w:val="325563C6"/>
    <w:rsid w:val="325B150C"/>
    <w:rsid w:val="328714F2"/>
    <w:rsid w:val="32BA3EF7"/>
    <w:rsid w:val="32F14FC4"/>
    <w:rsid w:val="33696E47"/>
    <w:rsid w:val="33B13C14"/>
    <w:rsid w:val="33F41EDC"/>
    <w:rsid w:val="3415497E"/>
    <w:rsid w:val="342E63AB"/>
    <w:rsid w:val="34841BA9"/>
    <w:rsid w:val="34BA6835"/>
    <w:rsid w:val="34C8352C"/>
    <w:rsid w:val="35F30FCD"/>
    <w:rsid w:val="36A3723B"/>
    <w:rsid w:val="37070BBA"/>
    <w:rsid w:val="375C2CDF"/>
    <w:rsid w:val="376E2E28"/>
    <w:rsid w:val="37983D0A"/>
    <w:rsid w:val="37FB33A4"/>
    <w:rsid w:val="39532882"/>
    <w:rsid w:val="39D21572"/>
    <w:rsid w:val="39D522D3"/>
    <w:rsid w:val="39F30F2D"/>
    <w:rsid w:val="3A3132D0"/>
    <w:rsid w:val="3A760C06"/>
    <w:rsid w:val="3AC94171"/>
    <w:rsid w:val="3B285E89"/>
    <w:rsid w:val="3BFA7C99"/>
    <w:rsid w:val="3C1722D3"/>
    <w:rsid w:val="3D7874A5"/>
    <w:rsid w:val="3E302E21"/>
    <w:rsid w:val="3E730D34"/>
    <w:rsid w:val="3ED24E20"/>
    <w:rsid w:val="3EF07A9F"/>
    <w:rsid w:val="3EFB3800"/>
    <w:rsid w:val="3F551B76"/>
    <w:rsid w:val="3F662D54"/>
    <w:rsid w:val="40D16AE4"/>
    <w:rsid w:val="40E84F5C"/>
    <w:rsid w:val="413069BB"/>
    <w:rsid w:val="41A75B46"/>
    <w:rsid w:val="41E910F9"/>
    <w:rsid w:val="42161379"/>
    <w:rsid w:val="4409502C"/>
    <w:rsid w:val="44720E99"/>
    <w:rsid w:val="44DC74AA"/>
    <w:rsid w:val="451C69B0"/>
    <w:rsid w:val="45C8089F"/>
    <w:rsid w:val="45D2315E"/>
    <w:rsid w:val="464645F0"/>
    <w:rsid w:val="46E147D5"/>
    <w:rsid w:val="46E15CCC"/>
    <w:rsid w:val="47051160"/>
    <w:rsid w:val="47D8470A"/>
    <w:rsid w:val="47DB5B24"/>
    <w:rsid w:val="47EF7672"/>
    <w:rsid w:val="488601CB"/>
    <w:rsid w:val="48EF7DCB"/>
    <w:rsid w:val="49955B8B"/>
    <w:rsid w:val="4A0F498D"/>
    <w:rsid w:val="4A65539B"/>
    <w:rsid w:val="4A881739"/>
    <w:rsid w:val="4AE820F1"/>
    <w:rsid w:val="4B3F2B00"/>
    <w:rsid w:val="4B6128E5"/>
    <w:rsid w:val="4B901548"/>
    <w:rsid w:val="4BBC2792"/>
    <w:rsid w:val="4BE142AF"/>
    <w:rsid w:val="4BF95BC7"/>
    <w:rsid w:val="4C76471F"/>
    <w:rsid w:val="4C7A7005"/>
    <w:rsid w:val="4D0379AC"/>
    <w:rsid w:val="4D6371B5"/>
    <w:rsid w:val="4E6A3B2D"/>
    <w:rsid w:val="4F3007F7"/>
    <w:rsid w:val="4F3D331B"/>
    <w:rsid w:val="4F627BB8"/>
    <w:rsid w:val="4FB3554D"/>
    <w:rsid w:val="4FBE6334"/>
    <w:rsid w:val="4FD3213E"/>
    <w:rsid w:val="51A21B44"/>
    <w:rsid w:val="51CB5698"/>
    <w:rsid w:val="52C70091"/>
    <w:rsid w:val="52D5055D"/>
    <w:rsid w:val="53153BE9"/>
    <w:rsid w:val="53376114"/>
    <w:rsid w:val="538E4B62"/>
    <w:rsid w:val="54626E21"/>
    <w:rsid w:val="54AC5CDA"/>
    <w:rsid w:val="54D86BB8"/>
    <w:rsid w:val="55053274"/>
    <w:rsid w:val="550E2557"/>
    <w:rsid w:val="55581683"/>
    <w:rsid w:val="55A44A60"/>
    <w:rsid w:val="56402567"/>
    <w:rsid w:val="568834B5"/>
    <w:rsid w:val="56F93965"/>
    <w:rsid w:val="573F3A30"/>
    <w:rsid w:val="57801F7A"/>
    <w:rsid w:val="57886384"/>
    <w:rsid w:val="57B64AD7"/>
    <w:rsid w:val="57D514A2"/>
    <w:rsid w:val="58B50171"/>
    <w:rsid w:val="59522196"/>
    <w:rsid w:val="59A370AB"/>
    <w:rsid w:val="5B297526"/>
    <w:rsid w:val="5C3527AA"/>
    <w:rsid w:val="5C60787A"/>
    <w:rsid w:val="5C8C6D96"/>
    <w:rsid w:val="5CCC49CC"/>
    <w:rsid w:val="5D2D376B"/>
    <w:rsid w:val="5D383F00"/>
    <w:rsid w:val="5D540412"/>
    <w:rsid w:val="5D6A31A6"/>
    <w:rsid w:val="5D8241EC"/>
    <w:rsid w:val="5E1338C0"/>
    <w:rsid w:val="5E612C1E"/>
    <w:rsid w:val="5E730F20"/>
    <w:rsid w:val="5EB37A14"/>
    <w:rsid w:val="5EFE6A1D"/>
    <w:rsid w:val="5F81002F"/>
    <w:rsid w:val="60E85D10"/>
    <w:rsid w:val="61407419"/>
    <w:rsid w:val="61F8244A"/>
    <w:rsid w:val="62A3486D"/>
    <w:rsid w:val="62BC7C0A"/>
    <w:rsid w:val="62DC02A2"/>
    <w:rsid w:val="632C5EEE"/>
    <w:rsid w:val="635476D6"/>
    <w:rsid w:val="638555E4"/>
    <w:rsid w:val="643E63E3"/>
    <w:rsid w:val="64DD0AC1"/>
    <w:rsid w:val="64F2004B"/>
    <w:rsid w:val="65421D00"/>
    <w:rsid w:val="65AD17B7"/>
    <w:rsid w:val="65F56152"/>
    <w:rsid w:val="66744A6F"/>
    <w:rsid w:val="66EB438E"/>
    <w:rsid w:val="677A2609"/>
    <w:rsid w:val="677A5055"/>
    <w:rsid w:val="67A31522"/>
    <w:rsid w:val="67B3265D"/>
    <w:rsid w:val="68AB31C8"/>
    <w:rsid w:val="691948CE"/>
    <w:rsid w:val="691B6B5C"/>
    <w:rsid w:val="698933F7"/>
    <w:rsid w:val="69E37E19"/>
    <w:rsid w:val="6A0D7B49"/>
    <w:rsid w:val="6A57608C"/>
    <w:rsid w:val="6A586755"/>
    <w:rsid w:val="6A8C7C25"/>
    <w:rsid w:val="6A9A4B33"/>
    <w:rsid w:val="6ABF15AE"/>
    <w:rsid w:val="6B21034E"/>
    <w:rsid w:val="6BA356E9"/>
    <w:rsid w:val="6BF41167"/>
    <w:rsid w:val="6C5164C2"/>
    <w:rsid w:val="6CE55051"/>
    <w:rsid w:val="6D835290"/>
    <w:rsid w:val="6DA762CA"/>
    <w:rsid w:val="6F285C6B"/>
    <w:rsid w:val="6F4A3BCB"/>
    <w:rsid w:val="6F4D20DB"/>
    <w:rsid w:val="6F8A4A0A"/>
    <w:rsid w:val="70AA00D5"/>
    <w:rsid w:val="711B191E"/>
    <w:rsid w:val="714B3A90"/>
    <w:rsid w:val="71BB56F1"/>
    <w:rsid w:val="71F26910"/>
    <w:rsid w:val="720D503E"/>
    <w:rsid w:val="722F377C"/>
    <w:rsid w:val="727D3867"/>
    <w:rsid w:val="727D649E"/>
    <w:rsid w:val="72F375AA"/>
    <w:rsid w:val="736E16ED"/>
    <w:rsid w:val="73F42C45"/>
    <w:rsid w:val="741A39EF"/>
    <w:rsid w:val="742D09F8"/>
    <w:rsid w:val="74547455"/>
    <w:rsid w:val="749E38C6"/>
    <w:rsid w:val="74D5786E"/>
    <w:rsid w:val="762D2262"/>
    <w:rsid w:val="76473B19"/>
    <w:rsid w:val="76DC22C4"/>
    <w:rsid w:val="77394975"/>
    <w:rsid w:val="77BD30BA"/>
    <w:rsid w:val="77E53ABD"/>
    <w:rsid w:val="78182189"/>
    <w:rsid w:val="785C5783"/>
    <w:rsid w:val="798C38F6"/>
    <w:rsid w:val="79E34305"/>
    <w:rsid w:val="7A2A68E9"/>
    <w:rsid w:val="7A854BF4"/>
    <w:rsid w:val="7AC54F33"/>
    <w:rsid w:val="7B7C0DE7"/>
    <w:rsid w:val="7B7F3D95"/>
    <w:rsid w:val="7BA4485F"/>
    <w:rsid w:val="7BDA360D"/>
    <w:rsid w:val="7C0D1C93"/>
    <w:rsid w:val="7CC05F02"/>
    <w:rsid w:val="7D066B67"/>
    <w:rsid w:val="7D260BDE"/>
    <w:rsid w:val="7D785221"/>
    <w:rsid w:val="7DD01EC5"/>
    <w:rsid w:val="7E050D59"/>
    <w:rsid w:val="7E541C5F"/>
    <w:rsid w:val="7F347D26"/>
    <w:rsid w:val="7FF06E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unhideWhenUsed/>
    <w:uiPriority w:val="1"/>
  </w:style>
  <w:style w:type="table" w:default="1" w:styleId="6">
    <w:name w:val="Normal Table"/>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8">
    <w:name w:val="FollowedHyperlink"/>
    <w:basedOn w:val="7"/>
    <w:semiHidden/>
    <w:unhideWhenUsed/>
    <w:qFormat/>
    <w:uiPriority w:val="99"/>
    <w:rPr>
      <w:color w:val="333333"/>
      <w:u w:val="none"/>
    </w:rPr>
  </w:style>
  <w:style w:type="character" w:styleId="9">
    <w:name w:val="Emphasis"/>
    <w:basedOn w:val="7"/>
    <w:qFormat/>
    <w:uiPriority w:val="20"/>
  </w:style>
  <w:style w:type="character" w:styleId="10">
    <w:name w:val="Hyperlink"/>
    <w:basedOn w:val="7"/>
    <w:semiHidden/>
    <w:unhideWhenUsed/>
    <w:qFormat/>
    <w:uiPriority w:val="99"/>
    <w:rPr>
      <w:color w:val="333333"/>
      <w:u w:val="none"/>
    </w:rPr>
  </w:style>
  <w:style w:type="character" w:customStyle="1" w:styleId="11">
    <w:name w:val="页眉 Char"/>
    <w:basedOn w:val="7"/>
    <w:link w:val="4"/>
    <w:semiHidden/>
    <w:qFormat/>
    <w:uiPriority w:val="99"/>
    <w:rPr>
      <w:sz w:val="18"/>
      <w:szCs w:val="18"/>
    </w:rPr>
  </w:style>
  <w:style w:type="character" w:customStyle="1" w:styleId="12">
    <w:name w:val="页脚 Char"/>
    <w:basedOn w:val="7"/>
    <w:link w:val="3"/>
    <w:semiHidden/>
    <w:qFormat/>
    <w:uiPriority w:val="99"/>
    <w:rPr>
      <w:sz w:val="18"/>
      <w:szCs w:val="18"/>
    </w:rPr>
  </w:style>
  <w:style w:type="character" w:customStyle="1" w:styleId="13">
    <w:name w:val="hover5"/>
    <w:basedOn w:val="7"/>
    <w:qFormat/>
    <w:uiPriority w:val="0"/>
    <w:rPr>
      <w:color w:val="000000"/>
      <w:shd w:val="clear" w:fill="FFFFFF"/>
    </w:rPr>
  </w:style>
  <w:style w:type="character" w:customStyle="1" w:styleId="14">
    <w:name w:val="wx-space"/>
    <w:basedOn w:val="7"/>
    <w:qFormat/>
    <w:uiPriority w:val="0"/>
  </w:style>
  <w:style w:type="character" w:customStyle="1" w:styleId="15">
    <w:name w:val="wx-space1"/>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105</Words>
  <Characters>604</Characters>
  <Lines>5</Lines>
  <Paragraphs>1</Paragraphs>
  <TotalTime>22</TotalTime>
  <ScaleCrop>false</ScaleCrop>
  <LinksUpToDate>false</LinksUpToDate>
  <CharactersWithSpaces>708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2016-02-22T02:17:00Z</dcterms:created>
  <dc:creator>微软用户</dc:creator>
  <cp:lastModifiedBy>琼</cp:lastModifiedBy>
  <cp:lastPrinted>2020-06-30T08:29:00Z</cp:lastPrinted>
  <dcterms:modified xsi:type="dcterms:W3CDTF">2023-10-18T00:26:45Z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F89F74D4B7D14295B9F0796C3C679F55_13</vt:lpwstr>
  </property>
</Properties>
</file>