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BCFF0">
      <w:pPr>
        <w:pStyle w:val="11"/>
        <w:jc w:val="both"/>
        <w:rPr>
          <w:sz w:val="84"/>
          <w:szCs w:val="84"/>
          <w:highlight w:val="none"/>
        </w:rPr>
      </w:pPr>
    </w:p>
    <w:p w14:paraId="43D46489">
      <w:pPr>
        <w:pStyle w:val="11"/>
        <w:jc w:val="center"/>
        <w:rPr>
          <w:rFonts w:hint="eastAsia" w:ascii="黑体" w:hAnsi="黑体" w:eastAsia="黑体" w:cs="黑体"/>
          <w:b w:val="0"/>
          <w:bCs w:val="0"/>
          <w:sz w:val="84"/>
          <w:szCs w:val="84"/>
          <w:highlight w:val="none"/>
        </w:rPr>
      </w:pPr>
    </w:p>
    <w:p w14:paraId="600E558E">
      <w:pPr>
        <w:pStyle w:val="11"/>
        <w:jc w:val="center"/>
        <w:rPr>
          <w:rFonts w:hint="eastAsia" w:ascii="黑体" w:hAnsi="黑体" w:eastAsia="黑体" w:cs="黑体"/>
          <w:b w:val="0"/>
          <w:bCs w:val="0"/>
          <w:sz w:val="84"/>
          <w:szCs w:val="84"/>
          <w:highlight w:val="none"/>
        </w:rPr>
      </w:pPr>
    </w:p>
    <w:p w14:paraId="65B35E11">
      <w:pPr>
        <w:pStyle w:val="11"/>
        <w:jc w:val="center"/>
        <w:rPr>
          <w:rFonts w:hint="eastAsia" w:ascii="黑体" w:hAnsi="黑体" w:eastAsia="黑体" w:cs="黑体"/>
          <w:b w:val="0"/>
          <w:bCs w:val="0"/>
          <w:sz w:val="84"/>
          <w:szCs w:val="84"/>
          <w:highlight w:val="none"/>
        </w:rPr>
      </w:pPr>
    </w:p>
    <w:p w14:paraId="49A5AC21">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202</w:t>
      </w:r>
      <w:r>
        <w:rPr>
          <w:rFonts w:hint="eastAsia" w:ascii="黑体" w:hAnsi="黑体" w:eastAsia="黑体" w:cs="黑体"/>
          <w:b w:val="0"/>
          <w:bCs w:val="0"/>
          <w:sz w:val="84"/>
          <w:szCs w:val="84"/>
          <w:highlight w:val="none"/>
          <w:lang w:val="en-US" w:eastAsia="zh-CN"/>
        </w:rPr>
        <w:t>2</w:t>
      </w:r>
      <w:r>
        <w:rPr>
          <w:rFonts w:hint="eastAsia" w:ascii="黑体" w:hAnsi="黑体" w:eastAsia="黑体" w:cs="黑体"/>
          <w:b w:val="0"/>
          <w:bCs w:val="0"/>
          <w:sz w:val="84"/>
          <w:szCs w:val="84"/>
          <w:highlight w:val="none"/>
        </w:rPr>
        <w:t>年度</w:t>
      </w:r>
    </w:p>
    <w:p w14:paraId="1F1593ED">
      <w:pPr>
        <w:pStyle w:val="11"/>
        <w:jc w:val="center"/>
        <w:rPr>
          <w:rFonts w:hint="eastAsia" w:ascii="黑体" w:hAnsi="黑体" w:eastAsia="黑体" w:cs="黑体"/>
          <w:b w:val="0"/>
          <w:bCs w:val="0"/>
          <w:kern w:val="0"/>
          <w:sz w:val="84"/>
          <w:szCs w:val="84"/>
          <w:highlight w:val="none"/>
          <w:lang w:eastAsia="zh-CN"/>
        </w:rPr>
      </w:pPr>
      <w:r>
        <w:rPr>
          <w:rFonts w:hint="eastAsia" w:ascii="黑体" w:hAnsi="黑体" w:eastAsia="黑体" w:cs="黑体"/>
          <w:b w:val="0"/>
          <w:bCs w:val="0"/>
          <w:kern w:val="0"/>
          <w:sz w:val="84"/>
          <w:szCs w:val="84"/>
          <w:highlight w:val="none"/>
          <w:lang w:eastAsia="zh-CN"/>
        </w:rPr>
        <w:t>怀化市黄金工业管理局</w:t>
      </w:r>
    </w:p>
    <w:p w14:paraId="289D42C3">
      <w:pPr>
        <w:pStyle w:val="11"/>
        <w:jc w:val="center"/>
        <w:rPr>
          <w:rFonts w:hint="eastAsia" w:ascii="黑体" w:hAnsi="黑体" w:eastAsia="黑体" w:cs="黑体"/>
          <w:b w:val="0"/>
          <w:bCs w:val="0"/>
          <w:sz w:val="52"/>
          <w:szCs w:val="52"/>
          <w:highlight w:val="none"/>
        </w:rPr>
      </w:pPr>
      <w:r>
        <w:rPr>
          <w:rFonts w:hint="eastAsia" w:ascii="黑体" w:hAnsi="黑体" w:eastAsia="黑体" w:cs="黑体"/>
          <w:b w:val="0"/>
          <w:bCs w:val="0"/>
          <w:sz w:val="84"/>
          <w:szCs w:val="84"/>
          <w:highlight w:val="none"/>
        </w:rPr>
        <w:t>部门决算</w:t>
      </w:r>
    </w:p>
    <w:p w14:paraId="3A6C2436">
      <w:pPr>
        <w:pStyle w:val="11"/>
        <w:spacing w:line="500" w:lineRule="exact"/>
        <w:jc w:val="both"/>
        <w:rPr>
          <w:b w:val="0"/>
          <w:bCs w:val="0"/>
          <w:sz w:val="36"/>
          <w:szCs w:val="28"/>
          <w:highlight w:val="none"/>
        </w:rPr>
      </w:pPr>
    </w:p>
    <w:p w14:paraId="574E7157">
      <w:pPr>
        <w:pStyle w:val="11"/>
        <w:spacing w:line="500" w:lineRule="exact"/>
        <w:jc w:val="center"/>
        <w:rPr>
          <w:rFonts w:hint="eastAsia"/>
          <w:b w:val="0"/>
          <w:bCs/>
          <w:sz w:val="36"/>
          <w:szCs w:val="28"/>
          <w:highlight w:val="none"/>
        </w:rPr>
      </w:pPr>
    </w:p>
    <w:p w14:paraId="728DF729">
      <w:pPr>
        <w:pStyle w:val="11"/>
        <w:spacing w:line="500" w:lineRule="exact"/>
        <w:jc w:val="center"/>
        <w:rPr>
          <w:rFonts w:hint="eastAsia"/>
          <w:b w:val="0"/>
          <w:bCs/>
          <w:sz w:val="36"/>
          <w:szCs w:val="28"/>
          <w:highlight w:val="none"/>
        </w:rPr>
      </w:pPr>
    </w:p>
    <w:p w14:paraId="35073B7C">
      <w:pPr>
        <w:pStyle w:val="11"/>
        <w:spacing w:line="500" w:lineRule="exact"/>
        <w:jc w:val="center"/>
        <w:rPr>
          <w:rFonts w:hint="eastAsia"/>
          <w:b w:val="0"/>
          <w:bCs/>
          <w:sz w:val="36"/>
          <w:szCs w:val="28"/>
          <w:highlight w:val="none"/>
        </w:rPr>
      </w:pPr>
    </w:p>
    <w:p w14:paraId="1301CA9A">
      <w:pPr>
        <w:pStyle w:val="11"/>
        <w:spacing w:line="500" w:lineRule="exact"/>
        <w:jc w:val="center"/>
        <w:rPr>
          <w:rFonts w:hint="eastAsia"/>
          <w:b w:val="0"/>
          <w:bCs/>
          <w:sz w:val="36"/>
          <w:szCs w:val="28"/>
          <w:highlight w:val="none"/>
        </w:rPr>
      </w:pPr>
    </w:p>
    <w:p w14:paraId="574DCAB8">
      <w:pPr>
        <w:pStyle w:val="11"/>
        <w:spacing w:line="500" w:lineRule="exact"/>
        <w:jc w:val="center"/>
        <w:rPr>
          <w:rFonts w:hint="eastAsia"/>
          <w:b w:val="0"/>
          <w:bCs/>
          <w:sz w:val="36"/>
          <w:szCs w:val="28"/>
          <w:highlight w:val="none"/>
        </w:rPr>
      </w:pPr>
    </w:p>
    <w:p w14:paraId="201A6FBE">
      <w:pPr>
        <w:pStyle w:val="11"/>
        <w:spacing w:line="500" w:lineRule="exact"/>
        <w:jc w:val="center"/>
        <w:rPr>
          <w:rFonts w:hint="eastAsia"/>
          <w:b w:val="0"/>
          <w:bCs/>
          <w:sz w:val="36"/>
          <w:szCs w:val="28"/>
          <w:highlight w:val="none"/>
        </w:rPr>
      </w:pPr>
    </w:p>
    <w:p w14:paraId="7AA35457">
      <w:pPr>
        <w:pStyle w:val="11"/>
        <w:spacing w:line="500" w:lineRule="exact"/>
        <w:jc w:val="center"/>
        <w:rPr>
          <w:rFonts w:hint="eastAsia"/>
          <w:b w:val="0"/>
          <w:bCs/>
          <w:sz w:val="36"/>
          <w:szCs w:val="28"/>
          <w:highlight w:val="none"/>
        </w:rPr>
      </w:pPr>
    </w:p>
    <w:p w14:paraId="65A47908">
      <w:pPr>
        <w:pStyle w:val="11"/>
        <w:spacing w:line="500" w:lineRule="exact"/>
        <w:jc w:val="center"/>
        <w:rPr>
          <w:rFonts w:hint="eastAsia"/>
          <w:b w:val="0"/>
          <w:bCs/>
          <w:sz w:val="36"/>
          <w:szCs w:val="28"/>
          <w:highlight w:val="none"/>
        </w:rPr>
      </w:pPr>
    </w:p>
    <w:p w14:paraId="45AD5E4D">
      <w:pPr>
        <w:pStyle w:val="11"/>
        <w:spacing w:line="500" w:lineRule="exact"/>
        <w:jc w:val="center"/>
        <w:rPr>
          <w:rFonts w:hint="eastAsia"/>
          <w:b w:val="0"/>
          <w:bCs/>
          <w:sz w:val="36"/>
          <w:szCs w:val="28"/>
          <w:highlight w:val="none"/>
        </w:rPr>
      </w:pPr>
    </w:p>
    <w:p w14:paraId="6F0A315E">
      <w:pPr>
        <w:pStyle w:val="11"/>
        <w:spacing w:line="500" w:lineRule="exact"/>
        <w:jc w:val="center"/>
        <w:rPr>
          <w:rFonts w:hint="eastAsia"/>
          <w:b w:val="0"/>
          <w:bCs/>
          <w:sz w:val="36"/>
          <w:szCs w:val="28"/>
          <w:highlight w:val="none"/>
        </w:rPr>
      </w:pPr>
    </w:p>
    <w:p w14:paraId="6909D8A7">
      <w:pPr>
        <w:pStyle w:val="11"/>
        <w:spacing w:line="500" w:lineRule="exact"/>
        <w:jc w:val="center"/>
        <w:rPr>
          <w:rFonts w:hint="eastAsia"/>
          <w:b w:val="0"/>
          <w:bCs/>
          <w:sz w:val="36"/>
          <w:szCs w:val="28"/>
          <w:highlight w:val="none"/>
        </w:rPr>
      </w:pPr>
    </w:p>
    <w:p w14:paraId="3ED2C216">
      <w:pPr>
        <w:pStyle w:val="11"/>
        <w:spacing w:line="500" w:lineRule="exact"/>
        <w:jc w:val="center"/>
        <w:rPr>
          <w:rFonts w:hint="eastAsia"/>
          <w:b w:val="0"/>
          <w:bCs/>
          <w:sz w:val="36"/>
          <w:szCs w:val="28"/>
          <w:highlight w:val="none"/>
        </w:rPr>
      </w:pPr>
    </w:p>
    <w:p w14:paraId="019094F5">
      <w:pPr>
        <w:pStyle w:val="11"/>
        <w:spacing w:line="500" w:lineRule="exact"/>
        <w:jc w:val="center"/>
        <w:rPr>
          <w:b/>
          <w:sz w:val="36"/>
          <w:szCs w:val="28"/>
          <w:highlight w:val="none"/>
        </w:rPr>
      </w:pPr>
      <w:r>
        <w:rPr>
          <w:rFonts w:hint="eastAsia"/>
          <w:b w:val="0"/>
          <w:bCs/>
          <w:sz w:val="36"/>
          <w:szCs w:val="28"/>
          <w:highlight w:val="none"/>
        </w:rPr>
        <w:t>目</w:t>
      </w:r>
      <w:r>
        <w:rPr>
          <w:rFonts w:hint="eastAsia"/>
          <w:b w:val="0"/>
          <w:bCs/>
          <w:sz w:val="36"/>
          <w:szCs w:val="28"/>
          <w:highlight w:val="none"/>
          <w:lang w:val="en-US" w:eastAsia="zh-CN"/>
        </w:rPr>
        <w:t xml:space="preserve">   </w:t>
      </w:r>
      <w:r>
        <w:rPr>
          <w:rFonts w:hint="eastAsia"/>
          <w:b w:val="0"/>
          <w:bCs/>
          <w:sz w:val="36"/>
          <w:szCs w:val="28"/>
          <w:highlight w:val="none"/>
        </w:rPr>
        <w:t>录</w:t>
      </w:r>
    </w:p>
    <w:p w14:paraId="66CEB370">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怀化市黄金工业管理局</w:t>
      </w:r>
      <w:r>
        <w:rPr>
          <w:rFonts w:hint="eastAsia" w:ascii="黑体" w:hAnsi="黑体" w:eastAsia="黑体" w:cs="黑体"/>
          <w:b w:val="0"/>
          <w:bCs/>
          <w:sz w:val="28"/>
          <w:szCs w:val="28"/>
          <w:highlight w:val="none"/>
        </w:rPr>
        <w:t>概况</w:t>
      </w:r>
    </w:p>
    <w:p w14:paraId="523C54D8">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7C66B6D2">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61926F1B">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34E9B868">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5F0A6547">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18CF90C2">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0709EE25">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6F58A9CD">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4BD85871">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3C2EF119">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2DE468E9">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5035CC34">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1AC67602">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77BBDCE2">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7D760C9D">
      <w:pPr>
        <w:keepNext w:val="0"/>
        <w:keepLines w:val="0"/>
        <w:pageBreakBefore w:val="0"/>
        <w:widowControl w:val="0"/>
        <w:kinsoku/>
        <w:wordWrap/>
        <w:overflowPunct/>
        <w:topLinePunct w:val="0"/>
        <w:bidi w:val="0"/>
        <w:snapToGrid/>
        <w:spacing w:line="47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510E7D8A">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6C20DB2E">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074EC533">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3CC885CD">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20985D04">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七、一般公共预算财政拨款三公经费支出决算情况说明</w:t>
      </w:r>
    </w:p>
    <w:p w14:paraId="23DD5A23">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0041B812">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九、国有资本经营预算</w:t>
      </w:r>
      <w:r>
        <w:rPr>
          <w:rFonts w:hint="eastAsia" w:ascii="仿宋_GB2312" w:hAnsi="仿宋_GB2312" w:eastAsia="仿宋_GB2312" w:cs="仿宋_GB2312"/>
          <w:sz w:val="28"/>
          <w:szCs w:val="28"/>
          <w:highlight w:val="none"/>
        </w:rPr>
        <w:t>财政拨款支出</w:t>
      </w:r>
      <w:r>
        <w:rPr>
          <w:rFonts w:hint="eastAsia" w:ascii="仿宋_GB2312" w:hAnsi="仿宋_GB2312" w:eastAsia="仿宋_GB2312" w:cs="仿宋_GB2312"/>
          <w:color w:val="000000"/>
          <w:kern w:val="0"/>
          <w:sz w:val="28"/>
          <w:szCs w:val="28"/>
          <w:highlight w:val="none"/>
          <w:lang w:val="en-US" w:eastAsia="zh-CN"/>
        </w:rPr>
        <w:t>情况</w:t>
      </w:r>
    </w:p>
    <w:p w14:paraId="798472AE">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十</w:t>
      </w:r>
      <w:r>
        <w:rPr>
          <w:rFonts w:hint="eastAsia" w:ascii="仿宋_GB2312" w:hAnsi="仿宋_GB2312" w:eastAsia="仿宋_GB2312" w:cs="仿宋_GB2312"/>
          <w:color w:val="000000"/>
          <w:kern w:val="0"/>
          <w:sz w:val="28"/>
          <w:szCs w:val="28"/>
          <w:highlight w:val="none"/>
        </w:rPr>
        <w:t>、关于机关运行经费支出说明</w:t>
      </w:r>
    </w:p>
    <w:p w14:paraId="4103554A">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一</w:t>
      </w:r>
      <w:r>
        <w:rPr>
          <w:rFonts w:hint="eastAsia" w:ascii="仿宋_GB2312" w:hAnsi="仿宋_GB2312" w:eastAsia="仿宋_GB2312" w:cs="仿宋_GB2312"/>
          <w:color w:val="000000"/>
          <w:kern w:val="0"/>
          <w:sz w:val="28"/>
          <w:szCs w:val="28"/>
          <w:highlight w:val="none"/>
        </w:rPr>
        <w:t>、一般性支出情况说明</w:t>
      </w:r>
    </w:p>
    <w:p w14:paraId="4D0A079D">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二</w:t>
      </w:r>
      <w:r>
        <w:rPr>
          <w:rFonts w:hint="eastAsia" w:ascii="仿宋_GB2312" w:hAnsi="仿宋_GB2312" w:eastAsia="仿宋_GB2312" w:cs="仿宋_GB2312"/>
          <w:color w:val="000000"/>
          <w:kern w:val="0"/>
          <w:sz w:val="28"/>
          <w:szCs w:val="28"/>
          <w:highlight w:val="none"/>
        </w:rPr>
        <w:t>、关于政府采购支出说明</w:t>
      </w:r>
    </w:p>
    <w:p w14:paraId="016E4CC3">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、关于国有资产占用情况说明</w:t>
      </w:r>
    </w:p>
    <w:p w14:paraId="141EC283">
      <w:pPr>
        <w:pStyle w:val="11"/>
        <w:keepNext w:val="0"/>
        <w:keepLines w:val="0"/>
        <w:pageBreakBefore w:val="0"/>
        <w:widowControl w:val="0"/>
        <w:kinsoku/>
        <w:wordWrap/>
        <w:overflowPunct/>
        <w:topLinePunct w:val="0"/>
        <w:bidi w:val="0"/>
        <w:snapToGrid/>
        <w:spacing w:line="47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rPr>
        <w:t>、关于预算绩效情况的说明</w:t>
      </w:r>
    </w:p>
    <w:p w14:paraId="4E3E836D">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63154C4A">
      <w:pPr>
        <w:pStyle w:val="11"/>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sz w:val="28"/>
          <w:szCs w:val="28"/>
          <w:highlight w:val="none"/>
          <w:lang w:val="en-US" w:eastAsia="zh-CN"/>
        </w:rPr>
      </w:pPr>
      <w:r>
        <w:rPr>
          <w:rFonts w:hint="eastAsia" w:hAnsi="黑体" w:cs="黑体"/>
          <w:b w:val="0"/>
          <w:bCs/>
          <w:sz w:val="28"/>
          <w:szCs w:val="28"/>
          <w:highlight w:val="none"/>
          <w:lang w:val="en-US" w:eastAsia="zh-CN"/>
        </w:rPr>
        <w:t>第五部分 附件</w:t>
      </w:r>
    </w:p>
    <w:p w14:paraId="44548F78">
      <w:pPr>
        <w:pStyle w:val="11"/>
        <w:jc w:val="center"/>
        <w:rPr>
          <w:rFonts w:hint="eastAsia" w:ascii="黑体" w:hAnsi="黑体" w:eastAsia="黑体" w:cs="黑体"/>
          <w:sz w:val="36"/>
          <w:szCs w:val="36"/>
          <w:highlight w:val="none"/>
        </w:rPr>
      </w:pPr>
    </w:p>
    <w:p w14:paraId="7F0316E9">
      <w:pPr>
        <w:pStyle w:val="11"/>
        <w:jc w:val="center"/>
        <w:rPr>
          <w:rFonts w:hint="eastAsia" w:ascii="黑体" w:hAnsi="黑体" w:eastAsia="黑体" w:cs="黑体"/>
          <w:sz w:val="36"/>
          <w:szCs w:val="36"/>
          <w:highlight w:val="none"/>
        </w:rPr>
      </w:pPr>
    </w:p>
    <w:p w14:paraId="2029A042">
      <w:pPr>
        <w:pStyle w:val="11"/>
        <w:jc w:val="center"/>
        <w:rPr>
          <w:rFonts w:hint="eastAsia" w:ascii="黑体" w:hAnsi="黑体" w:eastAsia="黑体" w:cs="黑体"/>
          <w:b w:val="0"/>
          <w:bCs w:val="0"/>
          <w:sz w:val="84"/>
          <w:szCs w:val="84"/>
          <w:highlight w:val="none"/>
        </w:rPr>
      </w:pPr>
    </w:p>
    <w:p w14:paraId="1B36085E">
      <w:pPr>
        <w:pStyle w:val="11"/>
        <w:jc w:val="center"/>
        <w:rPr>
          <w:rFonts w:hint="eastAsia" w:ascii="黑体" w:hAnsi="黑体" w:eastAsia="黑体" w:cs="黑体"/>
          <w:b w:val="0"/>
          <w:bCs w:val="0"/>
          <w:sz w:val="84"/>
          <w:szCs w:val="84"/>
          <w:highlight w:val="none"/>
        </w:rPr>
      </w:pPr>
    </w:p>
    <w:p w14:paraId="03A5A450">
      <w:pPr>
        <w:pStyle w:val="11"/>
        <w:jc w:val="center"/>
        <w:rPr>
          <w:rFonts w:hint="eastAsia" w:ascii="黑体" w:hAnsi="黑体" w:eastAsia="黑体" w:cs="黑体"/>
          <w:b w:val="0"/>
          <w:bCs w:val="0"/>
          <w:sz w:val="84"/>
          <w:szCs w:val="84"/>
          <w:highlight w:val="none"/>
        </w:rPr>
      </w:pPr>
    </w:p>
    <w:p w14:paraId="3201A26E">
      <w:pPr>
        <w:pStyle w:val="11"/>
        <w:jc w:val="center"/>
        <w:rPr>
          <w:rFonts w:hint="eastAsia" w:ascii="黑体" w:hAnsi="黑体" w:eastAsia="黑体" w:cs="黑体"/>
          <w:b w:val="0"/>
          <w:bCs w:val="0"/>
          <w:sz w:val="84"/>
          <w:szCs w:val="84"/>
          <w:highlight w:val="none"/>
        </w:rPr>
      </w:pPr>
    </w:p>
    <w:p w14:paraId="7044B1F2">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 xml:space="preserve">第一部分 </w:t>
      </w:r>
    </w:p>
    <w:p w14:paraId="058C9950">
      <w:pPr>
        <w:pStyle w:val="11"/>
        <w:jc w:val="center"/>
        <w:rPr>
          <w:rFonts w:hint="eastAsia" w:ascii="黑体" w:hAnsi="黑体" w:eastAsia="黑体" w:cs="黑体"/>
          <w:b w:val="0"/>
          <w:bCs w:val="0"/>
          <w:sz w:val="32"/>
          <w:szCs w:val="32"/>
          <w:highlight w:val="none"/>
        </w:rPr>
      </w:pPr>
      <w:r>
        <w:rPr>
          <w:rFonts w:hint="eastAsia" w:ascii="黑体" w:hAnsi="黑体" w:eastAsia="黑体" w:cs="黑体"/>
          <w:b w:val="0"/>
          <w:bCs w:val="0"/>
          <w:sz w:val="84"/>
          <w:szCs w:val="84"/>
          <w:highlight w:val="none"/>
          <w:lang w:eastAsia="zh-CN"/>
        </w:rPr>
        <w:t>怀化市黄金工业管理局</w:t>
      </w:r>
      <w:r>
        <w:rPr>
          <w:rFonts w:hint="eastAsia" w:ascii="黑体" w:hAnsi="黑体" w:eastAsia="黑体" w:cs="黑体"/>
          <w:b w:val="0"/>
          <w:bCs w:val="0"/>
          <w:sz w:val="84"/>
          <w:szCs w:val="84"/>
          <w:highlight w:val="none"/>
        </w:rPr>
        <w:t>概况</w:t>
      </w:r>
    </w:p>
    <w:p w14:paraId="03CBEAE0">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3E1D8515">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6BF961ED">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220A028C">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5F6ABB50">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5A02DF6A">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26228135">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0813AE02">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161AF699">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61A3054A">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6004B0CA">
      <w:pPr>
        <w:pStyle w:val="12"/>
        <w:numPr>
          <w:ilvl w:val="0"/>
          <w:numId w:val="0"/>
        </w:numPr>
        <w:ind w:leftChars="0" w:firstLine="640" w:firstLineChars="200"/>
        <w:jc w:val="left"/>
        <w:rPr>
          <w:rFonts w:hint="eastAsia" w:ascii="黑体" w:hAnsi="黑体" w:eastAsia="黑体" w:cs="黑体"/>
          <w:b w:val="0"/>
          <w:bCs w:val="0"/>
          <w:sz w:val="32"/>
          <w:szCs w:val="32"/>
          <w:highlight w:val="none"/>
          <w:lang w:val="en-US" w:eastAsia="zh-CN"/>
        </w:rPr>
      </w:pPr>
    </w:p>
    <w:p w14:paraId="7421B5D8">
      <w:pPr>
        <w:pStyle w:val="12"/>
        <w:numPr>
          <w:ilvl w:val="0"/>
          <w:numId w:val="0"/>
        </w:numPr>
        <w:ind w:leftChars="0" w:firstLine="640" w:firstLineChars="200"/>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rPr>
        <w:t>部门职责</w:t>
      </w:r>
    </w:p>
    <w:p w14:paraId="2775822F">
      <w:pPr>
        <w:keepNext w:val="0"/>
        <w:keepLines w:val="0"/>
        <w:pageBreakBefore w:val="0"/>
        <w:widowControl/>
        <w:numPr>
          <w:ilvl w:val="0"/>
          <w:numId w:val="0"/>
        </w:numPr>
        <w:kinsoku/>
        <w:wordWrap/>
        <w:overflowPunct/>
        <w:topLinePunct w:val="0"/>
        <w:bidi w:val="0"/>
        <w:ind w:firstLine="640" w:firstLineChars="200"/>
        <w:textAlignment w:val="auto"/>
        <w:rPr>
          <w:rFonts w:hint="eastAsia" w:ascii="仿宋_GB2312" w:hAnsi="仿宋_GB2312" w:eastAsia="仿宋_GB2312" w:cs="仿宋_GB2312"/>
          <w:b w:val="0"/>
          <w:bCs w:val="0"/>
          <w:color w:val="000000"/>
          <w:sz w:val="32"/>
          <w:szCs w:val="32"/>
          <w:highlight w:val="none"/>
          <w:shd w:val="clear" w:color="auto" w:fill="FFFFFF"/>
        </w:rPr>
      </w:pPr>
      <w:r>
        <w:rPr>
          <w:rFonts w:hint="eastAsia" w:ascii="仿宋_GB2312" w:hAnsi="仿宋_GB2312" w:eastAsia="仿宋_GB2312" w:cs="仿宋_GB2312"/>
          <w:b w:val="0"/>
          <w:bCs w:val="0"/>
          <w:color w:val="000000"/>
          <w:sz w:val="32"/>
          <w:szCs w:val="32"/>
          <w:highlight w:val="none"/>
          <w:shd w:val="clear" w:color="auto" w:fill="FFFFFF"/>
        </w:rPr>
        <w:t>怀化市黄金工业管理局是参照公务员管理的副处级全额拨款事业单位</w:t>
      </w:r>
      <w:r>
        <w:rPr>
          <w:rFonts w:hint="eastAsia" w:ascii="仿宋_GB2312" w:hAnsi="仿宋_GB2312" w:eastAsia="仿宋_GB2312" w:cs="仿宋_GB2312"/>
          <w:b w:val="0"/>
          <w:bCs w:val="0"/>
          <w:color w:val="000000"/>
          <w:sz w:val="32"/>
          <w:szCs w:val="32"/>
          <w:highlight w:val="none"/>
          <w:shd w:val="clear" w:color="auto" w:fill="FFFFFF"/>
          <w:lang w:eastAsia="zh-CN"/>
        </w:rPr>
        <w:t>，</w:t>
      </w:r>
      <w:r>
        <w:rPr>
          <w:rFonts w:hint="eastAsia" w:ascii="仿宋_GB2312" w:hAnsi="仿宋_GB2312" w:eastAsia="仿宋_GB2312" w:cs="仿宋_GB2312"/>
          <w:b w:val="0"/>
          <w:bCs w:val="0"/>
          <w:color w:val="000000"/>
          <w:sz w:val="32"/>
          <w:szCs w:val="32"/>
          <w:highlight w:val="none"/>
          <w:shd w:val="clear" w:color="auto" w:fill="FFFFFF"/>
        </w:rPr>
        <w:t>核定全额拨款事业编制</w:t>
      </w:r>
      <w:r>
        <w:rPr>
          <w:rFonts w:hint="eastAsia" w:ascii="仿宋_GB2312" w:hAnsi="仿宋_GB2312" w:eastAsia="仿宋_GB2312" w:cs="仿宋_GB2312"/>
          <w:b w:val="0"/>
          <w:bCs w:val="0"/>
          <w:color w:val="000000"/>
          <w:sz w:val="32"/>
          <w:szCs w:val="32"/>
          <w:highlight w:val="none"/>
          <w:shd w:val="clear" w:color="auto" w:fill="FFFFFF"/>
          <w:lang w:val="en-US" w:eastAsia="zh-CN"/>
        </w:rPr>
        <w:t>9</w:t>
      </w:r>
      <w:r>
        <w:rPr>
          <w:rFonts w:hint="eastAsia" w:ascii="仿宋_GB2312" w:hAnsi="仿宋_GB2312" w:eastAsia="仿宋_GB2312" w:cs="仿宋_GB2312"/>
          <w:b w:val="0"/>
          <w:bCs w:val="0"/>
          <w:color w:val="000000"/>
          <w:sz w:val="32"/>
          <w:szCs w:val="32"/>
          <w:highlight w:val="none"/>
          <w:shd w:val="clear" w:color="auto" w:fill="FFFFFF"/>
        </w:rPr>
        <w:t>名。主要职能:负责制定全市黄金行业发展规划和年度生产计划；对全市黄金企业安全生产实施行业管理，进行督促、检查；指导全市黄金生产企业贯彻国家有关黄金生产的采、选、冶技术政策，规范行业有序发展；负责全市黄金矿山行业主管部门申报地探资金并监督使用。</w:t>
      </w:r>
    </w:p>
    <w:p w14:paraId="3BF53396">
      <w:pPr>
        <w:widowControl/>
        <w:spacing w:line="600" w:lineRule="exact"/>
        <w:ind w:firstLine="640" w:firstLineChars="200"/>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3A220BE0">
      <w:pPr>
        <w:ind w:firstLine="640" w:firstLineChars="200"/>
        <w:jc w:val="left"/>
        <w:rPr>
          <w:rFonts w:hint="eastAsia" w:ascii="仿宋_GB2312" w:hAnsi="仿宋_GB2312" w:eastAsia="仿宋_GB2312" w:cs="仿宋_GB2312"/>
          <w:color w:val="000000"/>
          <w:sz w:val="32"/>
          <w:szCs w:val="32"/>
          <w:highlight w:val="none"/>
          <w:shd w:val="clear" w:color="auto" w:fill="FFFFFF"/>
        </w:rPr>
      </w:pPr>
      <w:r>
        <w:rPr>
          <w:rFonts w:hint="eastAsia" w:ascii="仿宋_GB2312" w:hAnsi="仿宋_GB2312" w:eastAsia="仿宋_GB2312" w:cs="仿宋_GB2312"/>
          <w:bCs/>
          <w:kern w:val="0"/>
          <w:sz w:val="32"/>
          <w:szCs w:val="32"/>
          <w:highlight w:val="none"/>
        </w:rPr>
        <w:t>（一）内设机构设置。</w:t>
      </w:r>
      <w:r>
        <w:rPr>
          <w:rFonts w:hint="eastAsia" w:ascii="仿宋_GB2312" w:hAnsi="仿宋_GB2312" w:eastAsia="仿宋_GB2312" w:cs="仿宋_GB2312"/>
          <w:b w:val="0"/>
          <w:bCs w:val="0"/>
          <w:kern w:val="0"/>
          <w:sz w:val="32"/>
          <w:szCs w:val="32"/>
          <w:highlight w:val="none"/>
          <w:lang w:eastAsia="zh-CN"/>
        </w:rPr>
        <w:t>怀化市黄金工业管理局</w:t>
      </w:r>
      <w:r>
        <w:rPr>
          <w:rFonts w:hint="eastAsia" w:ascii="仿宋_GB2312" w:hAnsi="仿宋_GB2312" w:eastAsia="仿宋_GB2312" w:cs="仿宋_GB2312"/>
          <w:sz w:val="32"/>
          <w:szCs w:val="32"/>
          <w:highlight w:val="none"/>
        </w:rPr>
        <w:t>为一级部门预算单位，</w:t>
      </w:r>
      <w:r>
        <w:rPr>
          <w:rFonts w:hint="eastAsia" w:ascii="仿宋_GB2312" w:hAnsi="仿宋_GB2312" w:eastAsia="仿宋_GB2312" w:cs="仿宋_GB2312"/>
          <w:sz w:val="32"/>
          <w:szCs w:val="32"/>
          <w:highlight w:val="none"/>
          <w:lang w:val="en-US" w:eastAsia="zh-CN"/>
        </w:rPr>
        <w:t>原</w:t>
      </w:r>
      <w:r>
        <w:rPr>
          <w:rFonts w:hint="eastAsia" w:ascii="仿宋_GB2312" w:hAnsi="仿宋_GB2312" w:eastAsia="仿宋_GB2312" w:cs="仿宋_GB2312"/>
          <w:sz w:val="32"/>
          <w:szCs w:val="32"/>
          <w:highlight w:val="none"/>
        </w:rPr>
        <w:t>内设科室为：</w:t>
      </w:r>
      <w:r>
        <w:rPr>
          <w:rFonts w:hint="eastAsia" w:ascii="仿宋_GB2312" w:hAnsi="仿宋_GB2312" w:eastAsia="仿宋_GB2312" w:cs="仿宋_GB2312"/>
          <w:color w:val="000000"/>
          <w:sz w:val="32"/>
          <w:szCs w:val="32"/>
          <w:highlight w:val="none"/>
          <w:shd w:val="clear" w:color="auto" w:fill="FFFFFF"/>
        </w:rPr>
        <w:t>综合科、行业科。</w:t>
      </w:r>
      <w:r>
        <w:rPr>
          <w:rFonts w:ascii="仿宋_GB2312" w:eastAsia="仿宋_GB2312" w:hAnsiTheme="minorEastAsia"/>
          <w:sz w:val="32"/>
          <w:szCs w:val="32"/>
          <w:highlight w:val="none"/>
        </w:rPr>
        <w:t>怀化市黄金工业管理局于2021年根据《中共怀化市委机构编制委员会关于转发&lt;怀化市市直深化事业单位改革试点实施方案&gt;&lt;关于反馈怀化市市直深化事业单位改革试点涉改科级机构情况表的函&gt;的通知》</w:t>
      </w:r>
      <w:r>
        <w:rPr>
          <w:rFonts w:hint="eastAsia" w:ascii="仿宋_GB2312" w:hAnsi="仿宋_GB2312" w:eastAsia="仿宋_GB2312" w:cs="仿宋_GB2312"/>
          <w:color w:val="000000"/>
          <w:kern w:val="0"/>
          <w:sz w:val="32"/>
          <w:szCs w:val="32"/>
          <w:highlight w:val="none"/>
          <w:lang w:val="en-US" w:eastAsia="zh-CN" w:bidi="ar-SA"/>
        </w:rPr>
        <w:t>(怀编〔2021〕13号)</w:t>
      </w:r>
      <w:r>
        <w:rPr>
          <w:rFonts w:ascii="仿宋_GB2312" w:eastAsia="仿宋_GB2312" w:hAnsiTheme="minorEastAsia"/>
          <w:sz w:val="32"/>
          <w:szCs w:val="32"/>
          <w:highlight w:val="none"/>
        </w:rPr>
        <w:t>文件精神已撤销，其行政管理职责划入市工业和信息化局，其公益职能划入市工业和信息化局所属事业单位。2022年4月，市黄金局职能及所有人员全部并入市工信局，承担市工信局工作任务。</w:t>
      </w:r>
    </w:p>
    <w:p w14:paraId="782BAC73">
      <w:pPr>
        <w:widowControl/>
        <w:spacing w:line="600" w:lineRule="exact"/>
        <w:ind w:firstLine="640" w:firstLineChars="200"/>
        <w:rPr>
          <w:rFonts w:hint="eastAsia"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（二）决算单位构成。</w:t>
      </w:r>
      <w:r>
        <w:rPr>
          <w:rFonts w:hint="eastAsia" w:ascii="仿宋_GB2312" w:hAnsi="仿宋_GB2312" w:eastAsia="仿宋_GB2312" w:cs="仿宋_GB2312"/>
          <w:bCs/>
          <w:color w:val="000000"/>
          <w:sz w:val="32"/>
          <w:szCs w:val="32"/>
          <w:highlight w:val="none"/>
          <w:u w:val="none"/>
          <w:lang w:val="en-US" w:eastAsia="zh-CN"/>
        </w:rPr>
        <w:t>怀化市黄金工业管理局2022年部门决算公开单位构成为怀化市黄金工业管理局本级。</w:t>
      </w:r>
    </w:p>
    <w:p w14:paraId="6A870EB2">
      <w:pPr>
        <w:jc w:val="both"/>
        <w:rPr>
          <w:rFonts w:ascii="黑体" w:hAnsi="黑体" w:eastAsia="黑体"/>
          <w:sz w:val="28"/>
          <w:szCs w:val="28"/>
          <w:highlight w:val="none"/>
        </w:rPr>
      </w:pPr>
    </w:p>
    <w:p w14:paraId="45782DC5">
      <w:pPr>
        <w:pStyle w:val="11"/>
        <w:jc w:val="center"/>
        <w:rPr>
          <w:rFonts w:hint="eastAsia" w:ascii="黑体" w:hAnsi="黑体" w:eastAsia="黑体" w:cs="黑体"/>
          <w:b w:val="0"/>
          <w:bCs w:val="0"/>
          <w:sz w:val="84"/>
          <w:szCs w:val="84"/>
          <w:highlight w:val="none"/>
        </w:rPr>
      </w:pPr>
    </w:p>
    <w:p w14:paraId="3789C6FD">
      <w:pPr>
        <w:pStyle w:val="11"/>
        <w:jc w:val="center"/>
        <w:rPr>
          <w:rFonts w:hint="eastAsia" w:ascii="黑体" w:hAnsi="黑体" w:eastAsia="黑体" w:cs="黑体"/>
          <w:b w:val="0"/>
          <w:bCs w:val="0"/>
          <w:sz w:val="84"/>
          <w:szCs w:val="84"/>
          <w:highlight w:val="none"/>
        </w:rPr>
      </w:pPr>
    </w:p>
    <w:p w14:paraId="283FF1EC">
      <w:pPr>
        <w:pStyle w:val="11"/>
        <w:jc w:val="center"/>
        <w:rPr>
          <w:rFonts w:hint="eastAsia" w:ascii="黑体" w:hAnsi="黑体" w:eastAsia="黑体" w:cs="黑体"/>
          <w:b w:val="0"/>
          <w:bCs w:val="0"/>
          <w:sz w:val="84"/>
          <w:szCs w:val="84"/>
          <w:highlight w:val="none"/>
        </w:rPr>
      </w:pPr>
    </w:p>
    <w:p w14:paraId="528891B1">
      <w:pPr>
        <w:pStyle w:val="11"/>
        <w:jc w:val="center"/>
        <w:rPr>
          <w:rFonts w:hint="eastAsia" w:ascii="黑体" w:hAnsi="黑体" w:eastAsia="黑体" w:cs="黑体"/>
          <w:b w:val="0"/>
          <w:bCs w:val="0"/>
          <w:sz w:val="84"/>
          <w:szCs w:val="84"/>
          <w:highlight w:val="none"/>
        </w:rPr>
      </w:pPr>
    </w:p>
    <w:p w14:paraId="6FFA2802">
      <w:pPr>
        <w:pStyle w:val="11"/>
        <w:jc w:val="center"/>
        <w:rPr>
          <w:rFonts w:hint="eastAsia" w:ascii="黑体" w:hAnsi="黑体" w:eastAsia="黑体" w:cs="黑体"/>
          <w:b w:val="0"/>
          <w:bCs w:val="0"/>
          <w:sz w:val="84"/>
          <w:szCs w:val="84"/>
          <w:highlight w:val="none"/>
        </w:rPr>
      </w:pPr>
    </w:p>
    <w:p w14:paraId="7D6609A2">
      <w:pPr>
        <w:pStyle w:val="11"/>
        <w:jc w:val="center"/>
        <w:rPr>
          <w:rFonts w:hint="eastAsia" w:ascii="黑体" w:hAnsi="黑体" w:eastAsia="黑体" w:cs="黑体"/>
          <w:b w:val="0"/>
          <w:bCs w:val="0"/>
          <w:sz w:val="84"/>
          <w:szCs w:val="84"/>
          <w:highlight w:val="none"/>
        </w:rPr>
      </w:pPr>
    </w:p>
    <w:p w14:paraId="30B4C233">
      <w:pPr>
        <w:pStyle w:val="11"/>
        <w:jc w:val="center"/>
        <w:rPr>
          <w:rFonts w:hint="eastAsia" w:ascii="黑体" w:hAnsi="黑体" w:eastAsia="黑体" w:cs="黑体"/>
          <w:b w:val="0"/>
          <w:bCs w:val="0"/>
          <w:sz w:val="84"/>
          <w:szCs w:val="84"/>
          <w:highlight w:val="none"/>
        </w:rPr>
      </w:pPr>
    </w:p>
    <w:p w14:paraId="113A1FC5">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第二部分</w:t>
      </w:r>
    </w:p>
    <w:p w14:paraId="447F907C">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部门决算表</w:t>
      </w:r>
      <w:bookmarkStart w:id="0" w:name="RANGE!A1:I22"/>
      <w:bookmarkEnd w:id="0"/>
    </w:p>
    <w:p w14:paraId="2B6FD59A">
      <w:pPr>
        <w:pStyle w:val="11"/>
        <w:jc w:val="center"/>
        <w:rPr>
          <w:rFonts w:hint="eastAsia" w:ascii="仿宋_GB2312" w:hAnsi="仿宋_GB2312" w:eastAsia="仿宋_GB2312" w:cs="仿宋_GB2312"/>
          <w:sz w:val="32"/>
          <w:szCs w:val="32"/>
          <w:highlight w:val="none"/>
          <w:lang w:val="en-US" w:eastAsia="zh-CN"/>
        </w:rPr>
      </w:pPr>
      <w:r>
        <w:rPr>
          <w:rFonts w:hint="eastAsia" w:ascii="黑体" w:hAnsi="黑体" w:eastAsia="黑体" w:cs="黑体"/>
          <w:b w:val="0"/>
          <w:bCs w:val="0"/>
          <w:sz w:val="84"/>
          <w:szCs w:val="84"/>
          <w:highlight w:val="none"/>
          <w:lang w:val="en-US" w:eastAsia="zh-CN"/>
        </w:rPr>
        <w:t>见附件</w:t>
      </w:r>
    </w:p>
    <w:p w14:paraId="3563D4A2">
      <w:pPr>
        <w:pStyle w:val="11"/>
        <w:jc w:val="center"/>
        <w:rPr>
          <w:rFonts w:hint="eastAsia" w:ascii="黑体" w:hAnsi="黑体" w:eastAsia="黑体" w:cs="黑体"/>
          <w:sz w:val="36"/>
          <w:szCs w:val="36"/>
          <w:highlight w:val="none"/>
        </w:rPr>
      </w:pPr>
    </w:p>
    <w:p w14:paraId="1C813225">
      <w:pPr>
        <w:pStyle w:val="11"/>
        <w:jc w:val="center"/>
        <w:rPr>
          <w:rFonts w:hint="eastAsia" w:ascii="黑体" w:hAnsi="黑体" w:eastAsia="黑体" w:cs="黑体"/>
          <w:b w:val="0"/>
          <w:bCs w:val="0"/>
          <w:sz w:val="84"/>
          <w:szCs w:val="84"/>
          <w:highlight w:val="none"/>
        </w:rPr>
      </w:pPr>
    </w:p>
    <w:p w14:paraId="7FFE70A6">
      <w:pPr>
        <w:pStyle w:val="11"/>
        <w:jc w:val="center"/>
        <w:rPr>
          <w:rFonts w:hint="eastAsia" w:ascii="黑体" w:hAnsi="黑体" w:eastAsia="黑体" w:cs="黑体"/>
          <w:b w:val="0"/>
          <w:bCs w:val="0"/>
          <w:sz w:val="84"/>
          <w:szCs w:val="84"/>
          <w:highlight w:val="none"/>
        </w:rPr>
      </w:pPr>
    </w:p>
    <w:p w14:paraId="00185632">
      <w:pPr>
        <w:pStyle w:val="11"/>
        <w:jc w:val="center"/>
        <w:rPr>
          <w:rFonts w:hint="eastAsia" w:ascii="黑体" w:hAnsi="黑体" w:eastAsia="黑体" w:cs="黑体"/>
          <w:b w:val="0"/>
          <w:bCs w:val="0"/>
          <w:sz w:val="84"/>
          <w:szCs w:val="84"/>
          <w:highlight w:val="none"/>
        </w:rPr>
      </w:pPr>
    </w:p>
    <w:p w14:paraId="6AD8B39A">
      <w:pPr>
        <w:pStyle w:val="11"/>
        <w:jc w:val="center"/>
        <w:rPr>
          <w:rFonts w:hint="eastAsia" w:ascii="黑体" w:hAnsi="黑体" w:eastAsia="黑体" w:cs="黑体"/>
          <w:b w:val="0"/>
          <w:bCs w:val="0"/>
          <w:sz w:val="84"/>
          <w:szCs w:val="84"/>
          <w:highlight w:val="none"/>
        </w:rPr>
      </w:pPr>
    </w:p>
    <w:p w14:paraId="030E3E22">
      <w:pPr>
        <w:pStyle w:val="11"/>
        <w:jc w:val="center"/>
        <w:rPr>
          <w:rFonts w:hint="eastAsia" w:ascii="黑体" w:hAnsi="黑体" w:eastAsia="黑体" w:cs="黑体"/>
          <w:b w:val="0"/>
          <w:bCs w:val="0"/>
          <w:sz w:val="84"/>
          <w:szCs w:val="84"/>
          <w:highlight w:val="none"/>
        </w:rPr>
      </w:pPr>
    </w:p>
    <w:p w14:paraId="77F6EC1D">
      <w:pPr>
        <w:pStyle w:val="11"/>
        <w:jc w:val="center"/>
        <w:rPr>
          <w:rFonts w:hint="eastAsia" w:ascii="黑体" w:hAnsi="黑体" w:eastAsia="黑体" w:cs="黑体"/>
          <w:b w:val="0"/>
          <w:bCs w:val="0"/>
          <w:sz w:val="84"/>
          <w:szCs w:val="84"/>
          <w:highlight w:val="none"/>
        </w:rPr>
      </w:pPr>
    </w:p>
    <w:p w14:paraId="59F89B24">
      <w:pPr>
        <w:pStyle w:val="11"/>
        <w:jc w:val="center"/>
        <w:rPr>
          <w:rFonts w:hint="eastAsia" w:ascii="黑体" w:hAnsi="黑体" w:eastAsia="黑体" w:cs="黑体"/>
          <w:b w:val="0"/>
          <w:bCs w:val="0"/>
          <w:sz w:val="84"/>
          <w:szCs w:val="84"/>
          <w:highlight w:val="none"/>
        </w:rPr>
      </w:pPr>
    </w:p>
    <w:p w14:paraId="3F4D32CC">
      <w:pPr>
        <w:pStyle w:val="11"/>
        <w:jc w:val="center"/>
        <w:rPr>
          <w:rFonts w:hint="eastAsia" w:ascii="黑体" w:hAnsi="黑体" w:eastAsia="黑体" w:cs="黑体"/>
          <w:b w:val="0"/>
          <w:bCs w:val="0"/>
          <w:sz w:val="84"/>
          <w:szCs w:val="84"/>
          <w:highlight w:val="none"/>
        </w:rPr>
      </w:pPr>
    </w:p>
    <w:p w14:paraId="0FE0796E">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第三部分</w:t>
      </w:r>
    </w:p>
    <w:p w14:paraId="56CF18C9">
      <w:pPr>
        <w:pStyle w:val="11"/>
        <w:jc w:val="center"/>
        <w:rPr>
          <w:rFonts w:hint="eastAsia" w:ascii="黑体" w:hAnsi="黑体" w:eastAsia="黑体" w:cs="黑体"/>
          <w:sz w:val="36"/>
          <w:szCs w:val="36"/>
          <w:highlight w:val="none"/>
        </w:rPr>
      </w:pPr>
      <w:r>
        <w:rPr>
          <w:rFonts w:hint="eastAsia" w:ascii="黑体" w:hAnsi="黑体" w:eastAsia="黑体" w:cs="黑体"/>
          <w:b w:val="0"/>
          <w:bCs w:val="0"/>
          <w:sz w:val="84"/>
          <w:szCs w:val="84"/>
          <w:highlight w:val="none"/>
        </w:rPr>
        <w:t>202</w:t>
      </w:r>
      <w:r>
        <w:rPr>
          <w:rFonts w:hint="eastAsia" w:ascii="黑体" w:hAnsi="黑体" w:eastAsia="黑体" w:cs="黑体"/>
          <w:b w:val="0"/>
          <w:bCs w:val="0"/>
          <w:sz w:val="84"/>
          <w:szCs w:val="84"/>
          <w:highlight w:val="none"/>
          <w:lang w:val="en-US" w:eastAsia="zh-CN"/>
        </w:rPr>
        <w:t>2</w:t>
      </w:r>
      <w:r>
        <w:rPr>
          <w:rFonts w:hint="eastAsia" w:ascii="黑体" w:hAnsi="黑体" w:eastAsia="黑体" w:cs="黑体"/>
          <w:b w:val="0"/>
          <w:bCs w:val="0"/>
          <w:sz w:val="84"/>
          <w:szCs w:val="84"/>
          <w:highlight w:val="none"/>
        </w:rPr>
        <w:t>年度部门决算情况说明</w:t>
      </w:r>
    </w:p>
    <w:p w14:paraId="16BE632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377BD94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31751B5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3CD4308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605362E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6FF4327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7499EBE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2C667DF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58EE432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682BB0E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576E95F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p>
    <w:p w14:paraId="038D8C2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685C0B6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年度收、支总计</w:t>
      </w:r>
      <w:r>
        <w:rPr>
          <w:rFonts w:hint="eastAsia" w:ascii="仿宋_GB2312" w:hAnsi="仿宋_GB2312" w:eastAsia="仿宋_GB2312" w:cs="仿宋_GB2312"/>
          <w:sz w:val="32"/>
          <w:szCs w:val="32"/>
          <w:highlight w:val="none"/>
          <w:lang w:val="en-US" w:eastAsia="zh-CN"/>
        </w:rPr>
        <w:t>均为83</w:t>
      </w:r>
      <w:r>
        <w:rPr>
          <w:rFonts w:hint="eastAsia" w:ascii="仿宋_GB2312" w:hAnsi="仿宋_GB2312" w:eastAsia="仿宋_GB2312" w:cs="仿宋_GB2312"/>
          <w:sz w:val="32"/>
          <w:szCs w:val="32"/>
          <w:highlight w:val="none"/>
        </w:rPr>
        <w:t>万元。与上年相比，减少</w:t>
      </w:r>
      <w:r>
        <w:rPr>
          <w:rFonts w:hint="eastAsia" w:ascii="仿宋_GB2312" w:hAnsi="仿宋_GB2312" w:eastAsia="仿宋_GB2312" w:cs="仿宋_GB2312"/>
          <w:sz w:val="32"/>
          <w:szCs w:val="32"/>
          <w:highlight w:val="none"/>
          <w:lang w:val="en-US" w:eastAsia="zh-CN"/>
        </w:rPr>
        <w:t>65.96</w:t>
      </w:r>
      <w:r>
        <w:rPr>
          <w:rFonts w:hint="eastAsia" w:ascii="仿宋_GB2312" w:hAnsi="仿宋_GB2312" w:eastAsia="仿宋_GB2312" w:cs="仿宋_GB2312"/>
          <w:sz w:val="32"/>
          <w:szCs w:val="32"/>
          <w:highlight w:val="none"/>
        </w:rPr>
        <w:t>万元，减少</w:t>
      </w:r>
      <w:r>
        <w:rPr>
          <w:rFonts w:hint="eastAsia" w:ascii="仿宋_GB2312" w:hAnsi="仿宋_GB2312" w:eastAsia="仿宋_GB2312" w:cs="仿宋_GB2312"/>
          <w:sz w:val="32"/>
          <w:szCs w:val="32"/>
          <w:highlight w:val="none"/>
          <w:lang w:val="en-US" w:eastAsia="zh-CN"/>
        </w:rPr>
        <w:t>44.28</w:t>
      </w:r>
      <w:r>
        <w:rPr>
          <w:rFonts w:hint="eastAsia" w:ascii="仿宋_GB2312" w:hAnsi="仿宋_GB2312" w:eastAsia="仿宋_GB2312" w:cs="仿宋_GB2312"/>
          <w:sz w:val="32"/>
          <w:szCs w:val="32"/>
          <w:highlight w:val="none"/>
        </w:rPr>
        <w:t>%，主要是因为</w:t>
      </w:r>
      <w:r>
        <w:rPr>
          <w:rFonts w:hint="eastAsia" w:ascii="仿宋_GB2312" w:hAnsi="仿宋_GB2312" w:eastAsia="仿宋_GB2312" w:cs="仿宋_GB2312"/>
          <w:sz w:val="32"/>
          <w:szCs w:val="32"/>
          <w:highlight w:val="none"/>
          <w:lang w:val="en-US" w:eastAsia="zh-CN"/>
        </w:rPr>
        <w:t>2022年度本单位除纳入年初预算财政拨款资金外无其他新增拨款，年度新增拨款较上年减少；市黄金局所有人员于2022年4月并入市工信局，工资和奖金全部在工信局账户发放，市黄金局收入、费用相应减少。</w:t>
      </w:r>
    </w:p>
    <w:p w14:paraId="5B8A91A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32EAA7A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年度收入合计</w:t>
      </w:r>
      <w:r>
        <w:rPr>
          <w:rFonts w:hint="eastAsia" w:ascii="仿宋_GB2312" w:hAnsi="仿宋_GB2312" w:eastAsia="仿宋_GB2312" w:cs="仿宋_GB2312"/>
          <w:sz w:val="32"/>
          <w:szCs w:val="32"/>
          <w:highlight w:val="none"/>
          <w:lang w:val="en-US" w:eastAsia="zh-CN"/>
        </w:rPr>
        <w:t>83</w:t>
      </w:r>
      <w:r>
        <w:rPr>
          <w:rFonts w:hint="eastAsia" w:ascii="仿宋_GB2312" w:hAnsi="仿宋_GB2312" w:eastAsia="仿宋_GB2312" w:cs="仿宋_GB2312"/>
          <w:sz w:val="32"/>
          <w:szCs w:val="32"/>
          <w:highlight w:val="none"/>
        </w:rPr>
        <w:t>万元，其中：财政拨款收入</w:t>
      </w:r>
      <w:r>
        <w:rPr>
          <w:rFonts w:hint="eastAsia" w:ascii="仿宋_GB2312" w:hAnsi="仿宋_GB2312" w:eastAsia="仿宋_GB2312" w:cs="仿宋_GB2312"/>
          <w:sz w:val="32"/>
          <w:szCs w:val="32"/>
          <w:highlight w:val="none"/>
          <w:lang w:val="en-US" w:eastAsia="zh-CN"/>
        </w:rPr>
        <w:t>83</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14:paraId="6E22AA3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3741A9F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年度支出合计</w:t>
      </w:r>
      <w:r>
        <w:rPr>
          <w:rFonts w:hint="eastAsia" w:ascii="仿宋_GB2312" w:hAnsi="仿宋_GB2312" w:eastAsia="仿宋_GB2312" w:cs="仿宋_GB2312"/>
          <w:sz w:val="32"/>
          <w:szCs w:val="32"/>
          <w:highlight w:val="none"/>
          <w:lang w:val="en-US" w:eastAsia="zh-CN"/>
        </w:rPr>
        <w:t>83</w:t>
      </w:r>
      <w:r>
        <w:rPr>
          <w:rFonts w:hint="eastAsia" w:ascii="仿宋_GB2312" w:hAnsi="仿宋_GB2312" w:eastAsia="仿宋_GB2312" w:cs="仿宋_GB2312"/>
          <w:sz w:val="32"/>
          <w:szCs w:val="32"/>
          <w:highlight w:val="none"/>
        </w:rPr>
        <w:t>万元，其中：基本支出77.17万元，占</w:t>
      </w:r>
      <w:r>
        <w:rPr>
          <w:rFonts w:hint="eastAsia" w:ascii="仿宋_GB2312" w:hAnsi="仿宋_GB2312" w:eastAsia="仿宋_GB2312" w:cs="仿宋_GB2312"/>
          <w:sz w:val="32"/>
          <w:szCs w:val="32"/>
          <w:highlight w:val="none"/>
          <w:lang w:val="en-US" w:eastAsia="zh-CN"/>
        </w:rPr>
        <w:t>92.97</w:t>
      </w:r>
      <w:r>
        <w:rPr>
          <w:rFonts w:hint="eastAsia" w:ascii="仿宋_GB2312" w:hAnsi="仿宋_GB2312" w:eastAsia="仿宋_GB2312" w:cs="仿宋_GB2312"/>
          <w:sz w:val="32"/>
          <w:szCs w:val="32"/>
          <w:highlight w:val="none"/>
        </w:rPr>
        <w:t>%；项目支出5.84万元，占</w:t>
      </w:r>
      <w:r>
        <w:rPr>
          <w:rFonts w:hint="eastAsia" w:ascii="仿宋_GB2312" w:hAnsi="仿宋_GB2312" w:eastAsia="仿宋_GB2312" w:cs="仿宋_GB2312"/>
          <w:sz w:val="32"/>
          <w:szCs w:val="32"/>
          <w:highlight w:val="none"/>
          <w:lang w:val="en-US" w:eastAsia="zh-CN"/>
        </w:rPr>
        <w:t>7.03</w:t>
      </w:r>
      <w:r>
        <w:rPr>
          <w:rFonts w:hint="eastAsia" w:ascii="仿宋_GB2312" w:hAnsi="仿宋_GB2312" w:eastAsia="仿宋_GB2312" w:cs="仿宋_GB2312"/>
          <w:sz w:val="32"/>
          <w:szCs w:val="32"/>
          <w:highlight w:val="none"/>
        </w:rPr>
        <w:t>%。</w:t>
      </w:r>
    </w:p>
    <w:p w14:paraId="561BB7E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30F9A3F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年度财政拨款收、支总计</w:t>
      </w:r>
      <w:r>
        <w:rPr>
          <w:rFonts w:hint="eastAsia" w:ascii="仿宋_GB2312" w:hAnsi="仿宋_GB2312" w:eastAsia="仿宋_GB2312" w:cs="仿宋_GB2312"/>
          <w:sz w:val="32"/>
          <w:szCs w:val="32"/>
          <w:highlight w:val="none"/>
          <w:lang w:val="en-US" w:eastAsia="zh-CN"/>
        </w:rPr>
        <w:t>均为83</w:t>
      </w:r>
      <w:r>
        <w:rPr>
          <w:rFonts w:hint="eastAsia" w:ascii="仿宋_GB2312" w:hAnsi="仿宋_GB2312" w:eastAsia="仿宋_GB2312" w:cs="仿宋_GB2312"/>
          <w:sz w:val="32"/>
          <w:szCs w:val="32"/>
          <w:highlight w:val="none"/>
        </w:rPr>
        <w:t>万元，与上年相比，减少</w:t>
      </w:r>
      <w:r>
        <w:rPr>
          <w:rFonts w:hint="eastAsia" w:ascii="仿宋_GB2312" w:hAnsi="仿宋_GB2312" w:eastAsia="仿宋_GB2312" w:cs="仿宋_GB2312"/>
          <w:sz w:val="32"/>
          <w:szCs w:val="32"/>
          <w:highlight w:val="none"/>
          <w:lang w:val="en-US" w:eastAsia="zh-CN"/>
        </w:rPr>
        <w:t>65.96</w:t>
      </w:r>
      <w:r>
        <w:rPr>
          <w:rFonts w:hint="eastAsia" w:ascii="仿宋_GB2312" w:hAnsi="仿宋_GB2312" w:eastAsia="仿宋_GB2312" w:cs="仿宋_GB2312"/>
          <w:sz w:val="32"/>
          <w:szCs w:val="32"/>
          <w:highlight w:val="none"/>
        </w:rPr>
        <w:t>万元,减少</w:t>
      </w:r>
      <w:r>
        <w:rPr>
          <w:rFonts w:hint="eastAsia" w:ascii="仿宋_GB2312" w:hAnsi="仿宋_GB2312" w:eastAsia="仿宋_GB2312" w:cs="仿宋_GB2312"/>
          <w:sz w:val="32"/>
          <w:szCs w:val="32"/>
          <w:highlight w:val="none"/>
          <w:lang w:val="en-US" w:eastAsia="zh-CN"/>
        </w:rPr>
        <w:t>44.28</w:t>
      </w:r>
      <w:r>
        <w:rPr>
          <w:rFonts w:hint="eastAsia" w:ascii="仿宋_GB2312" w:hAnsi="仿宋_GB2312" w:eastAsia="仿宋_GB2312" w:cs="仿宋_GB2312"/>
          <w:sz w:val="32"/>
          <w:szCs w:val="32"/>
          <w:highlight w:val="none"/>
        </w:rPr>
        <w:t>%，主要是因为</w:t>
      </w:r>
      <w:r>
        <w:rPr>
          <w:rFonts w:hint="eastAsia" w:ascii="仿宋_GB2312" w:hAnsi="仿宋_GB2312" w:eastAsia="仿宋_GB2312" w:cs="仿宋_GB2312"/>
          <w:sz w:val="32"/>
          <w:szCs w:val="32"/>
          <w:highlight w:val="none"/>
          <w:lang w:val="en-US" w:eastAsia="zh-CN"/>
        </w:rPr>
        <w:t>2022年度本单位除纳入年初预算财政拨款资金外无其他新增拨款，年度新增拨款较上年减少；市黄金局所有人员于2022年4月并入市工信局，工资和奖金全部在工信局账户发放，市黄金局收入、费用相应减少。</w:t>
      </w:r>
    </w:p>
    <w:p w14:paraId="5B05BD6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48482DD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（一）财政拨款支出决算总体情况</w:t>
      </w:r>
    </w:p>
    <w:p w14:paraId="1D300ACC">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w:t>
      </w:r>
      <w:r>
        <w:rPr>
          <w:rFonts w:hint="eastAsia" w:ascii="仿宋_GB2312" w:hAnsi="仿宋_GB2312" w:eastAsia="仿宋_GB2312" w:cs="仿宋_GB2312"/>
          <w:sz w:val="32"/>
          <w:szCs w:val="32"/>
          <w:highlight w:val="none"/>
          <w:lang w:val="en-US" w:eastAsia="zh-CN"/>
        </w:rPr>
        <w:t>83</w:t>
      </w:r>
      <w:r>
        <w:rPr>
          <w:rFonts w:hint="eastAsia" w:ascii="仿宋_GB2312" w:hAnsi="仿宋_GB2312" w:eastAsia="仿宋_GB2312" w:cs="仿宋_GB2312"/>
          <w:sz w:val="32"/>
          <w:szCs w:val="32"/>
          <w:highlight w:val="none"/>
        </w:rPr>
        <w:t>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%，与上年相比，财政拨款支出减少</w:t>
      </w:r>
      <w:r>
        <w:rPr>
          <w:rFonts w:hint="eastAsia" w:ascii="仿宋_GB2312" w:hAnsi="仿宋_GB2312" w:eastAsia="仿宋_GB2312" w:cs="仿宋_GB2312"/>
          <w:sz w:val="32"/>
          <w:szCs w:val="32"/>
          <w:highlight w:val="none"/>
          <w:lang w:val="en-US" w:eastAsia="zh-CN"/>
        </w:rPr>
        <w:t>65.96</w:t>
      </w:r>
      <w:r>
        <w:rPr>
          <w:rFonts w:hint="eastAsia" w:ascii="仿宋_GB2312" w:hAnsi="仿宋_GB2312" w:eastAsia="仿宋_GB2312" w:cs="仿宋_GB2312"/>
          <w:sz w:val="32"/>
          <w:szCs w:val="32"/>
          <w:highlight w:val="none"/>
        </w:rPr>
        <w:t>万元，减少</w:t>
      </w:r>
      <w:r>
        <w:rPr>
          <w:rFonts w:hint="eastAsia" w:ascii="仿宋_GB2312" w:hAnsi="仿宋_GB2312" w:eastAsia="仿宋_GB2312" w:cs="仿宋_GB2312"/>
          <w:sz w:val="32"/>
          <w:szCs w:val="32"/>
          <w:highlight w:val="none"/>
          <w:lang w:val="en-US" w:eastAsia="zh-CN"/>
        </w:rPr>
        <w:t>44.28</w:t>
      </w:r>
      <w:r>
        <w:rPr>
          <w:rFonts w:hint="eastAsia" w:ascii="仿宋_GB2312" w:hAnsi="仿宋_GB2312" w:eastAsia="仿宋_GB2312" w:cs="仿宋_GB2312"/>
          <w:sz w:val="32"/>
          <w:szCs w:val="32"/>
          <w:highlight w:val="none"/>
        </w:rPr>
        <w:t>%，主要是因为资源勘探工业信息等支出</w:t>
      </w:r>
      <w:r>
        <w:rPr>
          <w:rFonts w:hint="eastAsia" w:ascii="仿宋_GB2312" w:hAnsi="仿宋_GB2312" w:eastAsia="仿宋_GB2312" w:cs="仿宋_GB2312"/>
          <w:sz w:val="32"/>
          <w:szCs w:val="32"/>
          <w:highlight w:val="none"/>
          <w:lang w:val="en-US" w:eastAsia="zh-CN"/>
        </w:rPr>
        <w:t>、政事业单位医疗及其他行政事业单位养老支出减少。</w:t>
      </w:r>
    </w:p>
    <w:p w14:paraId="3D7CF066">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（二）财政拨款支出决算结构情况</w:t>
      </w:r>
    </w:p>
    <w:p w14:paraId="7443A82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w:t>
      </w:r>
      <w:r>
        <w:rPr>
          <w:rFonts w:hint="eastAsia" w:ascii="仿宋_GB2312" w:hAnsi="仿宋_GB2312" w:eastAsia="仿宋_GB2312" w:cs="仿宋_GB2312"/>
          <w:sz w:val="32"/>
          <w:szCs w:val="32"/>
          <w:highlight w:val="none"/>
          <w:lang w:val="en-US" w:eastAsia="zh-CN"/>
        </w:rPr>
        <w:t>83</w:t>
      </w:r>
      <w:r>
        <w:rPr>
          <w:rFonts w:hint="eastAsia" w:ascii="仿宋_GB2312" w:hAnsi="仿宋_GB2312" w:eastAsia="仿宋_GB2312" w:cs="仿宋_GB2312"/>
          <w:sz w:val="32"/>
          <w:szCs w:val="32"/>
          <w:highlight w:val="none"/>
        </w:rPr>
        <w:t>万元，主要用于以下方面：社会保障和就业支出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24.71万元，占</w:t>
      </w:r>
      <w:r>
        <w:rPr>
          <w:rFonts w:hint="eastAsia" w:ascii="仿宋_GB2312" w:hAnsi="仿宋_GB2312" w:eastAsia="仿宋_GB2312" w:cs="仿宋_GB2312"/>
          <w:sz w:val="32"/>
          <w:szCs w:val="32"/>
          <w:highlight w:val="none"/>
          <w:lang w:val="en-US" w:eastAsia="zh-CN"/>
        </w:rPr>
        <w:t>29.77</w:t>
      </w:r>
      <w:r>
        <w:rPr>
          <w:rFonts w:hint="eastAsia" w:ascii="仿宋_GB2312" w:hAnsi="仿宋_GB2312" w:eastAsia="仿宋_GB2312" w:cs="仿宋_GB2312"/>
          <w:sz w:val="32"/>
          <w:szCs w:val="32"/>
          <w:highlight w:val="none"/>
        </w:rPr>
        <w:t>%；卫生健康支出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1.65万元，占</w:t>
      </w:r>
      <w:r>
        <w:rPr>
          <w:rFonts w:hint="eastAsia" w:ascii="仿宋_GB2312" w:hAnsi="仿宋_GB2312" w:eastAsia="仿宋_GB2312" w:cs="仿宋_GB2312"/>
          <w:sz w:val="32"/>
          <w:szCs w:val="32"/>
          <w:highlight w:val="none"/>
          <w:lang w:val="en-US" w:eastAsia="zh-CN"/>
        </w:rPr>
        <w:t>1.99</w:t>
      </w:r>
      <w:r>
        <w:rPr>
          <w:rFonts w:hint="eastAsia" w:ascii="仿宋_GB2312" w:hAnsi="仿宋_GB2312" w:eastAsia="仿宋_GB2312" w:cs="仿宋_GB2312"/>
          <w:sz w:val="32"/>
          <w:szCs w:val="32"/>
          <w:highlight w:val="none"/>
        </w:rPr>
        <w:t>%;资源勘探工业信息等支出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56.64万元，占</w:t>
      </w:r>
      <w:r>
        <w:rPr>
          <w:rFonts w:hint="eastAsia" w:ascii="仿宋_GB2312" w:hAnsi="仿宋_GB2312" w:eastAsia="仿宋_GB2312" w:cs="仿宋_GB2312"/>
          <w:sz w:val="32"/>
          <w:szCs w:val="32"/>
          <w:highlight w:val="none"/>
          <w:lang w:val="en-US" w:eastAsia="zh-CN"/>
        </w:rPr>
        <w:t>68.24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w:t>
      </w:r>
    </w:p>
    <w:p w14:paraId="61648E89">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（三）财政拨款支出决算具体情况</w:t>
      </w:r>
    </w:p>
    <w:p w14:paraId="54BE655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年度财政拨款支出年初预算数为</w:t>
      </w:r>
      <w:r>
        <w:rPr>
          <w:rFonts w:hint="eastAsia" w:ascii="仿宋_GB2312" w:hAnsi="仿宋_GB2312" w:eastAsia="仿宋_GB2312" w:cs="仿宋_GB2312"/>
          <w:sz w:val="32"/>
          <w:szCs w:val="32"/>
          <w:highlight w:val="none"/>
          <w:lang w:val="en-US" w:eastAsia="zh-CN"/>
        </w:rPr>
        <w:t>104.87</w:t>
      </w:r>
      <w:r>
        <w:rPr>
          <w:rFonts w:hint="eastAsia" w:ascii="仿宋_GB2312" w:hAnsi="仿宋_GB2312" w:eastAsia="仿宋_GB2312" w:cs="仿宋_GB2312"/>
          <w:sz w:val="32"/>
          <w:szCs w:val="32"/>
          <w:highlight w:val="none"/>
        </w:rPr>
        <w:t>万元，支出决算数为</w:t>
      </w:r>
      <w:r>
        <w:rPr>
          <w:rFonts w:hint="eastAsia" w:ascii="仿宋_GB2312" w:hAnsi="仿宋_GB2312" w:eastAsia="仿宋_GB2312" w:cs="仿宋_GB2312"/>
          <w:sz w:val="32"/>
          <w:szCs w:val="32"/>
          <w:highlight w:val="none"/>
          <w:lang w:val="en-US" w:eastAsia="zh-CN"/>
        </w:rPr>
        <w:t>83</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79.15</w:t>
      </w:r>
      <w:r>
        <w:rPr>
          <w:rFonts w:hint="eastAsia" w:ascii="仿宋_GB2312" w:hAnsi="仿宋_GB2312" w:eastAsia="仿宋_GB2312" w:cs="仿宋_GB2312"/>
          <w:sz w:val="32"/>
          <w:szCs w:val="32"/>
          <w:highlight w:val="none"/>
        </w:rPr>
        <w:t>%，其中：</w:t>
      </w:r>
    </w:p>
    <w:p w14:paraId="55D03EF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1、社会保障和就业支出（类）行政事业单位养老支出（款）事业单位离退休（项）。</w:t>
      </w:r>
    </w:p>
    <w:p w14:paraId="696AC8E9">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年初预算为14.33万元，支出决算为1.92万元，完成年初预算的</w:t>
      </w:r>
      <w:r>
        <w:rPr>
          <w:rFonts w:hint="eastAsia" w:ascii="仿宋_GB2312" w:hAnsi="仿宋_GB2312" w:eastAsia="仿宋_GB2312" w:cs="仿宋_GB2312"/>
          <w:sz w:val="32"/>
          <w:szCs w:val="32"/>
          <w:highlight w:val="none"/>
          <w:lang w:val="en-US" w:eastAsia="zh-CN"/>
        </w:rPr>
        <w:t>13.4</w:t>
      </w:r>
      <w:r>
        <w:rPr>
          <w:rFonts w:hint="eastAsia" w:ascii="仿宋_GB2312" w:hAnsi="仿宋_GB2312" w:eastAsia="仿宋_GB2312" w:cs="仿宋_GB2312"/>
          <w:sz w:val="32"/>
          <w:szCs w:val="32"/>
          <w:highlight w:val="none"/>
        </w:rPr>
        <w:t>%，决算数小于年初预算数的主要原因是：</w:t>
      </w:r>
      <w:r>
        <w:rPr>
          <w:rFonts w:hint="eastAsia" w:ascii="仿宋_GB2312" w:hAnsi="仿宋_GB2312" w:eastAsia="仿宋_GB2312" w:cs="仿宋_GB2312"/>
          <w:sz w:val="32"/>
          <w:szCs w:val="32"/>
          <w:highlight w:val="none"/>
          <w:lang w:val="en-US" w:eastAsia="zh-CN"/>
        </w:rPr>
        <w:t>财政拨款功能科目改变。</w:t>
      </w:r>
    </w:p>
    <w:p w14:paraId="784F4850">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、社会保障和就业支出（类）行政事业单位养老支出（款）机关事业单位基本养老保险缴费支出（项）。</w:t>
      </w:r>
    </w:p>
    <w:p w14:paraId="6FD4CC9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万元，支出决算为8.79万元，决算数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基本养老保险缴费未纳入年初预算。</w:t>
      </w:r>
    </w:p>
    <w:p w14:paraId="3C00F6B1">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、社会保障和就业支出（类）行政事业单位养老支出（款）其他行政事业单位养老支出（项）。</w:t>
      </w:r>
    </w:p>
    <w:p w14:paraId="44F3A76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万元，支出决算为14万元，决算数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发放退休人员春节一次性生活补助。</w:t>
      </w:r>
    </w:p>
    <w:p w14:paraId="689B89E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、卫生健康支出（类）行政事业单位医疗（款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行政单位医疗（项）。</w:t>
      </w:r>
    </w:p>
    <w:p w14:paraId="21A7A660">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1.65</w:t>
      </w:r>
      <w:r>
        <w:rPr>
          <w:rFonts w:hint="eastAsia" w:ascii="仿宋_GB2312" w:hAnsi="仿宋_GB2312" w:eastAsia="仿宋_GB2312" w:cs="仿宋_GB2312"/>
          <w:sz w:val="32"/>
          <w:szCs w:val="32"/>
          <w:highlight w:val="none"/>
        </w:rPr>
        <w:t>万元，决算数大于年初预算数的主要原因是：</w:t>
      </w:r>
      <w:r>
        <w:rPr>
          <w:rFonts w:hint="eastAsia" w:ascii="仿宋_GB2312" w:hAnsi="仿宋_GB2312" w:eastAsia="仿宋_GB2312" w:cs="仿宋_GB2312"/>
          <w:sz w:val="32"/>
          <w:szCs w:val="32"/>
          <w:highlight w:val="none"/>
          <w:lang w:val="en-US" w:eastAsia="zh-CN"/>
        </w:rPr>
        <w:t>基本医疗保险缴费未纳入年初预算。</w:t>
      </w:r>
    </w:p>
    <w:p w14:paraId="5114AAF5">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、资源勘探工业信息等支出（类）工业和信息产业监管（款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行政运行（项）。</w:t>
      </w:r>
    </w:p>
    <w:p w14:paraId="61E67AF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22.95</w:t>
      </w:r>
      <w:r>
        <w:rPr>
          <w:rFonts w:hint="eastAsia" w:ascii="仿宋_GB2312" w:hAnsi="仿宋_GB2312" w:eastAsia="仿宋_GB2312" w:cs="仿宋_GB2312"/>
          <w:sz w:val="32"/>
          <w:szCs w:val="32"/>
          <w:highlight w:val="none"/>
        </w:rPr>
        <w:t>万元，决算数大于年初预算数的主要原因是：</w:t>
      </w:r>
      <w:r>
        <w:rPr>
          <w:rFonts w:hint="eastAsia" w:ascii="仿宋_GB2312" w:hAnsi="仿宋_GB2312" w:eastAsia="仿宋_GB2312" w:cs="仿宋_GB2312"/>
          <w:sz w:val="32"/>
          <w:szCs w:val="32"/>
          <w:highlight w:val="none"/>
          <w:lang w:val="en-US" w:eastAsia="zh-CN"/>
        </w:rPr>
        <w:t>单位并入工信局，财政统发工资、奖金等功能科目改变。</w:t>
      </w:r>
    </w:p>
    <w:p w14:paraId="1C77B800">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、资源勘探工业信息等支出（类）其他资源勘探工业信息等支出（款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黄金事务（项）。</w:t>
      </w:r>
    </w:p>
    <w:p w14:paraId="32819A6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90.54</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22.95</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25.35%，</w:t>
      </w:r>
      <w:r>
        <w:rPr>
          <w:rFonts w:hint="eastAsia" w:ascii="仿宋_GB2312" w:hAnsi="仿宋_GB2312" w:eastAsia="仿宋_GB2312" w:cs="仿宋_GB2312"/>
          <w:sz w:val="32"/>
          <w:szCs w:val="32"/>
          <w:highlight w:val="none"/>
        </w:rPr>
        <w:t>决算数</w:t>
      </w:r>
      <w:r>
        <w:rPr>
          <w:rFonts w:hint="eastAsia" w:ascii="仿宋_GB2312" w:hAnsi="仿宋_GB2312" w:eastAsia="仿宋_GB2312" w:cs="仿宋_GB2312"/>
          <w:sz w:val="32"/>
          <w:szCs w:val="32"/>
          <w:highlight w:val="none"/>
          <w:lang w:val="en-US" w:eastAsia="zh-CN"/>
        </w:rPr>
        <w:t>小</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单位并入工信局，财政统发工资、奖金等功能科目改变。</w:t>
      </w:r>
    </w:p>
    <w:p w14:paraId="4966E74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、资源勘探工业信息等支出（类）其他资源勘探工业信息等支出（款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其他资源勘探工业信息等支出（项）。</w:t>
      </w:r>
    </w:p>
    <w:p w14:paraId="7280F0A6">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4.99</w:t>
      </w:r>
      <w:r>
        <w:rPr>
          <w:rFonts w:hint="eastAsia" w:ascii="仿宋_GB2312" w:hAnsi="仿宋_GB2312" w:eastAsia="仿宋_GB2312" w:cs="仿宋_GB2312"/>
          <w:sz w:val="32"/>
          <w:szCs w:val="32"/>
          <w:highlight w:val="none"/>
        </w:rPr>
        <w:t>万元，决算数</w:t>
      </w:r>
      <w:r>
        <w:rPr>
          <w:rFonts w:hint="eastAsia" w:ascii="仿宋_GB2312" w:hAnsi="仿宋_GB2312" w:eastAsia="仿宋_GB2312" w:cs="仿宋_GB2312"/>
          <w:sz w:val="32"/>
          <w:szCs w:val="32"/>
          <w:highlight w:val="none"/>
          <w:lang w:val="en-US" w:eastAsia="zh-CN"/>
        </w:rPr>
        <w:t>大</w:t>
      </w:r>
      <w:r>
        <w:rPr>
          <w:rFonts w:hint="eastAsia" w:ascii="仿宋_GB2312" w:hAnsi="仿宋_GB2312" w:eastAsia="仿宋_GB2312" w:cs="仿宋_GB2312"/>
          <w:sz w:val="32"/>
          <w:szCs w:val="32"/>
          <w:highlight w:val="none"/>
        </w:rPr>
        <w:t>于年初预算数的主要原因是：</w:t>
      </w:r>
      <w:r>
        <w:rPr>
          <w:rFonts w:hint="eastAsia" w:ascii="仿宋_GB2312" w:hAnsi="仿宋_GB2312" w:eastAsia="仿宋_GB2312" w:cs="仿宋_GB2312"/>
          <w:sz w:val="32"/>
          <w:szCs w:val="32"/>
          <w:highlight w:val="none"/>
          <w:lang w:val="en-US" w:eastAsia="zh-CN"/>
        </w:rPr>
        <w:t>发放奖金未纳入年初预算。</w:t>
      </w:r>
    </w:p>
    <w:p w14:paraId="32AF996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6D8B77A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年度财政拨款基本支出</w:t>
      </w:r>
      <w:r>
        <w:rPr>
          <w:rFonts w:hint="eastAsia" w:ascii="仿宋_GB2312" w:hAnsi="仿宋_GB2312" w:eastAsia="仿宋_GB2312" w:cs="仿宋_GB2312"/>
          <w:sz w:val="32"/>
          <w:szCs w:val="32"/>
          <w:highlight w:val="none"/>
          <w:lang w:val="en-US" w:eastAsia="zh-CN"/>
        </w:rPr>
        <w:t>77.17</w:t>
      </w:r>
      <w:r>
        <w:rPr>
          <w:rFonts w:hint="eastAsia" w:ascii="仿宋_GB2312" w:hAnsi="仿宋_GB2312" w:eastAsia="仿宋_GB2312" w:cs="仿宋_GB2312"/>
          <w:sz w:val="32"/>
          <w:szCs w:val="32"/>
          <w:highlight w:val="none"/>
        </w:rPr>
        <w:t>万元，其中：</w:t>
      </w:r>
    </w:p>
    <w:p w14:paraId="62D5732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rPr>
        <w:t>人员经费</w:t>
      </w:r>
      <w:r>
        <w:rPr>
          <w:rFonts w:hint="eastAsia" w:ascii="仿宋_GB2312" w:hAnsi="仿宋_GB2312" w:eastAsia="仿宋_GB2312" w:cs="仿宋_GB2312"/>
          <w:sz w:val="32"/>
          <w:szCs w:val="32"/>
          <w:highlight w:val="none"/>
          <w:lang w:val="en-US" w:eastAsia="zh-CN"/>
        </w:rPr>
        <w:t>55.71</w:t>
      </w:r>
      <w:r>
        <w:rPr>
          <w:rFonts w:hint="eastAsia" w:ascii="仿宋_GB2312" w:hAnsi="仿宋_GB2312" w:eastAsia="仿宋_GB2312" w:cs="仿宋_GB2312"/>
          <w:sz w:val="32"/>
          <w:szCs w:val="32"/>
          <w:highlight w:val="none"/>
        </w:rPr>
        <w:t>万元，占基本支出的</w:t>
      </w:r>
      <w:r>
        <w:rPr>
          <w:rFonts w:hint="eastAsia" w:ascii="仿宋_GB2312" w:hAnsi="仿宋_GB2312" w:eastAsia="仿宋_GB2312" w:cs="仿宋_GB2312"/>
          <w:sz w:val="32"/>
          <w:szCs w:val="32"/>
          <w:highlight w:val="none"/>
          <w:lang w:val="en-US" w:eastAsia="zh-CN"/>
        </w:rPr>
        <w:t>72.20</w:t>
      </w:r>
      <w:r>
        <w:rPr>
          <w:rFonts w:hint="eastAsia" w:ascii="仿宋_GB2312" w:hAnsi="仿宋_GB2312" w:eastAsia="仿宋_GB2312" w:cs="仿宋_GB2312"/>
          <w:sz w:val="32"/>
          <w:szCs w:val="32"/>
          <w:highlight w:val="none"/>
        </w:rPr>
        <w:t>%,主要包括基本工资、津贴补贴、奖金、伙食补助费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基本医疗保险缴费、职业年金缴费等</w:t>
      </w:r>
      <w:r>
        <w:rPr>
          <w:rFonts w:hint="eastAsia" w:ascii="仿宋_GB2312" w:hAnsi="仿宋_GB2312" w:eastAsia="仿宋_GB2312" w:cs="仿宋_GB2312"/>
          <w:sz w:val="32"/>
          <w:szCs w:val="32"/>
          <w:highlight w:val="none"/>
          <w:lang w:eastAsia="zh-CN"/>
        </w:rPr>
        <w:t>。</w:t>
      </w:r>
    </w:p>
    <w:p w14:paraId="479C054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Pr>
        <w:t>公用经费</w:t>
      </w:r>
      <w:r>
        <w:rPr>
          <w:rFonts w:hint="eastAsia" w:ascii="仿宋_GB2312" w:hAnsi="仿宋_GB2312" w:eastAsia="仿宋_GB2312" w:cs="仿宋_GB2312"/>
          <w:sz w:val="32"/>
          <w:szCs w:val="32"/>
          <w:highlight w:val="none"/>
          <w:lang w:val="en-US" w:eastAsia="zh-CN"/>
        </w:rPr>
        <w:t>21.45</w:t>
      </w:r>
      <w:r>
        <w:rPr>
          <w:rFonts w:hint="eastAsia" w:ascii="仿宋_GB2312" w:hAnsi="仿宋_GB2312" w:eastAsia="仿宋_GB2312" w:cs="仿宋_GB2312"/>
          <w:sz w:val="32"/>
          <w:szCs w:val="32"/>
          <w:highlight w:val="none"/>
        </w:rPr>
        <w:t>万元，占基本支出的</w:t>
      </w:r>
      <w:r>
        <w:rPr>
          <w:rFonts w:hint="eastAsia" w:ascii="仿宋_GB2312" w:hAnsi="仿宋_GB2312" w:eastAsia="仿宋_GB2312" w:cs="仿宋_GB2312"/>
          <w:sz w:val="32"/>
          <w:szCs w:val="32"/>
          <w:highlight w:val="none"/>
          <w:lang w:val="en-US" w:eastAsia="zh-CN"/>
        </w:rPr>
        <w:t>27.80</w:t>
      </w:r>
      <w:r>
        <w:rPr>
          <w:rFonts w:hint="eastAsia" w:ascii="仿宋_GB2312" w:hAnsi="仿宋_GB2312" w:eastAsia="仿宋_GB2312" w:cs="仿宋_GB2312"/>
          <w:sz w:val="32"/>
          <w:szCs w:val="32"/>
          <w:highlight w:val="none"/>
        </w:rPr>
        <w:t>%，主要包括办公费、</w:t>
      </w:r>
      <w:r>
        <w:rPr>
          <w:rFonts w:hint="eastAsia" w:ascii="仿宋_GB2312" w:hAnsi="仿宋_GB2312" w:eastAsia="仿宋_GB2312" w:cs="仿宋_GB2312"/>
          <w:sz w:val="32"/>
          <w:szCs w:val="32"/>
          <w:highlight w:val="none"/>
          <w:lang w:val="en-US" w:eastAsia="zh-CN"/>
        </w:rPr>
        <w:t>差旅</w:t>
      </w:r>
      <w:r>
        <w:rPr>
          <w:rFonts w:hint="eastAsia" w:ascii="仿宋_GB2312" w:hAnsi="仿宋_GB2312" w:eastAsia="仿宋_GB2312" w:cs="仿宋_GB2312"/>
          <w:sz w:val="32"/>
          <w:szCs w:val="32"/>
          <w:highlight w:val="none"/>
        </w:rPr>
        <w:t>费、</w:t>
      </w:r>
      <w:r>
        <w:rPr>
          <w:rFonts w:hint="eastAsia" w:ascii="仿宋_GB2312" w:hAnsi="仿宋_GB2312" w:eastAsia="仿宋_GB2312" w:cs="仿宋_GB2312"/>
          <w:sz w:val="32"/>
          <w:szCs w:val="32"/>
          <w:highlight w:val="none"/>
          <w:lang w:val="en-US" w:eastAsia="zh-CN"/>
        </w:rPr>
        <w:t>福利</w:t>
      </w:r>
      <w:r>
        <w:rPr>
          <w:rFonts w:hint="eastAsia" w:ascii="仿宋_GB2312" w:hAnsi="仿宋_GB2312" w:eastAsia="仿宋_GB2312" w:cs="仿宋_GB2312"/>
          <w:sz w:val="32"/>
          <w:szCs w:val="32"/>
          <w:highlight w:val="none"/>
        </w:rPr>
        <w:t>费、</w:t>
      </w:r>
      <w:r>
        <w:rPr>
          <w:rFonts w:hint="eastAsia" w:ascii="仿宋_GB2312" w:hAnsi="仿宋_GB2312" w:eastAsia="仿宋_GB2312" w:cs="仿宋_GB2312"/>
          <w:sz w:val="32"/>
          <w:szCs w:val="32"/>
          <w:highlight w:val="none"/>
          <w:lang w:val="en-US" w:eastAsia="zh-CN"/>
        </w:rPr>
        <w:t>其他交通</w:t>
      </w:r>
      <w:r>
        <w:rPr>
          <w:rFonts w:hint="eastAsia" w:ascii="仿宋_GB2312" w:hAnsi="仿宋_GB2312" w:eastAsia="仿宋_GB2312" w:cs="仿宋_GB2312"/>
          <w:sz w:val="32"/>
          <w:szCs w:val="32"/>
          <w:highlight w:val="none"/>
        </w:rPr>
        <w:t>费</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w:t>
      </w:r>
    </w:p>
    <w:p w14:paraId="019A814F">
      <w:pPr>
        <w:pStyle w:val="11"/>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财政拨款三公经费支出决算情况说明</w:t>
      </w:r>
    </w:p>
    <w:p w14:paraId="11F366E5">
      <w:pPr>
        <w:pStyle w:val="11"/>
        <w:keepNext w:val="0"/>
        <w:keepLines w:val="0"/>
        <w:pageBreakBefore w:val="0"/>
        <w:widowControl w:val="0"/>
        <w:numPr>
          <w:ilvl w:val="0"/>
          <w:numId w:val="0"/>
        </w:numPr>
        <w:kinsoku/>
        <w:wordWrap/>
        <w:overflowPunct/>
        <w:topLinePunct w:val="0"/>
        <w:bidi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（一）“三公”经费财政拨款支出决算总体情况说明</w:t>
      </w:r>
    </w:p>
    <w:p w14:paraId="21FF302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“三公”经费财政拨款支出预算为</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74.07</w:t>
      </w:r>
      <w:r>
        <w:rPr>
          <w:rFonts w:hint="eastAsia" w:ascii="仿宋_GB2312" w:hAnsi="仿宋_GB2312" w:eastAsia="仿宋_GB2312" w:cs="仿宋_GB2312"/>
          <w:sz w:val="32"/>
          <w:szCs w:val="32"/>
          <w:highlight w:val="none"/>
        </w:rPr>
        <w:t>%，</w:t>
      </w:r>
      <w:r>
        <w:rPr>
          <w:rFonts w:hint="eastAsia" w:ascii="Times New Roman" w:hAnsi="Times New Roman" w:eastAsia="仿宋_GB2312"/>
          <w:sz w:val="32"/>
          <w:szCs w:val="32"/>
          <w:highlight w:val="none"/>
        </w:rPr>
        <w:t>决算数小于预算数的主要原因是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w:t>
      </w:r>
      <w:r>
        <w:rPr>
          <w:rFonts w:hint="eastAsia" w:ascii="仿宋_GB2312" w:hAnsi="仿宋_GB2312" w:eastAsia="仿宋_GB2312" w:cs="仿宋_GB2312"/>
          <w:sz w:val="32"/>
          <w:szCs w:val="32"/>
          <w:highlight w:val="none"/>
        </w:rPr>
        <w:t>增加</w:t>
      </w:r>
      <w:r>
        <w:rPr>
          <w:rFonts w:hint="eastAsia" w:ascii="仿宋_GB2312" w:hAnsi="仿宋_GB2312" w:eastAsia="仿宋_GB2312" w:cs="仿宋_GB2312"/>
          <w:sz w:val="32"/>
          <w:szCs w:val="32"/>
          <w:highlight w:val="none"/>
          <w:lang w:val="en-US" w:eastAsia="zh-CN"/>
        </w:rPr>
        <w:t>0.18</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21.95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增长的主要原因是</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rPr>
        <w:t>湖南湘莞鄂企业</w:t>
      </w:r>
      <w:r>
        <w:rPr>
          <w:rFonts w:hint="eastAsia" w:ascii="仿宋_GB2312" w:hAnsi="仿宋_GB2312" w:eastAsia="仿宋_GB2312" w:cs="仿宋_GB2312"/>
          <w:sz w:val="32"/>
          <w:szCs w:val="32"/>
          <w:highlight w:val="none"/>
          <w:lang w:val="en-US" w:eastAsia="zh-CN"/>
        </w:rPr>
        <w:t>等公务活动接待费用</w:t>
      </w:r>
      <w:r>
        <w:rPr>
          <w:rFonts w:hint="eastAsia" w:ascii="仿宋_GB2312" w:hAnsi="仿宋_GB2312" w:eastAsia="仿宋_GB2312" w:cs="仿宋_GB2312"/>
          <w:sz w:val="32"/>
          <w:szCs w:val="32"/>
          <w:highlight w:val="none"/>
        </w:rPr>
        <w:t>。其中：</w:t>
      </w:r>
    </w:p>
    <w:p w14:paraId="24236B0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因公出国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5A9B905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公务接待费支出预算为</w:t>
      </w:r>
      <w:r>
        <w:rPr>
          <w:rFonts w:hint="eastAsia" w:ascii="仿宋_GB2312" w:hAnsi="仿宋_GB2312" w:eastAsia="仿宋_GB2312" w:cs="仿宋_GB2312"/>
          <w:sz w:val="32"/>
          <w:szCs w:val="32"/>
          <w:highlight w:val="none"/>
          <w:lang w:val="en-US" w:eastAsia="zh-CN"/>
        </w:rPr>
        <w:t>1.07</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93.46</w:t>
      </w:r>
      <w:r>
        <w:rPr>
          <w:rFonts w:hint="eastAsia" w:ascii="仿宋_GB2312" w:hAnsi="仿宋_GB2312" w:eastAsia="仿宋_GB2312" w:cs="仿宋_GB2312"/>
          <w:sz w:val="32"/>
          <w:szCs w:val="32"/>
          <w:highlight w:val="none"/>
        </w:rPr>
        <w:t>%，决算数小于预算数的主要原因是</w:t>
      </w:r>
      <w:r>
        <w:rPr>
          <w:rFonts w:hint="eastAsia" w:ascii="仿宋_GB2312" w:hAnsi="仿宋_GB2312" w:eastAsia="仿宋_GB2312" w:cs="仿宋_GB2312"/>
          <w:sz w:val="32"/>
          <w:szCs w:val="32"/>
          <w:highlight w:val="none"/>
          <w:lang w:val="en-US" w:eastAsia="zh-CN"/>
        </w:rPr>
        <w:t>控制“三公”经费支出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与上年相比增加</w:t>
      </w:r>
      <w:r>
        <w:rPr>
          <w:rFonts w:hint="eastAsia" w:ascii="仿宋_GB2312" w:hAnsi="仿宋_GB2312" w:eastAsia="仿宋_GB2312" w:cs="仿宋_GB2312"/>
          <w:sz w:val="32"/>
          <w:szCs w:val="32"/>
          <w:highlight w:val="none"/>
          <w:lang w:val="en-US" w:eastAsia="zh-CN"/>
        </w:rPr>
        <w:t>0.18</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21.95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增长的主要原因是</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sz w:val="32"/>
          <w:szCs w:val="32"/>
          <w:highlight w:val="none"/>
        </w:rPr>
        <w:t>湖南湘莞鄂企业</w:t>
      </w:r>
      <w:r>
        <w:rPr>
          <w:rFonts w:hint="eastAsia" w:ascii="仿宋_GB2312" w:hAnsi="仿宋_GB2312" w:eastAsia="仿宋_GB2312" w:cs="仿宋_GB2312"/>
          <w:sz w:val="32"/>
          <w:szCs w:val="32"/>
          <w:highlight w:val="none"/>
          <w:lang w:val="en-US" w:eastAsia="zh-CN"/>
        </w:rPr>
        <w:t>等公务活动接待费用</w:t>
      </w:r>
      <w:r>
        <w:rPr>
          <w:rFonts w:hint="eastAsia" w:ascii="仿宋_GB2312" w:hAnsi="仿宋_GB2312" w:eastAsia="仿宋_GB2312" w:cs="仿宋_GB2312"/>
          <w:sz w:val="32"/>
          <w:szCs w:val="32"/>
          <w:highlight w:val="none"/>
        </w:rPr>
        <w:t>。</w:t>
      </w:r>
    </w:p>
    <w:p w14:paraId="6519F45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4F9A6A1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公务用车运行维护费支出预算为</w:t>
      </w:r>
      <w:r>
        <w:rPr>
          <w:rFonts w:hint="eastAsia" w:ascii="仿宋_GB2312" w:hAnsi="仿宋_GB2312" w:eastAsia="仿宋_GB2312" w:cs="仿宋_GB2312"/>
          <w:sz w:val="32"/>
          <w:szCs w:val="32"/>
          <w:highlight w:val="none"/>
          <w:lang w:val="en-US" w:eastAsia="zh-CN"/>
        </w:rPr>
        <w:t>0.28</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万元，决算金额</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，无法计算完成百分比，决算数小于预算数的主要原因是</w:t>
      </w:r>
      <w:r>
        <w:rPr>
          <w:rFonts w:hint="eastAsia" w:ascii="仿宋_GB2312" w:hAnsi="仿宋_GB2312" w:eastAsia="仿宋_GB2312" w:cs="仿宋_GB2312"/>
          <w:sz w:val="32"/>
          <w:szCs w:val="32"/>
          <w:highlight w:val="none"/>
          <w:lang w:val="en-US" w:eastAsia="zh-CN"/>
        </w:rPr>
        <w:t>本单位无公务用车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是2021年、2022年均无</w:t>
      </w:r>
      <w:r>
        <w:rPr>
          <w:rFonts w:hint="eastAsia" w:ascii="仿宋_GB2312" w:hAnsi="仿宋_GB2312" w:eastAsia="仿宋_GB2312" w:cs="仿宋_GB2312"/>
          <w:sz w:val="32"/>
          <w:szCs w:val="32"/>
          <w:highlight w:val="none"/>
        </w:rPr>
        <w:t>公务用车运行维护费支出。</w:t>
      </w:r>
    </w:p>
    <w:p w14:paraId="0B26CA19">
      <w:pPr>
        <w:pStyle w:val="11"/>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黑体" w:hAnsi="黑体" w:eastAsia="黑体" w:cs="黑体"/>
          <w:b w:val="0"/>
          <w:bCs/>
          <w:sz w:val="30"/>
          <w:szCs w:val="30"/>
          <w:highlight w:val="none"/>
        </w:rPr>
      </w:pPr>
      <w:r>
        <w:rPr>
          <w:rFonts w:hint="eastAsia" w:ascii="黑体" w:hAnsi="黑体" w:eastAsia="黑体" w:cs="黑体"/>
          <w:b w:val="0"/>
          <w:bCs/>
          <w:sz w:val="30"/>
          <w:szCs w:val="30"/>
          <w:highlight w:val="none"/>
        </w:rPr>
        <w:t>（二）“三公”经费财政拨款支出决算具体情况说明</w:t>
      </w:r>
    </w:p>
    <w:p w14:paraId="4DC9875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年度“三公”经费财政拨款支出决算中，公务接待费支出决算</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万元，公务用车购置费及运行维护费支出决算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w:t>
      </w:r>
    </w:p>
    <w:p w14:paraId="283905A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因公出国（境）费支出决算为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万元，全年安排因公出国（境）团组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个，累计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w:t>
      </w:r>
      <w:r>
        <w:rPr>
          <w:rFonts w:hint="eastAsia" w:ascii="仿宋_GB2312" w:hAnsi="仿宋_GB2312" w:eastAsia="仿宋_GB2312" w:cs="仿宋_GB2312"/>
          <w:b w:val="0"/>
          <w:bCs w:val="0"/>
          <w:i w:val="0"/>
          <w:iCs/>
          <w:color w:val="auto"/>
          <w:sz w:val="32"/>
          <w:szCs w:val="32"/>
          <w:highlight w:val="none"/>
          <w:lang w:eastAsia="zh-CN"/>
        </w:rPr>
        <w:t>，</w:t>
      </w:r>
      <w:r>
        <w:rPr>
          <w:rFonts w:hint="eastAsia" w:ascii="仿宋_GB2312" w:hAnsi="仿宋_GB2312" w:eastAsia="仿宋_GB2312" w:cs="仿宋_GB2312"/>
          <w:sz w:val="32"/>
          <w:szCs w:val="32"/>
          <w:highlight w:val="none"/>
          <w:lang w:eastAsia="zh-CN"/>
        </w:rPr>
        <w:t>主要是2022年我单位没有因公出国（境）费支出。</w:t>
      </w:r>
    </w:p>
    <w:p w14:paraId="4C6BCCC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2、公务接待费支出决算为</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其中用于招商引资0.68万元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，全年共接待来访团组</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个、来宾</w:t>
      </w:r>
      <w:r>
        <w:rPr>
          <w:rFonts w:hint="eastAsia" w:ascii="仿宋_GB2312" w:hAnsi="仿宋_GB2312" w:eastAsia="仿宋_GB2312" w:cs="仿宋_GB2312"/>
          <w:sz w:val="32"/>
          <w:szCs w:val="32"/>
          <w:highlight w:val="none"/>
          <w:lang w:val="en-US" w:eastAsia="zh-CN"/>
        </w:rPr>
        <w:t>61</w:t>
      </w:r>
      <w:r>
        <w:rPr>
          <w:rFonts w:hint="eastAsia" w:ascii="仿宋_GB2312" w:hAnsi="仿宋_GB2312" w:eastAsia="仿宋_GB2312" w:cs="仿宋_GB2312"/>
          <w:color w:val="auto"/>
          <w:sz w:val="32"/>
          <w:szCs w:val="32"/>
          <w:highlight w:val="none"/>
        </w:rPr>
        <w:t>人次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其中招商引资商务接待36人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，主要是</w:t>
      </w:r>
      <w:r>
        <w:rPr>
          <w:rFonts w:hint="eastAsia" w:ascii="仿宋_GB2312" w:hAnsi="仿宋_GB2312" w:eastAsia="仿宋_GB2312" w:cs="仿宋_GB2312"/>
          <w:color w:val="auto"/>
          <w:sz w:val="32"/>
          <w:szCs w:val="32"/>
          <w:highlight w:val="none"/>
          <w:lang w:val="en-US" w:eastAsia="zh-CN"/>
        </w:rPr>
        <w:t>用于招商引资、商务洽谈、县工业发展工作汇报等公务活动</w:t>
      </w:r>
      <w:r>
        <w:rPr>
          <w:rFonts w:hint="eastAsia" w:ascii="仿宋_GB2312" w:hAnsi="仿宋_GB2312" w:eastAsia="仿宋_GB2312" w:cs="仿宋_GB2312"/>
          <w:color w:val="auto"/>
          <w:sz w:val="32"/>
          <w:szCs w:val="32"/>
          <w:highlight w:val="none"/>
        </w:rPr>
        <w:t>发生的接待支出。</w:t>
      </w:r>
    </w:p>
    <w:p w14:paraId="4B679A69">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s="仿宋_GB2312"/>
          <w:sz w:val="32"/>
          <w:szCs w:val="32"/>
          <w:highlight w:val="none"/>
        </w:rPr>
        <w:t>3、公务用车购置费及运行维护费支出决算为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万元，其中：公务用车购置费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更新</w:t>
      </w:r>
      <w:r>
        <w:rPr>
          <w:rFonts w:hint="eastAsia" w:ascii="仿宋_GB2312" w:hAnsi="仿宋_GB2312" w:eastAsia="仿宋_GB2312" w:cs="仿宋_GB2312"/>
          <w:sz w:val="32"/>
          <w:szCs w:val="32"/>
          <w:highlight w:val="none"/>
        </w:rPr>
        <w:t>公务用车</w:t>
      </w:r>
      <w:r>
        <w:rPr>
          <w:rFonts w:hint="eastAsia" w:ascii="仿宋_GB2312" w:hAnsi="仿宋_GB2312" w:eastAsia="仿宋_GB2312" w:cs="仿宋_GB2312"/>
          <w:sz w:val="32"/>
          <w:szCs w:val="32"/>
          <w:highlight w:val="none"/>
          <w:lang w:val="en-US" w:eastAsia="zh-CN"/>
        </w:rPr>
        <w:t>0辆</w:t>
      </w:r>
      <w:bookmarkStart w:id="14" w:name="_GoBack"/>
      <w:bookmarkEnd w:id="14"/>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sz w:val="32"/>
          <w:szCs w:val="32"/>
          <w:highlight w:val="none"/>
        </w:rPr>
        <w:t>公务用车运行维护费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公务用车运行维护费支出，截止202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年12月31日，我单位开支财政拨款的公务用车保有量为</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此车已处置，但未销账。</w:t>
      </w:r>
    </w:p>
    <w:p w14:paraId="74D1ABA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7A544850">
      <w:pPr>
        <w:pStyle w:val="11"/>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sz w:val="32"/>
          <w:szCs w:val="32"/>
          <w:highlight w:val="none"/>
          <w:lang w:val="en-US" w:eastAsia="zh-CN"/>
        </w:rPr>
      </w:pPr>
      <w:r>
        <w:rPr>
          <w:rFonts w:hint="eastAsia" w:ascii="Times New Roman" w:hAnsi="Times New Roman" w:eastAsia="仿宋_GB2312"/>
          <w:sz w:val="32"/>
          <w:szCs w:val="32"/>
          <w:highlight w:val="none"/>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w:t>
      </w:r>
      <w:r>
        <w:rPr>
          <w:rFonts w:hint="eastAsia" w:ascii="仿宋_GB2312" w:hAnsi="仿宋_GB2312" w:eastAsia="仿宋_GB2312" w:cs="仿宋_GB2312"/>
          <w:sz w:val="32"/>
          <w:szCs w:val="32"/>
          <w:highlight w:val="none"/>
          <w:lang w:val="en-US" w:eastAsia="zh-CN"/>
        </w:rPr>
        <w:t>本</w:t>
      </w:r>
      <w:r>
        <w:rPr>
          <w:rFonts w:hint="eastAsia" w:ascii="仿宋_GB2312" w:hAnsi="仿宋_GB2312" w:eastAsia="仿宋_GB2312" w:cs="仿宋_GB2312"/>
          <w:sz w:val="32"/>
          <w:szCs w:val="32"/>
          <w:highlight w:val="none"/>
        </w:rPr>
        <w:t>部门</w:t>
      </w:r>
      <w:r>
        <w:rPr>
          <w:rFonts w:hint="eastAsia" w:ascii="仿宋_GB2312" w:hAnsi="仿宋_GB2312" w:eastAsia="仿宋_GB2312" w:cs="仿宋_GB2312"/>
          <w:sz w:val="32"/>
          <w:szCs w:val="32"/>
          <w:highlight w:val="none"/>
          <w:lang w:val="en-US" w:eastAsia="zh-CN"/>
        </w:rPr>
        <w:t>无政府性基金收支。</w:t>
      </w:r>
    </w:p>
    <w:p w14:paraId="785EC504">
      <w:pPr>
        <w:pStyle w:val="11"/>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国有资本经营预算财政拨款支出情况</w:t>
      </w:r>
    </w:p>
    <w:p w14:paraId="7F37B14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2022年度本</w:t>
      </w:r>
      <w:r>
        <w:rPr>
          <w:rFonts w:hint="eastAsia" w:ascii="仿宋_GB2312" w:hAnsi="仿宋_GB2312" w:eastAsia="仿宋_GB2312" w:cs="仿宋_GB2312"/>
          <w:sz w:val="32"/>
          <w:szCs w:val="32"/>
          <w:highlight w:val="none"/>
        </w:rPr>
        <w:t>部门</w:t>
      </w:r>
      <w:r>
        <w:rPr>
          <w:rFonts w:hint="eastAsia" w:ascii="仿宋_GB2312" w:hAnsi="仿宋_GB2312" w:eastAsia="仿宋_GB2312" w:cs="仿宋_GB2312"/>
          <w:b w:val="0"/>
          <w:bCs/>
          <w:sz w:val="32"/>
          <w:szCs w:val="32"/>
          <w:highlight w:val="none"/>
          <w:lang w:val="en-US" w:eastAsia="zh-CN"/>
        </w:rPr>
        <w:t>无国有资本经营预算财政拨款支出</w:t>
      </w:r>
      <w:r>
        <w:rPr>
          <w:rFonts w:hint="eastAsia" w:ascii="Times New Roman" w:hAnsi="Times New Roman" w:eastAsia="仿宋_GB2312"/>
          <w:b w:val="0"/>
          <w:bCs/>
          <w:sz w:val="32"/>
          <w:szCs w:val="32"/>
          <w:highlight w:val="none"/>
          <w:lang w:val="en-US" w:eastAsia="zh-CN"/>
        </w:rPr>
        <w:t>。</w:t>
      </w:r>
    </w:p>
    <w:p w14:paraId="5D73DF9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val="en-US" w:eastAsia="zh-CN"/>
        </w:rPr>
        <w:t>十</w:t>
      </w:r>
      <w:r>
        <w:rPr>
          <w:rFonts w:hint="eastAsia" w:ascii="黑体" w:hAnsi="黑体" w:eastAsia="黑体" w:cs="黑体"/>
          <w:b w:val="0"/>
          <w:bCs/>
          <w:sz w:val="32"/>
          <w:szCs w:val="32"/>
          <w:highlight w:val="none"/>
        </w:rPr>
        <w:t>、关于机关运行经费支出说明</w:t>
      </w:r>
    </w:p>
    <w:p w14:paraId="15DCEC6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年度本部门机关运行经费支出</w:t>
      </w:r>
      <w:r>
        <w:rPr>
          <w:rFonts w:hint="eastAsia" w:ascii="仿宋_GB2312" w:hAnsi="仿宋_GB2312" w:eastAsia="仿宋_GB2312" w:cs="仿宋_GB2312"/>
          <w:sz w:val="32"/>
          <w:szCs w:val="32"/>
          <w:highlight w:val="none"/>
          <w:lang w:val="en-US" w:eastAsia="zh-CN"/>
        </w:rPr>
        <w:t>21.45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比上年决算数增加</w:t>
      </w:r>
      <w:r>
        <w:rPr>
          <w:rFonts w:hint="eastAsia" w:ascii="仿宋_GB2312" w:hAnsi="仿宋_GB2312" w:eastAsia="仿宋_GB2312" w:cs="仿宋_GB2312"/>
          <w:sz w:val="32"/>
          <w:szCs w:val="32"/>
          <w:highlight w:val="none"/>
          <w:lang w:val="en-US" w:eastAsia="zh-CN"/>
        </w:rPr>
        <w:t>5.39</w:t>
      </w:r>
      <w:r>
        <w:rPr>
          <w:rFonts w:hint="eastAsia" w:ascii="仿宋_GB2312" w:hAnsi="仿宋_GB2312" w:eastAsia="仿宋_GB2312" w:cs="仿宋_GB2312"/>
          <w:sz w:val="32"/>
          <w:szCs w:val="32"/>
          <w:highlight w:val="none"/>
        </w:rPr>
        <w:t xml:space="preserve"> 万元，增长</w:t>
      </w:r>
      <w:r>
        <w:rPr>
          <w:rFonts w:hint="eastAsia" w:ascii="仿宋_GB2312" w:hAnsi="仿宋_GB2312" w:eastAsia="仿宋_GB2312" w:cs="仿宋_GB2312"/>
          <w:sz w:val="32"/>
          <w:szCs w:val="32"/>
          <w:highlight w:val="none"/>
          <w:lang w:val="en-US" w:eastAsia="zh-CN"/>
        </w:rPr>
        <w:t>33.56</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其他商品服务支出增加，用于发放退休人员独生子女奖励及退休人员节日慰问费等</w:t>
      </w:r>
      <w:r>
        <w:rPr>
          <w:rFonts w:hint="eastAsia" w:ascii="仿宋_GB2312" w:hAnsi="仿宋_GB2312" w:eastAsia="仿宋_GB2312" w:cs="仿宋_GB2312"/>
          <w:sz w:val="32"/>
          <w:szCs w:val="32"/>
          <w:highlight w:val="none"/>
        </w:rPr>
        <w:t>。</w:t>
      </w:r>
    </w:p>
    <w:p w14:paraId="497E845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1AD80F4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s="仿宋_GB2312"/>
          <w:sz w:val="32"/>
          <w:szCs w:val="32"/>
          <w:highlight w:val="none"/>
        </w:rPr>
        <w:t>2022年本部门开支会议费0万元；开支培训费0万元；未举办节庆、晚会、论坛、赛事等活动。</w:t>
      </w:r>
    </w:p>
    <w:p w14:paraId="052F5D4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17C33B6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1"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1"/>
      <w:bookmarkStart w:id="2" w:name="DIS_MARK_GP_BGT_CGHW_AMT_1"/>
      <w:bookmarkEnd w:id="2"/>
      <w:bookmarkStart w:id="3" w:name="END_GP_BGT_CGHW_AMT_1"/>
      <w:bookmarkEnd w:id="3"/>
      <w:bookmarkStart w:id="4" w:name="END_GP_BGT_CGGC_AMT"/>
      <w:bookmarkEnd w:id="4"/>
      <w:bookmarkStart w:id="5" w:name="START_GP_BGT_CGGC_AMT"/>
      <w:bookmarkEnd w:id="5"/>
      <w:bookmarkStart w:id="6" w:name="START_GP_BGT_CGHW_AMT_1"/>
      <w:bookmarkEnd w:id="6"/>
      <w:bookmarkStart w:id="7" w:name="DIS_MARK_GP_BGT_CGGC_AMT"/>
      <w:bookmarkEnd w:id="7"/>
      <w:bookmarkStart w:id="8" w:name="END_GP_BGT_CGHW_AMT"/>
      <w:bookmarkEnd w:id="8"/>
      <w:bookmarkStart w:id="9" w:name="START_GP_BGT_CGGC_AMT_1"/>
      <w:bookmarkEnd w:id="9"/>
      <w:bookmarkStart w:id="10"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10"/>
      <w:bookmarkStart w:id="11" w:name="START_GP_BGT_CGFW_AMT"/>
      <w:bookmarkEnd w:id="11"/>
      <w:bookmarkStart w:id="12" w:name="END_GP_BGT_CGGC_AMT_1"/>
      <w:bookmarkEnd w:id="12"/>
      <w:bookmarkStart w:id="13"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3"/>
      <w:r>
        <w:rPr>
          <w:rFonts w:hint="eastAsia" w:ascii="仿宋_GB2312" w:hAnsi="仿宋_GB2312" w:eastAsia="仿宋_GB2312"/>
          <w:sz w:val="32"/>
          <w:szCs w:val="32"/>
          <w:highlight w:val="none"/>
          <w:lang w:eastAsia="zh-CN"/>
        </w:rPr>
        <w:t>。</w:t>
      </w:r>
    </w:p>
    <w:p w14:paraId="458DE1A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4991FF0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截至202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年12月31日，本单位共有车辆</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辆，其中，主要领导干部用车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其他用车主要是一般公务用车。本单位车辆</w:t>
      </w:r>
      <w:r>
        <w:rPr>
          <w:rFonts w:hint="eastAsia" w:ascii="仿宋_GB2312" w:hAnsi="仿宋_GB2312" w:eastAsia="仿宋_GB2312" w:cs="仿宋_GB2312"/>
          <w:sz w:val="32"/>
          <w:szCs w:val="32"/>
          <w:highlight w:val="none"/>
          <w:lang w:eastAsia="zh-CN"/>
        </w:rPr>
        <w:t>为</w:t>
      </w:r>
      <w:r>
        <w:rPr>
          <w:rFonts w:hint="eastAsia" w:ascii="仿宋_GB2312" w:hAnsi="仿宋_GB2312" w:eastAsia="仿宋_GB2312" w:cs="仿宋_GB2312"/>
          <w:sz w:val="32"/>
          <w:szCs w:val="32"/>
          <w:highlight w:val="none"/>
        </w:rPr>
        <w:t>一般公务用车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此车已处置，但未销账。单位价值50万元以上通用设备0台（套）；单位价值100万元以上专用设备0台（套）。</w:t>
      </w:r>
    </w:p>
    <w:p w14:paraId="7E62A7E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3391CE3B">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（一）</w:t>
      </w:r>
      <w:r>
        <w:rPr>
          <w:rFonts w:hint="eastAsia" w:ascii="楷体" w:hAnsi="楷体" w:eastAsia="楷体" w:cs="楷体"/>
          <w:b/>
          <w:bCs/>
          <w:sz w:val="32"/>
          <w:szCs w:val="32"/>
          <w:highlight w:val="none"/>
        </w:rPr>
        <w:t>部门整体支出绩效情况</w:t>
      </w:r>
    </w:p>
    <w:p w14:paraId="44C72249">
      <w:pPr>
        <w:pStyle w:val="11"/>
        <w:ind w:firstLine="640" w:firstLineChars="200"/>
        <w:jc w:val="left"/>
        <w:rPr>
          <w:rFonts w:hint="eastAsia" w:ascii="楷体" w:hAnsi="楷体" w:eastAsia="楷体" w:cs="楷体"/>
          <w:b/>
          <w:bCs/>
          <w:sz w:val="32"/>
          <w:szCs w:val="32"/>
          <w:highlight w:val="none"/>
        </w:rPr>
      </w:pPr>
      <w:r>
        <w:rPr>
          <w:rFonts w:hint="eastAsia" w:ascii="仿宋_GB2312" w:hAnsi="仿宋_GB2312" w:eastAsia="仿宋_GB2312" w:cs="仿宋_GB2312"/>
          <w:b/>
          <w:bCs/>
          <w:color w:val="000000"/>
          <w:kern w:val="0"/>
          <w:sz w:val="32"/>
          <w:szCs w:val="32"/>
          <w:highlight w:val="none"/>
          <w:lang w:val="en-US" w:eastAsia="zh-CN" w:bidi="ar-SA"/>
        </w:rPr>
        <w:t>（1）绩效目标完成情况</w:t>
      </w:r>
    </w:p>
    <w:p w14:paraId="0AF1FBF1">
      <w:pPr>
        <w:keepNext w:val="0"/>
        <w:keepLines w:val="0"/>
        <w:pageBreakBefore w:val="0"/>
        <w:widowControl/>
        <w:kinsoku w:val="0"/>
        <w:wordWrap/>
        <w:overflowPunct/>
        <w:topLinePunct w:val="0"/>
        <w:autoSpaceDE w:val="0"/>
        <w:autoSpaceDN w:val="0"/>
        <w:bidi w:val="0"/>
        <w:adjustRightInd w:val="0"/>
        <w:snapToGrid w:val="0"/>
        <w:spacing w:line="600" w:lineRule="exact"/>
        <w:ind w:right="11" w:firstLine="640" w:firstLineChars="200"/>
        <w:jc w:val="left"/>
        <w:textAlignment w:val="baseline"/>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4月，市黄金局职能及所有人员全部并入市工信局，承担市工信局工作任务。本年度绩效目标完成情况如下：一是加强黄金矿山安全生产管理，全年黄金矿山企业未发生伤亡事故和重伤事故，也未发生任何重大经济损失的生产性事故，呈现良好的安全态势；二是扎实开展乡村振兴工作，2022年1-4月，我局委派优秀干部到溆浦县舒溶溪乡火炉溪村开展乡村振兴工作，驻村工作期间，努力做好了脱贫攻坚与乡村振兴的衔接工作，为保障乡村振兴工作的顺利开展，按文件要求保障了驻村队员的各种待遇，驻村队员生活补助、交通补助、通讯补助、人身意外险均按要求落实到位。</w:t>
      </w:r>
    </w:p>
    <w:p w14:paraId="3B9CCD04">
      <w:pPr>
        <w:pStyle w:val="11"/>
        <w:ind w:firstLine="640" w:firstLineChars="200"/>
        <w:jc w:val="left"/>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（2）无部门整体支出绩效自评报告情况说明</w:t>
      </w:r>
    </w:p>
    <w:p w14:paraId="0C231BC7">
      <w:pPr>
        <w:keepNext w:val="0"/>
        <w:keepLines w:val="0"/>
        <w:pageBreakBefore w:val="0"/>
        <w:widowControl/>
        <w:kinsoku w:val="0"/>
        <w:wordWrap/>
        <w:overflowPunct/>
        <w:topLinePunct w:val="0"/>
        <w:autoSpaceDE w:val="0"/>
        <w:autoSpaceDN w:val="0"/>
        <w:bidi w:val="0"/>
        <w:adjustRightInd w:val="0"/>
        <w:snapToGrid w:val="0"/>
        <w:spacing w:line="600" w:lineRule="exact"/>
        <w:ind w:right="11" w:firstLine="640" w:firstLineChars="200"/>
        <w:jc w:val="left"/>
        <w:textAlignment w:val="baseline"/>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根据《中共怀化市委机构编制委员会关于转发&lt;怀化市市直深化事业单位改革试点实施方案&gt;&lt;关于反馈怀化市市直深化事业单位改革试点涉改科级机构情况表的函&gt;的通知》(怀编〔2021〕13号)文件精神，怀化市黄金工业管理局于2021年6月已撤销，人员及相关职能整体并入市工业和信息化局。因单位已撤销，2022年部门整体支出绩效自评编报无相关内容和附件提供，因此怀化市黄金工业管理局无2022年部门整体支出绩效自评报告。</w:t>
      </w:r>
    </w:p>
    <w:p w14:paraId="5B7E7895">
      <w:pPr>
        <w:keepNext w:val="0"/>
        <w:keepLines w:val="0"/>
        <w:pageBreakBefore w:val="0"/>
        <w:widowControl/>
        <w:numPr>
          <w:ilvl w:val="0"/>
          <w:numId w:val="3"/>
        </w:numPr>
        <w:kinsoku w:val="0"/>
        <w:wordWrap/>
        <w:overflowPunct/>
        <w:topLinePunct w:val="0"/>
        <w:autoSpaceDE w:val="0"/>
        <w:autoSpaceDN w:val="0"/>
        <w:bidi w:val="0"/>
        <w:adjustRightInd w:val="0"/>
        <w:snapToGrid w:val="0"/>
        <w:spacing w:line="600" w:lineRule="exact"/>
        <w:ind w:right="11" w:firstLine="600" w:firstLineChars="200"/>
        <w:jc w:val="left"/>
        <w:textAlignment w:val="baseline"/>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rPr>
        <w:t>存在的问题及原因分析</w:t>
      </w:r>
    </w:p>
    <w:p w14:paraId="71FB0D9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right="11" w:rightChars="0" w:firstLine="640" w:firstLineChars="200"/>
        <w:jc w:val="left"/>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无。</w:t>
      </w:r>
    </w:p>
    <w:p w14:paraId="3FDFF2C9">
      <w:pPr>
        <w:pStyle w:val="11"/>
        <w:jc w:val="center"/>
        <w:rPr>
          <w:rFonts w:hint="eastAsia" w:ascii="黑体" w:hAnsi="黑体" w:eastAsia="黑体" w:cs="黑体"/>
          <w:sz w:val="36"/>
          <w:szCs w:val="36"/>
          <w:highlight w:val="none"/>
        </w:rPr>
      </w:pPr>
    </w:p>
    <w:p w14:paraId="15E9CBFF">
      <w:pPr>
        <w:pStyle w:val="11"/>
        <w:jc w:val="center"/>
        <w:rPr>
          <w:rFonts w:hint="eastAsia" w:ascii="黑体" w:hAnsi="黑体" w:eastAsia="黑体" w:cs="黑体"/>
          <w:b w:val="0"/>
          <w:bCs w:val="0"/>
          <w:sz w:val="84"/>
          <w:szCs w:val="84"/>
          <w:highlight w:val="none"/>
        </w:rPr>
      </w:pPr>
    </w:p>
    <w:p w14:paraId="0E8FBA96">
      <w:pPr>
        <w:pStyle w:val="11"/>
        <w:jc w:val="center"/>
        <w:rPr>
          <w:rFonts w:hint="eastAsia" w:ascii="黑体" w:hAnsi="黑体" w:eastAsia="黑体" w:cs="黑体"/>
          <w:b w:val="0"/>
          <w:bCs w:val="0"/>
          <w:sz w:val="84"/>
          <w:szCs w:val="84"/>
          <w:highlight w:val="none"/>
        </w:rPr>
      </w:pPr>
    </w:p>
    <w:p w14:paraId="7E1254E2">
      <w:pPr>
        <w:pStyle w:val="11"/>
        <w:jc w:val="center"/>
        <w:rPr>
          <w:rFonts w:hint="eastAsia" w:ascii="黑体" w:hAnsi="黑体" w:eastAsia="黑体" w:cs="黑体"/>
          <w:b w:val="0"/>
          <w:bCs w:val="0"/>
          <w:sz w:val="84"/>
          <w:szCs w:val="84"/>
          <w:highlight w:val="none"/>
        </w:rPr>
      </w:pPr>
    </w:p>
    <w:p w14:paraId="5366F40D">
      <w:pPr>
        <w:pStyle w:val="11"/>
        <w:jc w:val="center"/>
        <w:rPr>
          <w:rFonts w:hint="eastAsia" w:ascii="黑体" w:hAnsi="黑体" w:eastAsia="黑体" w:cs="黑体"/>
          <w:b w:val="0"/>
          <w:bCs w:val="0"/>
          <w:sz w:val="84"/>
          <w:szCs w:val="84"/>
          <w:highlight w:val="none"/>
        </w:rPr>
      </w:pPr>
    </w:p>
    <w:p w14:paraId="4E04327B">
      <w:pPr>
        <w:pStyle w:val="11"/>
        <w:jc w:val="center"/>
        <w:rPr>
          <w:rFonts w:hint="eastAsia" w:ascii="黑体" w:hAnsi="黑体" w:eastAsia="黑体" w:cs="黑体"/>
          <w:b w:val="0"/>
          <w:bCs w:val="0"/>
          <w:sz w:val="84"/>
          <w:szCs w:val="84"/>
          <w:highlight w:val="none"/>
        </w:rPr>
      </w:pPr>
    </w:p>
    <w:p w14:paraId="705A58EB">
      <w:pPr>
        <w:pStyle w:val="11"/>
        <w:jc w:val="center"/>
        <w:rPr>
          <w:rFonts w:hint="eastAsia" w:ascii="黑体" w:hAnsi="黑体" w:eastAsia="黑体" w:cs="黑体"/>
          <w:b w:val="0"/>
          <w:bCs w:val="0"/>
          <w:sz w:val="84"/>
          <w:szCs w:val="84"/>
          <w:highlight w:val="none"/>
        </w:rPr>
      </w:pPr>
    </w:p>
    <w:p w14:paraId="471F85A0">
      <w:pPr>
        <w:pStyle w:val="11"/>
        <w:jc w:val="center"/>
        <w:rPr>
          <w:rFonts w:hint="eastAsia" w:ascii="黑体" w:hAnsi="黑体" w:eastAsia="黑体" w:cs="黑体"/>
          <w:b w:val="0"/>
          <w:bCs w:val="0"/>
          <w:sz w:val="84"/>
          <w:szCs w:val="84"/>
          <w:highlight w:val="none"/>
        </w:rPr>
      </w:pPr>
    </w:p>
    <w:p w14:paraId="17C14477">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第四部分</w:t>
      </w:r>
    </w:p>
    <w:p w14:paraId="1D8CA127">
      <w:pPr>
        <w:pStyle w:val="11"/>
        <w:jc w:val="center"/>
        <w:rPr>
          <w:rFonts w:hint="eastAsia" w:ascii="黑体" w:hAnsi="黑体" w:eastAsia="黑体" w:cs="黑体"/>
          <w:b w:val="0"/>
          <w:bCs w:val="0"/>
          <w:sz w:val="84"/>
          <w:szCs w:val="84"/>
          <w:highlight w:val="none"/>
        </w:rPr>
      </w:pPr>
      <w:r>
        <w:rPr>
          <w:rFonts w:hint="eastAsia" w:ascii="黑体" w:hAnsi="黑体" w:eastAsia="黑体" w:cs="黑体"/>
          <w:b w:val="0"/>
          <w:bCs w:val="0"/>
          <w:sz w:val="84"/>
          <w:szCs w:val="84"/>
          <w:highlight w:val="none"/>
        </w:rPr>
        <w:t>名词解释</w:t>
      </w:r>
    </w:p>
    <w:p w14:paraId="2D360E5B">
      <w:pPr>
        <w:pStyle w:val="11"/>
        <w:jc w:val="center"/>
        <w:rPr>
          <w:rFonts w:hint="eastAsia" w:ascii="黑体" w:hAnsi="黑体" w:eastAsia="黑体" w:cs="黑体"/>
          <w:b w:val="0"/>
          <w:bCs w:val="0"/>
          <w:sz w:val="84"/>
          <w:szCs w:val="84"/>
          <w:highlight w:val="none"/>
        </w:rPr>
      </w:pPr>
    </w:p>
    <w:p w14:paraId="357F0B06">
      <w:pPr>
        <w:pStyle w:val="11"/>
        <w:jc w:val="center"/>
        <w:rPr>
          <w:rFonts w:hint="eastAsia" w:ascii="黑体" w:hAnsi="黑体" w:eastAsia="黑体" w:cs="黑体"/>
          <w:b w:val="0"/>
          <w:bCs w:val="0"/>
          <w:sz w:val="84"/>
          <w:szCs w:val="84"/>
          <w:highlight w:val="none"/>
        </w:rPr>
      </w:pPr>
    </w:p>
    <w:p w14:paraId="64144A66">
      <w:pPr>
        <w:pStyle w:val="11"/>
        <w:jc w:val="center"/>
        <w:rPr>
          <w:rFonts w:hint="eastAsia" w:ascii="黑体" w:hAnsi="黑体" w:eastAsia="黑体" w:cs="黑体"/>
          <w:b w:val="0"/>
          <w:bCs w:val="0"/>
          <w:sz w:val="84"/>
          <w:szCs w:val="84"/>
          <w:highlight w:val="none"/>
        </w:rPr>
      </w:pPr>
    </w:p>
    <w:p w14:paraId="2ADA7A09">
      <w:pPr>
        <w:pStyle w:val="11"/>
        <w:jc w:val="center"/>
        <w:rPr>
          <w:rFonts w:hint="eastAsia" w:ascii="黑体" w:hAnsi="黑体" w:eastAsia="黑体" w:cs="黑体"/>
          <w:b w:val="0"/>
          <w:bCs w:val="0"/>
          <w:sz w:val="84"/>
          <w:szCs w:val="84"/>
          <w:highlight w:val="none"/>
        </w:rPr>
      </w:pPr>
    </w:p>
    <w:p w14:paraId="650A9565">
      <w:pPr>
        <w:pStyle w:val="11"/>
        <w:jc w:val="center"/>
        <w:rPr>
          <w:rFonts w:hint="eastAsia" w:ascii="黑体" w:hAnsi="黑体" w:eastAsia="黑体" w:cs="黑体"/>
          <w:b w:val="0"/>
          <w:bCs w:val="0"/>
          <w:sz w:val="84"/>
          <w:szCs w:val="84"/>
          <w:highlight w:val="none"/>
        </w:rPr>
      </w:pPr>
    </w:p>
    <w:p w14:paraId="4EFEB7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55" w:lineRule="atLeast"/>
        <w:ind w:righ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48BA1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right="0"/>
        <w:jc w:val="both"/>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1AC1014">
      <w:pPr>
        <w:bidi w:val="0"/>
        <w:rPr>
          <w:rFonts w:hint="eastAsia"/>
          <w:lang w:val="en-US" w:eastAsia="zh-CN"/>
        </w:rPr>
      </w:pPr>
    </w:p>
    <w:p w14:paraId="5C51A7DF">
      <w:pPr>
        <w:bidi w:val="0"/>
        <w:rPr>
          <w:rFonts w:hint="eastAsia"/>
          <w:lang w:val="en-US" w:eastAsia="zh-CN"/>
        </w:rPr>
      </w:pPr>
    </w:p>
    <w:p w14:paraId="7716AE9A">
      <w:pPr>
        <w:pStyle w:val="11"/>
        <w:jc w:val="center"/>
        <w:rPr>
          <w:rFonts w:hint="eastAsia" w:ascii="黑体" w:hAnsi="黑体" w:eastAsia="黑体" w:cs="黑体"/>
          <w:b w:val="0"/>
          <w:bCs w:val="0"/>
          <w:sz w:val="84"/>
          <w:szCs w:val="84"/>
          <w:highlight w:val="none"/>
          <w:lang w:val="en-US" w:eastAsia="zh-CN"/>
        </w:rPr>
      </w:pPr>
    </w:p>
    <w:p w14:paraId="798FC5F3">
      <w:pPr>
        <w:pStyle w:val="11"/>
        <w:jc w:val="center"/>
        <w:rPr>
          <w:rFonts w:hint="eastAsia" w:ascii="黑体" w:hAnsi="黑体" w:eastAsia="黑体" w:cs="黑体"/>
          <w:b w:val="0"/>
          <w:bCs w:val="0"/>
          <w:sz w:val="84"/>
          <w:szCs w:val="84"/>
          <w:highlight w:val="none"/>
          <w:lang w:val="en-US" w:eastAsia="zh-CN"/>
        </w:rPr>
      </w:pPr>
    </w:p>
    <w:p w14:paraId="43335527">
      <w:pPr>
        <w:pStyle w:val="11"/>
        <w:jc w:val="center"/>
        <w:rPr>
          <w:rFonts w:hint="eastAsia" w:ascii="黑体" w:hAnsi="黑体" w:eastAsia="黑体" w:cs="黑体"/>
          <w:b w:val="0"/>
          <w:bCs w:val="0"/>
          <w:sz w:val="84"/>
          <w:szCs w:val="84"/>
          <w:highlight w:val="none"/>
          <w:lang w:val="en-US" w:eastAsia="zh-CN"/>
        </w:rPr>
      </w:pPr>
    </w:p>
    <w:p w14:paraId="6DE70CA8">
      <w:pPr>
        <w:pStyle w:val="11"/>
        <w:jc w:val="center"/>
        <w:rPr>
          <w:rFonts w:hint="eastAsia" w:ascii="黑体" w:hAnsi="黑体" w:eastAsia="黑体" w:cs="黑体"/>
          <w:b w:val="0"/>
          <w:bCs w:val="0"/>
          <w:sz w:val="84"/>
          <w:szCs w:val="84"/>
          <w:highlight w:val="none"/>
          <w:lang w:val="en-US" w:eastAsia="zh-CN"/>
        </w:rPr>
      </w:pPr>
    </w:p>
    <w:p w14:paraId="768092C9">
      <w:pPr>
        <w:pStyle w:val="11"/>
        <w:jc w:val="center"/>
        <w:rPr>
          <w:rFonts w:hint="eastAsia" w:ascii="黑体" w:hAnsi="黑体" w:eastAsia="黑体" w:cs="黑体"/>
          <w:b w:val="0"/>
          <w:bCs w:val="0"/>
          <w:sz w:val="84"/>
          <w:szCs w:val="84"/>
          <w:highlight w:val="none"/>
          <w:lang w:val="en-US" w:eastAsia="zh-CN"/>
        </w:rPr>
      </w:pPr>
    </w:p>
    <w:p w14:paraId="4339B5A4">
      <w:pPr>
        <w:pStyle w:val="11"/>
        <w:jc w:val="center"/>
        <w:rPr>
          <w:rFonts w:hint="eastAsia" w:ascii="黑体" w:hAnsi="黑体" w:eastAsia="黑体" w:cs="黑体"/>
          <w:b w:val="0"/>
          <w:bCs w:val="0"/>
          <w:sz w:val="84"/>
          <w:szCs w:val="84"/>
          <w:highlight w:val="none"/>
          <w:lang w:val="en-US" w:eastAsia="zh-CN"/>
        </w:rPr>
      </w:pPr>
    </w:p>
    <w:p w14:paraId="2DD8F532">
      <w:pPr>
        <w:pStyle w:val="11"/>
        <w:jc w:val="center"/>
        <w:rPr>
          <w:rFonts w:hint="eastAsia" w:ascii="黑体" w:hAnsi="黑体" w:eastAsia="黑体" w:cs="黑体"/>
          <w:b w:val="0"/>
          <w:bCs w:val="0"/>
          <w:sz w:val="84"/>
          <w:szCs w:val="84"/>
          <w:highlight w:val="none"/>
          <w:lang w:val="en-US" w:eastAsia="zh-CN"/>
        </w:rPr>
      </w:pPr>
    </w:p>
    <w:p w14:paraId="1BA55939">
      <w:pPr>
        <w:pStyle w:val="11"/>
        <w:jc w:val="center"/>
        <w:rPr>
          <w:rFonts w:hint="eastAsia" w:ascii="黑体" w:hAnsi="黑体" w:eastAsia="黑体" w:cs="黑体"/>
          <w:b w:val="0"/>
          <w:bCs w:val="0"/>
          <w:sz w:val="84"/>
          <w:szCs w:val="84"/>
          <w:highlight w:val="none"/>
          <w:lang w:val="en-US" w:eastAsia="zh-CN"/>
        </w:rPr>
      </w:pPr>
    </w:p>
    <w:p w14:paraId="0D1C28B2">
      <w:pPr>
        <w:pStyle w:val="11"/>
        <w:jc w:val="center"/>
        <w:rPr>
          <w:rFonts w:hint="eastAsia" w:ascii="黑体" w:hAnsi="黑体" w:eastAsia="黑体" w:cs="黑体"/>
          <w:b w:val="0"/>
          <w:bCs w:val="0"/>
          <w:sz w:val="84"/>
          <w:szCs w:val="84"/>
          <w:highlight w:val="none"/>
          <w:lang w:val="en-US" w:eastAsia="zh-CN"/>
        </w:rPr>
      </w:pPr>
    </w:p>
    <w:p w14:paraId="46F1CD0A">
      <w:pPr>
        <w:pStyle w:val="11"/>
        <w:jc w:val="center"/>
        <w:rPr>
          <w:rFonts w:hint="eastAsia" w:ascii="黑体" w:hAnsi="黑体" w:eastAsia="黑体" w:cs="黑体"/>
          <w:b w:val="0"/>
          <w:bCs w:val="0"/>
          <w:sz w:val="84"/>
          <w:szCs w:val="84"/>
          <w:highlight w:val="none"/>
          <w:lang w:val="en-US" w:eastAsia="zh-CN"/>
        </w:rPr>
      </w:pPr>
    </w:p>
    <w:p w14:paraId="18D95C8E">
      <w:pPr>
        <w:pStyle w:val="11"/>
        <w:jc w:val="center"/>
        <w:rPr>
          <w:rFonts w:hint="eastAsia" w:ascii="黑体" w:hAnsi="黑体" w:eastAsia="黑体" w:cs="黑体"/>
          <w:b w:val="0"/>
          <w:bCs w:val="0"/>
          <w:sz w:val="84"/>
          <w:szCs w:val="84"/>
          <w:highlight w:val="none"/>
          <w:lang w:val="en-US" w:eastAsia="zh-CN"/>
        </w:rPr>
      </w:pPr>
    </w:p>
    <w:p w14:paraId="46EE8B8C">
      <w:pPr>
        <w:pStyle w:val="11"/>
        <w:jc w:val="center"/>
        <w:rPr>
          <w:rFonts w:hint="eastAsia" w:ascii="黑体" w:hAnsi="黑体" w:eastAsia="黑体" w:cs="黑体"/>
          <w:b w:val="0"/>
          <w:bCs w:val="0"/>
          <w:sz w:val="84"/>
          <w:szCs w:val="84"/>
          <w:highlight w:val="none"/>
          <w:lang w:val="en-US" w:eastAsia="zh-CN"/>
        </w:rPr>
      </w:pPr>
    </w:p>
    <w:p w14:paraId="799D09E8">
      <w:pPr>
        <w:pStyle w:val="11"/>
        <w:jc w:val="center"/>
        <w:rPr>
          <w:rFonts w:hint="eastAsia" w:ascii="黑体" w:hAnsi="黑体" w:eastAsia="黑体" w:cs="黑体"/>
          <w:b w:val="0"/>
          <w:bCs w:val="0"/>
          <w:sz w:val="84"/>
          <w:szCs w:val="84"/>
          <w:highlight w:val="none"/>
          <w:lang w:val="en-US" w:eastAsia="zh-CN"/>
        </w:rPr>
      </w:pPr>
      <w:r>
        <w:rPr>
          <w:rFonts w:hint="eastAsia" w:ascii="黑体" w:hAnsi="黑体" w:eastAsia="黑体" w:cs="黑体"/>
          <w:b w:val="0"/>
          <w:bCs w:val="0"/>
          <w:sz w:val="84"/>
          <w:szCs w:val="84"/>
          <w:highlight w:val="none"/>
          <w:lang w:val="en-US" w:eastAsia="zh-CN"/>
        </w:rPr>
        <w:t>第五部分</w:t>
      </w:r>
    </w:p>
    <w:p w14:paraId="1AFC155A">
      <w:pPr>
        <w:pStyle w:val="11"/>
        <w:jc w:val="center"/>
        <w:rPr>
          <w:rFonts w:hint="eastAsia" w:ascii="黑体" w:hAnsi="黑体" w:eastAsia="黑体" w:cs="黑体"/>
          <w:b w:val="0"/>
          <w:bCs w:val="0"/>
          <w:sz w:val="84"/>
          <w:szCs w:val="84"/>
          <w:highlight w:val="none"/>
          <w:lang w:val="en-US" w:eastAsia="zh-CN"/>
        </w:rPr>
      </w:pPr>
      <w:r>
        <w:rPr>
          <w:rFonts w:hint="eastAsia" w:ascii="黑体" w:hAnsi="黑体" w:eastAsia="黑体" w:cs="黑体"/>
          <w:b w:val="0"/>
          <w:bCs w:val="0"/>
          <w:sz w:val="84"/>
          <w:szCs w:val="84"/>
          <w:highlight w:val="none"/>
          <w:lang w:val="en-US" w:eastAsia="zh-CN"/>
        </w:rPr>
        <w:t>附件</w:t>
      </w:r>
    </w:p>
    <w:p w14:paraId="57773CE0">
      <w:pPr>
        <w:pStyle w:val="11"/>
        <w:jc w:val="center"/>
        <w:rPr>
          <w:rFonts w:hint="eastAsia" w:ascii="黑体" w:hAnsi="黑体" w:eastAsia="黑体" w:cs="黑体"/>
          <w:b w:val="0"/>
          <w:bCs w:val="0"/>
          <w:sz w:val="84"/>
          <w:szCs w:val="84"/>
          <w:highlight w:val="none"/>
          <w:lang w:val="en-US" w:eastAsia="zh-CN"/>
        </w:rPr>
      </w:pPr>
    </w:p>
    <w:p w14:paraId="3CB2AD25">
      <w:pPr>
        <w:pStyle w:val="11"/>
        <w:jc w:val="center"/>
        <w:rPr>
          <w:rFonts w:hint="eastAsia" w:ascii="黑体" w:hAnsi="黑体" w:eastAsia="黑体" w:cs="黑体"/>
          <w:b w:val="0"/>
          <w:bCs w:val="0"/>
          <w:sz w:val="84"/>
          <w:szCs w:val="84"/>
          <w:highlight w:val="none"/>
          <w:lang w:val="en-US" w:eastAsia="zh-CN"/>
        </w:rPr>
      </w:pPr>
    </w:p>
    <w:p w14:paraId="2067B857">
      <w:pPr>
        <w:pStyle w:val="11"/>
        <w:jc w:val="center"/>
        <w:rPr>
          <w:rFonts w:hint="eastAsia" w:ascii="黑体" w:hAnsi="黑体" w:eastAsia="黑体" w:cs="黑体"/>
          <w:b w:val="0"/>
          <w:bCs w:val="0"/>
          <w:sz w:val="84"/>
          <w:szCs w:val="84"/>
          <w:highlight w:val="none"/>
          <w:lang w:val="en-US" w:eastAsia="zh-CN"/>
        </w:rPr>
      </w:pPr>
    </w:p>
    <w:p w14:paraId="5FCA97ED">
      <w:pPr>
        <w:pStyle w:val="11"/>
        <w:jc w:val="center"/>
        <w:rPr>
          <w:rFonts w:hint="default" w:ascii="黑体" w:hAnsi="黑体" w:eastAsia="黑体" w:cs="黑体"/>
          <w:b w:val="0"/>
          <w:bCs w:val="0"/>
          <w:sz w:val="84"/>
          <w:szCs w:val="84"/>
          <w:highlight w:val="none"/>
          <w:lang w:val="en-US" w:eastAsia="zh-CN"/>
        </w:rPr>
      </w:pPr>
    </w:p>
    <w:p w14:paraId="274ECEFD">
      <w:pPr>
        <w:bidi w:val="0"/>
        <w:rPr>
          <w:rFonts w:hint="eastAsia"/>
          <w:lang w:val="en-US" w:eastAsia="zh-CN"/>
        </w:rPr>
      </w:pPr>
    </w:p>
    <w:p w14:paraId="455C68B7">
      <w:pPr>
        <w:bidi w:val="0"/>
        <w:rPr>
          <w:rFonts w:hint="eastAsia"/>
          <w:lang w:val="en-US" w:eastAsia="zh-CN"/>
        </w:rPr>
      </w:pPr>
    </w:p>
    <w:p w14:paraId="2F534AA8">
      <w:pPr>
        <w:bidi w:val="0"/>
        <w:rPr>
          <w:rFonts w:hint="eastAsia"/>
          <w:lang w:val="en-US" w:eastAsia="zh-CN"/>
        </w:rPr>
      </w:pPr>
    </w:p>
    <w:p w14:paraId="475AD9D2">
      <w:pPr>
        <w:tabs>
          <w:tab w:val="left" w:pos="2413"/>
        </w:tabs>
        <w:bidi w:val="0"/>
        <w:ind w:firstLine="320" w:firstLineChars="100"/>
        <w:jc w:val="left"/>
        <w:rPr>
          <w:rFonts w:hint="eastAsia"/>
          <w:lang w:val="en-US" w:eastAsia="zh-CN"/>
        </w:rPr>
      </w:pPr>
      <w:r>
        <w:rPr>
          <w:rFonts w:hint="eastAsia" w:ascii="仿宋_GB2312" w:hAnsi="仿宋_GB2312" w:eastAsia="仿宋_GB2312" w:cs="仿宋_GB2312"/>
          <w:color w:val="000000"/>
          <w:kern w:val="0"/>
          <w:sz w:val="32"/>
          <w:szCs w:val="32"/>
          <w:highlight w:val="none"/>
          <w:lang w:val="en-US" w:eastAsia="zh-CN" w:bidi="ar-SA"/>
        </w:rPr>
        <w:t>附件：怀化市黄金工业管理局2022年部门决算公开表</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DC2751"/>
    <w:multiLevelType w:val="singleLevel"/>
    <w:tmpl w:val="AEDC2751"/>
    <w:lvl w:ilvl="0" w:tentative="0">
      <w:start w:val="2"/>
      <w:numFmt w:val="chineseCounting"/>
      <w:suff w:val="nothing"/>
      <w:lvlText w:val="（%1）"/>
      <w:lvlJc w:val="left"/>
      <w:rPr>
        <w:rFonts w:hint="eastAsia"/>
      </w:rPr>
    </w:lvl>
  </w:abstractNum>
  <w:abstractNum w:abstractNumId="1">
    <w:nsid w:val="E6A459FD"/>
    <w:multiLevelType w:val="singleLevel"/>
    <w:tmpl w:val="E6A459FD"/>
    <w:lvl w:ilvl="0" w:tentative="0">
      <w:start w:val="9"/>
      <w:numFmt w:val="chineseCounting"/>
      <w:suff w:val="nothing"/>
      <w:lvlText w:val="%1、"/>
      <w:lvlJc w:val="left"/>
      <w:rPr>
        <w:rFonts w:hint="eastAsia"/>
      </w:rPr>
    </w:lvl>
  </w:abstractNum>
  <w:abstractNum w:abstractNumId="2">
    <w:nsid w:val="4785F75E"/>
    <w:multiLevelType w:val="singleLevel"/>
    <w:tmpl w:val="4785F75E"/>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E6884"/>
    <w:rsid w:val="018C33F1"/>
    <w:rsid w:val="01A249C3"/>
    <w:rsid w:val="022573A2"/>
    <w:rsid w:val="02BF15A4"/>
    <w:rsid w:val="06825325"/>
    <w:rsid w:val="09EA5159"/>
    <w:rsid w:val="0AD025FD"/>
    <w:rsid w:val="0D3A01A5"/>
    <w:rsid w:val="0DE13CE3"/>
    <w:rsid w:val="1026099D"/>
    <w:rsid w:val="122E5DFF"/>
    <w:rsid w:val="13AE369B"/>
    <w:rsid w:val="142B6A9A"/>
    <w:rsid w:val="14F73593"/>
    <w:rsid w:val="15543DCE"/>
    <w:rsid w:val="173503D8"/>
    <w:rsid w:val="1AD559B1"/>
    <w:rsid w:val="208A4B48"/>
    <w:rsid w:val="236B1B36"/>
    <w:rsid w:val="24741D97"/>
    <w:rsid w:val="256736AA"/>
    <w:rsid w:val="284877C3"/>
    <w:rsid w:val="28581E1E"/>
    <w:rsid w:val="286B34B1"/>
    <w:rsid w:val="29AA479D"/>
    <w:rsid w:val="2A5A37DD"/>
    <w:rsid w:val="2C0377F6"/>
    <w:rsid w:val="2F7356F9"/>
    <w:rsid w:val="302E54F0"/>
    <w:rsid w:val="30515D17"/>
    <w:rsid w:val="30E42053"/>
    <w:rsid w:val="30ED7159"/>
    <w:rsid w:val="31C845BB"/>
    <w:rsid w:val="34101DDC"/>
    <w:rsid w:val="348E3A6F"/>
    <w:rsid w:val="35A10512"/>
    <w:rsid w:val="36053A61"/>
    <w:rsid w:val="3BE473AB"/>
    <w:rsid w:val="3C681D8A"/>
    <w:rsid w:val="3DD42FA4"/>
    <w:rsid w:val="3FD634AE"/>
    <w:rsid w:val="41540B2E"/>
    <w:rsid w:val="41D23159"/>
    <w:rsid w:val="42554B5E"/>
    <w:rsid w:val="42642FF3"/>
    <w:rsid w:val="428270C4"/>
    <w:rsid w:val="42C121F4"/>
    <w:rsid w:val="436332AB"/>
    <w:rsid w:val="44DC3315"/>
    <w:rsid w:val="45801852"/>
    <w:rsid w:val="45D86A27"/>
    <w:rsid w:val="47BB36B5"/>
    <w:rsid w:val="485D476D"/>
    <w:rsid w:val="48D34A2F"/>
    <w:rsid w:val="490E5A67"/>
    <w:rsid w:val="49DB1DED"/>
    <w:rsid w:val="4B8E10E1"/>
    <w:rsid w:val="4BE1469A"/>
    <w:rsid w:val="4BF76C86"/>
    <w:rsid w:val="4EFE4FDC"/>
    <w:rsid w:val="4F3A75B6"/>
    <w:rsid w:val="4F3C029A"/>
    <w:rsid w:val="5023629C"/>
    <w:rsid w:val="50E023DF"/>
    <w:rsid w:val="52187956"/>
    <w:rsid w:val="52CF44B9"/>
    <w:rsid w:val="55740D54"/>
    <w:rsid w:val="56F10184"/>
    <w:rsid w:val="5777D4F5"/>
    <w:rsid w:val="58D931E0"/>
    <w:rsid w:val="5BE32D83"/>
    <w:rsid w:val="5BE56AFB"/>
    <w:rsid w:val="5C4325EE"/>
    <w:rsid w:val="5EC450EE"/>
    <w:rsid w:val="5FC6BB1E"/>
    <w:rsid w:val="5FF720F1"/>
    <w:rsid w:val="60363DC9"/>
    <w:rsid w:val="61A2515B"/>
    <w:rsid w:val="61EA6C19"/>
    <w:rsid w:val="63091321"/>
    <w:rsid w:val="64F953C5"/>
    <w:rsid w:val="678C5CD8"/>
    <w:rsid w:val="6C2C4773"/>
    <w:rsid w:val="6E4771A1"/>
    <w:rsid w:val="6ECD58F9"/>
    <w:rsid w:val="737D59BA"/>
    <w:rsid w:val="742C30C1"/>
    <w:rsid w:val="76876CD5"/>
    <w:rsid w:val="76BB072D"/>
    <w:rsid w:val="76D256F5"/>
    <w:rsid w:val="7755292F"/>
    <w:rsid w:val="77C37683"/>
    <w:rsid w:val="77DB4E89"/>
    <w:rsid w:val="79FF515B"/>
    <w:rsid w:val="7A5E3C8E"/>
    <w:rsid w:val="7C6453C2"/>
    <w:rsid w:val="7E165391"/>
    <w:rsid w:val="7E9F11B4"/>
    <w:rsid w:val="7EFC7ADA"/>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ind w:firstLine="64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4872</Words>
  <Characters>5206</Characters>
  <Lines>63</Lines>
  <Paragraphs>18</Paragraphs>
  <TotalTime>0</TotalTime>
  <ScaleCrop>false</ScaleCrop>
  <LinksUpToDate>false</LinksUpToDate>
  <CharactersWithSpaces>5221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2023-09-20T03:13:00Z</cp:lastPrinted>
  <dcterms:modified xsi:type="dcterms:W3CDTF">2024-10-31T16:44:09Z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3312C16E6D9B49D688AFA9C786B07DD9_12</vt:lpwstr>
  </property>
</Properties>
</file>