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D12CA">
      <w:pPr>
        <w:pStyle w:val="8"/>
        <w:widowControl/>
        <w:shd w:val="clear" w:color="auto" w:fill="FFFFFF"/>
        <w:spacing w:beforeAutospacing="0" w:afterAutospacing="0" w:line="480" w:lineRule="exact"/>
        <w:jc w:val="both"/>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附件1</w:t>
      </w:r>
    </w:p>
    <w:p w14:paraId="3A1CF7A8">
      <w:pPr>
        <w:pStyle w:val="8"/>
        <w:widowControl/>
        <w:shd w:val="clear" w:color="auto" w:fill="FFFFFF"/>
        <w:snapToGrid w:val="0"/>
        <w:spacing w:beforeAutospacing="0" w:afterLines="100" w:afterAutospacing="0" w:line="70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shd w:val="clear" w:color="auto" w:fill="FFFFFF"/>
        </w:rPr>
        <w:t>部门整体支出绩效自评报告</w:t>
      </w:r>
    </w:p>
    <w:p w14:paraId="5497B378">
      <w:pPr>
        <w:pStyle w:val="8"/>
        <w:widowControl/>
        <w:shd w:val="clear" w:color="auto" w:fill="FFFFFF"/>
        <w:adjustRightInd w:val="0"/>
        <w:spacing w:beforeAutospacing="0" w:afterAutospacing="0"/>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一、部门、单位基本情况</w:t>
      </w:r>
    </w:p>
    <w:p w14:paraId="08C50B18">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（一）机构设置情况</w:t>
      </w:r>
    </w:p>
    <w:p w14:paraId="51A97908">
      <w:pPr>
        <w:pStyle w:val="8"/>
        <w:widowControl/>
        <w:shd w:val="clear" w:color="auto" w:fill="FFFFFF"/>
        <w:adjustRightInd w:val="0"/>
        <w:spacing w:beforeAutospacing="0" w:afterAutospacing="0"/>
        <w:ind w:firstLine="640" w:firstLineChars="200"/>
        <w:rPr>
          <w:rFonts w:ascii="方正仿宋_GB2312" w:hAnsi="方正仿宋_GB2312" w:eastAsia="方正仿宋_GB2312" w:cs="方正仿宋_GB2312"/>
          <w:color w:val="000000"/>
          <w:sz w:val="32"/>
          <w:szCs w:val="32"/>
          <w:shd w:val="clear" w:color="auto" w:fill="FFFFFF"/>
        </w:rPr>
      </w:pPr>
      <w:r>
        <w:rPr>
          <w:rFonts w:hint="eastAsia" w:ascii="仿宋" w:hAnsi="仿宋" w:eastAsia="仿宋" w:cs="仿宋"/>
          <w:color w:val="000000"/>
          <w:sz w:val="32"/>
          <w:szCs w:val="32"/>
          <w:shd w:val="clear" w:color="auto" w:fill="FFFFFF"/>
        </w:rPr>
        <w:t>市国资委成立于</w:t>
      </w:r>
      <w:r>
        <w:rPr>
          <w:rFonts w:hint="eastAsia" w:ascii="仿宋" w:hAnsi="仿宋" w:eastAsia="仿宋" w:cs="仿宋"/>
          <w:color w:val="000000"/>
          <w:sz w:val="32"/>
          <w:szCs w:val="32"/>
          <w:highlight w:val="none"/>
          <w:shd w:val="clear" w:color="auto" w:fill="FFFFFF"/>
        </w:rPr>
        <w:t>20</w:t>
      </w:r>
      <w:r>
        <w:rPr>
          <w:rFonts w:hint="eastAsia" w:ascii="仿宋" w:hAnsi="仿宋" w:eastAsia="仿宋" w:cs="仿宋"/>
          <w:color w:val="000000"/>
          <w:sz w:val="32"/>
          <w:szCs w:val="32"/>
          <w:highlight w:val="none"/>
          <w:shd w:val="clear" w:color="auto" w:fill="FFFFFF"/>
          <w:lang w:val="en-US" w:eastAsia="zh-CN"/>
        </w:rPr>
        <w:t>0</w:t>
      </w:r>
      <w:bookmarkStart w:id="0" w:name="_GoBack"/>
      <w:bookmarkEnd w:id="0"/>
      <w:r>
        <w:rPr>
          <w:rFonts w:hint="eastAsia" w:ascii="仿宋" w:hAnsi="仿宋" w:eastAsia="仿宋" w:cs="仿宋"/>
          <w:color w:val="000000"/>
          <w:sz w:val="32"/>
          <w:szCs w:val="32"/>
          <w:highlight w:val="none"/>
          <w:shd w:val="clear" w:color="auto" w:fill="FFFFFF"/>
        </w:rPr>
        <w:t>4</w:t>
      </w:r>
      <w:r>
        <w:rPr>
          <w:rFonts w:hint="eastAsia" w:ascii="仿宋" w:hAnsi="仿宋" w:eastAsia="仿宋" w:cs="仿宋"/>
          <w:color w:val="000000"/>
          <w:sz w:val="32"/>
          <w:szCs w:val="32"/>
          <w:shd w:val="clear" w:color="auto" w:fill="FFFFFF"/>
        </w:rPr>
        <w:t>年底，为市政府工作部门。根据《关于印发中共怀化市直属机关工作委员会等16个党政机关职责、机构编制调整方案和怀化市科学技术局等7个政府机关职能配置、内设机构、人员编制规定的通知》（怀办〔2019〕11号）文件和《关于怀化市人民政府国有资产监督管理委员会所属事业单位机构编制事项调整的通知》（怀编办〔2021〕39号）文件精神，市国资委设内设机构6个，下属二级正科级财政拨款公益一类事业单位1个。</w:t>
      </w:r>
    </w:p>
    <w:p w14:paraId="06D7D760">
      <w:pPr>
        <w:pStyle w:val="8"/>
        <w:widowControl/>
        <w:numPr>
          <w:ilvl w:val="0"/>
          <w:numId w:val="1"/>
        </w:numPr>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人员编制情况</w:t>
      </w:r>
    </w:p>
    <w:p w14:paraId="39FDB740">
      <w:pPr>
        <w:pStyle w:val="8"/>
        <w:widowControl/>
        <w:shd w:val="clear" w:color="auto" w:fill="FFFFFF"/>
        <w:adjustRightInd w:val="0"/>
        <w:spacing w:beforeAutospacing="0" w:afterAutospacing="0"/>
        <w:ind w:firstLine="640" w:firstLineChars="200"/>
        <w:rPr>
          <w:rFonts w:ascii="方正仿宋_GB2312" w:hAnsi="方正仿宋_GB2312" w:eastAsia="方正仿宋_GB2312" w:cs="方正仿宋_GB2312"/>
          <w:color w:val="000000"/>
          <w:sz w:val="32"/>
          <w:szCs w:val="32"/>
          <w:shd w:val="clear" w:color="auto" w:fill="FFFFFF"/>
        </w:rPr>
      </w:pPr>
      <w:r>
        <w:rPr>
          <w:rFonts w:hint="eastAsia" w:ascii="仿宋" w:hAnsi="仿宋" w:eastAsia="仿宋" w:cs="仿宋"/>
          <w:color w:val="000000"/>
          <w:sz w:val="32"/>
          <w:szCs w:val="32"/>
          <w:shd w:val="clear" w:color="auto" w:fill="FFFFFF"/>
        </w:rPr>
        <w:t>市国资委核定行政编制20名，机关工勤编1名。实有行政人员18名，机关工勤人员1名；下属二级事业单位事业人员14名，实际在编14名。</w:t>
      </w:r>
    </w:p>
    <w:p w14:paraId="52976258">
      <w:pPr>
        <w:pStyle w:val="8"/>
        <w:widowControl/>
        <w:numPr>
          <w:ilvl w:val="0"/>
          <w:numId w:val="1"/>
        </w:numPr>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主要职能职责</w:t>
      </w:r>
    </w:p>
    <w:p w14:paraId="459C623E">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1.根据市人民政府授权，依照《中华人民共和国公司法》、《中华人民共和国企业国有资产法》等法律和行政法规履行出资人职责，加强所监管企业国有资产的管理工作。</w:t>
      </w:r>
    </w:p>
    <w:p w14:paraId="626CE2F8">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14:paraId="758C6755">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14:paraId="547E993D">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4.通过法定程序，对所监管企业负责人进行任免、考核并根据其经营业绩进行奖惩，建立符合社会主义市场经济体制和现代企业制度要求的选人、用人机制，完善经营者激励和约束制度。</w:t>
      </w:r>
    </w:p>
    <w:p w14:paraId="18E3D16F">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5.按照有关规定，代表市人民政府向所监管企业派出监事会，负责监事会的日常管理工作。</w:t>
      </w:r>
    </w:p>
    <w:p w14:paraId="3FB7F840">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6.负责组织所监管企业上交国有资本收益，参与制定国有资本经营预算有关管理制度和办法，按照有关规定负责国有资本经营预决算编制和执行等工作。</w:t>
      </w:r>
    </w:p>
    <w:p w14:paraId="75DDA659">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7.负责企业国有资产基础管理，起草有关国有资产监督管理的办法和规章制度;依法对县(市、区)国有资产监督管理工作进行指导和监督。</w:t>
      </w:r>
    </w:p>
    <w:p w14:paraId="173BAA64">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8.按照出资人职责，负责督促检查所监管企业贯彻落实国家安全生产方针政策及有关法律法规、标准等工作。</w:t>
      </w:r>
    </w:p>
    <w:p w14:paraId="7A2D5BCE">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9.指导、监督所监管企业法律顾问管理工作。</w:t>
      </w:r>
    </w:p>
    <w:p w14:paraId="109F2C34">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hint="eastAsia" w:ascii="仿宋" w:hAnsi="仿宋" w:eastAsia="仿宋" w:cs="仿宋"/>
          <w:color w:val="000000"/>
          <w:sz w:val="32"/>
          <w:szCs w:val="32"/>
          <w:shd w:val="clear" w:color="auto" w:fill="FFFFFF"/>
        </w:rPr>
        <w:t>10.承办市人民政府交办的其他事项。</w:t>
      </w:r>
    </w:p>
    <w:p w14:paraId="0D30D168">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（四）绩效目标设定情况</w:t>
      </w:r>
    </w:p>
    <w:p w14:paraId="4C9E7F20">
      <w:pPr>
        <w:pStyle w:val="8"/>
        <w:widowControl/>
        <w:shd w:val="clear" w:color="auto" w:fill="FFFFFF"/>
        <w:adjustRightInd w:val="0"/>
        <w:spacing w:beforeAutospacing="0" w:afterAutospacing="0"/>
        <w:ind w:firstLine="640" w:firstLineChars="200"/>
        <w:rPr>
          <w:rFonts w:ascii="方正仿宋_GB2312" w:hAnsi="方正仿宋_GB2312" w:eastAsia="方正仿宋_GB2312" w:cs="方正仿宋_GB2312"/>
          <w:color w:val="000000"/>
          <w:sz w:val="32"/>
          <w:szCs w:val="32"/>
          <w:shd w:val="clear" w:color="auto" w:fill="FFFFFF"/>
        </w:rPr>
      </w:pPr>
      <w:r>
        <w:rPr>
          <w:rFonts w:hint="eastAsia" w:ascii="仿宋" w:hAnsi="仿宋" w:eastAsia="仿宋" w:cs="仿宋"/>
          <w:color w:val="000000"/>
          <w:sz w:val="32"/>
          <w:szCs w:val="32"/>
          <w:shd w:val="clear" w:color="auto" w:fill="FFFFFF"/>
        </w:rPr>
        <w:t>1.加强国资监管。深化国资监管机构职能转变，优化资本，健全高效协同得监督机制。2.国企改革。大力推进平台公司市场化转型，稳固提升企业活力和竞争力。3.人才建设。树立人力资源是企业第一资源的观念，加强国有企业领导人员和人才队伍建设。</w:t>
      </w:r>
    </w:p>
    <w:p w14:paraId="6A7E134E">
      <w:pPr>
        <w:adjustRightInd w:val="0"/>
        <w:ind w:firstLine="640" w:firstLineChars="200"/>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二、部门整体支出管理及使用情况</w:t>
      </w:r>
    </w:p>
    <w:p w14:paraId="1BA06567">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（一）</w:t>
      </w:r>
      <w:r>
        <w:rPr>
          <w:rFonts w:hint="eastAsia" w:ascii="楷体_GB2312" w:eastAsia="楷体_GB2312" w:cs="楷体_GB2312"/>
          <w:color w:val="000000"/>
          <w:sz w:val="32"/>
          <w:szCs w:val="32"/>
          <w:shd w:val="clear" w:color="auto" w:fill="FFFFFF"/>
        </w:rPr>
        <w:t>预算执行、使用、管理总体情况。</w:t>
      </w:r>
    </w:p>
    <w:p w14:paraId="402F13C1">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hint="eastAsia" w:ascii="仿宋" w:hAnsi="仿宋" w:eastAsia="仿宋" w:cs="仿宋"/>
          <w:color w:val="000000"/>
          <w:sz w:val="32"/>
          <w:szCs w:val="32"/>
          <w:shd w:val="clear" w:color="auto" w:fill="FFFFFF"/>
        </w:rPr>
        <w:t>2023年年初预算收、支安排702.84万元，其中：人员经费585.84万元，公用经费安排49.50万元，项目经费67.5万元。2023年年决算收、支执行611.06万元，其中：人员经费514.02万元，公用经费44.95万元，项目经费52.09万元。</w:t>
      </w:r>
    </w:p>
    <w:p w14:paraId="10D6FE1D">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（二）部门预算执行情况</w:t>
      </w:r>
    </w:p>
    <w:p w14:paraId="50A25249">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1.基本支出情况</w:t>
      </w:r>
    </w:p>
    <w:p w14:paraId="79854786">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基本支出年初预算635.34万元，决算558.97万元，用于保障单位正常运转，完成日常工作任务而发生的支出，包括人员经费和公用经费，具体开支明细如下：工资及福利支出475.95万元，其中：基本工资支出167.15万元、津贴补贴支出52.93万元、奖金110.44万元、伙食补助费12.42万元、绩效工资37.99万元、机关养老保险56.99万元、职工基本医疗保险缴费35.18万元、其他社会保障2.86万元；商品服务支出44.95万元，其中：工会经费9.25万元、其他交通费用28.89万元、其他商品服务支出5.62万元；对个人和家庭的补助支出38.07万元。</w:t>
      </w:r>
    </w:p>
    <w:p w14:paraId="70F04851">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2.项目支出情况</w:t>
      </w:r>
    </w:p>
    <w:p w14:paraId="0E1E805C">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sz w:val="32"/>
          <w:szCs w:val="32"/>
        </w:rPr>
        <w:t>项目支出属均于其他运转类，年初预算67.5万元，决算52.09万元。其中：国企党建专项经费支出年初预算17.5万元，决算支出15.53万元；央企省企对接及招商引资专项经费年初预算10万元，决算支出8.11万元；国有企业退休人员社会化管理专项经费年初预算10万元，决算支出7.49万元；国企遗留问题处置项目经费年初预算30万元，决算支出20.96万元。</w:t>
      </w:r>
    </w:p>
    <w:p w14:paraId="29228ADF">
      <w:pPr>
        <w:pStyle w:val="8"/>
        <w:widowControl/>
        <w:numPr>
          <w:ilvl w:val="0"/>
          <w:numId w:val="1"/>
        </w:numPr>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"三公"经费使用和管理情况</w:t>
      </w:r>
    </w:p>
    <w:p w14:paraId="49826707">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sz w:val="32"/>
          <w:szCs w:val="32"/>
        </w:rPr>
        <w:t>全年“三公”经费开支2.42万元，与年初预算2.5万元相比，减少0.08万元；“三公”经费控制率为96.8%。其中：公车运行维护费1.73万元，与年初预算1.5万元相比，增加0.23万元，公务接待费0.69万元，与年初预算1万元相比，减少0.31万元。</w:t>
      </w:r>
    </w:p>
    <w:p w14:paraId="63BCD74E">
      <w:pPr>
        <w:pStyle w:val="8"/>
        <w:widowControl/>
        <w:numPr>
          <w:ilvl w:val="0"/>
          <w:numId w:val="2"/>
        </w:numPr>
        <w:shd w:val="clear" w:color="auto" w:fill="FFFFFF"/>
        <w:adjustRightInd w:val="0"/>
        <w:spacing w:beforeAutospacing="0" w:afterAutospacing="0"/>
        <w:ind w:firstLine="640" w:firstLineChars="200"/>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政府性基金预算支出情况</w:t>
      </w:r>
    </w:p>
    <w:p w14:paraId="3E355A87">
      <w:pPr>
        <w:pStyle w:val="14"/>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2023年度本单位无政府性基金预算财政拨款支出。</w:t>
      </w:r>
    </w:p>
    <w:p w14:paraId="5A520FE9">
      <w:pPr>
        <w:pStyle w:val="8"/>
        <w:widowControl/>
        <w:numPr>
          <w:ilvl w:val="0"/>
          <w:numId w:val="2"/>
        </w:numPr>
        <w:shd w:val="clear" w:color="auto" w:fill="FFFFFF"/>
        <w:adjustRightInd w:val="0"/>
        <w:spacing w:beforeAutospacing="0" w:afterAutospacing="0"/>
        <w:ind w:firstLine="640" w:firstLineChars="200"/>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国有资本经营预算支出情况</w:t>
      </w:r>
    </w:p>
    <w:p w14:paraId="750E4322">
      <w:pPr>
        <w:pStyle w:val="14"/>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2023年度本单位无国有资本经营预算财政拨款支出。</w:t>
      </w:r>
    </w:p>
    <w:p w14:paraId="070C8EA9">
      <w:pPr>
        <w:pStyle w:val="8"/>
        <w:widowControl/>
        <w:numPr>
          <w:ilvl w:val="0"/>
          <w:numId w:val="2"/>
        </w:numPr>
        <w:shd w:val="clear" w:color="auto" w:fill="FFFFFF"/>
        <w:adjustRightInd w:val="0"/>
        <w:spacing w:beforeAutospacing="0" w:afterAutospacing="0"/>
        <w:ind w:firstLine="640" w:firstLineChars="200"/>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社会保险基金预算支出情况</w:t>
      </w:r>
    </w:p>
    <w:p w14:paraId="6405C05D">
      <w:pPr>
        <w:pStyle w:val="14"/>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2023年度本单位无社会保险基金预算财政拨款支出。</w:t>
      </w:r>
    </w:p>
    <w:p w14:paraId="07487598">
      <w:pPr>
        <w:pStyle w:val="8"/>
        <w:widowControl/>
        <w:shd w:val="clear" w:color="auto" w:fill="FFFFFF"/>
        <w:adjustRightInd w:val="0"/>
        <w:spacing w:beforeAutospacing="0" w:afterAutospacing="0"/>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六、部门整体支出绩效情况</w:t>
      </w:r>
    </w:p>
    <w:p w14:paraId="1A0017B2">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（一）综合评价结论</w:t>
      </w:r>
    </w:p>
    <w:p w14:paraId="18266155">
      <w:pPr>
        <w:pStyle w:val="8"/>
        <w:widowControl/>
        <w:shd w:val="clear" w:color="auto" w:fill="FFFFFF"/>
        <w:adjustRightInd w:val="0"/>
        <w:spacing w:beforeAutospacing="0" w:afterAutospacing="0"/>
        <w:ind w:firstLine="640" w:firstLineChars="200"/>
        <w:rPr>
          <w:rFonts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shd w:val="clear" w:color="auto" w:fill="FFFFFF"/>
        </w:rPr>
        <w:t>本单位自评得分95分，评价等级优秀。</w:t>
      </w:r>
    </w:p>
    <w:p w14:paraId="49B1B32A">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（二）评价指标分析（或综合评价情况）</w:t>
      </w:r>
    </w:p>
    <w:p w14:paraId="66327604">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本单位部门职责：对市属企业国有资产进行监督管理，指导推进市属国有企业改革。1.依法履行出资人职责，加强监管企业国有资产的管理，承担监督企业国有资产保值增值的责任；2.指导推进国有企业改革和重组，完善公司治理结构，推动国有经济布局的战略性调整；3.通过法定程序对所监管的企业负责人进行任免、考核并根据其经营业绩进行奖惩，建立现代企业选人、用人机制；4.确保市属国有企业及党组织关系在怀的中央、省属国企党建工作移交并长期有效管理企业党建工作并加强企业党员管理等；5.起草有关国有资产监督管理的办法和规章制度；6.承担市政府交办的其他事项。主要有央企省企对接（招商引资）工作及国有“三供一业”分离移交，驻怀央企、省企、市属国企退休人员移交工作；7.安全生产工作等。年度总体目标：1.加强国资监管。深化国资监管机构职能转变，优化资本，健全高效协同得监督机制。2.国企改革。大力推进平台公司市场化转型，稳固提升企业活力和竞争力。3.人才建设。树立人力资源是企业第一资源的观念，加强国有企业领导人员和人才队伍建设。预算资金管理围绕为一般公共预算资金，没有国有资本经营预算、政府性基金预算。</w:t>
      </w:r>
    </w:p>
    <w:p w14:paraId="0726B03A">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本单位严格按照财务管理的相关要求，建立了《资产管理内部控制制度》、《车辆管理和使用制度》、《资产采购内部控制制度》，重大资产问题提交党委会集体决策。加强了各类资产的管理与控制，保护了资产的安全、完整，提高了资产使用效率，防止资产损失或舞弊行为的发生。2023年末总资产为35.56元，其中流动资产0.25万元，固定资产净值35.32万元，单位建立了固定资产卡片，办公室有专人负责资产的采购验收及管理，资产管理规范、使用合理。2023年无报废固定资产。</w:t>
      </w:r>
    </w:p>
    <w:p w14:paraId="0FB62A98">
      <w:pPr>
        <w:widowControl/>
        <w:shd w:val="clear" w:color="auto" w:fill="FFFFFF"/>
        <w:adjustRightInd w:val="0"/>
        <w:ind w:firstLine="640" w:firstLineChars="200"/>
        <w:rPr>
          <w:rFonts w:ascii="仿宋" w:hAnsi="仿宋" w:eastAsia="仿宋" w:cs="仿宋"/>
          <w:color w:val="333333"/>
          <w:kern w:val="0"/>
          <w:sz w:val="32"/>
          <w:szCs w:val="32"/>
        </w:rPr>
      </w:pPr>
      <w:r>
        <w:rPr>
          <w:rFonts w:hint="eastAsia" w:ascii="仿宋" w:hAnsi="仿宋" w:eastAsia="仿宋" w:cs="仿宋"/>
          <w:color w:val="000000"/>
          <w:kern w:val="0"/>
          <w:sz w:val="32"/>
          <w:szCs w:val="32"/>
        </w:rPr>
        <w:t>1．经济性、成本控制分析</w:t>
      </w:r>
    </w:p>
    <w:p w14:paraId="5C2FB7D9">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我单位整体支出绩效评价指标自评得分95分，2023年我单位在职人员控制率为94.29%，财政供养人员控制没有超过预算编制；预算控制率为86.94%,预算控制良好；“三公经费”控制率为96.8%，“三公”实际开支比预算节约0.08万元。四项专项工作按上级要求按时完成且保质保量。</w:t>
      </w:r>
    </w:p>
    <w:p w14:paraId="48A006F8">
      <w:pPr>
        <w:widowControl/>
        <w:shd w:val="clear" w:color="auto" w:fill="FFFFFF"/>
        <w:adjustRightInd w:val="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2.社会效益分析</w:t>
      </w:r>
    </w:p>
    <w:p w14:paraId="2398F818">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组织党员发挥突击队的作用，攻克难关和解决问题创造经济效益；招商引资工作可推动怀化经济发展，创造税收产生经济效益；企业退休人员社会化管理可推动社会化管理工作；国企遗留问题处置可化解矛盾，维护社会和谐稳定。总体社会满意度较高。</w:t>
      </w:r>
    </w:p>
    <w:p w14:paraId="16022AB9">
      <w:pPr>
        <w:widowControl/>
        <w:shd w:val="clear" w:color="auto" w:fill="FFFFFF"/>
        <w:adjustRightInd w:val="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3.可持续性分析</w:t>
      </w:r>
    </w:p>
    <w:p w14:paraId="1B29643A">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sz w:val="32"/>
          <w:szCs w:val="32"/>
        </w:rPr>
        <w:t>国资管理是一项长期管理工作，在执行国家政府，促进企业改革，加强国企党建，解决国企遗留问题等方面开展了大量的工作，为维护社会稳定，推进当地经济起到了良好的作用。</w:t>
      </w:r>
    </w:p>
    <w:p w14:paraId="4FEBAE74">
      <w:pPr>
        <w:pStyle w:val="8"/>
        <w:widowControl/>
        <w:shd w:val="clear" w:color="auto" w:fill="FFFFFF"/>
        <w:adjustRightInd w:val="0"/>
        <w:spacing w:beforeAutospacing="0" w:afterAutospacing="0"/>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七、存在的问题及原因分析</w:t>
      </w:r>
    </w:p>
    <w:p w14:paraId="60EF6B53">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color w:val="000000"/>
          <w:sz w:val="32"/>
          <w:szCs w:val="32"/>
          <w:shd w:val="clear" w:color="auto" w:fill="FFFFFF"/>
        </w:rPr>
        <w:t>基本支出中人员经费较年初预算减少71.83万元，下降率12.26%，原因一是有人员退休，二是受2022年度绩效考核奖影响，绩效考核奖金减少，三是住房保障支出预算为45.08万元，财政直接支付。项目支出中</w:t>
      </w:r>
      <w:r>
        <w:rPr>
          <w:rFonts w:hint="eastAsia" w:ascii="仿宋" w:hAnsi="仿宋" w:eastAsia="仿宋" w:cs="仿宋"/>
          <w:sz w:val="32"/>
          <w:szCs w:val="32"/>
        </w:rPr>
        <w:t>国企党建专项经费支出年初预算17.5万元，决算支出15.53万元，执行率88.74%，偏离原因是年底财政冻结指标；央企省企对接及招商引资专项经费年初预算10万元，决算支出8.11万元，执行率81.1%，偏离原因是年底财政冻结指标；国有企业退休人员社会化管理专项经费年初预算10万元，决算支出7.49万元，执行率74.9%，偏离原因是年底财政冻结指标；国企遗留问题处置项目经费年初预算30万元，决算支出20.96万元，执行率69.87%，偏离原因是年底财政冻结指标。工作经费的预算安排存在一定的问题，本单位工作具有多样性，而财政每年安排的工作经费仅限于4项工作，如果完全按照专款专用的原则使用，则很多工作开展是没有专门的经费的，比如乡村振兴帮扶、监管企业财务决算审计、需要配套的部分社保等，这就造成了单位工作的开展全部依靠仅有的专项工作经费，很难完全做到专款专用。</w:t>
      </w:r>
    </w:p>
    <w:p w14:paraId="44C259FF">
      <w:pPr>
        <w:pStyle w:val="8"/>
        <w:widowControl/>
        <w:numPr>
          <w:ilvl w:val="0"/>
          <w:numId w:val="3"/>
        </w:numPr>
        <w:shd w:val="clear" w:color="auto" w:fill="FFFFFF"/>
        <w:adjustRightInd w:val="0"/>
        <w:spacing w:beforeAutospacing="0" w:afterAutospacing="0"/>
        <w:ind w:firstLine="640" w:firstLineChars="200"/>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下一步改进措施</w:t>
      </w:r>
    </w:p>
    <w:p w14:paraId="4B0BA8BA">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1.更加合理的编制年初预算。结合单位上年实际调整预算科目金额，使其更加贴合下年实际。</w:t>
      </w:r>
    </w:p>
    <w:p w14:paraId="6F10F99B">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2.积极对接市财政争取资金。对接财政提高公用经费人均标准，公用经费开支的范围很大：职工社保、中餐补助、工会经费补助、嘉奖奖金、退役军人、困难职工和退休职工节日慰问，职工体检费、党建活动等，人均1.2万元的公用经费远远不够用，要兼顾的资金开支太多。</w:t>
      </w:r>
    </w:p>
    <w:p w14:paraId="466A8C6D">
      <w:pPr>
        <w:widowControl/>
        <w:adjustRightInd w:val="0"/>
        <w:ind w:firstLine="640" w:firstLineChars="200"/>
        <w:jc w:val="left"/>
        <w:rPr>
          <w:rFonts w:ascii="仿宋" w:hAnsi="仿宋" w:eastAsia="仿宋" w:cs="仿宋"/>
          <w:sz w:val="32"/>
          <w:szCs w:val="32"/>
        </w:rPr>
      </w:pPr>
      <w:r>
        <w:rPr>
          <w:rFonts w:hint="eastAsia" w:ascii="仿宋" w:hAnsi="仿宋" w:eastAsia="仿宋" w:cs="仿宋"/>
          <w:sz w:val="32"/>
          <w:szCs w:val="32"/>
        </w:rPr>
        <w:t>3.结合内控完善考评指标。内部控制制度从预算管理、收支管理、资产管理、项目管理等各方面对单位的财务和业务进行控制管理，绩效考核指标可以结合内部控制对财务管理部分的关键点制定考核指标，以达到控制和考核相结合的效果。</w:t>
      </w:r>
    </w:p>
    <w:p w14:paraId="4FC99515">
      <w:pPr>
        <w:pStyle w:val="8"/>
        <w:widowControl/>
        <w:shd w:val="clear" w:color="auto" w:fill="FFFFFF"/>
        <w:adjustRightInd w:val="0"/>
        <w:spacing w:beforeAutospacing="0" w:afterAutospacing="0"/>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九、其他需要说明的情况</w:t>
      </w:r>
    </w:p>
    <w:p w14:paraId="7EF4295F">
      <w:pPr>
        <w:pStyle w:val="8"/>
        <w:widowControl/>
        <w:shd w:val="clear" w:color="auto" w:fill="FFFFFF"/>
        <w:adjustRightInd w:val="0"/>
        <w:spacing w:beforeAutospacing="0" w:afterAutospacing="0"/>
        <w:ind w:firstLine="640" w:firstLineChars="200"/>
        <w:rPr>
          <w:rFonts w:ascii="仿宋" w:hAnsi="仿宋" w:eastAsia="仿宋"/>
          <w:kern w:val="2"/>
          <w:sz w:val="32"/>
          <w:szCs w:val="32"/>
        </w:rPr>
      </w:pPr>
      <w:r>
        <w:rPr>
          <w:rFonts w:hint="eastAsia" w:ascii="仿宋" w:hAnsi="仿宋" w:eastAsia="仿宋"/>
          <w:kern w:val="2"/>
          <w:sz w:val="32"/>
          <w:szCs w:val="32"/>
        </w:rPr>
        <w:t>本单位没有其他合并单位。</w:t>
      </w:r>
    </w:p>
    <w:p w14:paraId="37056D3D">
      <w:pPr>
        <w:pStyle w:val="8"/>
        <w:widowControl/>
        <w:shd w:val="clear" w:color="auto" w:fill="FFFFFF"/>
        <w:adjustRightInd w:val="0"/>
        <w:spacing w:beforeAutospacing="0" w:afterAutospacing="0"/>
        <w:ind w:firstLine="640" w:firstLineChars="200"/>
        <w:rPr>
          <w:rFonts w:ascii="仿宋_GB2312" w:eastAsia="仿宋_GB2312" w:cs="仿宋_GB2312"/>
          <w:color w:val="000000"/>
          <w:sz w:val="32"/>
          <w:szCs w:val="32"/>
          <w:shd w:val="clear" w:color="auto" w:fill="FFFFFF"/>
        </w:rPr>
      </w:pPr>
    </w:p>
    <w:p w14:paraId="532C07B8">
      <w:pPr>
        <w:pStyle w:val="8"/>
        <w:widowControl/>
        <w:shd w:val="clear" w:color="auto" w:fill="FFFFFF"/>
        <w:adjustRightInd w:val="0"/>
        <w:spacing w:beforeAutospacing="0" w:afterAutospacing="0"/>
        <w:ind w:firstLine="640" w:firstLineChars="20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报告应包括以下附件：</w:t>
      </w:r>
    </w:p>
    <w:p w14:paraId="1CAEEB38">
      <w:pPr>
        <w:pStyle w:val="8"/>
        <w:widowControl/>
        <w:shd w:val="clear" w:color="auto" w:fill="FFFFFF"/>
        <w:adjustRightInd w:val="0"/>
        <w:spacing w:beforeAutospacing="0" w:afterAutospacing="0"/>
        <w:ind w:firstLine="640" w:firstLineChars="200"/>
        <w:rPr>
          <w:rFonts w:ascii="仿宋_GB2312" w:eastAsia="仿宋_GB2312" w:cs="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1.</w:t>
      </w:r>
      <w:r>
        <w:rPr>
          <w:rFonts w:ascii="仿宋_GB2312" w:eastAsia="仿宋_GB2312" w:cs="仿宋_GB2312"/>
          <w:color w:val="000000"/>
          <w:sz w:val="32"/>
          <w:szCs w:val="32"/>
          <w:shd w:val="clear" w:color="auto" w:fill="FFFFFF"/>
        </w:rPr>
        <w:t>部门整体支出绩效评价基础数据表</w:t>
      </w:r>
      <w:r>
        <w:rPr>
          <w:rFonts w:hint="eastAsia" w:ascii="仿宋_GB2312" w:eastAsia="仿宋_GB2312" w:cs="仿宋_GB2312"/>
          <w:color w:val="000000"/>
          <w:sz w:val="32"/>
          <w:szCs w:val="32"/>
          <w:shd w:val="clear" w:color="auto" w:fill="FFFFFF"/>
        </w:rPr>
        <w:t xml:space="preserve">  </w:t>
      </w:r>
    </w:p>
    <w:p w14:paraId="47E76DFC">
      <w:pPr>
        <w:pStyle w:val="8"/>
        <w:widowControl/>
        <w:shd w:val="clear" w:color="auto" w:fill="FFFFFF"/>
        <w:adjustRightInd w:val="0"/>
        <w:spacing w:beforeAutospacing="0" w:afterAutospacing="0"/>
        <w:ind w:firstLine="640" w:firstLineChars="200"/>
        <w:rPr>
          <w:rFonts w:ascii="仿宋_GB2312" w:eastAsia="仿宋_GB2312" w:cs="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2.</w:t>
      </w:r>
      <w:r>
        <w:rPr>
          <w:rFonts w:ascii="仿宋_GB2312" w:eastAsia="仿宋_GB2312" w:cs="仿宋_GB2312"/>
          <w:color w:val="000000"/>
          <w:sz w:val="32"/>
          <w:szCs w:val="32"/>
          <w:shd w:val="clear" w:color="auto" w:fill="FFFFFF"/>
        </w:rPr>
        <w:t>部门整体支出绩效自评表</w:t>
      </w:r>
    </w:p>
    <w:p w14:paraId="70F2D85F">
      <w:pPr>
        <w:pStyle w:val="8"/>
        <w:widowControl/>
        <w:shd w:val="clear" w:color="auto" w:fill="FFFFFF"/>
        <w:spacing w:beforeAutospacing="0" w:afterAutospacing="0" w:line="480" w:lineRule="atLeast"/>
        <w:jc w:val="both"/>
        <w:rPr>
          <w:rFonts w:ascii="Calibri" w:hAnsi="Calibri" w:cs="Calibri"/>
          <w:color w:val="000000"/>
        </w:rPr>
      </w:pPr>
    </w:p>
    <w:p w14:paraId="79F52D1F">
      <w:pPr>
        <w:pStyle w:val="8"/>
        <w:widowControl/>
        <w:shd w:val="clear" w:color="auto" w:fill="FFFFFF"/>
        <w:spacing w:beforeAutospacing="0" w:afterAutospacing="0" w:line="480" w:lineRule="atLeast"/>
        <w:jc w:val="both"/>
        <w:rPr>
          <w:rFonts w:ascii="Calibri" w:hAnsi="Calibri" w:cs="Calibri"/>
          <w:color w:val="000000"/>
        </w:rPr>
      </w:pPr>
    </w:p>
    <w:p w14:paraId="61D93F03">
      <w:pPr>
        <w:pStyle w:val="8"/>
        <w:widowControl/>
        <w:shd w:val="clear" w:color="auto" w:fill="FFFFFF"/>
        <w:spacing w:beforeAutospacing="0" w:afterAutospacing="0" w:line="480" w:lineRule="atLeast"/>
        <w:jc w:val="both"/>
        <w:rPr>
          <w:rFonts w:ascii="Calibri" w:hAnsi="Calibri" w:cs="Calibri"/>
          <w:color w:val="000000"/>
        </w:rPr>
      </w:pPr>
    </w:p>
    <w:p w14:paraId="78C6C80D">
      <w:pPr>
        <w:pStyle w:val="8"/>
        <w:widowControl/>
        <w:shd w:val="clear" w:color="auto" w:fill="FFFFFF"/>
        <w:spacing w:beforeAutospacing="0" w:afterAutospacing="0" w:line="480" w:lineRule="atLeast"/>
        <w:jc w:val="both"/>
        <w:rPr>
          <w:rFonts w:ascii="Calibri" w:hAnsi="Calibri" w:cs="Calibri"/>
          <w:color w:val="000000"/>
        </w:rPr>
      </w:pPr>
    </w:p>
    <w:p w14:paraId="6A5DCDBF">
      <w:pPr>
        <w:pStyle w:val="8"/>
        <w:widowControl/>
        <w:shd w:val="clear" w:color="auto" w:fill="FFFFFF"/>
        <w:spacing w:beforeAutospacing="0" w:afterAutospacing="0" w:line="480" w:lineRule="atLeast"/>
        <w:jc w:val="both"/>
        <w:rPr>
          <w:rFonts w:ascii="Calibri" w:hAnsi="Calibri" w:cs="Calibri"/>
          <w:color w:val="000000"/>
        </w:rPr>
      </w:pPr>
    </w:p>
    <w:p w14:paraId="48395F97">
      <w:pPr>
        <w:pStyle w:val="8"/>
        <w:widowControl/>
        <w:shd w:val="clear" w:color="auto" w:fill="FFFFFF"/>
        <w:spacing w:beforeAutospacing="0" w:afterAutospacing="0" w:line="480" w:lineRule="atLeast"/>
        <w:jc w:val="both"/>
        <w:rPr>
          <w:rFonts w:ascii="Calibri" w:hAnsi="Calibri" w:cs="Calibri"/>
          <w:color w:val="000000"/>
        </w:rPr>
      </w:pPr>
    </w:p>
    <w:p w14:paraId="4D5946CD">
      <w:pPr>
        <w:pStyle w:val="8"/>
        <w:widowControl/>
        <w:shd w:val="clear" w:color="auto" w:fill="FFFFFF"/>
        <w:spacing w:beforeAutospacing="0" w:afterAutospacing="0" w:line="480" w:lineRule="atLeast"/>
        <w:jc w:val="both"/>
        <w:rPr>
          <w:rFonts w:ascii="Calibri" w:hAnsi="Calibri" w:cs="Calibri"/>
          <w:color w:val="000000"/>
        </w:rPr>
      </w:pPr>
    </w:p>
    <w:p w14:paraId="4CB6E815">
      <w:pPr>
        <w:pStyle w:val="8"/>
        <w:widowControl/>
        <w:shd w:val="clear" w:color="auto" w:fill="FFFFFF"/>
        <w:spacing w:beforeAutospacing="0" w:afterAutospacing="0" w:line="480" w:lineRule="atLeast"/>
        <w:jc w:val="both"/>
        <w:rPr>
          <w:rFonts w:ascii="Calibri" w:hAnsi="Calibri" w:cs="Calibri"/>
          <w:color w:val="000000"/>
        </w:rPr>
      </w:pPr>
    </w:p>
    <w:p w14:paraId="62A18419">
      <w:pPr>
        <w:pStyle w:val="8"/>
        <w:widowControl/>
        <w:shd w:val="clear" w:color="auto" w:fill="FFFFFF"/>
        <w:spacing w:beforeAutospacing="0" w:afterAutospacing="0" w:line="480" w:lineRule="atLeast"/>
        <w:jc w:val="both"/>
        <w:rPr>
          <w:rFonts w:ascii="Calibri" w:hAnsi="Calibri" w:cs="Calibri"/>
          <w:color w:val="000000"/>
        </w:rPr>
      </w:pPr>
    </w:p>
    <w:p w14:paraId="4E5DF913">
      <w:pPr>
        <w:pStyle w:val="8"/>
        <w:widowControl/>
        <w:shd w:val="clear" w:color="auto" w:fill="FFFFFF"/>
        <w:spacing w:beforeAutospacing="0" w:afterAutospacing="0" w:line="480" w:lineRule="atLeast"/>
        <w:jc w:val="both"/>
        <w:rPr>
          <w:rFonts w:ascii="Calibri" w:hAnsi="Calibri" w:cs="Calibri"/>
          <w:color w:val="000000"/>
        </w:rPr>
      </w:pPr>
    </w:p>
    <w:p w14:paraId="6E9F0D1B">
      <w:pPr>
        <w:pStyle w:val="8"/>
        <w:widowControl/>
        <w:shd w:val="clear" w:color="auto" w:fill="FFFFFF"/>
        <w:spacing w:beforeAutospacing="0" w:afterAutospacing="0" w:line="480" w:lineRule="atLeast"/>
        <w:jc w:val="both"/>
        <w:rPr>
          <w:rFonts w:ascii="Calibri" w:hAnsi="Calibri" w:cs="Calibri"/>
          <w:color w:val="000000"/>
        </w:rPr>
      </w:pPr>
    </w:p>
    <w:p w14:paraId="658BB150">
      <w:pPr>
        <w:pStyle w:val="8"/>
        <w:widowControl/>
        <w:shd w:val="clear" w:color="auto" w:fill="FFFFFF"/>
        <w:spacing w:beforeAutospacing="0" w:afterAutospacing="0" w:line="480" w:lineRule="atLeast"/>
        <w:jc w:val="both"/>
        <w:rPr>
          <w:rFonts w:ascii="Calibri" w:hAnsi="Calibri" w:cs="Calibri"/>
          <w:color w:val="000000"/>
        </w:rPr>
      </w:pPr>
    </w:p>
    <w:p w14:paraId="05D78918">
      <w:pPr>
        <w:pStyle w:val="8"/>
        <w:widowControl/>
        <w:shd w:val="clear" w:color="auto" w:fill="FFFFFF"/>
        <w:spacing w:beforeAutospacing="0" w:afterAutospacing="0" w:line="480" w:lineRule="atLeast"/>
        <w:jc w:val="both"/>
        <w:rPr>
          <w:rFonts w:ascii="Calibri" w:hAnsi="Calibri" w:cs="Calibri"/>
          <w:color w:val="000000"/>
        </w:rPr>
      </w:pPr>
    </w:p>
    <w:p w14:paraId="676E7555">
      <w:pPr>
        <w:pStyle w:val="8"/>
        <w:widowControl/>
        <w:shd w:val="clear" w:color="auto" w:fill="FFFFFF"/>
        <w:spacing w:beforeAutospacing="0" w:afterAutospacing="0" w:line="480" w:lineRule="exact"/>
        <w:jc w:val="both"/>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 xml:space="preserve">附件1-1 </w:t>
      </w:r>
    </w:p>
    <w:p w14:paraId="1C552F40">
      <w:pPr>
        <w:widowControl/>
        <w:tabs>
          <w:tab w:val="left" w:pos="3611"/>
          <w:tab w:val="left" w:pos="4791"/>
          <w:tab w:val="left" w:pos="5951"/>
          <w:tab w:val="left" w:pos="7071"/>
          <w:tab w:val="left" w:pos="8191"/>
          <w:tab w:val="left" w:pos="9311"/>
        </w:tabs>
        <w:spacing w:line="480" w:lineRule="exac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部门整体支出绩效评价基础数据表</w:t>
      </w:r>
    </w:p>
    <w:p w14:paraId="7C70414C">
      <w:pPr>
        <w:widowControl/>
        <w:tabs>
          <w:tab w:val="left" w:pos="3611"/>
          <w:tab w:val="left" w:pos="4791"/>
          <w:tab w:val="left" w:pos="5951"/>
          <w:tab w:val="left" w:pos="7071"/>
          <w:tab w:val="left" w:pos="8191"/>
          <w:tab w:val="left" w:pos="9311"/>
        </w:tabs>
        <w:ind w:left="91"/>
        <w:jc w:val="left"/>
        <w:rPr>
          <w:rFonts w:eastAsia="仿宋_GB2312"/>
          <w:kern w:val="0"/>
          <w:sz w:val="24"/>
        </w:rPr>
      </w:pPr>
      <w:r>
        <w:rPr>
          <w:rFonts w:hint="eastAsia" w:eastAsia="仿宋_GB2312"/>
          <w:kern w:val="0"/>
          <w:sz w:val="24"/>
        </w:rPr>
        <w:t>填报单位：</w:t>
      </w:r>
      <w:r>
        <w:rPr>
          <w:rFonts w:hint="eastAsia" w:ascii="仿宋" w:hAnsi="仿宋" w:eastAsia="仿宋" w:cs="仿宋"/>
          <w:color w:val="000000"/>
          <w:kern w:val="0"/>
          <w:sz w:val="20"/>
          <w:szCs w:val="20"/>
        </w:rPr>
        <w:t>怀化市人民政府国有资产监督管理委员会</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B2A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vAlign w:val="center"/>
          </w:tcPr>
          <w:p w14:paraId="53D665F5">
            <w:pPr>
              <w:widowControl/>
              <w:jc w:val="center"/>
              <w:rPr>
                <w:rFonts w:ascii="仿宋" w:hAnsi="仿宋" w:eastAsia="仿宋" w:cs="仿宋"/>
                <w:kern w:val="0"/>
                <w:sz w:val="20"/>
                <w:szCs w:val="20"/>
              </w:rPr>
            </w:pPr>
            <w:r>
              <w:rPr>
                <w:rFonts w:hint="eastAsia" w:ascii="仿宋" w:hAnsi="仿宋" w:eastAsia="仿宋" w:cs="仿宋"/>
                <w:kern w:val="0"/>
                <w:sz w:val="20"/>
                <w:szCs w:val="20"/>
              </w:rPr>
              <w:t>财政供养人员情况</w:t>
            </w:r>
          </w:p>
        </w:tc>
        <w:tc>
          <w:tcPr>
            <w:tcW w:w="2038" w:type="dxa"/>
            <w:gridSpan w:val="2"/>
            <w:vAlign w:val="center"/>
          </w:tcPr>
          <w:p w14:paraId="377AE0BF">
            <w:pPr>
              <w:widowControl/>
              <w:jc w:val="center"/>
              <w:rPr>
                <w:rFonts w:ascii="仿宋" w:hAnsi="仿宋" w:eastAsia="仿宋" w:cs="仿宋"/>
                <w:kern w:val="0"/>
                <w:sz w:val="20"/>
                <w:szCs w:val="20"/>
              </w:rPr>
            </w:pPr>
            <w:r>
              <w:rPr>
                <w:rFonts w:hint="eastAsia" w:ascii="仿宋" w:hAnsi="仿宋" w:eastAsia="仿宋" w:cs="仿宋"/>
                <w:kern w:val="0"/>
                <w:sz w:val="20"/>
                <w:szCs w:val="20"/>
              </w:rPr>
              <w:t>编制数</w:t>
            </w:r>
          </w:p>
        </w:tc>
        <w:tc>
          <w:tcPr>
            <w:tcW w:w="2240" w:type="dxa"/>
            <w:gridSpan w:val="2"/>
            <w:vAlign w:val="center"/>
          </w:tcPr>
          <w:p w14:paraId="5D694BA4">
            <w:pPr>
              <w:widowControl/>
              <w:jc w:val="center"/>
              <w:rPr>
                <w:rFonts w:ascii="仿宋" w:hAnsi="仿宋" w:eastAsia="仿宋" w:cs="仿宋"/>
                <w:kern w:val="0"/>
                <w:sz w:val="20"/>
                <w:szCs w:val="20"/>
              </w:rPr>
            </w:pPr>
            <w:r>
              <w:rPr>
                <w:rFonts w:hint="eastAsia" w:ascii="仿宋" w:hAnsi="仿宋" w:eastAsia="仿宋" w:cs="仿宋"/>
                <w:kern w:val="0"/>
                <w:sz w:val="20"/>
                <w:szCs w:val="20"/>
              </w:rPr>
              <w:t>2023年实际在职人数</w:t>
            </w:r>
          </w:p>
        </w:tc>
        <w:tc>
          <w:tcPr>
            <w:tcW w:w="1832" w:type="dxa"/>
            <w:gridSpan w:val="2"/>
            <w:vAlign w:val="center"/>
          </w:tcPr>
          <w:p w14:paraId="4E459410">
            <w:pPr>
              <w:widowControl/>
              <w:jc w:val="center"/>
              <w:rPr>
                <w:rFonts w:ascii="仿宋" w:hAnsi="仿宋" w:eastAsia="仿宋" w:cs="仿宋"/>
                <w:kern w:val="0"/>
                <w:sz w:val="20"/>
                <w:szCs w:val="20"/>
              </w:rPr>
            </w:pPr>
            <w:r>
              <w:rPr>
                <w:rFonts w:hint="eastAsia" w:ascii="仿宋" w:hAnsi="仿宋" w:eastAsia="仿宋" w:cs="仿宋"/>
                <w:kern w:val="0"/>
                <w:sz w:val="20"/>
                <w:szCs w:val="20"/>
              </w:rPr>
              <w:t>控制率</w:t>
            </w:r>
          </w:p>
        </w:tc>
      </w:tr>
      <w:tr w14:paraId="43B6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vAlign w:val="center"/>
          </w:tcPr>
          <w:p w14:paraId="29B53F0C">
            <w:pPr>
              <w:widowControl/>
              <w:jc w:val="left"/>
              <w:rPr>
                <w:rFonts w:ascii="仿宋" w:hAnsi="仿宋" w:eastAsia="仿宋" w:cs="仿宋"/>
                <w:kern w:val="0"/>
                <w:sz w:val="20"/>
                <w:szCs w:val="20"/>
              </w:rPr>
            </w:pPr>
          </w:p>
        </w:tc>
        <w:tc>
          <w:tcPr>
            <w:tcW w:w="2038" w:type="dxa"/>
            <w:gridSpan w:val="2"/>
            <w:vAlign w:val="center"/>
          </w:tcPr>
          <w:p w14:paraId="649A30DD">
            <w:pPr>
              <w:widowControl/>
              <w:jc w:val="center"/>
              <w:rPr>
                <w:rFonts w:ascii="仿宋" w:hAnsi="仿宋" w:eastAsia="仿宋" w:cs="仿宋"/>
                <w:kern w:val="0"/>
                <w:sz w:val="20"/>
                <w:szCs w:val="20"/>
              </w:rPr>
            </w:pPr>
            <w:r>
              <w:rPr>
                <w:rFonts w:hint="eastAsia" w:ascii="仿宋" w:hAnsi="仿宋" w:eastAsia="仿宋" w:cs="仿宋"/>
                <w:kern w:val="0"/>
                <w:sz w:val="20"/>
                <w:szCs w:val="20"/>
              </w:rPr>
              <w:t>35</w:t>
            </w:r>
          </w:p>
        </w:tc>
        <w:tc>
          <w:tcPr>
            <w:tcW w:w="2240" w:type="dxa"/>
            <w:gridSpan w:val="2"/>
            <w:vAlign w:val="center"/>
          </w:tcPr>
          <w:p w14:paraId="66BD34BC">
            <w:pPr>
              <w:widowControl/>
              <w:jc w:val="center"/>
              <w:rPr>
                <w:rFonts w:ascii="仿宋" w:hAnsi="仿宋" w:eastAsia="仿宋" w:cs="仿宋"/>
                <w:kern w:val="0"/>
                <w:sz w:val="20"/>
                <w:szCs w:val="20"/>
              </w:rPr>
            </w:pPr>
            <w:r>
              <w:rPr>
                <w:rFonts w:hint="eastAsia" w:ascii="仿宋" w:hAnsi="仿宋" w:eastAsia="仿宋" w:cs="仿宋"/>
                <w:kern w:val="0"/>
                <w:sz w:val="20"/>
                <w:szCs w:val="20"/>
              </w:rPr>
              <w:t>33</w:t>
            </w:r>
          </w:p>
        </w:tc>
        <w:tc>
          <w:tcPr>
            <w:tcW w:w="1832" w:type="dxa"/>
            <w:gridSpan w:val="2"/>
            <w:vAlign w:val="center"/>
          </w:tcPr>
          <w:p w14:paraId="781D22FE">
            <w:pPr>
              <w:widowControl/>
              <w:jc w:val="center"/>
              <w:rPr>
                <w:rFonts w:ascii="仿宋" w:hAnsi="仿宋" w:eastAsia="仿宋" w:cs="仿宋"/>
                <w:kern w:val="0"/>
                <w:sz w:val="20"/>
                <w:szCs w:val="20"/>
              </w:rPr>
            </w:pPr>
            <w:r>
              <w:rPr>
                <w:rFonts w:hint="eastAsia" w:ascii="仿宋" w:hAnsi="仿宋" w:eastAsia="仿宋" w:cs="仿宋"/>
                <w:kern w:val="0"/>
                <w:sz w:val="20"/>
                <w:szCs w:val="20"/>
              </w:rPr>
              <w:t>94.29%</w:t>
            </w:r>
          </w:p>
        </w:tc>
      </w:tr>
      <w:tr w14:paraId="3A60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57B44D86">
            <w:pPr>
              <w:widowControl/>
              <w:jc w:val="center"/>
              <w:rPr>
                <w:rFonts w:ascii="仿宋" w:hAnsi="仿宋" w:eastAsia="仿宋" w:cs="仿宋"/>
                <w:kern w:val="0"/>
                <w:sz w:val="20"/>
                <w:szCs w:val="20"/>
              </w:rPr>
            </w:pPr>
            <w:r>
              <w:rPr>
                <w:rFonts w:hint="eastAsia" w:ascii="仿宋" w:hAnsi="仿宋" w:eastAsia="仿宋" w:cs="仿宋"/>
                <w:kern w:val="0"/>
                <w:sz w:val="20"/>
                <w:szCs w:val="20"/>
              </w:rPr>
              <w:t>经费控制情况</w:t>
            </w:r>
          </w:p>
        </w:tc>
        <w:tc>
          <w:tcPr>
            <w:tcW w:w="2038" w:type="dxa"/>
            <w:gridSpan w:val="2"/>
            <w:vAlign w:val="center"/>
          </w:tcPr>
          <w:p w14:paraId="2D263092">
            <w:pPr>
              <w:widowControl/>
              <w:jc w:val="center"/>
              <w:rPr>
                <w:rFonts w:ascii="仿宋" w:hAnsi="仿宋" w:eastAsia="仿宋" w:cs="仿宋"/>
                <w:kern w:val="0"/>
                <w:sz w:val="20"/>
                <w:szCs w:val="20"/>
              </w:rPr>
            </w:pPr>
            <w:r>
              <w:rPr>
                <w:rFonts w:hint="eastAsia" w:ascii="仿宋" w:hAnsi="仿宋" w:eastAsia="仿宋" w:cs="仿宋"/>
                <w:kern w:val="0"/>
                <w:sz w:val="20"/>
                <w:szCs w:val="20"/>
              </w:rPr>
              <w:t>2022年决算数</w:t>
            </w:r>
          </w:p>
        </w:tc>
        <w:tc>
          <w:tcPr>
            <w:tcW w:w="2240" w:type="dxa"/>
            <w:gridSpan w:val="2"/>
            <w:vAlign w:val="center"/>
          </w:tcPr>
          <w:p w14:paraId="30FA764C">
            <w:pPr>
              <w:widowControl/>
              <w:jc w:val="center"/>
              <w:rPr>
                <w:rFonts w:ascii="仿宋" w:hAnsi="仿宋" w:eastAsia="仿宋" w:cs="仿宋"/>
                <w:kern w:val="0"/>
                <w:sz w:val="20"/>
                <w:szCs w:val="20"/>
              </w:rPr>
            </w:pPr>
            <w:r>
              <w:rPr>
                <w:rFonts w:hint="eastAsia" w:ascii="仿宋" w:hAnsi="仿宋" w:eastAsia="仿宋" w:cs="仿宋"/>
                <w:kern w:val="0"/>
                <w:sz w:val="20"/>
                <w:szCs w:val="20"/>
              </w:rPr>
              <w:t>2023年预算数</w:t>
            </w:r>
          </w:p>
        </w:tc>
        <w:tc>
          <w:tcPr>
            <w:tcW w:w="1832" w:type="dxa"/>
            <w:gridSpan w:val="2"/>
            <w:vAlign w:val="center"/>
          </w:tcPr>
          <w:p w14:paraId="12291962">
            <w:pPr>
              <w:widowControl/>
              <w:jc w:val="center"/>
              <w:rPr>
                <w:rFonts w:ascii="仿宋" w:hAnsi="仿宋" w:eastAsia="仿宋" w:cs="仿宋"/>
                <w:kern w:val="0"/>
                <w:sz w:val="20"/>
                <w:szCs w:val="20"/>
              </w:rPr>
            </w:pPr>
            <w:r>
              <w:rPr>
                <w:rFonts w:hint="eastAsia" w:ascii="仿宋" w:hAnsi="仿宋" w:eastAsia="仿宋" w:cs="仿宋"/>
                <w:kern w:val="0"/>
                <w:sz w:val="20"/>
                <w:szCs w:val="20"/>
              </w:rPr>
              <w:t>2023年决算数</w:t>
            </w:r>
          </w:p>
        </w:tc>
      </w:tr>
      <w:tr w14:paraId="5545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354" w:type="dxa"/>
            <w:vAlign w:val="center"/>
          </w:tcPr>
          <w:p w14:paraId="3CFB815D">
            <w:pPr>
              <w:widowControl/>
              <w:jc w:val="left"/>
              <w:rPr>
                <w:rFonts w:ascii="仿宋" w:hAnsi="仿宋" w:eastAsia="仿宋" w:cs="仿宋"/>
                <w:kern w:val="0"/>
                <w:sz w:val="20"/>
                <w:szCs w:val="20"/>
              </w:rPr>
            </w:pPr>
            <w:r>
              <w:rPr>
                <w:rFonts w:hint="eastAsia" w:ascii="仿宋" w:hAnsi="仿宋" w:eastAsia="仿宋" w:cs="仿宋"/>
                <w:kern w:val="0"/>
                <w:sz w:val="20"/>
                <w:szCs w:val="20"/>
              </w:rPr>
              <w:t>三公经费</w:t>
            </w:r>
          </w:p>
        </w:tc>
        <w:tc>
          <w:tcPr>
            <w:tcW w:w="2038" w:type="dxa"/>
            <w:gridSpan w:val="2"/>
            <w:vAlign w:val="center"/>
          </w:tcPr>
          <w:p w14:paraId="304F1F6D">
            <w:pPr>
              <w:widowControl/>
              <w:jc w:val="center"/>
              <w:rPr>
                <w:rFonts w:ascii="仿宋" w:hAnsi="仿宋" w:eastAsia="仿宋" w:cs="仿宋"/>
                <w:kern w:val="0"/>
                <w:sz w:val="20"/>
                <w:szCs w:val="20"/>
              </w:rPr>
            </w:pPr>
            <w:r>
              <w:rPr>
                <w:rFonts w:hint="eastAsia" w:ascii="仿宋" w:hAnsi="仿宋" w:eastAsia="仿宋" w:cs="仿宋"/>
                <w:kern w:val="0"/>
                <w:sz w:val="20"/>
                <w:szCs w:val="20"/>
              </w:rPr>
              <w:t>4.88</w:t>
            </w:r>
          </w:p>
        </w:tc>
        <w:tc>
          <w:tcPr>
            <w:tcW w:w="2240" w:type="dxa"/>
            <w:gridSpan w:val="2"/>
            <w:vAlign w:val="center"/>
          </w:tcPr>
          <w:p w14:paraId="219FA270">
            <w:pPr>
              <w:widowControl/>
              <w:jc w:val="center"/>
              <w:rPr>
                <w:rFonts w:ascii="仿宋" w:hAnsi="仿宋" w:eastAsia="仿宋" w:cs="仿宋"/>
                <w:kern w:val="0"/>
                <w:sz w:val="20"/>
                <w:szCs w:val="20"/>
              </w:rPr>
            </w:pPr>
            <w:r>
              <w:rPr>
                <w:rFonts w:hint="eastAsia" w:ascii="仿宋" w:hAnsi="仿宋" w:eastAsia="仿宋" w:cs="仿宋"/>
                <w:kern w:val="0"/>
                <w:sz w:val="20"/>
                <w:szCs w:val="20"/>
              </w:rPr>
              <w:t>2.5</w:t>
            </w:r>
          </w:p>
        </w:tc>
        <w:tc>
          <w:tcPr>
            <w:tcW w:w="1832" w:type="dxa"/>
            <w:gridSpan w:val="2"/>
            <w:vAlign w:val="center"/>
          </w:tcPr>
          <w:p w14:paraId="4B603A86">
            <w:pPr>
              <w:widowControl/>
              <w:jc w:val="center"/>
              <w:rPr>
                <w:rFonts w:ascii="仿宋" w:hAnsi="仿宋" w:eastAsia="仿宋" w:cs="仿宋"/>
                <w:kern w:val="0"/>
                <w:sz w:val="20"/>
                <w:szCs w:val="20"/>
              </w:rPr>
            </w:pPr>
            <w:r>
              <w:rPr>
                <w:rFonts w:hint="eastAsia" w:ascii="仿宋" w:hAnsi="仿宋" w:eastAsia="仿宋" w:cs="仿宋"/>
                <w:kern w:val="0"/>
                <w:sz w:val="20"/>
                <w:szCs w:val="20"/>
              </w:rPr>
              <w:t>2.42</w:t>
            </w:r>
          </w:p>
        </w:tc>
      </w:tr>
      <w:tr w14:paraId="1233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354" w:type="dxa"/>
            <w:vAlign w:val="center"/>
          </w:tcPr>
          <w:p w14:paraId="2ECB2277">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1、公务用车购置和维护经费</w:t>
            </w:r>
          </w:p>
        </w:tc>
        <w:tc>
          <w:tcPr>
            <w:tcW w:w="2038" w:type="dxa"/>
            <w:gridSpan w:val="2"/>
            <w:vAlign w:val="center"/>
          </w:tcPr>
          <w:p w14:paraId="325AFDE0">
            <w:pPr>
              <w:widowControl/>
              <w:jc w:val="center"/>
              <w:rPr>
                <w:rFonts w:ascii="仿宋" w:hAnsi="仿宋" w:eastAsia="仿宋" w:cs="仿宋"/>
                <w:kern w:val="0"/>
                <w:sz w:val="20"/>
                <w:szCs w:val="20"/>
              </w:rPr>
            </w:pPr>
            <w:r>
              <w:rPr>
                <w:rFonts w:hint="eastAsia" w:ascii="仿宋" w:hAnsi="仿宋" w:eastAsia="仿宋" w:cs="仿宋"/>
                <w:kern w:val="0"/>
                <w:sz w:val="20"/>
                <w:szCs w:val="20"/>
              </w:rPr>
              <w:t>4.56</w:t>
            </w:r>
          </w:p>
        </w:tc>
        <w:tc>
          <w:tcPr>
            <w:tcW w:w="2240" w:type="dxa"/>
            <w:gridSpan w:val="2"/>
            <w:vAlign w:val="center"/>
          </w:tcPr>
          <w:p w14:paraId="12534F04">
            <w:pPr>
              <w:widowControl/>
              <w:jc w:val="center"/>
              <w:rPr>
                <w:rFonts w:ascii="仿宋" w:hAnsi="仿宋" w:eastAsia="仿宋" w:cs="仿宋"/>
                <w:kern w:val="0"/>
                <w:sz w:val="20"/>
                <w:szCs w:val="20"/>
              </w:rPr>
            </w:pPr>
            <w:r>
              <w:rPr>
                <w:rFonts w:hint="eastAsia" w:ascii="仿宋" w:hAnsi="仿宋" w:eastAsia="仿宋" w:cs="仿宋"/>
                <w:kern w:val="0"/>
                <w:sz w:val="20"/>
                <w:szCs w:val="20"/>
              </w:rPr>
              <w:t>1.5</w:t>
            </w:r>
          </w:p>
        </w:tc>
        <w:tc>
          <w:tcPr>
            <w:tcW w:w="1832" w:type="dxa"/>
            <w:gridSpan w:val="2"/>
            <w:vAlign w:val="center"/>
          </w:tcPr>
          <w:p w14:paraId="58D34705">
            <w:pPr>
              <w:widowControl/>
              <w:jc w:val="center"/>
              <w:rPr>
                <w:rFonts w:ascii="仿宋" w:hAnsi="仿宋" w:eastAsia="仿宋" w:cs="仿宋"/>
                <w:kern w:val="0"/>
                <w:sz w:val="20"/>
                <w:szCs w:val="20"/>
              </w:rPr>
            </w:pPr>
            <w:r>
              <w:rPr>
                <w:rFonts w:hint="eastAsia" w:ascii="仿宋" w:hAnsi="仿宋" w:eastAsia="仿宋" w:cs="仿宋"/>
                <w:kern w:val="0"/>
                <w:sz w:val="20"/>
                <w:szCs w:val="20"/>
              </w:rPr>
              <w:t>1.73</w:t>
            </w:r>
          </w:p>
        </w:tc>
      </w:tr>
      <w:tr w14:paraId="6278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54" w:type="dxa"/>
            <w:vAlign w:val="center"/>
          </w:tcPr>
          <w:p w14:paraId="278487D3">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其中：公车购置</w:t>
            </w:r>
          </w:p>
        </w:tc>
        <w:tc>
          <w:tcPr>
            <w:tcW w:w="2038" w:type="dxa"/>
            <w:gridSpan w:val="2"/>
            <w:vAlign w:val="center"/>
          </w:tcPr>
          <w:p w14:paraId="0560BDB9">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2240" w:type="dxa"/>
            <w:gridSpan w:val="2"/>
            <w:vAlign w:val="center"/>
          </w:tcPr>
          <w:p w14:paraId="65002013">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2A4601A2">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6A52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6569FAE9">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公车运行维护</w:t>
            </w:r>
          </w:p>
        </w:tc>
        <w:tc>
          <w:tcPr>
            <w:tcW w:w="2038" w:type="dxa"/>
            <w:gridSpan w:val="2"/>
            <w:vAlign w:val="center"/>
          </w:tcPr>
          <w:p w14:paraId="234FC8CF">
            <w:pPr>
              <w:widowControl/>
              <w:jc w:val="center"/>
              <w:rPr>
                <w:rFonts w:ascii="仿宋" w:hAnsi="仿宋" w:eastAsia="仿宋" w:cs="仿宋"/>
                <w:kern w:val="0"/>
                <w:sz w:val="20"/>
                <w:szCs w:val="20"/>
              </w:rPr>
            </w:pPr>
            <w:r>
              <w:rPr>
                <w:rFonts w:hint="eastAsia" w:ascii="仿宋" w:hAnsi="仿宋" w:eastAsia="仿宋" w:cs="仿宋"/>
                <w:kern w:val="0"/>
                <w:sz w:val="20"/>
                <w:szCs w:val="20"/>
              </w:rPr>
              <w:t>4.56</w:t>
            </w:r>
          </w:p>
        </w:tc>
        <w:tc>
          <w:tcPr>
            <w:tcW w:w="2240" w:type="dxa"/>
            <w:gridSpan w:val="2"/>
            <w:vAlign w:val="center"/>
          </w:tcPr>
          <w:p w14:paraId="19EBC8EE">
            <w:pPr>
              <w:widowControl/>
              <w:jc w:val="center"/>
              <w:rPr>
                <w:rFonts w:ascii="仿宋" w:hAnsi="仿宋" w:eastAsia="仿宋" w:cs="仿宋"/>
                <w:kern w:val="0"/>
                <w:sz w:val="20"/>
                <w:szCs w:val="20"/>
              </w:rPr>
            </w:pPr>
            <w:r>
              <w:rPr>
                <w:rFonts w:hint="eastAsia" w:ascii="仿宋" w:hAnsi="仿宋" w:eastAsia="仿宋" w:cs="仿宋"/>
                <w:kern w:val="0"/>
                <w:sz w:val="20"/>
                <w:szCs w:val="20"/>
              </w:rPr>
              <w:t>1.5</w:t>
            </w:r>
          </w:p>
        </w:tc>
        <w:tc>
          <w:tcPr>
            <w:tcW w:w="1832" w:type="dxa"/>
            <w:gridSpan w:val="2"/>
            <w:vAlign w:val="center"/>
          </w:tcPr>
          <w:p w14:paraId="687CC41D">
            <w:pPr>
              <w:widowControl/>
              <w:jc w:val="center"/>
              <w:rPr>
                <w:rFonts w:ascii="仿宋" w:hAnsi="仿宋" w:eastAsia="仿宋" w:cs="仿宋"/>
                <w:kern w:val="0"/>
                <w:sz w:val="20"/>
                <w:szCs w:val="20"/>
              </w:rPr>
            </w:pPr>
            <w:r>
              <w:rPr>
                <w:rFonts w:hint="eastAsia" w:ascii="仿宋" w:hAnsi="仿宋" w:eastAsia="仿宋" w:cs="仿宋"/>
                <w:kern w:val="0"/>
                <w:sz w:val="20"/>
                <w:szCs w:val="20"/>
              </w:rPr>
              <w:t>1.73</w:t>
            </w:r>
          </w:p>
        </w:tc>
      </w:tr>
      <w:tr w14:paraId="1D35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61D83041">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2、出国经费</w:t>
            </w:r>
          </w:p>
        </w:tc>
        <w:tc>
          <w:tcPr>
            <w:tcW w:w="2038" w:type="dxa"/>
            <w:gridSpan w:val="2"/>
            <w:vAlign w:val="center"/>
          </w:tcPr>
          <w:p w14:paraId="74639D3D">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2240" w:type="dxa"/>
            <w:gridSpan w:val="2"/>
            <w:vAlign w:val="center"/>
          </w:tcPr>
          <w:p w14:paraId="508D8C84">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4BCC2E60">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294A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E25926A">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3、公务接待</w:t>
            </w:r>
          </w:p>
        </w:tc>
        <w:tc>
          <w:tcPr>
            <w:tcW w:w="2038" w:type="dxa"/>
            <w:gridSpan w:val="2"/>
            <w:vAlign w:val="center"/>
          </w:tcPr>
          <w:p w14:paraId="33BEB15A">
            <w:pPr>
              <w:widowControl/>
              <w:jc w:val="center"/>
              <w:rPr>
                <w:rFonts w:ascii="仿宋" w:hAnsi="仿宋" w:eastAsia="仿宋" w:cs="仿宋"/>
                <w:kern w:val="0"/>
                <w:sz w:val="20"/>
                <w:szCs w:val="20"/>
              </w:rPr>
            </w:pPr>
            <w:r>
              <w:rPr>
                <w:rFonts w:hint="eastAsia" w:ascii="仿宋" w:hAnsi="仿宋" w:eastAsia="仿宋" w:cs="仿宋"/>
                <w:kern w:val="0"/>
                <w:sz w:val="20"/>
                <w:szCs w:val="20"/>
              </w:rPr>
              <w:t>0.32</w:t>
            </w:r>
          </w:p>
        </w:tc>
        <w:tc>
          <w:tcPr>
            <w:tcW w:w="2240" w:type="dxa"/>
            <w:gridSpan w:val="2"/>
            <w:vAlign w:val="center"/>
          </w:tcPr>
          <w:p w14:paraId="3B308126">
            <w:pPr>
              <w:widowControl/>
              <w:jc w:val="center"/>
              <w:rPr>
                <w:rFonts w:ascii="仿宋" w:hAnsi="仿宋" w:eastAsia="仿宋" w:cs="仿宋"/>
                <w:kern w:val="0"/>
                <w:sz w:val="20"/>
                <w:szCs w:val="20"/>
              </w:rPr>
            </w:pPr>
            <w:r>
              <w:rPr>
                <w:rFonts w:hint="eastAsia" w:ascii="仿宋" w:hAnsi="仿宋" w:eastAsia="仿宋" w:cs="仿宋"/>
                <w:kern w:val="0"/>
                <w:sz w:val="20"/>
                <w:szCs w:val="20"/>
              </w:rPr>
              <w:t>1</w:t>
            </w:r>
          </w:p>
        </w:tc>
        <w:tc>
          <w:tcPr>
            <w:tcW w:w="1832" w:type="dxa"/>
            <w:gridSpan w:val="2"/>
            <w:vAlign w:val="center"/>
          </w:tcPr>
          <w:p w14:paraId="380F58C6">
            <w:pPr>
              <w:widowControl/>
              <w:jc w:val="center"/>
              <w:rPr>
                <w:rFonts w:ascii="仿宋" w:hAnsi="仿宋" w:eastAsia="仿宋" w:cs="仿宋"/>
                <w:kern w:val="0"/>
                <w:sz w:val="20"/>
                <w:szCs w:val="20"/>
              </w:rPr>
            </w:pPr>
            <w:r>
              <w:rPr>
                <w:rFonts w:hint="eastAsia" w:ascii="仿宋" w:hAnsi="仿宋" w:eastAsia="仿宋" w:cs="仿宋"/>
                <w:kern w:val="0"/>
                <w:sz w:val="20"/>
                <w:szCs w:val="20"/>
              </w:rPr>
              <w:t>0.69</w:t>
            </w:r>
          </w:p>
        </w:tc>
      </w:tr>
      <w:tr w14:paraId="6867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1245E10">
            <w:pPr>
              <w:widowControl/>
              <w:jc w:val="left"/>
              <w:rPr>
                <w:rFonts w:ascii="仿宋" w:hAnsi="仿宋" w:eastAsia="仿宋" w:cs="仿宋"/>
                <w:kern w:val="0"/>
                <w:sz w:val="20"/>
                <w:szCs w:val="20"/>
              </w:rPr>
            </w:pPr>
            <w:r>
              <w:rPr>
                <w:rFonts w:hint="eastAsia" w:ascii="仿宋" w:hAnsi="仿宋" w:eastAsia="仿宋" w:cs="仿宋"/>
                <w:kern w:val="0"/>
                <w:sz w:val="20"/>
                <w:szCs w:val="20"/>
              </w:rPr>
              <w:t>项目支出：</w:t>
            </w:r>
          </w:p>
        </w:tc>
        <w:tc>
          <w:tcPr>
            <w:tcW w:w="2038" w:type="dxa"/>
            <w:gridSpan w:val="2"/>
            <w:vAlign w:val="center"/>
          </w:tcPr>
          <w:p w14:paraId="023D4A18">
            <w:pPr>
              <w:widowControl/>
              <w:jc w:val="center"/>
              <w:rPr>
                <w:rFonts w:ascii="仿宋" w:hAnsi="仿宋" w:eastAsia="仿宋" w:cs="仿宋"/>
                <w:kern w:val="0"/>
                <w:sz w:val="20"/>
                <w:szCs w:val="20"/>
              </w:rPr>
            </w:pPr>
            <w:r>
              <w:rPr>
                <w:rFonts w:hint="eastAsia" w:ascii="仿宋" w:hAnsi="仿宋" w:eastAsia="仿宋" w:cs="仿宋"/>
                <w:kern w:val="0"/>
                <w:sz w:val="20"/>
                <w:szCs w:val="20"/>
              </w:rPr>
              <w:t>157.06</w:t>
            </w:r>
          </w:p>
        </w:tc>
        <w:tc>
          <w:tcPr>
            <w:tcW w:w="2240" w:type="dxa"/>
            <w:gridSpan w:val="2"/>
            <w:vAlign w:val="center"/>
          </w:tcPr>
          <w:p w14:paraId="5353C69D">
            <w:pPr>
              <w:widowControl/>
              <w:jc w:val="center"/>
              <w:rPr>
                <w:rFonts w:ascii="仿宋" w:hAnsi="仿宋" w:eastAsia="仿宋" w:cs="仿宋"/>
                <w:kern w:val="0"/>
                <w:sz w:val="20"/>
                <w:szCs w:val="20"/>
              </w:rPr>
            </w:pPr>
            <w:r>
              <w:rPr>
                <w:rFonts w:hint="eastAsia" w:ascii="仿宋" w:hAnsi="仿宋" w:eastAsia="仿宋" w:cs="仿宋"/>
                <w:kern w:val="0"/>
                <w:sz w:val="20"/>
                <w:szCs w:val="20"/>
              </w:rPr>
              <w:t>67.50</w:t>
            </w:r>
          </w:p>
        </w:tc>
        <w:tc>
          <w:tcPr>
            <w:tcW w:w="1832" w:type="dxa"/>
            <w:gridSpan w:val="2"/>
            <w:vAlign w:val="center"/>
          </w:tcPr>
          <w:p w14:paraId="7ADF8DD8">
            <w:pPr>
              <w:widowControl/>
              <w:jc w:val="center"/>
              <w:rPr>
                <w:rFonts w:ascii="仿宋" w:hAnsi="仿宋" w:eastAsia="仿宋" w:cs="仿宋"/>
                <w:kern w:val="0"/>
                <w:sz w:val="20"/>
                <w:szCs w:val="20"/>
              </w:rPr>
            </w:pPr>
            <w:r>
              <w:rPr>
                <w:rFonts w:hint="eastAsia" w:ascii="仿宋" w:hAnsi="仿宋" w:eastAsia="仿宋" w:cs="仿宋"/>
                <w:kern w:val="0"/>
                <w:sz w:val="20"/>
                <w:szCs w:val="20"/>
              </w:rPr>
              <w:t>52.09</w:t>
            </w:r>
          </w:p>
        </w:tc>
      </w:tr>
      <w:tr w14:paraId="3044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D854704">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1、业务工作经费</w:t>
            </w:r>
          </w:p>
        </w:tc>
        <w:tc>
          <w:tcPr>
            <w:tcW w:w="2038" w:type="dxa"/>
            <w:gridSpan w:val="2"/>
            <w:vAlign w:val="center"/>
          </w:tcPr>
          <w:p w14:paraId="6906B5CA">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2240" w:type="dxa"/>
            <w:gridSpan w:val="2"/>
            <w:vAlign w:val="center"/>
          </w:tcPr>
          <w:p w14:paraId="024ECD8F">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24D7FB4A">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3F82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E33927F">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2、运行维护经费</w:t>
            </w:r>
          </w:p>
        </w:tc>
        <w:tc>
          <w:tcPr>
            <w:tcW w:w="2038" w:type="dxa"/>
            <w:gridSpan w:val="2"/>
            <w:vAlign w:val="center"/>
          </w:tcPr>
          <w:p w14:paraId="0BC01681">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2240" w:type="dxa"/>
            <w:gridSpan w:val="2"/>
            <w:vAlign w:val="center"/>
          </w:tcPr>
          <w:p w14:paraId="21CBFBC9">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60B19868">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3071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4AFC9193">
            <w:pPr>
              <w:widowControl/>
              <w:ind w:firstLine="400" w:firstLineChars="200"/>
              <w:jc w:val="left"/>
              <w:rPr>
                <w:rFonts w:ascii="仿宋" w:hAnsi="仿宋" w:eastAsia="仿宋" w:cs="仿宋"/>
                <w:kern w:val="0"/>
                <w:sz w:val="20"/>
                <w:szCs w:val="20"/>
              </w:rPr>
            </w:pPr>
            <w:r>
              <w:rPr>
                <w:rFonts w:hint="eastAsia" w:ascii="仿宋" w:hAnsi="仿宋" w:eastAsia="仿宋" w:cs="仿宋"/>
                <w:kern w:val="0"/>
                <w:sz w:val="20"/>
                <w:szCs w:val="20"/>
              </w:rPr>
              <w:t>3、市级专项资金</w:t>
            </w:r>
          </w:p>
          <w:p w14:paraId="22CA8AD7">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（一个专项一行）</w:t>
            </w:r>
          </w:p>
        </w:tc>
        <w:tc>
          <w:tcPr>
            <w:tcW w:w="2038" w:type="dxa"/>
            <w:gridSpan w:val="2"/>
            <w:vAlign w:val="center"/>
          </w:tcPr>
          <w:p w14:paraId="4C4FCC22">
            <w:pPr>
              <w:widowControl/>
              <w:jc w:val="center"/>
              <w:rPr>
                <w:rFonts w:ascii="仿宋" w:hAnsi="仿宋" w:eastAsia="仿宋" w:cs="仿宋"/>
                <w:kern w:val="0"/>
                <w:sz w:val="20"/>
                <w:szCs w:val="20"/>
              </w:rPr>
            </w:pPr>
            <w:r>
              <w:rPr>
                <w:rFonts w:hint="eastAsia" w:ascii="仿宋" w:hAnsi="仿宋" w:eastAsia="仿宋" w:cs="仿宋"/>
                <w:kern w:val="0"/>
                <w:sz w:val="20"/>
                <w:szCs w:val="20"/>
              </w:rPr>
              <w:t>157.06</w:t>
            </w:r>
          </w:p>
        </w:tc>
        <w:tc>
          <w:tcPr>
            <w:tcW w:w="2240" w:type="dxa"/>
            <w:gridSpan w:val="2"/>
            <w:vAlign w:val="center"/>
          </w:tcPr>
          <w:p w14:paraId="1EFB6439">
            <w:pPr>
              <w:widowControl/>
              <w:jc w:val="center"/>
              <w:rPr>
                <w:rFonts w:ascii="仿宋" w:hAnsi="仿宋" w:eastAsia="仿宋" w:cs="仿宋"/>
                <w:kern w:val="0"/>
                <w:sz w:val="20"/>
                <w:szCs w:val="20"/>
              </w:rPr>
            </w:pPr>
            <w:r>
              <w:rPr>
                <w:rFonts w:hint="eastAsia" w:ascii="仿宋" w:hAnsi="仿宋" w:eastAsia="仿宋" w:cs="仿宋"/>
                <w:kern w:val="0"/>
                <w:sz w:val="20"/>
                <w:szCs w:val="20"/>
              </w:rPr>
              <w:t>67.50</w:t>
            </w:r>
          </w:p>
        </w:tc>
        <w:tc>
          <w:tcPr>
            <w:tcW w:w="1832" w:type="dxa"/>
            <w:gridSpan w:val="2"/>
            <w:vAlign w:val="center"/>
          </w:tcPr>
          <w:p w14:paraId="2AA6FE65">
            <w:pPr>
              <w:widowControl/>
              <w:jc w:val="center"/>
              <w:rPr>
                <w:rFonts w:ascii="仿宋" w:hAnsi="仿宋" w:eastAsia="仿宋" w:cs="仿宋"/>
                <w:kern w:val="0"/>
                <w:sz w:val="20"/>
                <w:szCs w:val="20"/>
              </w:rPr>
            </w:pPr>
            <w:r>
              <w:rPr>
                <w:rFonts w:hint="eastAsia" w:ascii="仿宋" w:hAnsi="仿宋" w:eastAsia="仿宋" w:cs="仿宋"/>
                <w:kern w:val="0"/>
                <w:sz w:val="20"/>
                <w:szCs w:val="20"/>
              </w:rPr>
              <w:t>52.09</w:t>
            </w:r>
          </w:p>
        </w:tc>
      </w:tr>
      <w:tr w14:paraId="6960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354" w:type="dxa"/>
            <w:vAlign w:val="center"/>
          </w:tcPr>
          <w:p w14:paraId="65EB4991">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国企党建</w:t>
            </w:r>
          </w:p>
        </w:tc>
        <w:tc>
          <w:tcPr>
            <w:tcW w:w="2038" w:type="dxa"/>
            <w:gridSpan w:val="2"/>
            <w:vAlign w:val="center"/>
          </w:tcPr>
          <w:p w14:paraId="5010A2C5">
            <w:pPr>
              <w:widowControl/>
              <w:jc w:val="center"/>
              <w:rPr>
                <w:rFonts w:ascii="仿宋" w:hAnsi="仿宋" w:eastAsia="仿宋" w:cs="仿宋"/>
                <w:kern w:val="0"/>
                <w:sz w:val="20"/>
                <w:szCs w:val="20"/>
              </w:rPr>
            </w:pPr>
            <w:r>
              <w:rPr>
                <w:rFonts w:hint="eastAsia" w:ascii="仿宋" w:hAnsi="仿宋" w:eastAsia="仿宋" w:cs="仿宋"/>
                <w:kern w:val="0"/>
                <w:sz w:val="20"/>
                <w:szCs w:val="20"/>
              </w:rPr>
              <w:t>21</w:t>
            </w:r>
          </w:p>
        </w:tc>
        <w:tc>
          <w:tcPr>
            <w:tcW w:w="2240" w:type="dxa"/>
            <w:gridSpan w:val="2"/>
            <w:vAlign w:val="center"/>
          </w:tcPr>
          <w:p w14:paraId="7EF3D077">
            <w:pPr>
              <w:widowControl/>
              <w:jc w:val="center"/>
              <w:rPr>
                <w:rFonts w:ascii="仿宋" w:hAnsi="仿宋" w:eastAsia="仿宋" w:cs="仿宋"/>
                <w:kern w:val="0"/>
                <w:sz w:val="20"/>
                <w:szCs w:val="20"/>
              </w:rPr>
            </w:pPr>
            <w:r>
              <w:rPr>
                <w:rFonts w:hint="eastAsia" w:ascii="仿宋" w:hAnsi="仿宋" w:eastAsia="仿宋" w:cs="仿宋"/>
                <w:kern w:val="0"/>
                <w:sz w:val="20"/>
                <w:szCs w:val="20"/>
              </w:rPr>
              <w:t>17.50</w:t>
            </w:r>
          </w:p>
        </w:tc>
        <w:tc>
          <w:tcPr>
            <w:tcW w:w="1832" w:type="dxa"/>
            <w:gridSpan w:val="2"/>
            <w:vAlign w:val="center"/>
          </w:tcPr>
          <w:p w14:paraId="0D484411">
            <w:pPr>
              <w:widowControl/>
              <w:jc w:val="center"/>
              <w:rPr>
                <w:rFonts w:ascii="仿宋" w:hAnsi="仿宋" w:eastAsia="仿宋" w:cs="仿宋"/>
                <w:kern w:val="0"/>
                <w:sz w:val="20"/>
                <w:szCs w:val="20"/>
              </w:rPr>
            </w:pPr>
            <w:r>
              <w:rPr>
                <w:rFonts w:hint="eastAsia" w:ascii="仿宋" w:hAnsi="仿宋" w:eastAsia="仿宋" w:cs="仿宋"/>
                <w:kern w:val="0"/>
                <w:sz w:val="20"/>
                <w:szCs w:val="20"/>
              </w:rPr>
              <w:t>15.53</w:t>
            </w:r>
          </w:p>
        </w:tc>
      </w:tr>
      <w:tr w14:paraId="3019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354" w:type="dxa"/>
            <w:vAlign w:val="center"/>
          </w:tcPr>
          <w:p w14:paraId="5439CD33">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央企省企对接及招商引资</w:t>
            </w:r>
          </w:p>
        </w:tc>
        <w:tc>
          <w:tcPr>
            <w:tcW w:w="2038" w:type="dxa"/>
            <w:gridSpan w:val="2"/>
            <w:vAlign w:val="center"/>
          </w:tcPr>
          <w:p w14:paraId="6C6676F2">
            <w:pPr>
              <w:widowControl/>
              <w:jc w:val="center"/>
              <w:rPr>
                <w:rFonts w:ascii="仿宋" w:hAnsi="仿宋" w:eastAsia="仿宋" w:cs="仿宋"/>
                <w:kern w:val="0"/>
                <w:sz w:val="20"/>
                <w:szCs w:val="20"/>
              </w:rPr>
            </w:pPr>
            <w:r>
              <w:rPr>
                <w:rFonts w:hint="eastAsia" w:ascii="仿宋" w:hAnsi="仿宋" w:eastAsia="仿宋" w:cs="仿宋"/>
                <w:kern w:val="0"/>
                <w:sz w:val="20"/>
                <w:szCs w:val="20"/>
              </w:rPr>
              <w:t>12</w:t>
            </w:r>
          </w:p>
        </w:tc>
        <w:tc>
          <w:tcPr>
            <w:tcW w:w="2240" w:type="dxa"/>
            <w:gridSpan w:val="2"/>
            <w:vAlign w:val="center"/>
          </w:tcPr>
          <w:p w14:paraId="0F583107">
            <w:pPr>
              <w:widowControl/>
              <w:jc w:val="center"/>
              <w:rPr>
                <w:rFonts w:ascii="仿宋" w:hAnsi="仿宋" w:eastAsia="仿宋" w:cs="仿宋"/>
                <w:kern w:val="0"/>
                <w:sz w:val="20"/>
                <w:szCs w:val="20"/>
              </w:rPr>
            </w:pPr>
            <w:r>
              <w:rPr>
                <w:rFonts w:hint="eastAsia" w:ascii="仿宋" w:hAnsi="仿宋" w:eastAsia="仿宋" w:cs="仿宋"/>
                <w:kern w:val="0"/>
                <w:sz w:val="20"/>
                <w:szCs w:val="20"/>
              </w:rPr>
              <w:t>10</w:t>
            </w:r>
          </w:p>
        </w:tc>
        <w:tc>
          <w:tcPr>
            <w:tcW w:w="1832" w:type="dxa"/>
            <w:gridSpan w:val="2"/>
            <w:vAlign w:val="center"/>
          </w:tcPr>
          <w:p w14:paraId="627776C2">
            <w:pPr>
              <w:widowControl/>
              <w:jc w:val="center"/>
              <w:rPr>
                <w:rFonts w:ascii="仿宋" w:hAnsi="仿宋" w:eastAsia="仿宋" w:cs="仿宋"/>
                <w:kern w:val="0"/>
                <w:sz w:val="20"/>
                <w:szCs w:val="20"/>
              </w:rPr>
            </w:pPr>
            <w:r>
              <w:rPr>
                <w:rFonts w:hint="eastAsia" w:ascii="仿宋" w:hAnsi="仿宋" w:eastAsia="仿宋" w:cs="仿宋"/>
                <w:kern w:val="0"/>
                <w:sz w:val="20"/>
                <w:szCs w:val="20"/>
              </w:rPr>
              <w:t>8.11</w:t>
            </w:r>
          </w:p>
        </w:tc>
      </w:tr>
      <w:tr w14:paraId="3231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354" w:type="dxa"/>
            <w:vAlign w:val="center"/>
          </w:tcPr>
          <w:p w14:paraId="188E4AC7">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国有企业遗留问题处置</w:t>
            </w:r>
          </w:p>
        </w:tc>
        <w:tc>
          <w:tcPr>
            <w:tcW w:w="2038" w:type="dxa"/>
            <w:gridSpan w:val="2"/>
            <w:vAlign w:val="center"/>
          </w:tcPr>
          <w:p w14:paraId="4BADB235">
            <w:pPr>
              <w:widowControl/>
              <w:jc w:val="center"/>
              <w:rPr>
                <w:rFonts w:ascii="仿宋" w:hAnsi="仿宋" w:eastAsia="仿宋" w:cs="仿宋"/>
                <w:kern w:val="0"/>
                <w:sz w:val="20"/>
                <w:szCs w:val="20"/>
              </w:rPr>
            </w:pPr>
            <w:r>
              <w:rPr>
                <w:rFonts w:hint="eastAsia" w:ascii="仿宋" w:hAnsi="仿宋" w:eastAsia="仿宋" w:cs="仿宋"/>
                <w:kern w:val="0"/>
                <w:sz w:val="20"/>
                <w:szCs w:val="20"/>
              </w:rPr>
              <w:t>100.76</w:t>
            </w:r>
          </w:p>
        </w:tc>
        <w:tc>
          <w:tcPr>
            <w:tcW w:w="2240" w:type="dxa"/>
            <w:gridSpan w:val="2"/>
            <w:vAlign w:val="center"/>
          </w:tcPr>
          <w:p w14:paraId="6EDF009C">
            <w:pPr>
              <w:widowControl/>
              <w:jc w:val="center"/>
              <w:rPr>
                <w:rFonts w:ascii="仿宋" w:hAnsi="仿宋" w:eastAsia="仿宋" w:cs="仿宋"/>
                <w:kern w:val="0"/>
                <w:sz w:val="20"/>
                <w:szCs w:val="20"/>
              </w:rPr>
            </w:pPr>
            <w:r>
              <w:rPr>
                <w:rFonts w:hint="eastAsia" w:ascii="仿宋" w:hAnsi="仿宋" w:eastAsia="仿宋" w:cs="仿宋"/>
                <w:kern w:val="0"/>
                <w:sz w:val="20"/>
                <w:szCs w:val="20"/>
              </w:rPr>
              <w:t>30</w:t>
            </w:r>
          </w:p>
        </w:tc>
        <w:tc>
          <w:tcPr>
            <w:tcW w:w="1832" w:type="dxa"/>
            <w:gridSpan w:val="2"/>
            <w:vAlign w:val="center"/>
          </w:tcPr>
          <w:p w14:paraId="2017FAF2">
            <w:pPr>
              <w:widowControl/>
              <w:jc w:val="center"/>
              <w:rPr>
                <w:rFonts w:ascii="仿宋" w:hAnsi="仿宋" w:eastAsia="仿宋" w:cs="仿宋"/>
                <w:kern w:val="0"/>
                <w:sz w:val="20"/>
                <w:szCs w:val="20"/>
              </w:rPr>
            </w:pPr>
            <w:r>
              <w:rPr>
                <w:rFonts w:hint="eastAsia" w:ascii="仿宋" w:hAnsi="仿宋" w:eastAsia="仿宋" w:cs="仿宋"/>
                <w:kern w:val="0"/>
                <w:sz w:val="20"/>
                <w:szCs w:val="20"/>
              </w:rPr>
              <w:t>20.96</w:t>
            </w:r>
          </w:p>
        </w:tc>
      </w:tr>
      <w:tr w14:paraId="09B0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354" w:type="dxa"/>
            <w:vAlign w:val="center"/>
          </w:tcPr>
          <w:p w14:paraId="5A25F72F">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国企退休人员社会化管理</w:t>
            </w:r>
          </w:p>
        </w:tc>
        <w:tc>
          <w:tcPr>
            <w:tcW w:w="2038" w:type="dxa"/>
            <w:gridSpan w:val="2"/>
            <w:vAlign w:val="center"/>
          </w:tcPr>
          <w:p w14:paraId="471DDC8B">
            <w:pPr>
              <w:widowControl/>
              <w:jc w:val="center"/>
              <w:rPr>
                <w:rFonts w:ascii="仿宋" w:hAnsi="仿宋" w:eastAsia="仿宋" w:cs="仿宋"/>
                <w:kern w:val="0"/>
                <w:sz w:val="20"/>
                <w:szCs w:val="20"/>
              </w:rPr>
            </w:pPr>
            <w:r>
              <w:rPr>
                <w:rFonts w:hint="eastAsia" w:ascii="仿宋" w:hAnsi="仿宋" w:eastAsia="仿宋" w:cs="仿宋"/>
                <w:kern w:val="0"/>
                <w:sz w:val="20"/>
                <w:szCs w:val="20"/>
              </w:rPr>
              <w:t>12</w:t>
            </w:r>
          </w:p>
        </w:tc>
        <w:tc>
          <w:tcPr>
            <w:tcW w:w="2240" w:type="dxa"/>
            <w:gridSpan w:val="2"/>
            <w:vAlign w:val="center"/>
          </w:tcPr>
          <w:p w14:paraId="7FD41A10">
            <w:pPr>
              <w:widowControl/>
              <w:jc w:val="center"/>
              <w:rPr>
                <w:rFonts w:ascii="仿宋" w:hAnsi="仿宋" w:eastAsia="仿宋" w:cs="仿宋"/>
                <w:kern w:val="0"/>
                <w:sz w:val="20"/>
                <w:szCs w:val="20"/>
              </w:rPr>
            </w:pPr>
            <w:r>
              <w:rPr>
                <w:rFonts w:hint="eastAsia" w:ascii="仿宋" w:hAnsi="仿宋" w:eastAsia="仿宋" w:cs="仿宋"/>
                <w:kern w:val="0"/>
                <w:sz w:val="20"/>
                <w:szCs w:val="20"/>
              </w:rPr>
              <w:t>10</w:t>
            </w:r>
          </w:p>
        </w:tc>
        <w:tc>
          <w:tcPr>
            <w:tcW w:w="1832" w:type="dxa"/>
            <w:gridSpan w:val="2"/>
            <w:vAlign w:val="center"/>
          </w:tcPr>
          <w:p w14:paraId="18B19E99">
            <w:pPr>
              <w:widowControl/>
              <w:jc w:val="center"/>
              <w:rPr>
                <w:rFonts w:ascii="仿宋" w:hAnsi="仿宋" w:eastAsia="仿宋" w:cs="仿宋"/>
                <w:kern w:val="0"/>
                <w:sz w:val="20"/>
                <w:szCs w:val="20"/>
              </w:rPr>
            </w:pPr>
            <w:r>
              <w:rPr>
                <w:rFonts w:hint="eastAsia" w:ascii="仿宋" w:hAnsi="仿宋" w:eastAsia="仿宋" w:cs="仿宋"/>
                <w:kern w:val="0"/>
                <w:sz w:val="20"/>
                <w:szCs w:val="20"/>
              </w:rPr>
              <w:t>7.49</w:t>
            </w:r>
          </w:p>
        </w:tc>
      </w:tr>
      <w:tr w14:paraId="0DCF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354" w:type="dxa"/>
            <w:vAlign w:val="center"/>
          </w:tcPr>
          <w:p w14:paraId="6680D5E9">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抗疫补助</w:t>
            </w:r>
          </w:p>
        </w:tc>
        <w:tc>
          <w:tcPr>
            <w:tcW w:w="2038" w:type="dxa"/>
            <w:gridSpan w:val="2"/>
            <w:vAlign w:val="center"/>
          </w:tcPr>
          <w:p w14:paraId="7FEB5183">
            <w:pPr>
              <w:widowControl/>
              <w:jc w:val="center"/>
              <w:rPr>
                <w:rFonts w:ascii="仿宋" w:hAnsi="仿宋" w:eastAsia="仿宋" w:cs="仿宋"/>
                <w:kern w:val="0"/>
                <w:sz w:val="20"/>
                <w:szCs w:val="20"/>
              </w:rPr>
            </w:pPr>
            <w:r>
              <w:rPr>
                <w:rFonts w:hint="eastAsia" w:ascii="仿宋" w:hAnsi="仿宋" w:eastAsia="仿宋" w:cs="仿宋"/>
                <w:kern w:val="0"/>
                <w:sz w:val="20"/>
                <w:szCs w:val="20"/>
              </w:rPr>
              <w:t>3.3</w:t>
            </w:r>
          </w:p>
        </w:tc>
        <w:tc>
          <w:tcPr>
            <w:tcW w:w="2240" w:type="dxa"/>
            <w:gridSpan w:val="2"/>
            <w:vAlign w:val="center"/>
          </w:tcPr>
          <w:p w14:paraId="1856AF14">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48BA283B">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52E5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354" w:type="dxa"/>
            <w:vAlign w:val="center"/>
          </w:tcPr>
          <w:p w14:paraId="09EAE082">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财政税政法制</w:t>
            </w:r>
          </w:p>
        </w:tc>
        <w:tc>
          <w:tcPr>
            <w:tcW w:w="2038" w:type="dxa"/>
            <w:gridSpan w:val="2"/>
            <w:vAlign w:val="center"/>
          </w:tcPr>
          <w:p w14:paraId="74847B66">
            <w:pPr>
              <w:widowControl/>
              <w:jc w:val="center"/>
              <w:rPr>
                <w:rFonts w:ascii="仿宋" w:hAnsi="仿宋" w:eastAsia="仿宋" w:cs="仿宋"/>
                <w:kern w:val="0"/>
                <w:sz w:val="20"/>
                <w:szCs w:val="20"/>
              </w:rPr>
            </w:pPr>
            <w:r>
              <w:rPr>
                <w:rFonts w:hint="eastAsia" w:ascii="仿宋" w:hAnsi="仿宋" w:eastAsia="仿宋" w:cs="仿宋"/>
                <w:kern w:val="0"/>
                <w:sz w:val="20"/>
                <w:szCs w:val="20"/>
              </w:rPr>
              <w:t>8</w:t>
            </w:r>
          </w:p>
        </w:tc>
        <w:tc>
          <w:tcPr>
            <w:tcW w:w="2240" w:type="dxa"/>
            <w:gridSpan w:val="2"/>
            <w:vAlign w:val="center"/>
          </w:tcPr>
          <w:p w14:paraId="270A290F">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3DAF18B1">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0CCA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0578925">
            <w:pPr>
              <w:widowControl/>
              <w:ind w:firstLine="400" w:firstLineChars="200"/>
              <w:jc w:val="left"/>
              <w:rPr>
                <w:rFonts w:ascii="仿宋" w:hAnsi="仿宋" w:eastAsia="仿宋" w:cs="仿宋"/>
                <w:kern w:val="0"/>
                <w:sz w:val="20"/>
                <w:szCs w:val="20"/>
              </w:rPr>
            </w:pPr>
            <w:r>
              <w:rPr>
                <w:rFonts w:hint="eastAsia" w:ascii="仿宋" w:hAnsi="仿宋" w:eastAsia="仿宋" w:cs="仿宋"/>
                <w:kern w:val="0"/>
                <w:sz w:val="20"/>
                <w:szCs w:val="20"/>
              </w:rPr>
              <w:t>4、其他事业类发展资金</w:t>
            </w:r>
          </w:p>
        </w:tc>
        <w:tc>
          <w:tcPr>
            <w:tcW w:w="2038" w:type="dxa"/>
            <w:gridSpan w:val="2"/>
            <w:vAlign w:val="center"/>
          </w:tcPr>
          <w:p w14:paraId="625EB8C5">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2240" w:type="dxa"/>
            <w:gridSpan w:val="2"/>
            <w:vAlign w:val="center"/>
          </w:tcPr>
          <w:p w14:paraId="2CFCB95A">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3810DF19">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1D2E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354" w:type="dxa"/>
            <w:vAlign w:val="center"/>
          </w:tcPr>
          <w:p w14:paraId="1D0577CA">
            <w:pPr>
              <w:widowControl/>
              <w:jc w:val="left"/>
              <w:rPr>
                <w:rFonts w:ascii="仿宋" w:hAnsi="仿宋" w:eastAsia="仿宋" w:cs="仿宋"/>
                <w:kern w:val="0"/>
                <w:sz w:val="20"/>
                <w:szCs w:val="20"/>
              </w:rPr>
            </w:pPr>
            <w:r>
              <w:rPr>
                <w:rFonts w:hint="eastAsia" w:ascii="仿宋" w:hAnsi="仿宋" w:eastAsia="仿宋" w:cs="仿宋"/>
                <w:kern w:val="0"/>
                <w:sz w:val="20"/>
                <w:szCs w:val="20"/>
              </w:rPr>
              <w:t>公用经费</w:t>
            </w:r>
          </w:p>
        </w:tc>
        <w:tc>
          <w:tcPr>
            <w:tcW w:w="2038" w:type="dxa"/>
            <w:gridSpan w:val="2"/>
            <w:vAlign w:val="center"/>
          </w:tcPr>
          <w:p w14:paraId="3D6EEFAB">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vAlign w:val="center"/>
          </w:tcPr>
          <w:p w14:paraId="101D3621">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14:paraId="1DF0AE47">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0E75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54" w:type="dxa"/>
            <w:vAlign w:val="center"/>
          </w:tcPr>
          <w:p w14:paraId="303DBBDB">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其中：办公费</w:t>
            </w:r>
          </w:p>
        </w:tc>
        <w:tc>
          <w:tcPr>
            <w:tcW w:w="2038" w:type="dxa"/>
            <w:gridSpan w:val="2"/>
            <w:vAlign w:val="center"/>
          </w:tcPr>
          <w:p w14:paraId="24FFFAFD">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2240" w:type="dxa"/>
            <w:gridSpan w:val="2"/>
            <w:vAlign w:val="center"/>
          </w:tcPr>
          <w:p w14:paraId="4B5BDC57">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1832" w:type="dxa"/>
            <w:gridSpan w:val="2"/>
            <w:vAlign w:val="center"/>
          </w:tcPr>
          <w:p w14:paraId="01ED849A">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r>
      <w:tr w14:paraId="0EDD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FCF750A">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水费、电费、差旅费</w:t>
            </w:r>
          </w:p>
        </w:tc>
        <w:tc>
          <w:tcPr>
            <w:tcW w:w="2038" w:type="dxa"/>
            <w:gridSpan w:val="2"/>
            <w:vAlign w:val="center"/>
          </w:tcPr>
          <w:p w14:paraId="7FBB5097">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2240" w:type="dxa"/>
            <w:gridSpan w:val="2"/>
            <w:vAlign w:val="center"/>
          </w:tcPr>
          <w:p w14:paraId="463F45FA">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1832" w:type="dxa"/>
            <w:gridSpan w:val="2"/>
            <w:vAlign w:val="center"/>
          </w:tcPr>
          <w:p w14:paraId="74703A1D">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r>
      <w:tr w14:paraId="1B39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vAlign w:val="center"/>
          </w:tcPr>
          <w:p w14:paraId="42679F21">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会议费、培训费</w:t>
            </w:r>
          </w:p>
        </w:tc>
        <w:tc>
          <w:tcPr>
            <w:tcW w:w="2038" w:type="dxa"/>
            <w:gridSpan w:val="2"/>
            <w:vAlign w:val="center"/>
          </w:tcPr>
          <w:p w14:paraId="20E3A0DD">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2240" w:type="dxa"/>
            <w:gridSpan w:val="2"/>
            <w:vAlign w:val="center"/>
          </w:tcPr>
          <w:p w14:paraId="37FE8206">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1832" w:type="dxa"/>
            <w:gridSpan w:val="2"/>
            <w:vAlign w:val="center"/>
          </w:tcPr>
          <w:p w14:paraId="321B68DD">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r>
      <w:tr w14:paraId="6DE1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354" w:type="dxa"/>
            <w:vAlign w:val="center"/>
          </w:tcPr>
          <w:p w14:paraId="666A52FE">
            <w:pPr>
              <w:widowControl/>
              <w:jc w:val="left"/>
              <w:rPr>
                <w:rFonts w:ascii="仿宋" w:hAnsi="仿宋" w:eastAsia="仿宋" w:cs="仿宋"/>
                <w:kern w:val="0"/>
                <w:sz w:val="20"/>
                <w:szCs w:val="20"/>
              </w:rPr>
            </w:pPr>
            <w:r>
              <w:rPr>
                <w:rFonts w:hint="eastAsia" w:ascii="仿宋" w:hAnsi="仿宋" w:eastAsia="仿宋" w:cs="仿宋"/>
                <w:kern w:val="0"/>
                <w:sz w:val="20"/>
                <w:szCs w:val="20"/>
              </w:rPr>
              <w:t>政府采购金额</w:t>
            </w:r>
          </w:p>
        </w:tc>
        <w:tc>
          <w:tcPr>
            <w:tcW w:w="2038" w:type="dxa"/>
            <w:gridSpan w:val="2"/>
            <w:vAlign w:val="center"/>
          </w:tcPr>
          <w:p w14:paraId="042D48FB">
            <w:pPr>
              <w:widowControl/>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vAlign w:val="center"/>
          </w:tcPr>
          <w:p w14:paraId="0734271A">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089DE5F0">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6D5A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354" w:type="dxa"/>
            <w:vAlign w:val="center"/>
          </w:tcPr>
          <w:p w14:paraId="0986A332">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部门基本支出预算调整 </w:t>
            </w:r>
          </w:p>
        </w:tc>
        <w:tc>
          <w:tcPr>
            <w:tcW w:w="2038" w:type="dxa"/>
            <w:gridSpan w:val="2"/>
            <w:vAlign w:val="center"/>
          </w:tcPr>
          <w:p w14:paraId="38C7CDB2">
            <w:pPr>
              <w:widowControl/>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vAlign w:val="center"/>
          </w:tcPr>
          <w:p w14:paraId="34B2455F">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14:paraId="3832290F">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5AC4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354" w:type="dxa"/>
            <w:vMerge w:val="restart"/>
            <w:vAlign w:val="center"/>
          </w:tcPr>
          <w:p w14:paraId="6A8A6D2E">
            <w:pPr>
              <w:widowControl/>
              <w:jc w:val="center"/>
              <w:rPr>
                <w:rFonts w:ascii="仿宋" w:hAnsi="仿宋" w:eastAsia="仿宋" w:cs="仿宋"/>
                <w:kern w:val="0"/>
                <w:sz w:val="20"/>
                <w:szCs w:val="20"/>
              </w:rPr>
            </w:pPr>
            <w:r>
              <w:rPr>
                <w:rFonts w:hint="eastAsia" w:ascii="仿宋" w:hAnsi="仿宋" w:eastAsia="仿宋" w:cs="仿宋"/>
                <w:kern w:val="0"/>
                <w:sz w:val="20"/>
                <w:szCs w:val="20"/>
              </w:rPr>
              <w:t>楼堂馆所控制情况</w:t>
            </w:r>
          </w:p>
          <w:p w14:paraId="0AAE9396">
            <w:pPr>
              <w:widowControl/>
              <w:jc w:val="center"/>
              <w:rPr>
                <w:rFonts w:ascii="仿宋" w:hAnsi="仿宋" w:eastAsia="仿宋" w:cs="仿宋"/>
                <w:kern w:val="0"/>
                <w:sz w:val="20"/>
                <w:szCs w:val="20"/>
              </w:rPr>
            </w:pPr>
          </w:p>
        </w:tc>
        <w:tc>
          <w:tcPr>
            <w:tcW w:w="1189" w:type="dxa"/>
            <w:vAlign w:val="center"/>
          </w:tcPr>
          <w:p w14:paraId="13C2FC22">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批复规模</w:t>
            </w:r>
          </w:p>
          <w:p w14:paraId="4F23BC05">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849" w:type="dxa"/>
            <w:vAlign w:val="center"/>
          </w:tcPr>
          <w:p w14:paraId="08EFB7FA">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实际规模（㎡）</w:t>
            </w:r>
          </w:p>
        </w:tc>
        <w:tc>
          <w:tcPr>
            <w:tcW w:w="1129" w:type="dxa"/>
            <w:vAlign w:val="center"/>
          </w:tcPr>
          <w:p w14:paraId="117AB08C">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规模控制率</w:t>
            </w:r>
          </w:p>
        </w:tc>
        <w:tc>
          <w:tcPr>
            <w:tcW w:w="1111" w:type="dxa"/>
            <w:vAlign w:val="center"/>
          </w:tcPr>
          <w:p w14:paraId="6628B8ED">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预算投资（万元）</w:t>
            </w:r>
          </w:p>
        </w:tc>
        <w:tc>
          <w:tcPr>
            <w:tcW w:w="969" w:type="dxa"/>
            <w:vAlign w:val="center"/>
          </w:tcPr>
          <w:p w14:paraId="2EE1929B">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实际投资（万元）</w:t>
            </w:r>
          </w:p>
        </w:tc>
        <w:tc>
          <w:tcPr>
            <w:tcW w:w="863" w:type="dxa"/>
            <w:vAlign w:val="center"/>
          </w:tcPr>
          <w:p w14:paraId="227101E6">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投资概算控制率</w:t>
            </w:r>
          </w:p>
        </w:tc>
      </w:tr>
      <w:tr w14:paraId="24B2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vAlign w:val="center"/>
          </w:tcPr>
          <w:p w14:paraId="5CE55DC6">
            <w:pPr>
              <w:widowControl/>
              <w:jc w:val="left"/>
              <w:rPr>
                <w:rFonts w:ascii="仿宋" w:hAnsi="仿宋" w:eastAsia="仿宋" w:cs="仿宋"/>
                <w:kern w:val="0"/>
                <w:sz w:val="20"/>
                <w:szCs w:val="20"/>
              </w:rPr>
            </w:pPr>
          </w:p>
        </w:tc>
        <w:tc>
          <w:tcPr>
            <w:tcW w:w="1189" w:type="dxa"/>
            <w:vAlign w:val="center"/>
          </w:tcPr>
          <w:p w14:paraId="14A74452">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849" w:type="dxa"/>
            <w:vAlign w:val="center"/>
          </w:tcPr>
          <w:p w14:paraId="52FE9844">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129" w:type="dxa"/>
            <w:vAlign w:val="center"/>
          </w:tcPr>
          <w:p w14:paraId="770203C5">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111" w:type="dxa"/>
            <w:vAlign w:val="center"/>
          </w:tcPr>
          <w:p w14:paraId="5F95C20B">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969" w:type="dxa"/>
            <w:vAlign w:val="center"/>
          </w:tcPr>
          <w:p w14:paraId="17CE9B9D">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863" w:type="dxa"/>
            <w:vAlign w:val="center"/>
          </w:tcPr>
          <w:p w14:paraId="2AFDFE14">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14:paraId="138C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354" w:type="dxa"/>
            <w:vAlign w:val="center"/>
          </w:tcPr>
          <w:p w14:paraId="16AF3BE4">
            <w:pPr>
              <w:widowControl/>
              <w:jc w:val="center"/>
              <w:rPr>
                <w:rFonts w:ascii="仿宋" w:hAnsi="仿宋" w:eastAsia="仿宋" w:cs="仿宋"/>
                <w:kern w:val="0"/>
                <w:sz w:val="20"/>
                <w:szCs w:val="20"/>
              </w:rPr>
            </w:pPr>
            <w:r>
              <w:rPr>
                <w:rFonts w:hint="eastAsia" w:ascii="仿宋" w:hAnsi="仿宋" w:eastAsia="仿宋" w:cs="仿宋"/>
                <w:kern w:val="0"/>
                <w:sz w:val="20"/>
                <w:szCs w:val="20"/>
              </w:rPr>
              <w:t>厉行节约保障措施</w:t>
            </w:r>
          </w:p>
        </w:tc>
        <w:tc>
          <w:tcPr>
            <w:tcW w:w="6110" w:type="dxa"/>
            <w:gridSpan w:val="6"/>
            <w:vAlign w:val="center"/>
          </w:tcPr>
          <w:p w14:paraId="5DBCE631">
            <w:pPr>
              <w:widowControl/>
              <w:jc w:val="center"/>
              <w:rPr>
                <w:rFonts w:ascii="仿宋" w:hAnsi="仿宋" w:eastAsia="仿宋" w:cs="仿宋"/>
                <w:kern w:val="0"/>
                <w:sz w:val="20"/>
                <w:szCs w:val="20"/>
              </w:rPr>
            </w:pPr>
            <w:r>
              <w:rPr>
                <w:rFonts w:hint="eastAsia" w:ascii="仿宋" w:hAnsi="仿宋" w:eastAsia="仿宋" w:cs="仿宋"/>
                <w:kern w:val="0"/>
                <w:sz w:val="20"/>
                <w:szCs w:val="20"/>
              </w:rPr>
              <w:t>1.规范公务接待用餐的规定，压缩“三公”经费的预算；2.实行“一事一结”，报销凭证单据不合理不完整的，一律不得报销。3.宣传节约用水、用电，提高干部职工勤俭节约的意识。</w:t>
            </w:r>
          </w:p>
        </w:tc>
      </w:tr>
    </w:tbl>
    <w:p w14:paraId="5D5D0FF9">
      <w:pPr>
        <w:pStyle w:val="12"/>
        <w:spacing w:line="280" w:lineRule="exact"/>
        <w:ind w:firstLine="440"/>
      </w:pPr>
      <w:r>
        <w:rPr>
          <w:rFonts w:eastAsia="仿宋_GB2312"/>
          <w:kern w:val="0"/>
          <w:sz w:val="22"/>
        </w:rPr>
        <w:t>说明：“项目支出”需要填报基本支出以外的所有项目支出情况，“公用经费”填报基本支出中的一般商品和服务支出。</w:t>
      </w:r>
    </w:p>
    <w:p w14:paraId="0EE4321D">
      <w:pPr>
        <w:spacing w:line="600" w:lineRule="exact"/>
        <w:rPr>
          <w:rFonts w:ascii="方正小标宋_GBK" w:hAnsi="方正小标宋_GBK" w:eastAsia="方正小标宋_GBK" w:cs="方正小标宋_GBK"/>
          <w:color w:val="000000"/>
          <w:sz w:val="32"/>
          <w:szCs w:val="32"/>
          <w:shd w:val="clear" w:color="auto" w:fill="FFFFFF"/>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曹鑫     </w:t>
      </w:r>
      <w:r>
        <w:rPr>
          <w:rFonts w:ascii="Times New Roman" w:hAnsi="Times New Roman" w:eastAsia="仿宋_GB2312" w:cs="Times New Roman"/>
          <w:color w:val="000000"/>
          <w:kern w:val="0"/>
          <w:sz w:val="24"/>
        </w:rPr>
        <w:t xml:space="preserve">  填报日期：</w:t>
      </w:r>
      <w:r>
        <w:rPr>
          <w:rFonts w:hint="eastAsia" w:ascii="Times New Roman" w:hAnsi="Times New Roman" w:eastAsia="仿宋_GB2312" w:cs="Times New Roman"/>
          <w:color w:val="000000"/>
          <w:kern w:val="0"/>
          <w:sz w:val="24"/>
        </w:rPr>
        <w:t xml:space="preserve">2024年6月21日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rPr>
        <w:t>0745-2713214</w:t>
      </w:r>
    </w:p>
    <w:p w14:paraId="26815F1D">
      <w:pPr>
        <w:pStyle w:val="8"/>
        <w:widowControl/>
        <w:shd w:val="clear" w:color="auto" w:fill="FFFFFF"/>
        <w:spacing w:beforeAutospacing="0" w:afterAutospacing="0" w:line="480" w:lineRule="exact"/>
        <w:jc w:val="both"/>
        <w:rPr>
          <w:rFonts w:ascii="黑体" w:hAnsi="黑体" w:eastAsia="黑体" w:cs="黑体"/>
          <w:color w:val="000000"/>
          <w:sz w:val="32"/>
          <w:szCs w:val="32"/>
          <w:shd w:val="clear" w:color="auto" w:fill="FFFFFF"/>
        </w:rPr>
      </w:pPr>
      <w:r>
        <w:rPr>
          <w:rFonts w:ascii="黑体" w:hAnsi="黑体" w:eastAsia="黑体" w:cs="黑体"/>
          <w:color w:val="000000"/>
          <w:sz w:val="32"/>
          <w:szCs w:val="32"/>
          <w:shd w:val="clear" w:color="auto" w:fill="FFFFFF"/>
        </w:rPr>
        <w:t>附件1-2</w:t>
      </w:r>
    </w:p>
    <w:p w14:paraId="7D25220A">
      <w:pPr>
        <w:widowControl/>
        <w:tabs>
          <w:tab w:val="left" w:pos="3611"/>
          <w:tab w:val="left" w:pos="4791"/>
          <w:tab w:val="left" w:pos="5951"/>
          <w:tab w:val="left" w:pos="7071"/>
          <w:tab w:val="left" w:pos="8191"/>
          <w:tab w:val="left" w:pos="9311"/>
        </w:tabs>
        <w:spacing w:line="480" w:lineRule="exac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126"/>
        <w:gridCol w:w="1065"/>
        <w:gridCol w:w="982"/>
        <w:gridCol w:w="86"/>
        <w:gridCol w:w="1216"/>
        <w:gridCol w:w="1216"/>
        <w:gridCol w:w="692"/>
        <w:gridCol w:w="616"/>
        <w:gridCol w:w="1144"/>
      </w:tblGrid>
      <w:tr w14:paraId="6B9A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66" w:type="dxa"/>
            <w:vAlign w:val="center"/>
          </w:tcPr>
          <w:p w14:paraId="5A1C0556">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预算单位名称</w:t>
            </w:r>
          </w:p>
        </w:tc>
        <w:tc>
          <w:tcPr>
            <w:tcW w:w="8096" w:type="dxa"/>
            <w:gridSpan w:val="9"/>
            <w:vAlign w:val="center"/>
          </w:tcPr>
          <w:p w14:paraId="3518C6C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怀化市人民政府国有资产监督管理委员会</w:t>
            </w:r>
          </w:p>
        </w:tc>
      </w:tr>
      <w:tr w14:paraId="2491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6" w:type="dxa"/>
            <w:vMerge w:val="restart"/>
            <w:vAlign w:val="center"/>
          </w:tcPr>
          <w:p w14:paraId="39DE4F22">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3C0CA24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算申请</w:t>
            </w:r>
          </w:p>
          <w:p w14:paraId="210E8E1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97" w:type="dxa"/>
            <w:gridSpan w:val="2"/>
            <w:vAlign w:val="center"/>
          </w:tcPr>
          <w:p w14:paraId="57A3DD1E">
            <w:pPr>
              <w:widowControl/>
              <w:spacing w:line="240" w:lineRule="exact"/>
              <w:jc w:val="center"/>
              <w:rPr>
                <w:rFonts w:ascii="仿宋" w:hAnsi="仿宋" w:eastAsia="仿宋" w:cs="仿宋"/>
                <w:sz w:val="20"/>
                <w:szCs w:val="20"/>
              </w:rPr>
            </w:pPr>
          </w:p>
        </w:tc>
        <w:tc>
          <w:tcPr>
            <w:tcW w:w="997" w:type="dxa"/>
            <w:vAlign w:val="center"/>
          </w:tcPr>
          <w:p w14:paraId="0F2E9870">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年初</w:t>
            </w:r>
          </w:p>
          <w:p w14:paraId="7164E246">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预算数</w:t>
            </w:r>
          </w:p>
        </w:tc>
        <w:tc>
          <w:tcPr>
            <w:tcW w:w="1310" w:type="dxa"/>
            <w:gridSpan w:val="2"/>
            <w:vAlign w:val="center"/>
          </w:tcPr>
          <w:p w14:paraId="2A2A507D">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全年预算数</w:t>
            </w:r>
          </w:p>
        </w:tc>
        <w:tc>
          <w:tcPr>
            <w:tcW w:w="1132" w:type="dxa"/>
            <w:vAlign w:val="center"/>
          </w:tcPr>
          <w:p w14:paraId="38EC5ED7">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全年</w:t>
            </w:r>
          </w:p>
          <w:p w14:paraId="35B95784">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执行数</w:t>
            </w:r>
          </w:p>
        </w:tc>
        <w:tc>
          <w:tcPr>
            <w:tcW w:w="708" w:type="dxa"/>
            <w:vAlign w:val="center"/>
          </w:tcPr>
          <w:p w14:paraId="45A281EC">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460" w:type="dxa"/>
            <w:vAlign w:val="center"/>
          </w:tcPr>
          <w:p w14:paraId="5B632C80">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执行率</w:t>
            </w:r>
          </w:p>
        </w:tc>
        <w:tc>
          <w:tcPr>
            <w:tcW w:w="1192" w:type="dxa"/>
            <w:vAlign w:val="center"/>
          </w:tcPr>
          <w:p w14:paraId="31E5EFF3">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得分</w:t>
            </w:r>
          </w:p>
        </w:tc>
      </w:tr>
      <w:tr w14:paraId="32FD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2A03F2C8">
            <w:pPr>
              <w:widowControl/>
              <w:spacing w:line="240" w:lineRule="exact"/>
              <w:jc w:val="center"/>
              <w:rPr>
                <w:rFonts w:ascii="仿宋" w:hAnsi="仿宋" w:eastAsia="仿宋" w:cs="仿宋"/>
                <w:color w:val="000000"/>
                <w:kern w:val="0"/>
                <w:sz w:val="20"/>
                <w:szCs w:val="20"/>
              </w:rPr>
            </w:pPr>
          </w:p>
        </w:tc>
        <w:tc>
          <w:tcPr>
            <w:tcW w:w="2297" w:type="dxa"/>
            <w:gridSpan w:val="2"/>
            <w:vAlign w:val="center"/>
          </w:tcPr>
          <w:p w14:paraId="741C13B3">
            <w:pPr>
              <w:widowControl/>
              <w:spacing w:line="240" w:lineRule="exact"/>
              <w:jc w:val="center"/>
              <w:rPr>
                <w:rFonts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7" w:type="dxa"/>
            <w:vAlign w:val="center"/>
          </w:tcPr>
          <w:p w14:paraId="30BB6081">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702.84</w:t>
            </w:r>
          </w:p>
        </w:tc>
        <w:tc>
          <w:tcPr>
            <w:tcW w:w="1310" w:type="dxa"/>
            <w:gridSpan w:val="2"/>
            <w:vAlign w:val="center"/>
          </w:tcPr>
          <w:p w14:paraId="5CA5789E">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611.06</w:t>
            </w:r>
          </w:p>
        </w:tc>
        <w:tc>
          <w:tcPr>
            <w:tcW w:w="1132" w:type="dxa"/>
            <w:vAlign w:val="center"/>
          </w:tcPr>
          <w:p w14:paraId="49D568A4">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611.06</w:t>
            </w:r>
          </w:p>
        </w:tc>
        <w:tc>
          <w:tcPr>
            <w:tcW w:w="708" w:type="dxa"/>
            <w:vAlign w:val="center"/>
          </w:tcPr>
          <w:p w14:paraId="0B22B81E">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10</w:t>
            </w:r>
          </w:p>
        </w:tc>
        <w:tc>
          <w:tcPr>
            <w:tcW w:w="460" w:type="dxa"/>
            <w:vAlign w:val="center"/>
          </w:tcPr>
          <w:p w14:paraId="205ABEA2">
            <w:pPr>
              <w:widowControl/>
              <w:spacing w:line="240" w:lineRule="exact"/>
              <w:jc w:val="center"/>
              <w:rPr>
                <w:rFonts w:ascii="仿宋" w:hAnsi="仿宋" w:eastAsia="仿宋" w:cs="仿宋"/>
                <w:sz w:val="20"/>
                <w:szCs w:val="20"/>
              </w:rPr>
            </w:pPr>
            <w:r>
              <w:rPr>
                <w:rFonts w:hint="eastAsia" w:ascii="仿宋" w:hAnsi="仿宋" w:eastAsia="仿宋" w:cs="仿宋"/>
                <w:sz w:val="20"/>
                <w:szCs w:val="20"/>
                <w:lang w:val="en-US" w:eastAsia="zh-CN"/>
              </w:rPr>
              <w:t>100</w:t>
            </w:r>
            <w:r>
              <w:rPr>
                <w:rFonts w:hint="eastAsia" w:ascii="仿宋" w:hAnsi="仿宋" w:eastAsia="仿宋" w:cs="仿宋"/>
                <w:sz w:val="20"/>
                <w:szCs w:val="20"/>
              </w:rPr>
              <w:t>%</w:t>
            </w:r>
          </w:p>
        </w:tc>
        <w:tc>
          <w:tcPr>
            <w:tcW w:w="1192" w:type="dxa"/>
            <w:vAlign w:val="center"/>
          </w:tcPr>
          <w:p w14:paraId="03DA308C">
            <w:pPr>
              <w:widowControl/>
              <w:spacing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09E1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4DAAC6EB">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0987029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492" w:type="dxa"/>
            <w:gridSpan w:val="4"/>
            <w:vAlign w:val="center"/>
          </w:tcPr>
          <w:p w14:paraId="6016F6F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458A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47C7F785">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2DDF8F0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一般公共预算：608.35</w:t>
            </w:r>
          </w:p>
        </w:tc>
        <w:tc>
          <w:tcPr>
            <w:tcW w:w="3492" w:type="dxa"/>
            <w:gridSpan w:val="4"/>
            <w:vAlign w:val="center"/>
          </w:tcPr>
          <w:p w14:paraId="347A9E1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其中：基本支出：558.97</w:t>
            </w:r>
          </w:p>
        </w:tc>
      </w:tr>
      <w:tr w14:paraId="4101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1C5D0A44">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06B1110B">
            <w:pPr>
              <w:widowControl/>
              <w:spacing w:line="240" w:lineRule="exact"/>
              <w:ind w:firstLine="800" w:firstLineChars="4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政府性基金拨款：0</w:t>
            </w:r>
          </w:p>
        </w:tc>
        <w:tc>
          <w:tcPr>
            <w:tcW w:w="3492" w:type="dxa"/>
            <w:gridSpan w:val="4"/>
            <w:vAlign w:val="center"/>
          </w:tcPr>
          <w:p w14:paraId="26E89294">
            <w:pPr>
              <w:widowControl/>
              <w:spacing w:line="240" w:lineRule="exact"/>
              <w:ind w:firstLine="600" w:firstLineChars="3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项目支出：52.09</w:t>
            </w:r>
          </w:p>
        </w:tc>
      </w:tr>
      <w:tr w14:paraId="46E0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2DD71CB4">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12236F3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纳入专户管理的非税收入拨款：0</w:t>
            </w:r>
          </w:p>
        </w:tc>
        <w:tc>
          <w:tcPr>
            <w:tcW w:w="3492" w:type="dxa"/>
            <w:gridSpan w:val="4"/>
            <w:vAlign w:val="center"/>
          </w:tcPr>
          <w:p w14:paraId="0B6C336F">
            <w:pPr>
              <w:widowControl/>
              <w:spacing w:line="240" w:lineRule="exact"/>
              <w:ind w:firstLine="1600" w:firstLineChars="800"/>
              <w:jc w:val="left"/>
              <w:rPr>
                <w:rFonts w:ascii="仿宋" w:hAnsi="仿宋" w:eastAsia="仿宋" w:cs="仿宋"/>
                <w:color w:val="000000"/>
                <w:kern w:val="0"/>
                <w:sz w:val="20"/>
                <w:szCs w:val="20"/>
              </w:rPr>
            </w:pPr>
          </w:p>
        </w:tc>
      </w:tr>
      <w:tr w14:paraId="242E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6" w:type="dxa"/>
            <w:vMerge w:val="continue"/>
            <w:vAlign w:val="center"/>
          </w:tcPr>
          <w:p w14:paraId="1EC5F9FA">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01C7C81A">
            <w:pPr>
              <w:widowControl/>
              <w:spacing w:line="240" w:lineRule="exact"/>
              <w:ind w:firstLine="1400" w:firstLineChars="7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其他资金：2.71</w:t>
            </w:r>
          </w:p>
        </w:tc>
        <w:tc>
          <w:tcPr>
            <w:tcW w:w="3492" w:type="dxa"/>
            <w:gridSpan w:val="4"/>
            <w:vAlign w:val="center"/>
          </w:tcPr>
          <w:p w14:paraId="3B92FE8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w:t>
            </w:r>
          </w:p>
        </w:tc>
      </w:tr>
      <w:tr w14:paraId="4812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restart"/>
            <w:vAlign w:val="center"/>
          </w:tcPr>
          <w:p w14:paraId="39A99B5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04" w:type="dxa"/>
            <w:gridSpan w:val="5"/>
            <w:vAlign w:val="center"/>
          </w:tcPr>
          <w:p w14:paraId="2D10094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492" w:type="dxa"/>
            <w:gridSpan w:val="4"/>
            <w:vAlign w:val="center"/>
          </w:tcPr>
          <w:p w14:paraId="43828A7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实际完成情况</w:t>
            </w:r>
          </w:p>
        </w:tc>
      </w:tr>
      <w:tr w14:paraId="1B37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66" w:type="dxa"/>
            <w:vMerge w:val="continue"/>
            <w:vAlign w:val="center"/>
          </w:tcPr>
          <w:p w14:paraId="73D61111">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56E0C060">
            <w:pPr>
              <w:widowControl/>
              <w:spacing w:line="240" w:lineRule="exact"/>
              <w:jc w:val="center"/>
              <w:rPr>
                <w:rFonts w:ascii="仿宋" w:hAnsi="仿宋" w:eastAsia="仿宋_GB2312" w:cs="仿宋"/>
                <w:color w:val="000000"/>
                <w:kern w:val="0"/>
                <w:sz w:val="20"/>
                <w:szCs w:val="20"/>
              </w:rPr>
            </w:pPr>
            <w:r>
              <w:rPr>
                <w:rFonts w:hint="eastAsia" w:ascii="仿宋" w:hAnsi="仿宋" w:eastAsia="仿宋" w:cs="仿宋"/>
                <w:color w:val="000000"/>
                <w:kern w:val="0"/>
                <w:sz w:val="20"/>
                <w:szCs w:val="20"/>
              </w:rPr>
              <w:t>1.有效推动国企改革全面工作开展；完成上一轮国企改革收尾工作；2.加强对市属国有企业监管力度，完善监管体制；3.进一步推动央企、省企对接工作；4.完成省属、市属国有企业退休人员及社区移交等分离办社会职能工作；5.积极完成一系列企业党建工作。</w:t>
            </w:r>
          </w:p>
        </w:tc>
        <w:tc>
          <w:tcPr>
            <w:tcW w:w="3492" w:type="dxa"/>
            <w:gridSpan w:val="4"/>
            <w:vAlign w:val="center"/>
          </w:tcPr>
          <w:p w14:paraId="0A7FF9E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2023年，市国资委高度重视招商引资工作，积极对接央企省企和优质民营企业，拟写了与省国资委签订的战略合作协议，提供了《2020-2023年已引进央企、省企在怀合作项目投资统计表》、《引进央企、省企在怀合作拟签约（在谈）项目投资统计表》、《引进央企、省企合作拟包装项目（投资）统计表》。市交投与中建三局签订了《怀化仙人桥商务区首期项目合作协议》，其中，合作项目占地4029亩，成立项目公司，注册资本5000万元。市城投、市交投、市高新投、市经开投与湖南湘投控股公司、湖南湘投私募基金管理有限公司签订了《怀化国际陆港产业发展基金企业（有限合伙）合伙协议》，基金前期认缴出资额共20亿元，大大有利于怀化国际陆港建设和产业发展。1.指导企业党组织开展“第一议题”学习122次。委党委班子成员及企业书记开展理论微宣讲共104 次。邀请市委宣传部、市委党校领导进行专题理论辅导，800人次参加。</w:t>
            </w:r>
          </w:p>
          <w:p w14:paraId="0424F95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2.认真组织国企开展主题教育,通过“走找想促”“四下基层”活动，找准突出问题，推进问题整改，办理意见建议63条。</w:t>
            </w:r>
          </w:p>
          <w:p w14:paraId="72489DC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召开国企党组织书记抓基层党建工作述职评议会议1次。组织2场“书记听书记讲党课”活动，22名基层党支部书记讲党课。开展“学思想、强党性，学法规、守清廉”知识竞赛活动，22家企业代表队参赛。举办“全国先进基层党组织”辰州矿业公司党委管理实践经验分享会1次。组织党员志愿者积极参与“一迎三创”等活动800余人次。</w:t>
            </w:r>
          </w:p>
          <w:p w14:paraId="6449EDC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4.举办发展对象培训2期，培训212人次。举办党支部书记、党务专干及经营管理人员培训班共4期270人次。</w:t>
            </w:r>
          </w:p>
          <w:p w14:paraId="4A9A7A2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5.表彰国企“优秀共产党员”60名、“优秀党务工作者”22名、“先进基层党组织”18个。</w:t>
            </w:r>
          </w:p>
          <w:p w14:paraId="6B32BF8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6.召开人才队伍建设调度会2次，人才座谈会1次。组织企业参加招才引才高校行活动，引进急需紧缺人才近40人。</w:t>
            </w:r>
          </w:p>
          <w:p w14:paraId="0B54920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7.召开“清廉国企”建设工作推进会2次，“书香国企”书法展和新春送春“廉”活动3次，“清廉财务”交流座谈会2次，“清廉工程”现场推进会1次。</w:t>
            </w:r>
          </w:p>
          <w:p w14:paraId="132079BB">
            <w:pPr>
              <w:pStyle w:val="2"/>
            </w:pPr>
          </w:p>
          <w:p w14:paraId="2D9538E1">
            <w:pPr>
              <w:widowControl/>
              <w:spacing w:line="240" w:lineRule="exact"/>
              <w:jc w:val="left"/>
              <w:rPr>
                <w:rFonts w:ascii="仿宋" w:hAnsi="仿宋" w:eastAsia="仿宋" w:cs="仿宋"/>
                <w:color w:val="000000"/>
                <w:kern w:val="0"/>
                <w:sz w:val="20"/>
                <w:szCs w:val="20"/>
              </w:rPr>
            </w:pPr>
          </w:p>
        </w:tc>
      </w:tr>
      <w:tr w14:paraId="63F2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66" w:type="dxa"/>
            <w:vMerge w:val="restart"/>
            <w:vAlign w:val="center"/>
          </w:tcPr>
          <w:p w14:paraId="6085743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E1190D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78D486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F2B5B7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3" w:type="dxa"/>
            <w:vAlign w:val="center"/>
          </w:tcPr>
          <w:p w14:paraId="3746562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4" w:type="dxa"/>
            <w:vAlign w:val="center"/>
          </w:tcPr>
          <w:p w14:paraId="3377953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91" w:type="dxa"/>
            <w:gridSpan w:val="2"/>
            <w:vAlign w:val="center"/>
          </w:tcPr>
          <w:p w14:paraId="6B9D020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16" w:type="dxa"/>
            <w:vAlign w:val="center"/>
          </w:tcPr>
          <w:p w14:paraId="407D186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01D504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2" w:type="dxa"/>
            <w:vAlign w:val="center"/>
          </w:tcPr>
          <w:p w14:paraId="011FF8B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A7054FF">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8" w:type="dxa"/>
            <w:vAlign w:val="center"/>
          </w:tcPr>
          <w:p w14:paraId="5401489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460" w:type="dxa"/>
            <w:vAlign w:val="center"/>
          </w:tcPr>
          <w:p w14:paraId="3A9BEFD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92" w:type="dxa"/>
          </w:tcPr>
          <w:p w14:paraId="2C00FDD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DFD6DC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A964FC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04A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4CCB4E49">
            <w:pPr>
              <w:widowControl/>
              <w:spacing w:line="240" w:lineRule="exact"/>
              <w:jc w:val="center"/>
              <w:rPr>
                <w:rFonts w:ascii="仿宋" w:hAnsi="仿宋" w:eastAsia="仿宋" w:cs="仿宋"/>
                <w:color w:val="000000"/>
                <w:kern w:val="0"/>
                <w:sz w:val="20"/>
                <w:szCs w:val="20"/>
              </w:rPr>
            </w:pPr>
          </w:p>
        </w:tc>
        <w:tc>
          <w:tcPr>
            <w:tcW w:w="1173" w:type="dxa"/>
            <w:vMerge w:val="restart"/>
            <w:vAlign w:val="center"/>
          </w:tcPr>
          <w:p w14:paraId="0BDAF9F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5A76ED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（50分)</w:t>
            </w:r>
          </w:p>
        </w:tc>
        <w:tc>
          <w:tcPr>
            <w:tcW w:w="1124" w:type="dxa"/>
            <w:vMerge w:val="restart"/>
            <w:vAlign w:val="center"/>
          </w:tcPr>
          <w:p w14:paraId="024CBCD2">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213E0F0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1" w:type="dxa"/>
            <w:gridSpan w:val="2"/>
            <w:vAlign w:val="center"/>
          </w:tcPr>
          <w:p w14:paraId="2867676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重点工作完成数</w:t>
            </w:r>
          </w:p>
        </w:tc>
        <w:tc>
          <w:tcPr>
            <w:tcW w:w="1216" w:type="dxa"/>
            <w:vAlign w:val="center"/>
          </w:tcPr>
          <w:p w14:paraId="2DA29C9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1132" w:type="dxa"/>
            <w:vAlign w:val="center"/>
          </w:tcPr>
          <w:p w14:paraId="7E18603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708" w:type="dxa"/>
            <w:vAlign w:val="center"/>
          </w:tcPr>
          <w:p w14:paraId="6E744AC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3572DB1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92" w:type="dxa"/>
            <w:vAlign w:val="center"/>
          </w:tcPr>
          <w:p w14:paraId="71A30CB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26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370A6ED5">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02F0685A">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070ED7A9">
            <w:pPr>
              <w:widowControl/>
              <w:spacing w:line="240" w:lineRule="exact"/>
              <w:jc w:val="center"/>
              <w:rPr>
                <w:rFonts w:ascii="仿宋" w:hAnsi="仿宋" w:eastAsia="仿宋" w:cs="仿宋"/>
                <w:color w:val="000000"/>
                <w:kern w:val="0"/>
                <w:sz w:val="20"/>
                <w:szCs w:val="20"/>
              </w:rPr>
            </w:pPr>
          </w:p>
        </w:tc>
        <w:tc>
          <w:tcPr>
            <w:tcW w:w="1091" w:type="dxa"/>
            <w:gridSpan w:val="2"/>
            <w:vAlign w:val="center"/>
          </w:tcPr>
          <w:p w14:paraId="364D9CD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58CA0C8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3CF1B2C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714D2E9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6FD999A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568B0AD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3F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2829E34D">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4A77C9D5">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2DB6EAC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6202CC8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1" w:type="dxa"/>
            <w:gridSpan w:val="2"/>
            <w:vAlign w:val="center"/>
          </w:tcPr>
          <w:p w14:paraId="6A7854A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216" w:type="dxa"/>
            <w:vAlign w:val="center"/>
          </w:tcPr>
          <w:p w14:paraId="542C3E1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达标率100%</w:t>
            </w:r>
          </w:p>
        </w:tc>
        <w:tc>
          <w:tcPr>
            <w:tcW w:w="1132" w:type="dxa"/>
            <w:vAlign w:val="center"/>
          </w:tcPr>
          <w:p w14:paraId="47F6DF7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90%</w:t>
            </w:r>
          </w:p>
        </w:tc>
        <w:tc>
          <w:tcPr>
            <w:tcW w:w="708" w:type="dxa"/>
            <w:vAlign w:val="center"/>
          </w:tcPr>
          <w:p w14:paraId="248FDC2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60B671C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7</w:t>
            </w:r>
          </w:p>
        </w:tc>
        <w:tc>
          <w:tcPr>
            <w:tcW w:w="1192" w:type="dxa"/>
            <w:vAlign w:val="center"/>
          </w:tcPr>
          <w:p w14:paraId="32B820A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本单位年度考核良好。改进措施：创先争优</w:t>
            </w:r>
          </w:p>
        </w:tc>
      </w:tr>
      <w:tr w14:paraId="0A51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03C5A42C">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01500F84">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5DD9CD05">
            <w:pPr>
              <w:widowControl/>
              <w:spacing w:line="240" w:lineRule="exact"/>
              <w:jc w:val="center"/>
              <w:rPr>
                <w:rFonts w:ascii="仿宋" w:hAnsi="仿宋" w:eastAsia="仿宋" w:cs="仿宋"/>
                <w:color w:val="000000"/>
                <w:kern w:val="0"/>
                <w:sz w:val="20"/>
                <w:szCs w:val="20"/>
              </w:rPr>
            </w:pPr>
          </w:p>
        </w:tc>
        <w:tc>
          <w:tcPr>
            <w:tcW w:w="1091" w:type="dxa"/>
            <w:gridSpan w:val="2"/>
            <w:vAlign w:val="center"/>
          </w:tcPr>
          <w:p w14:paraId="4054E30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5B23DDA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3C569A6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7A3EE67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26C90BB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575F3BF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C3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600C42CA">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4BBE8FFA">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448CC65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668B2ABF">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1" w:type="dxa"/>
            <w:gridSpan w:val="2"/>
            <w:vAlign w:val="center"/>
          </w:tcPr>
          <w:p w14:paraId="00C002B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216" w:type="dxa"/>
            <w:vAlign w:val="center"/>
          </w:tcPr>
          <w:p w14:paraId="426895A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2023/12/31</w:t>
            </w:r>
          </w:p>
        </w:tc>
        <w:tc>
          <w:tcPr>
            <w:tcW w:w="1132" w:type="dxa"/>
            <w:vAlign w:val="center"/>
          </w:tcPr>
          <w:p w14:paraId="6655D04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2023/12/31</w:t>
            </w:r>
          </w:p>
        </w:tc>
        <w:tc>
          <w:tcPr>
            <w:tcW w:w="708" w:type="dxa"/>
            <w:vAlign w:val="center"/>
          </w:tcPr>
          <w:p w14:paraId="43882DF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4A64069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8</w:t>
            </w:r>
          </w:p>
        </w:tc>
        <w:tc>
          <w:tcPr>
            <w:tcW w:w="1192" w:type="dxa"/>
            <w:vAlign w:val="center"/>
          </w:tcPr>
          <w:p w14:paraId="5E60307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国企遗留问题处置是长期性的，在一个年度内没办法全部解决。改进措施：督促落实。</w:t>
            </w:r>
          </w:p>
        </w:tc>
      </w:tr>
      <w:tr w14:paraId="687C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7A25F6F7">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01A54678">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11594626">
            <w:pPr>
              <w:widowControl/>
              <w:spacing w:line="240" w:lineRule="exact"/>
              <w:jc w:val="center"/>
              <w:rPr>
                <w:rFonts w:ascii="仿宋" w:hAnsi="仿宋" w:eastAsia="仿宋" w:cs="仿宋"/>
                <w:color w:val="000000"/>
                <w:kern w:val="0"/>
                <w:sz w:val="20"/>
                <w:szCs w:val="20"/>
              </w:rPr>
            </w:pPr>
          </w:p>
        </w:tc>
        <w:tc>
          <w:tcPr>
            <w:tcW w:w="1091" w:type="dxa"/>
            <w:gridSpan w:val="2"/>
            <w:vAlign w:val="center"/>
          </w:tcPr>
          <w:p w14:paraId="4388BCE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2D2C322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507F8AA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2109FD6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1C08D75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168FE9C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CF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29954C3A">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461E539A">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0040F68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4A3ACE1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1" w:type="dxa"/>
            <w:gridSpan w:val="2"/>
            <w:vAlign w:val="center"/>
          </w:tcPr>
          <w:p w14:paraId="3777FEF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成本控制</w:t>
            </w:r>
          </w:p>
        </w:tc>
        <w:tc>
          <w:tcPr>
            <w:tcW w:w="1216" w:type="dxa"/>
            <w:vAlign w:val="center"/>
          </w:tcPr>
          <w:p w14:paraId="7DB1F71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财政预算指标控制数</w:t>
            </w:r>
          </w:p>
        </w:tc>
        <w:tc>
          <w:tcPr>
            <w:tcW w:w="1132" w:type="dxa"/>
            <w:vAlign w:val="center"/>
          </w:tcPr>
          <w:p w14:paraId="4641958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≤702.84万元</w:t>
            </w:r>
          </w:p>
        </w:tc>
        <w:tc>
          <w:tcPr>
            <w:tcW w:w="708" w:type="dxa"/>
            <w:vAlign w:val="center"/>
          </w:tcPr>
          <w:p w14:paraId="57F6C9A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w:t>
            </w:r>
          </w:p>
        </w:tc>
        <w:tc>
          <w:tcPr>
            <w:tcW w:w="460" w:type="dxa"/>
            <w:vAlign w:val="center"/>
          </w:tcPr>
          <w:p w14:paraId="189775A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w:t>
            </w:r>
          </w:p>
        </w:tc>
        <w:tc>
          <w:tcPr>
            <w:tcW w:w="1192" w:type="dxa"/>
            <w:vAlign w:val="center"/>
          </w:tcPr>
          <w:p w14:paraId="3830448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52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76C3CD5F">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62436BD4">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43BC3B75">
            <w:pPr>
              <w:widowControl/>
              <w:spacing w:line="240" w:lineRule="exact"/>
              <w:jc w:val="left"/>
              <w:rPr>
                <w:rFonts w:ascii="仿宋" w:hAnsi="仿宋" w:eastAsia="仿宋" w:cs="仿宋"/>
                <w:color w:val="000000"/>
                <w:kern w:val="0"/>
                <w:sz w:val="20"/>
                <w:szCs w:val="20"/>
              </w:rPr>
            </w:pPr>
          </w:p>
        </w:tc>
        <w:tc>
          <w:tcPr>
            <w:tcW w:w="1091" w:type="dxa"/>
            <w:gridSpan w:val="2"/>
            <w:vAlign w:val="center"/>
          </w:tcPr>
          <w:p w14:paraId="05D9E03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5E58FCD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505B394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5537638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5FA22C2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52686B7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06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71732F26">
            <w:pPr>
              <w:widowControl/>
              <w:spacing w:line="240" w:lineRule="exact"/>
              <w:jc w:val="center"/>
              <w:rPr>
                <w:rFonts w:ascii="仿宋" w:hAnsi="仿宋" w:eastAsia="仿宋" w:cs="仿宋"/>
                <w:color w:val="000000"/>
                <w:kern w:val="0"/>
                <w:sz w:val="20"/>
                <w:szCs w:val="20"/>
              </w:rPr>
            </w:pPr>
          </w:p>
        </w:tc>
        <w:tc>
          <w:tcPr>
            <w:tcW w:w="1173" w:type="dxa"/>
            <w:vMerge w:val="restart"/>
            <w:vAlign w:val="center"/>
          </w:tcPr>
          <w:p w14:paraId="2DE6B38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113B27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124" w:type="dxa"/>
            <w:vMerge w:val="restart"/>
            <w:vAlign w:val="center"/>
          </w:tcPr>
          <w:p w14:paraId="7820F01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717B03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1" w:type="dxa"/>
            <w:gridSpan w:val="2"/>
            <w:vAlign w:val="center"/>
          </w:tcPr>
          <w:p w14:paraId="52DDE7C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国有资产保值增值</w:t>
            </w:r>
          </w:p>
        </w:tc>
        <w:tc>
          <w:tcPr>
            <w:tcW w:w="1216" w:type="dxa"/>
            <w:vAlign w:val="center"/>
          </w:tcPr>
          <w:p w14:paraId="4483571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达标率90%</w:t>
            </w:r>
          </w:p>
        </w:tc>
        <w:tc>
          <w:tcPr>
            <w:tcW w:w="1132" w:type="dxa"/>
            <w:vAlign w:val="center"/>
          </w:tcPr>
          <w:p w14:paraId="21B3282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达标率90%</w:t>
            </w:r>
          </w:p>
        </w:tc>
        <w:tc>
          <w:tcPr>
            <w:tcW w:w="708" w:type="dxa"/>
            <w:vAlign w:val="center"/>
          </w:tcPr>
          <w:p w14:paraId="7B1CA25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4E2DDBD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92" w:type="dxa"/>
            <w:vAlign w:val="center"/>
          </w:tcPr>
          <w:p w14:paraId="7477CB4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863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790FE131">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2E8858B2">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43E4B3E5">
            <w:pPr>
              <w:widowControl/>
              <w:spacing w:line="240" w:lineRule="exact"/>
              <w:jc w:val="center"/>
              <w:rPr>
                <w:rFonts w:ascii="仿宋" w:hAnsi="仿宋" w:eastAsia="仿宋" w:cs="仿宋"/>
                <w:color w:val="000000"/>
                <w:kern w:val="0"/>
                <w:sz w:val="20"/>
                <w:szCs w:val="20"/>
              </w:rPr>
            </w:pPr>
          </w:p>
        </w:tc>
        <w:tc>
          <w:tcPr>
            <w:tcW w:w="1091" w:type="dxa"/>
            <w:gridSpan w:val="2"/>
            <w:vAlign w:val="center"/>
          </w:tcPr>
          <w:p w14:paraId="6F30F63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1D34EFB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225119C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3378894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59E97B1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722C5F6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96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56EEF9A2">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5202A581">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714676E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7210FE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1" w:type="dxa"/>
            <w:gridSpan w:val="2"/>
            <w:vAlign w:val="center"/>
          </w:tcPr>
          <w:p w14:paraId="70E9698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单位工作职能给社会增加的正面影响</w:t>
            </w:r>
          </w:p>
        </w:tc>
        <w:tc>
          <w:tcPr>
            <w:tcW w:w="1216" w:type="dxa"/>
            <w:vAlign w:val="center"/>
          </w:tcPr>
          <w:p w14:paraId="5B191C6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达标率95%</w:t>
            </w:r>
          </w:p>
        </w:tc>
        <w:tc>
          <w:tcPr>
            <w:tcW w:w="1132" w:type="dxa"/>
            <w:vAlign w:val="center"/>
          </w:tcPr>
          <w:p w14:paraId="6A6FD4F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达标率95%</w:t>
            </w:r>
          </w:p>
        </w:tc>
        <w:tc>
          <w:tcPr>
            <w:tcW w:w="708" w:type="dxa"/>
            <w:vAlign w:val="center"/>
          </w:tcPr>
          <w:p w14:paraId="56E56FA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672096D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92" w:type="dxa"/>
            <w:vAlign w:val="center"/>
          </w:tcPr>
          <w:p w14:paraId="75B7B08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D4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159A3955">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3E93B90E">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36F6C4E4">
            <w:pPr>
              <w:widowControl/>
              <w:spacing w:line="240" w:lineRule="exact"/>
              <w:jc w:val="center"/>
              <w:rPr>
                <w:rFonts w:ascii="仿宋" w:hAnsi="仿宋" w:eastAsia="仿宋" w:cs="仿宋"/>
                <w:color w:val="000000"/>
                <w:kern w:val="0"/>
                <w:sz w:val="20"/>
                <w:szCs w:val="20"/>
              </w:rPr>
            </w:pPr>
          </w:p>
        </w:tc>
        <w:tc>
          <w:tcPr>
            <w:tcW w:w="1091" w:type="dxa"/>
            <w:gridSpan w:val="2"/>
            <w:vAlign w:val="center"/>
          </w:tcPr>
          <w:p w14:paraId="1028AD7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56D5D02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2930292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454232D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570848D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5256B42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EF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2985A85B">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324E4F90">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341DD15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07FACF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1" w:type="dxa"/>
            <w:gridSpan w:val="2"/>
            <w:vAlign w:val="center"/>
          </w:tcPr>
          <w:p w14:paraId="7DB4400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生态效益情况</w:t>
            </w:r>
          </w:p>
        </w:tc>
        <w:tc>
          <w:tcPr>
            <w:tcW w:w="1216" w:type="dxa"/>
            <w:vAlign w:val="center"/>
          </w:tcPr>
          <w:p w14:paraId="02B3CF4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2" w:type="dxa"/>
            <w:vAlign w:val="center"/>
          </w:tcPr>
          <w:p w14:paraId="2563558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8" w:type="dxa"/>
            <w:vAlign w:val="center"/>
          </w:tcPr>
          <w:p w14:paraId="4839272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5B2A02A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92" w:type="dxa"/>
            <w:vAlign w:val="center"/>
          </w:tcPr>
          <w:p w14:paraId="3A87D7C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A4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7A3563AD">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0A05576D">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38ED08AB">
            <w:pPr>
              <w:widowControl/>
              <w:spacing w:line="240" w:lineRule="exact"/>
              <w:jc w:val="left"/>
              <w:rPr>
                <w:rFonts w:ascii="仿宋" w:hAnsi="仿宋" w:eastAsia="仿宋" w:cs="仿宋"/>
                <w:color w:val="000000"/>
                <w:kern w:val="0"/>
                <w:sz w:val="20"/>
                <w:szCs w:val="20"/>
              </w:rPr>
            </w:pPr>
          </w:p>
        </w:tc>
        <w:tc>
          <w:tcPr>
            <w:tcW w:w="1091" w:type="dxa"/>
            <w:gridSpan w:val="2"/>
            <w:vAlign w:val="center"/>
          </w:tcPr>
          <w:p w14:paraId="2FEABEB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71F0C89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4489203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1EA33C0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41B2FB7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5F511EC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E9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53BAD244">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7CE57D7B">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3893386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91" w:type="dxa"/>
            <w:gridSpan w:val="2"/>
            <w:vAlign w:val="center"/>
          </w:tcPr>
          <w:p w14:paraId="654A9F6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可持续影响情况</w:t>
            </w:r>
          </w:p>
        </w:tc>
        <w:tc>
          <w:tcPr>
            <w:tcW w:w="1216" w:type="dxa"/>
            <w:vAlign w:val="center"/>
          </w:tcPr>
          <w:p w14:paraId="67BC967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2" w:type="dxa"/>
            <w:vAlign w:val="center"/>
          </w:tcPr>
          <w:p w14:paraId="70B9340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8" w:type="dxa"/>
            <w:vAlign w:val="center"/>
          </w:tcPr>
          <w:p w14:paraId="428D1E5E">
            <w:pPr>
              <w:widowControl/>
              <w:spacing w:line="240" w:lineRule="exact"/>
              <w:jc w:val="left"/>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460" w:type="dxa"/>
            <w:vAlign w:val="center"/>
          </w:tcPr>
          <w:p w14:paraId="4F89E5DA">
            <w:pPr>
              <w:widowControl/>
              <w:spacing w:line="240" w:lineRule="exact"/>
              <w:jc w:val="left"/>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92" w:type="dxa"/>
            <w:vAlign w:val="center"/>
          </w:tcPr>
          <w:p w14:paraId="396127D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CE3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6" w:type="dxa"/>
            <w:vMerge w:val="continue"/>
            <w:vAlign w:val="center"/>
          </w:tcPr>
          <w:p w14:paraId="09CC7A0C">
            <w:pPr>
              <w:widowControl/>
              <w:spacing w:line="240" w:lineRule="exact"/>
              <w:jc w:val="left"/>
              <w:rPr>
                <w:rFonts w:ascii="仿宋" w:hAnsi="仿宋" w:eastAsia="仿宋" w:cs="仿宋"/>
                <w:color w:val="000000"/>
                <w:kern w:val="0"/>
                <w:sz w:val="20"/>
                <w:szCs w:val="20"/>
              </w:rPr>
            </w:pPr>
          </w:p>
        </w:tc>
        <w:tc>
          <w:tcPr>
            <w:tcW w:w="1173" w:type="dxa"/>
            <w:vMerge w:val="continue"/>
            <w:vAlign w:val="center"/>
          </w:tcPr>
          <w:p w14:paraId="42469961">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6B9E9C9E">
            <w:pPr>
              <w:widowControl/>
              <w:spacing w:line="240" w:lineRule="exact"/>
              <w:jc w:val="left"/>
              <w:rPr>
                <w:rFonts w:ascii="仿宋" w:hAnsi="仿宋" w:eastAsia="仿宋" w:cs="仿宋"/>
                <w:color w:val="000000"/>
                <w:kern w:val="0"/>
                <w:sz w:val="20"/>
                <w:szCs w:val="20"/>
              </w:rPr>
            </w:pPr>
          </w:p>
        </w:tc>
        <w:tc>
          <w:tcPr>
            <w:tcW w:w="1091" w:type="dxa"/>
            <w:gridSpan w:val="2"/>
            <w:vAlign w:val="center"/>
          </w:tcPr>
          <w:p w14:paraId="65F228A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4743DF3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7F91BEF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5E42062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6C88BEB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04AC7A5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F9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006D2077">
            <w:pPr>
              <w:widowControl/>
              <w:spacing w:line="240" w:lineRule="exact"/>
              <w:jc w:val="left"/>
              <w:rPr>
                <w:rFonts w:ascii="仿宋" w:hAnsi="仿宋" w:eastAsia="仿宋" w:cs="仿宋"/>
                <w:color w:val="000000"/>
                <w:kern w:val="0"/>
                <w:sz w:val="20"/>
                <w:szCs w:val="20"/>
              </w:rPr>
            </w:pPr>
          </w:p>
        </w:tc>
        <w:tc>
          <w:tcPr>
            <w:tcW w:w="1173" w:type="dxa"/>
            <w:vMerge w:val="restart"/>
            <w:vAlign w:val="center"/>
          </w:tcPr>
          <w:p w14:paraId="63B719A6">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317D7B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901AE9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124" w:type="dxa"/>
            <w:vMerge w:val="restart"/>
            <w:vAlign w:val="center"/>
          </w:tcPr>
          <w:p w14:paraId="1CBA909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91" w:type="dxa"/>
            <w:gridSpan w:val="2"/>
            <w:vAlign w:val="center"/>
          </w:tcPr>
          <w:p w14:paraId="4C6733D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16" w:type="dxa"/>
            <w:vAlign w:val="center"/>
          </w:tcPr>
          <w:p w14:paraId="527CF9B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大于等于</w:t>
            </w:r>
            <w:r>
              <w:rPr>
                <w:rFonts w:hint="eastAsia" w:ascii="仿宋" w:hAnsi="仿宋" w:eastAsia="仿宋" w:cs="仿宋"/>
                <w:color w:val="000000"/>
                <w:kern w:val="0"/>
                <w:sz w:val="20"/>
                <w:szCs w:val="20"/>
              </w:rPr>
              <w:t>95%以上</w:t>
            </w:r>
          </w:p>
        </w:tc>
        <w:tc>
          <w:tcPr>
            <w:tcW w:w="1132" w:type="dxa"/>
            <w:vAlign w:val="center"/>
          </w:tcPr>
          <w:p w14:paraId="2AA2E5D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9</w:t>
            </w:r>
            <w:r>
              <w:rPr>
                <w:rFonts w:hint="eastAsia" w:ascii="仿宋" w:hAnsi="仿宋" w:eastAsia="仿宋" w:cs="仿宋"/>
                <w:color w:val="000000"/>
                <w:kern w:val="0"/>
                <w:sz w:val="20"/>
                <w:szCs w:val="20"/>
                <w:lang w:val="en-US" w:eastAsia="zh-CN"/>
              </w:rPr>
              <w:t>5</w:t>
            </w:r>
            <w:r>
              <w:rPr>
                <w:rFonts w:hint="eastAsia" w:ascii="仿宋" w:hAnsi="仿宋" w:eastAsia="仿宋" w:cs="仿宋"/>
                <w:color w:val="000000"/>
                <w:kern w:val="0"/>
                <w:sz w:val="20"/>
                <w:szCs w:val="20"/>
              </w:rPr>
              <w:t>%</w:t>
            </w:r>
          </w:p>
        </w:tc>
        <w:tc>
          <w:tcPr>
            <w:tcW w:w="708" w:type="dxa"/>
            <w:vAlign w:val="center"/>
          </w:tcPr>
          <w:p w14:paraId="7DBCF70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3DD4613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92" w:type="dxa"/>
            <w:vAlign w:val="center"/>
          </w:tcPr>
          <w:p w14:paraId="44D50A7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7A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16E2B2D7">
            <w:pPr>
              <w:widowControl/>
              <w:spacing w:line="240" w:lineRule="exact"/>
              <w:jc w:val="left"/>
              <w:rPr>
                <w:rFonts w:ascii="仿宋" w:hAnsi="仿宋" w:eastAsia="仿宋" w:cs="仿宋"/>
                <w:color w:val="000000"/>
                <w:kern w:val="0"/>
                <w:sz w:val="20"/>
                <w:szCs w:val="20"/>
              </w:rPr>
            </w:pPr>
          </w:p>
        </w:tc>
        <w:tc>
          <w:tcPr>
            <w:tcW w:w="1173" w:type="dxa"/>
            <w:vMerge w:val="continue"/>
            <w:vAlign w:val="center"/>
          </w:tcPr>
          <w:p w14:paraId="77831F11">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682F90AB">
            <w:pPr>
              <w:widowControl/>
              <w:spacing w:line="240" w:lineRule="exact"/>
              <w:jc w:val="left"/>
              <w:rPr>
                <w:rFonts w:ascii="仿宋" w:hAnsi="仿宋" w:eastAsia="仿宋" w:cs="仿宋"/>
                <w:color w:val="000000"/>
                <w:kern w:val="0"/>
                <w:sz w:val="20"/>
                <w:szCs w:val="20"/>
              </w:rPr>
            </w:pPr>
          </w:p>
        </w:tc>
        <w:tc>
          <w:tcPr>
            <w:tcW w:w="1091" w:type="dxa"/>
            <w:gridSpan w:val="2"/>
            <w:vAlign w:val="center"/>
          </w:tcPr>
          <w:p w14:paraId="25E3C84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0A063CE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355F010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5B0C7C9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27E5047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1B1A09A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E47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2" w:type="dxa"/>
            <w:gridSpan w:val="7"/>
            <w:vAlign w:val="center"/>
          </w:tcPr>
          <w:p w14:paraId="38FD79C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8" w:type="dxa"/>
            <w:vAlign w:val="center"/>
          </w:tcPr>
          <w:p w14:paraId="5123AF2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460" w:type="dxa"/>
            <w:vAlign w:val="center"/>
          </w:tcPr>
          <w:p w14:paraId="2C9BF20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95</w:t>
            </w:r>
          </w:p>
        </w:tc>
        <w:tc>
          <w:tcPr>
            <w:tcW w:w="1192" w:type="dxa"/>
            <w:vAlign w:val="center"/>
          </w:tcPr>
          <w:p w14:paraId="3D6EA64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06508A2">
      <w:pPr>
        <w:spacing w:line="600" w:lineRule="exac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曹鑫          </w:t>
      </w:r>
      <w:r>
        <w:rPr>
          <w:rFonts w:ascii="Times New Roman" w:hAnsi="Times New Roman" w:eastAsia="仿宋_GB2312" w:cs="Times New Roman"/>
          <w:color w:val="000000"/>
          <w:kern w:val="0"/>
          <w:sz w:val="24"/>
        </w:rPr>
        <w:t xml:space="preserve">  填报日期：</w:t>
      </w:r>
      <w:r>
        <w:rPr>
          <w:rFonts w:hint="eastAsia" w:ascii="Times New Roman" w:hAnsi="Times New Roman" w:eastAsia="仿宋_GB2312" w:cs="Times New Roman"/>
          <w:color w:val="000000"/>
          <w:kern w:val="0"/>
          <w:sz w:val="24"/>
        </w:rPr>
        <w:t xml:space="preserve">2024年6月21日  </w:t>
      </w:r>
      <w:r>
        <w:rPr>
          <w:rFonts w:ascii="Times New Roman" w:hAnsi="Times New Roman" w:eastAsia="仿宋_GB2312" w:cs="Times New Roman"/>
          <w:color w:val="000000"/>
          <w:kern w:val="0"/>
          <w:sz w:val="24"/>
        </w:rPr>
        <w:t xml:space="preserve"> 联系电话：</w:t>
      </w:r>
      <w:r>
        <w:rPr>
          <w:rFonts w:hint="eastAsia" w:ascii="Times New Roman" w:hAnsi="Times New Roman" w:eastAsia="仿宋_GB2312" w:cs="Times New Roman"/>
          <w:color w:val="000000"/>
          <w:kern w:val="0"/>
          <w:sz w:val="24"/>
        </w:rPr>
        <w:t>0745-2713214</w:t>
      </w:r>
    </w:p>
    <w:sectPr>
      <w:footerReference r:id="rId3" w:type="default"/>
      <w:pgSz w:w="11906" w:h="16838"/>
      <w:pgMar w:top="1134" w:right="1800" w:bottom="0"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E1D83B-A659-4843-8255-401B41A9FA1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945FE00-87C2-4EC4-935E-3D5C8930BFA5}"/>
  </w:font>
  <w:font w:name="Calibri Light">
    <w:panose1 w:val="020F0302020204030204"/>
    <w:charset w:val="00"/>
    <w:family w:val="auto"/>
    <w:pitch w:val="default"/>
    <w:sig w:usb0="A00002EF" w:usb1="4000207B" w:usb2="00000000" w:usb3="00000000" w:csb0="2000019F" w:csb1="00000000"/>
  </w:font>
  <w:font w:name="楷体_GB2312">
    <w:altName w:val="楷体"/>
    <w:panose1 w:val="00000000000000000000"/>
    <w:charset w:val="86"/>
    <w:family w:val="auto"/>
    <w:pitch w:val="default"/>
    <w:sig w:usb0="00000000" w:usb1="00000000" w:usb2="00000000" w:usb3="00000000" w:csb0="00040000" w:csb1="00000000"/>
    <w:embedRegular r:id="rId3" w:fontKey="{4191F07D-ADE7-4E19-B841-BEC83467AAA4}"/>
  </w:font>
  <w:font w:name="Cambria">
    <w:panose1 w:val="02040503050406030204"/>
    <w:charset w:val="00"/>
    <w:family w:val="roman"/>
    <w:pitch w:val="default"/>
    <w:sig w:usb0="E00002FF" w:usb1="400004FF" w:usb2="00000000" w:usb3="00000000" w:csb0="2000019F" w:csb1="00000000"/>
  </w:font>
  <w:font w:name="方正小标宋_GBK">
    <w:panose1 w:val="02000000000000000000"/>
    <w:charset w:val="86"/>
    <w:family w:val="auto"/>
    <w:pitch w:val="default"/>
    <w:sig w:usb0="A00002BF" w:usb1="38CF7CFA" w:usb2="00082016" w:usb3="00000000" w:csb0="00040001" w:csb1="00000000"/>
    <w:embedRegular r:id="rId4" w:fontKey="{C50219F5-9A3C-4131-8944-5BFEC22C8254}"/>
  </w:font>
  <w:font w:name="方正仿宋_GB2312">
    <w:panose1 w:val="02000000000000000000"/>
    <w:charset w:val="86"/>
    <w:family w:val="auto"/>
    <w:pitch w:val="default"/>
    <w:sig w:usb0="A00002BF" w:usb1="184F6CFA" w:usb2="00000012" w:usb3="00000000" w:csb0="00040001" w:csb1="00000000"/>
    <w:embedRegular r:id="rId5" w:fontKey="{E5A503DB-3E1F-4529-B547-CFAFFB9DA117}"/>
  </w:font>
  <w:font w:name="仿宋">
    <w:panose1 w:val="02010609060101010101"/>
    <w:charset w:val="86"/>
    <w:family w:val="modern"/>
    <w:pitch w:val="default"/>
    <w:sig w:usb0="800002BF" w:usb1="38CF7CFA" w:usb2="00000016" w:usb3="00000000" w:csb0="00040001" w:csb1="00000000"/>
    <w:embedRegular r:id="rId6" w:fontKey="{3FDFFC0E-D3A4-4ECC-BBFF-C6CD04B5CFC6}"/>
  </w:font>
  <w:font w:name="仿宋_GB2312">
    <w:altName w:val="仿宋"/>
    <w:panose1 w:val="00000000000000000000"/>
    <w:charset w:val="86"/>
    <w:family w:val="auto"/>
    <w:pitch w:val="default"/>
    <w:sig w:usb0="00000000" w:usb1="00000000" w:usb2="00000000" w:usb3="00000000" w:csb0="00040000" w:csb1="00000000"/>
    <w:embedRegular r:id="rId7" w:fontKey="{0D566F50-96E5-4371-900C-982E2F13D73C}"/>
  </w:font>
  <w:font w:name="方正小标宋简体">
    <w:panose1 w:val="03000509000000000000"/>
    <w:charset w:val="86"/>
    <w:family w:val="auto"/>
    <w:pitch w:val="default"/>
    <w:sig w:usb0="00000001" w:usb1="080E0000" w:usb2="00000000" w:usb3="00000000" w:csb0="00040000" w:csb1="00000000"/>
    <w:embedRegular r:id="rId8" w:fontKey="{4C52AA95-3BBC-4EBB-ABBE-F17E40447E0D}"/>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1D1AA">
    <w:pPr>
      <w:pStyle w:val="6"/>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6D3C19AE">
                <w:pPr>
                  <w:pStyle w:val="6"/>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28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E3ADD"/>
    <w:multiLevelType w:val="singleLevel"/>
    <w:tmpl w:val="8F0E3ADD"/>
    <w:lvl w:ilvl="0" w:tentative="0">
      <w:start w:val="3"/>
      <w:numFmt w:val="chineseCounting"/>
      <w:suff w:val="nothing"/>
      <w:lvlText w:val="%1、"/>
      <w:lvlJc w:val="left"/>
      <w:rPr>
        <w:rFonts w:hint="eastAsia"/>
      </w:rPr>
    </w:lvl>
  </w:abstractNum>
  <w:abstractNum w:abstractNumId="1">
    <w:nsid w:val="D25AEE64"/>
    <w:multiLevelType w:val="singleLevel"/>
    <w:tmpl w:val="D25AEE64"/>
    <w:lvl w:ilvl="0" w:tentative="0">
      <w:start w:val="8"/>
      <w:numFmt w:val="chineseCounting"/>
      <w:suff w:val="nothing"/>
      <w:lvlText w:val="%1、"/>
      <w:lvlJc w:val="left"/>
      <w:rPr>
        <w:rFonts w:hint="eastAsia"/>
      </w:rPr>
    </w:lvl>
  </w:abstractNum>
  <w:abstractNum w:abstractNumId="2">
    <w:nsid w:val="277A9E7F"/>
    <w:multiLevelType w:val="singleLevel"/>
    <w:tmpl w:val="277A9E7F"/>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Y3NWY1MjJjMDhlMmI2YTk1YTdmN2FlZGM1NWY0MWYifQ=="/>
    <w:docVar w:name="KSO_WPS_MARK_KEY" w:val="9920a277-c0c3-43b4-93d3-1636fe398e0b"/>
  </w:docVars>
  <w:rsids>
    <w:rsidRoot w:val="753C4E9B"/>
    <w:rsid w:val="00126AB0"/>
    <w:rsid w:val="00262C37"/>
    <w:rsid w:val="00293107"/>
    <w:rsid w:val="003D0427"/>
    <w:rsid w:val="00537025"/>
    <w:rsid w:val="005D510A"/>
    <w:rsid w:val="006039F9"/>
    <w:rsid w:val="006E2F6F"/>
    <w:rsid w:val="00804F97"/>
    <w:rsid w:val="00922D7B"/>
    <w:rsid w:val="009D2F2D"/>
    <w:rsid w:val="00AF6D78"/>
    <w:rsid w:val="00B610A7"/>
    <w:rsid w:val="00C528D4"/>
    <w:rsid w:val="00D01CAD"/>
    <w:rsid w:val="00D66650"/>
    <w:rsid w:val="028247F4"/>
    <w:rsid w:val="03196F07"/>
    <w:rsid w:val="03601D36"/>
    <w:rsid w:val="038B1487"/>
    <w:rsid w:val="04E43544"/>
    <w:rsid w:val="055B122F"/>
    <w:rsid w:val="05B13426"/>
    <w:rsid w:val="05CD76FE"/>
    <w:rsid w:val="05E95AA6"/>
    <w:rsid w:val="067B55D8"/>
    <w:rsid w:val="068C6DFC"/>
    <w:rsid w:val="07AE4B38"/>
    <w:rsid w:val="09104908"/>
    <w:rsid w:val="093B5445"/>
    <w:rsid w:val="0A03366B"/>
    <w:rsid w:val="0A5C545F"/>
    <w:rsid w:val="0A826892"/>
    <w:rsid w:val="0AB87005"/>
    <w:rsid w:val="0ACA0AE6"/>
    <w:rsid w:val="0C1741FF"/>
    <w:rsid w:val="0C180A78"/>
    <w:rsid w:val="0D276746"/>
    <w:rsid w:val="0D464D9C"/>
    <w:rsid w:val="0D6D5659"/>
    <w:rsid w:val="0DD52794"/>
    <w:rsid w:val="0DFF4F4B"/>
    <w:rsid w:val="0E956870"/>
    <w:rsid w:val="0EFF16A6"/>
    <w:rsid w:val="10C666A5"/>
    <w:rsid w:val="10CA7A92"/>
    <w:rsid w:val="11081F93"/>
    <w:rsid w:val="1168223E"/>
    <w:rsid w:val="11B378C4"/>
    <w:rsid w:val="11E94ABD"/>
    <w:rsid w:val="1223366A"/>
    <w:rsid w:val="141D25CF"/>
    <w:rsid w:val="143877FD"/>
    <w:rsid w:val="14EC447B"/>
    <w:rsid w:val="1508761E"/>
    <w:rsid w:val="16E97330"/>
    <w:rsid w:val="172A793E"/>
    <w:rsid w:val="17CA56B1"/>
    <w:rsid w:val="17D31922"/>
    <w:rsid w:val="17F51899"/>
    <w:rsid w:val="188775B2"/>
    <w:rsid w:val="19650358"/>
    <w:rsid w:val="19E805B2"/>
    <w:rsid w:val="1A15309A"/>
    <w:rsid w:val="1A246465"/>
    <w:rsid w:val="1A930EF5"/>
    <w:rsid w:val="1BB11F7A"/>
    <w:rsid w:val="1D3249F5"/>
    <w:rsid w:val="1E200CF1"/>
    <w:rsid w:val="1E733517"/>
    <w:rsid w:val="21035A7C"/>
    <w:rsid w:val="21800C2E"/>
    <w:rsid w:val="218C669E"/>
    <w:rsid w:val="21DA38AD"/>
    <w:rsid w:val="22FE234B"/>
    <w:rsid w:val="231E77CA"/>
    <w:rsid w:val="237D6BE6"/>
    <w:rsid w:val="23DD0E7C"/>
    <w:rsid w:val="242940B1"/>
    <w:rsid w:val="24373239"/>
    <w:rsid w:val="25025BF2"/>
    <w:rsid w:val="25C53F36"/>
    <w:rsid w:val="25DE7D83"/>
    <w:rsid w:val="26310F21"/>
    <w:rsid w:val="277E6F02"/>
    <w:rsid w:val="28836A4D"/>
    <w:rsid w:val="296F5223"/>
    <w:rsid w:val="29990575"/>
    <w:rsid w:val="2A6D1762"/>
    <w:rsid w:val="2AC11AAE"/>
    <w:rsid w:val="2AF6742D"/>
    <w:rsid w:val="2B9F1BDA"/>
    <w:rsid w:val="2C4B7881"/>
    <w:rsid w:val="2D1759B5"/>
    <w:rsid w:val="2D22248E"/>
    <w:rsid w:val="2D3227EF"/>
    <w:rsid w:val="2D35294A"/>
    <w:rsid w:val="2DF9330D"/>
    <w:rsid w:val="2E833798"/>
    <w:rsid w:val="2EF51D26"/>
    <w:rsid w:val="2FA31782"/>
    <w:rsid w:val="30502555"/>
    <w:rsid w:val="312A2265"/>
    <w:rsid w:val="3198380B"/>
    <w:rsid w:val="319A176E"/>
    <w:rsid w:val="31D838D0"/>
    <w:rsid w:val="31EA7C1D"/>
    <w:rsid w:val="33323549"/>
    <w:rsid w:val="33F41850"/>
    <w:rsid w:val="352A6D4C"/>
    <w:rsid w:val="359027A9"/>
    <w:rsid w:val="369D517D"/>
    <w:rsid w:val="36AA6511"/>
    <w:rsid w:val="36BA777D"/>
    <w:rsid w:val="36FC0F5D"/>
    <w:rsid w:val="373830F8"/>
    <w:rsid w:val="375773F8"/>
    <w:rsid w:val="37BE54D8"/>
    <w:rsid w:val="37DF5322"/>
    <w:rsid w:val="38F31085"/>
    <w:rsid w:val="393E32BB"/>
    <w:rsid w:val="3A331955"/>
    <w:rsid w:val="3C7618F5"/>
    <w:rsid w:val="3D006466"/>
    <w:rsid w:val="3D1617E6"/>
    <w:rsid w:val="3D1837B0"/>
    <w:rsid w:val="3D4D2D2E"/>
    <w:rsid w:val="3E104487"/>
    <w:rsid w:val="3ED23E32"/>
    <w:rsid w:val="3ED3422D"/>
    <w:rsid w:val="3EFD0EAF"/>
    <w:rsid w:val="414D2B91"/>
    <w:rsid w:val="41596145"/>
    <w:rsid w:val="419B2857"/>
    <w:rsid w:val="41D71DA8"/>
    <w:rsid w:val="429D0475"/>
    <w:rsid w:val="42AC5181"/>
    <w:rsid w:val="43103FDA"/>
    <w:rsid w:val="440B5590"/>
    <w:rsid w:val="4456696C"/>
    <w:rsid w:val="455F2CF2"/>
    <w:rsid w:val="456A2EB2"/>
    <w:rsid w:val="45BD3146"/>
    <w:rsid w:val="47040901"/>
    <w:rsid w:val="471C20EE"/>
    <w:rsid w:val="472D42FC"/>
    <w:rsid w:val="4856518C"/>
    <w:rsid w:val="489F2FD7"/>
    <w:rsid w:val="48DC4903"/>
    <w:rsid w:val="49F965C8"/>
    <w:rsid w:val="4A41472D"/>
    <w:rsid w:val="4A4F27DB"/>
    <w:rsid w:val="4AB32D6A"/>
    <w:rsid w:val="4AD147C4"/>
    <w:rsid w:val="4B2A1C26"/>
    <w:rsid w:val="4B6B71A0"/>
    <w:rsid w:val="4B920BD1"/>
    <w:rsid w:val="4BD72A88"/>
    <w:rsid w:val="4C1C049B"/>
    <w:rsid w:val="4C6611ED"/>
    <w:rsid w:val="4CF20A84"/>
    <w:rsid w:val="4E487C6D"/>
    <w:rsid w:val="4F10078B"/>
    <w:rsid w:val="4F1D6A04"/>
    <w:rsid w:val="4F5F526E"/>
    <w:rsid w:val="4F827E5D"/>
    <w:rsid w:val="50493828"/>
    <w:rsid w:val="506B3DC0"/>
    <w:rsid w:val="51937451"/>
    <w:rsid w:val="52E066C6"/>
    <w:rsid w:val="540D34EB"/>
    <w:rsid w:val="545253A1"/>
    <w:rsid w:val="552A0475"/>
    <w:rsid w:val="564156CE"/>
    <w:rsid w:val="56AB2B47"/>
    <w:rsid w:val="576A0C54"/>
    <w:rsid w:val="578D10CB"/>
    <w:rsid w:val="57E94CAC"/>
    <w:rsid w:val="58346B6C"/>
    <w:rsid w:val="58970BBD"/>
    <w:rsid w:val="58BF54EF"/>
    <w:rsid w:val="59205A6E"/>
    <w:rsid w:val="59BC4F62"/>
    <w:rsid w:val="5A5915AC"/>
    <w:rsid w:val="5A72697C"/>
    <w:rsid w:val="5AAA6842"/>
    <w:rsid w:val="5AAF5DB1"/>
    <w:rsid w:val="5C69772C"/>
    <w:rsid w:val="5D861C18"/>
    <w:rsid w:val="5D887B53"/>
    <w:rsid w:val="5DE03A1E"/>
    <w:rsid w:val="5ED13367"/>
    <w:rsid w:val="6022031E"/>
    <w:rsid w:val="607D62CF"/>
    <w:rsid w:val="60DF620F"/>
    <w:rsid w:val="622D2FAA"/>
    <w:rsid w:val="62D022B3"/>
    <w:rsid w:val="63350368"/>
    <w:rsid w:val="63932A29"/>
    <w:rsid w:val="63C74FD0"/>
    <w:rsid w:val="63E36016"/>
    <w:rsid w:val="65A70610"/>
    <w:rsid w:val="67D30150"/>
    <w:rsid w:val="68850646"/>
    <w:rsid w:val="69AE677E"/>
    <w:rsid w:val="6A12486A"/>
    <w:rsid w:val="6CF7668E"/>
    <w:rsid w:val="6E3336F6"/>
    <w:rsid w:val="6E34121C"/>
    <w:rsid w:val="6E624081"/>
    <w:rsid w:val="6E775CD9"/>
    <w:rsid w:val="6EDB5653"/>
    <w:rsid w:val="6F4A69AF"/>
    <w:rsid w:val="6FFC53D4"/>
    <w:rsid w:val="707A1AB0"/>
    <w:rsid w:val="70B825D8"/>
    <w:rsid w:val="747B5DF7"/>
    <w:rsid w:val="74D46A3F"/>
    <w:rsid w:val="753C4E9B"/>
    <w:rsid w:val="754B57C9"/>
    <w:rsid w:val="769D4F2D"/>
    <w:rsid w:val="77E048EF"/>
    <w:rsid w:val="781113A7"/>
    <w:rsid w:val="78B47B29"/>
    <w:rsid w:val="78B6564F"/>
    <w:rsid w:val="79164B8E"/>
    <w:rsid w:val="791E6510"/>
    <w:rsid w:val="7A6A66F1"/>
    <w:rsid w:val="7AF91823"/>
    <w:rsid w:val="7AFA0321"/>
    <w:rsid w:val="7B1624A7"/>
    <w:rsid w:val="7B22124B"/>
    <w:rsid w:val="7C8D4A41"/>
    <w:rsid w:val="7E647DCC"/>
    <w:rsid w:val="7EEB3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eastAsia="宋体" w:cs="Times New Roman"/>
      <w:sz w:val="24"/>
    </w:rPr>
  </w:style>
  <w:style w:type="paragraph" w:styleId="4">
    <w:name w:val="annotation text"/>
    <w:basedOn w:val="1"/>
    <w:qFormat/>
    <w:uiPriority w:val="0"/>
    <w:pPr>
      <w:jc w:val="left"/>
    </w:pPr>
  </w:style>
  <w:style w:type="paragraph" w:styleId="5">
    <w:name w:val="Body Text Indent"/>
    <w:basedOn w:val="1"/>
    <w:autoRedefine/>
    <w:unhideWhenUsed/>
    <w:qFormat/>
    <w:uiPriority w:val="0"/>
    <w:pPr>
      <w:ind w:firstLine="640" w:firstLineChars="200"/>
    </w:pPr>
    <w:rPr>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qFormat/>
    <w:uiPriority w:val="0"/>
    <w:pPr>
      <w:spacing w:beforeAutospacing="1" w:afterAutospacing="1"/>
      <w:jc w:val="left"/>
    </w:pPr>
    <w:rPr>
      <w:rFonts w:cs="Times New Roman"/>
      <w:kern w:val="0"/>
      <w:sz w:val="24"/>
    </w:rPr>
  </w:style>
  <w:style w:type="paragraph" w:styleId="9">
    <w:name w:val="Body Text First Indent 2"/>
    <w:basedOn w:val="5"/>
    <w:autoRedefine/>
    <w:unhideWhenUsed/>
    <w:qFormat/>
    <w:uiPriority w:val="99"/>
    <w:pPr>
      <w:ind w:firstLine="420"/>
    </w:pPr>
  </w:style>
  <w:style w:type="paragraph" w:customStyle="1" w:styleId="12">
    <w:name w:val="标题1"/>
    <w:basedOn w:val="3"/>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customStyle="1" w:styleId="14">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15">
    <w:name w:val="No Spacing"/>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5625</Words>
  <Characters>6228</Characters>
  <Lines>121</Lines>
  <Paragraphs>34</Paragraphs>
  <TotalTime>37</TotalTime>
  <ScaleCrop>false</ScaleCrop>
  <LinksUpToDate>false</LinksUpToDate>
  <CharactersWithSpaces>6417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2024-07-03T08:03:00Z</dcterms:created>
  <dc:creator>1402836399</dc:creator>
  <cp:lastModifiedBy>Administrator</cp:lastModifiedBy>
  <cp:lastPrinted>2024-07-05T01:36:00Z</cp:lastPrinted>
  <dcterms:modified xsi:type="dcterms:W3CDTF">2024-09-24T07:03:10Z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4B545E2748234224AA7888E0D1AE4147_13</vt:lpwstr>
  </property>
</Properties>
</file>