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eastAsia" w:ascii="仿宋" w:hAnsi="仿宋" w:eastAsia="仿宋" w:cs="仿宋"/>
          <w:b/>
          <w:bCs/>
          <w:sz w:val="48"/>
          <w:szCs w:val="48"/>
        </w:rPr>
      </w:pPr>
      <w:r>
        <w:rPr>
          <w:rFonts w:hint="eastAsia" w:ascii="仿宋" w:hAnsi="仿宋" w:eastAsia="仿宋" w:cs="仿宋"/>
          <w:b/>
          <w:bCs/>
          <w:sz w:val="48"/>
          <w:szCs w:val="48"/>
        </w:rPr>
        <w:t>怀化市商务局202</w:t>
      </w:r>
      <w:r>
        <w:rPr>
          <w:rFonts w:hint="eastAsia" w:ascii="仿宋" w:hAnsi="仿宋" w:eastAsia="仿宋" w:cs="仿宋"/>
          <w:b/>
          <w:bCs/>
          <w:sz w:val="48"/>
          <w:szCs w:val="48"/>
          <w:lang w:val="en-US" w:eastAsia="zh-CN"/>
        </w:rPr>
        <w:t>1</w:t>
      </w:r>
      <w:r>
        <w:rPr>
          <w:rFonts w:hint="eastAsia" w:ascii="仿宋" w:hAnsi="仿宋" w:eastAsia="仿宋" w:cs="仿宋"/>
          <w:b/>
          <w:bCs/>
          <w:sz w:val="48"/>
          <w:szCs w:val="48"/>
        </w:rPr>
        <w:t>年部门预算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eastAsia" w:ascii="仿宋" w:hAnsi="仿宋" w:eastAsia="仿宋" w:cs="仿宋"/>
          <w:b/>
          <w:bCs/>
          <w:kern w:val="0"/>
          <w:sz w:val="48"/>
          <w:szCs w:val="48"/>
          <w:lang w:eastAsia="zh-CN"/>
        </w:rPr>
      </w:pPr>
      <w:r>
        <w:rPr>
          <w:rFonts w:hint="eastAsia" w:ascii="仿宋" w:hAnsi="仿宋" w:eastAsia="仿宋" w:cs="仿宋"/>
          <w:b/>
          <w:bCs/>
          <w:kern w:val="0"/>
          <w:sz w:val="48"/>
          <w:szCs w:val="48"/>
        </w:rPr>
        <w:t>公开说</w:t>
      </w:r>
      <w:r>
        <w:rPr>
          <w:rFonts w:hint="eastAsia" w:ascii="仿宋" w:hAnsi="仿宋" w:eastAsia="仿宋" w:cs="仿宋"/>
          <w:b/>
          <w:bCs/>
          <w:kern w:val="0"/>
          <w:sz w:val="48"/>
          <w:szCs w:val="48"/>
          <w:lang w:eastAsia="zh-CN"/>
        </w:rPr>
        <w:t>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eastAsia" w:ascii="仿宋" w:hAnsi="仿宋" w:eastAsia="仿宋" w:cs="仿宋"/>
          <w:b/>
          <w:bCs/>
          <w:kern w:val="0"/>
          <w:sz w:val="48"/>
          <w:szCs w:val="48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eastAsia" w:ascii="仿宋" w:hAnsi="仿宋" w:eastAsia="仿宋" w:cs="仿宋"/>
          <w:b w:val="0"/>
          <w:bCs/>
          <w:sz w:val="48"/>
          <w:szCs w:val="48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目 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一、部门基本概况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（一）部门职责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（二）机构设置情况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二、部门预算单位构成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三、部门收支总体情况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四、一般公共预算财政拨款支出情况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五、政府性基金支出情况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六、其他重要事项的情况说明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（一）“三公”经费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（二）机关运行经费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（三）政府采购情况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（四）预算绩效管理情况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（五）国有资产占用情况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（六）一般性支出情况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七、专业名词解释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八、公开附表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1、部门收支总表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2、部门收入总表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3、部门支出总表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4、财政拨款收支总表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5、一般公共预算支出表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6、一般公共预算基本支出表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7、一般公共预算“三公”经费支出表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8、政府性基金预算支出表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9、国有资本经营预算支出表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10、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项目支出绩效目标表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11、部门整体支出绩效目标表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一、部门基本概况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（一）部门职责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贯彻执行国家国内外贸易、国际经济合作和区域经济合作的发展战略、政策，起草我市国内外贸易、招商引资、承接产业转移、对外援助、对外投资和对外经济合作的地方性法规及规章草案、政策措施和实施办法，研究经济全球化、区域经济合作、现代流通方式的发展趋势和流通体制改革并提出建议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负责推进流通产业结构调整，指导流通企业改革，促进商贸服务业和社区商业发展，提出促进中小商贸企业发展的政策建议，推动流通标准化和连锁经营、商业特许经营、物流配送、电子商务等现代流通方式的发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拟订全市国内贸易发展规划，促进城乡市场发展，研究提出引导国内外资金投向市场体系建设的政策建议，指导大宗产品批发市场规划和城市商业网点规划、商业体系建设工作，推进农村市场体系建设，组织实施农村现代流通网络工程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4.承担牵头协调整顿和规范市场经济秩序工作的责任，拟订规范市场秩序的政策；推动商务领域信用建设，指导商业信用销售，建立市场诚信公共服务平台；按有关规定对特殊流通行业进行监督管理。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承担组织实施重要消费品市场调控和重要生产资料（成品油）流通管理的责任，监测分析重要消费品的市场运行、商品供求状况，调查分析重要消费品价格信息，进行预测预警和信息引导；按分工负责重要消费品（肉类、边销茶、小包装食品等）储备管理和市场调控工作；按有关规定对成品油流通进行监督管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.贯彻执行国家进出口商品、加工贸易管理办法和进出口管理商品、技术目录，拟订促进外贸增长方式转变的政策措施，组织实施重要工业品、原材料和重要农产品进出口总量计划，会同有关部门协调大宗商品的进出口，指导贸易促进活动和外贸促进体系建设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7.贯彻执行国家对外技术贸易、出口管制以及鼓励技术和成套设备进出口的贸易政策，推进进出口贸易标准化工作；依法监督技术引进、设备进口、国家限制出口技术的工作。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8.牵头拟订服务贸易发展规划并开展相关工作；会同有关部门制定促进服务出口、服务外包的规划、政策并组织实施，推动服务外包平台建设。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9.贯彻执行我国多双边(含区域、自由贸易区)经贸合作战略和政策，推进我市与其他国家(地区)的经贸往来与投资贸易合作；牵头承担全市商务领域涉及世界贸易组织事务的相关工作，负责对外经济贸易协调工作。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10.负责组织协调反倾销、反补贴、保障措施及其他与进出口公平贸易相关的工作，协助开展对外贸易调查和产业损害调查，指导协调产业安全应对工作。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11.指导和管理全市招商引资、投资促进和承接产业转移工作，拟订并组织实施招商引资和承接产业转移政策；依权限办理全市外商投资企业的审批和备案；指导国家级、省级经济技术开发区的有关工作。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12.拟订并组织实施对外经济合作政策；依法管理和监督对外承包工程、对外劳务合作等；拟订市内人员出境就业管理政策并组织实施，负责牵头外派劳务和境外就业人员的权益保护工作；拟订境外投资的管理办法和具体政策，指导市内企业对外投资开办企业(金融企业除外)按程序报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13.贯彻执行国家对外援助政策和方案，协调管理全市承担的对外援助项目；协调管理多双边对我市的无偿援助和赠款(不含财政合作项下外国政府及国际金融组织的赠款)等发展合作业务。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14.贯彻执行国家对香港、澳门特别行政区和台湾地区的经贸规划、政策，指导我市对港、澳、台地区贸易和经贸合作活动，协调港、澳、台商投资管理工作。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15.承担会展业促进与管理有关工作。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16.负责全市对外开放口岸的规划、申报及有关审批工作；协调管理全市口岸工作，推动建立大通关机制。 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17.负责商贸行业安全生产监督管理工作。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18.完成市委、市政府交办的其他任务。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（二）机构设置情况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怀化市商务局作为一级部门预算单位，内设科室为:办公室、财务审计科、人事科、政策法规和市场秩序科、电子商务科、市场体系建设科、对外贸易科、投资管理和对外经济合作科、流通业发展科、口岸办、市场运行和消费促进科、机关党委等。另有两个二级单位（均为非独立核算、非独立部门预算单位）：怀化市投资促进事务中心、怀化市商务服务中心。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二、部门预算单位构成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纳入2022年怀化市商务局部门预算编制范围的预算单位包括：怀化市商务局部门本级，两个二级单位（均为非独立核算、非独立部门预算单位）：怀化市投资促进事务中心、市商务服务中心。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三、部门收支总体情况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2022年部门预算包括本单位预算内的收支情况。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收入预算，包括一般公共预算、政府性基金、国有资本经营预算等财政拨款收入，以及经营收入、事业收入等单位资金。2022年本部门收入预算1846.2万元，其中：一般公共预算拨款1846.2万元，政府性基金预算拨款 0万元，国有资本经营预算拨款0万元，纳入专户管理的非税收入 0万元，上年结转结余0万元。压减公用经费和专项支出后，同口径对比，收入较上年增加248.18 万元，增长15.53 %，主要原因是2022年开始将医疗保险缴费、住房公积金等纳入预算，另有人员增加。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支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出预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算，2022年本部门支出预算1846.2万元，其中，主要是基本支出1168.2万元，项目支出678万元，主要是工资和福利支出763.48万元、商品和服务支出877.42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万元、对个人和家庭的补助204.3万元、资本性支出1万元。压减公用经费和专项支出后，同口径对比，支出较上年增加</w:t>
      </w:r>
      <w:r>
        <w:rPr>
          <w:rFonts w:hint="eastAsia" w:ascii="仿宋" w:hAnsi="仿宋" w:eastAsia="仿宋" w:cs="仿宋"/>
          <w:sz w:val="32"/>
          <w:szCs w:val="32"/>
        </w:rPr>
        <w:t>248.18万元，增长 15.53 %，主要是2022年开始将医疗保险缴费、住房公积金等纳入预算，另有人员增加。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四、一般公共预算财政拨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  <w:t>款收支情况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2022年本部门一般公共预算拨款支出预算1846.2万元，其中，一般公共服务支出1478.28万元，占80.07%；社会保障和就业311.16万元，占16.85%；卫生健康支出56.77万元，占3.08%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基本支出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：2022年年初预算数为1168.2万元 ，包括用于基本工资313.7万元、津贴补贴89.09万元、退休费182.23万元，离休费22.08万元，奖金12.73万元，绩效工资105.86万元，养老保险缴费106.86万元，医疗保险缴费56.77万元，其他工资福利15.68万元，住房公积金62.8万元，办公费10万元、公车运行维护费10万元、福利费10万元、委托业务费10万元、印刷费5万元，劳务费10万元、公务接待费7万元、差旅费20万元、工会经费20.17万元等</w:t>
      </w:r>
      <w:r>
        <w:rPr>
          <w:rFonts w:hint="eastAsia" w:ascii="仿宋" w:hAnsi="仿宋" w:eastAsia="仿宋" w:cs="仿宋"/>
          <w:sz w:val="32"/>
          <w:szCs w:val="32"/>
        </w:rPr>
        <w:t>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项目支出：2022年年初预算数为678万元，是指单位为完成特定行政工作任务或事业发展目标而发生的支出，包括有关事业发展专项、专项业务费、基本建设支出等。其中：内贸流通支出12万元，主要用于市场运行等方面；健康产业博览会专项支出90万元，主要用于我市健康产业博览会前期筹备和会展工作等方面；驻点及产业招商专项（含8大产业链“链长招商制”工作经费）360万元，主要用于全市6个驻点招商机构和8个产业链招商引资工作方面;城市一刻钟便民生活圈建设专项200万元，主要用于便民生活圈的打造和建设；招商引资专项16万元，主要用于单位日常招商引资工作方面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五、政府性基金支出情况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2022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年本部门无</w:t>
      </w:r>
      <w:r>
        <w:rPr>
          <w:rFonts w:hint="eastAsia" w:ascii="仿宋" w:hAnsi="仿宋" w:eastAsia="仿宋" w:cs="仿宋"/>
          <w:sz w:val="32"/>
          <w:szCs w:val="32"/>
        </w:rPr>
        <w:t>政府性基金预算支出。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六、其他重要事项的情况说明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（一）“三公”经费预算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2022年市商务局安排“三公”经费预算数为133.5万元，其中，公务接待费120万元，公务用车购置费0万元，公务用车运行费13.5万元，因公出国（境）费0万元。2022年“三公”经费预算与上年持平。持平原因是合理安排支出，严格落实“三公”经费管理制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（二）机关运行经费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 2022年市商务局机关运行经费111万元，压减公用经费后安排88.8万元，同口径对比，比上年预算数减少15.61万元，下降14.95%，主要因为控制运行成本。主要用于：公车运行及维护支出，10万元；福利费支出，10万元；委托业务费支出，10万元；公务接待费支出，7万元；劳务费支出10万元；差旅费支出，20万元；办公费支出，10万元；工会经费支出10万元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（三）政府采购情况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 2022年市商务局政府采购预算总额140万元，其中，政府采购货物预算0万元、政府采购工程预算0万元、政府采购服务预算140万元。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（四）预算绩效管理情况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本部门所有支出实行绩效目标管理。纳入2022年部门整体支出绩效目标的金额为1846.2万元，其中，基本支出1168.2万元，项目支出678万元，具体绩效目标详见报表。详见附件2022 年项目支出绩效目标表。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（五） 国有资产占用情况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1.截至2021年12月31日，本部门共有车辆4辆，其中，一般公务用车4辆、一般执法执勤用车0辆、特种专业技术用车0辆、其他用车0辆。单位价值50 万元以上通用设备0台（套），单价100 万元以上专用设备0台（套）。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6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 2022年，本部门无新增车辆，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新增配备单位价值50万元以上通用设备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台，单位价值100万元以上专用设备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台。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六</w:t>
      </w:r>
      <w:r>
        <w:rPr>
          <w:rFonts w:hint="eastAsia" w:ascii="仿宋" w:hAnsi="仿宋" w:eastAsia="仿宋" w:cs="仿宋"/>
          <w:sz w:val="32"/>
          <w:szCs w:val="32"/>
        </w:rPr>
        <w:t>）一般性支出情况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1.2022年，本部门会议费预算22万元，具体为：全市商务经济工作会议，内容为各县市区上年商务工作总结、下年工作计划交流，预计参会人数30人，预算1万元；驻点及产业经济工作会议，内容为全市招商引资工作总结及下阶段工作部署会。预计参会人数30人，预算1万元。项目座谈会，内容为重要企业来怀考察时安排的专项座谈会，预计会议数量10次，参会人数共200人，预算20万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2.2022年本部门培训费预算16万元，具体为：全市招商引资培训，内容为全市招商引资人才的专题培训，预计人数50人，预算6万元；城市一刻钟便民生活圈培训，内容为城市一刻钟便民社区的打造和建设，预计人数50人，预算10万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3. 2022年本部门无举办节庆、晚会、论坛、赛事等预算。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七、专业名词解释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机关运行经费：为保障行政单位（包括参照公务员法管理的事业单位）运行，用一般公共预算拨款安排用于购买货物和服务的各项资金，包括办公及印刷费、邮电费、差旅费、会议费、福利费、日常维修费、办公用房水电费、办公用房取暖费、办公用房物业管理费、公务用车运行维护费以及其他费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“三公”经费：纳入财政预算管理的“三公“经费，是指用一般公共预算拨款安排的公务接待费、公务用车购置及运行维护费和因公出国（境）费。其中，公务接待费反映单位按规定开支的各类公务接待支出；公务用车购置及运行费反映单位公务用车车辆购置支出（含车辆购置税），以及燃料费、维修费、保险费等支出；因公出国（境）费反映单位公务出国（境）的国际旅费、国外城市间交通费、食宿费等支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八、公开附表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1.收支预算总表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2.收入预算总表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3.支出预算总表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4.财政拨款收支预算总表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5.本年一般公共预算支出预算表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6.本年一般公共预算基本支出预算表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7.本年“三公”经费支出预算表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8.本年政府性基金预算支出预算表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9.国有资本经营支出预算支出表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10.本年项目支出预算表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11.部门整体支出绩效目标表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E22A17"/>
    <w:multiLevelType w:val="singleLevel"/>
    <w:tmpl w:val="ADE22A17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4MjM4OGRjMjA1YmIwNDg3YWY0MmMwNWU4YTAwYjIifQ=="/>
  </w:docVars>
  <w:rsids>
    <w:rsidRoot w:val="4DA509B6"/>
    <w:rsid w:val="00614CF6"/>
    <w:rsid w:val="00765C65"/>
    <w:rsid w:val="00C34CD4"/>
    <w:rsid w:val="00C8000F"/>
    <w:rsid w:val="00CC5110"/>
    <w:rsid w:val="00EB2699"/>
    <w:rsid w:val="00F9114B"/>
    <w:rsid w:val="326F5CF2"/>
    <w:rsid w:val="4DA509B6"/>
    <w:rsid w:val="5424538C"/>
    <w:rsid w:val="58F269A0"/>
    <w:rsid w:val="5D8D3BC6"/>
    <w:rsid w:val="60C1494C"/>
    <w:rsid w:val="62B83757"/>
    <w:rsid w:val="6E6E46B9"/>
    <w:rsid w:val="73DC2ACC"/>
    <w:rsid w:val="772F52B1"/>
    <w:rsid w:val="7C1B719E"/>
    <w:rsid w:val="7F36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page number"/>
    <w:basedOn w:val="7"/>
    <w:qFormat/>
    <w:uiPriority w:val="0"/>
  </w:style>
  <w:style w:type="character" w:customStyle="1" w:styleId="9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4530</Words>
  <Characters>4873</Characters>
  <Lines>34</Lines>
  <Paragraphs>9</Paragraphs>
  <TotalTime>0</TotalTime>
  <ScaleCrop>false</ScaleCrop>
  <LinksUpToDate>false</LinksUpToDate>
  <CharactersWithSpaces>4888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2023-09-01T03:30:00Z</dcterms:created>
  <dc:creator>Z.</dc:creator>
  <cp:lastModifiedBy>非鱼</cp:lastModifiedBy>
  <cp:lastPrinted>2023-09-01T03:34:00Z</cp:lastPrinted>
  <dcterms:modified xsi:type="dcterms:W3CDTF">2023-10-11T13:11:01Z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3A8D4E08D05F40CC81310B0420DE7BC1_11</vt:lpwstr>
  </property>
</Properties>
</file>