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544BD6">
      <w:pPr>
        <w:widowControl/>
        <w:jc w:val="center"/>
        <w:rPr>
          <w:rFonts w:hint="eastAsia" w:ascii="黑体" w:hAnsi="黑体" w:eastAsia="黑体" w:cs="Times New Roman"/>
          <w:b/>
          <w:bCs/>
          <w:kern w:val="0"/>
          <w:sz w:val="44"/>
          <w:szCs w:val="44"/>
          <w:highlight w:val="none"/>
        </w:rPr>
      </w:pPr>
      <w:r>
        <w:rPr>
          <w:rFonts w:hint="eastAsia" w:ascii="黑体" w:hAnsi="黑体" w:eastAsia="黑体" w:cs="Times New Roman"/>
          <w:b/>
          <w:bCs/>
          <w:kern w:val="0"/>
          <w:sz w:val="44"/>
          <w:szCs w:val="44"/>
          <w:highlight w:val="none"/>
          <w:lang w:val="en-US" w:eastAsia="zh-CN"/>
        </w:rPr>
        <w:t>怀化市商务局2023年度部门预算</w:t>
      </w:r>
    </w:p>
    <w:p w14:paraId="0953B944">
      <w:pPr>
        <w:widowControl/>
        <w:jc w:val="center"/>
        <w:rPr>
          <w:rFonts w:hint="eastAsia" w:ascii="黑体" w:hAnsi="黑体" w:eastAsia="黑体" w:cs="Times New Roman"/>
          <w:b/>
          <w:bCs/>
          <w:kern w:val="0"/>
          <w:sz w:val="44"/>
          <w:szCs w:val="44"/>
          <w:highlight w:val="none"/>
          <w:lang w:val="en-US" w:eastAsia="zh-CN"/>
        </w:rPr>
      </w:pPr>
      <w:r>
        <w:rPr>
          <w:rFonts w:hint="eastAsia" w:ascii="黑体" w:hAnsi="黑体" w:eastAsia="黑体" w:cs="Times New Roman"/>
          <w:b/>
          <w:bCs/>
          <w:kern w:val="0"/>
          <w:sz w:val="44"/>
          <w:szCs w:val="44"/>
          <w:highlight w:val="none"/>
          <w:lang w:val="en-US" w:eastAsia="zh-CN"/>
        </w:rPr>
        <w:t>公开说明</w:t>
      </w:r>
    </w:p>
    <w:p w14:paraId="5470A0D7">
      <w:pPr>
        <w:widowControl/>
        <w:jc w:val="center"/>
        <w:rPr>
          <w:rFonts w:hint="eastAsia" w:ascii="黑体" w:hAnsi="黑体" w:eastAsia="黑体" w:cs="Times New Roman"/>
          <w:b/>
          <w:bCs/>
          <w:kern w:val="0"/>
          <w:sz w:val="44"/>
          <w:szCs w:val="44"/>
          <w:highlight w:val="none"/>
          <w:lang w:val="en-US" w:eastAsia="zh-CN"/>
        </w:rPr>
      </w:pPr>
    </w:p>
    <w:p w14:paraId="28BF858D">
      <w:pPr>
        <w:widowControl/>
        <w:jc w:val="center"/>
        <w:rPr>
          <w:rFonts w:hint="eastAsia" w:ascii="黑体" w:hAnsi="黑体" w:eastAsia="黑体" w:cs="Times New Roman"/>
          <w:b/>
          <w:bCs/>
          <w:kern w:val="0"/>
          <w:sz w:val="44"/>
          <w:szCs w:val="44"/>
          <w:highlight w:val="none"/>
          <w:lang w:val="en-US" w:eastAsia="zh-CN"/>
        </w:rPr>
      </w:pPr>
      <w:r>
        <w:rPr>
          <w:rFonts w:hint="eastAsia" w:ascii="黑体" w:hAnsi="黑体" w:eastAsia="黑体" w:cs="Times New Roman"/>
          <w:b/>
          <w:bCs/>
          <w:kern w:val="0"/>
          <w:sz w:val="44"/>
          <w:szCs w:val="44"/>
          <w:highlight w:val="none"/>
          <w:lang w:val="en-US" w:eastAsia="zh-CN"/>
        </w:rPr>
        <w:t>目 录</w:t>
      </w:r>
    </w:p>
    <w:p w14:paraId="051F2FD0">
      <w:pPr>
        <w:keepNext w:val="0"/>
        <w:keepLines w:val="0"/>
        <w:pageBreakBefore w:val="0"/>
        <w:widowControl/>
        <w:kinsoku/>
        <w:wordWrap/>
        <w:overflowPunct/>
        <w:topLinePunct w:val="0"/>
        <w:autoSpaceDE/>
        <w:autoSpaceDN/>
        <w:bidi w:val="0"/>
        <w:adjustRightInd/>
        <w:snapToGrid/>
        <w:spacing w:beforeLines="0" w:afterLines="0" w:line="600" w:lineRule="exact"/>
        <w:jc w:val="center"/>
        <w:textAlignment w:val="auto"/>
        <w:rPr>
          <w:rFonts w:hint="eastAsia" w:ascii="仿宋_GB2312" w:hAnsi="仿宋_GB2312" w:eastAsia="仿宋_GB2312" w:cs="仿宋_GB2312"/>
          <w:kern w:val="0"/>
          <w:sz w:val="32"/>
          <w:szCs w:val="32"/>
          <w:highlight w:val="none"/>
        </w:rPr>
      </w:pPr>
    </w:p>
    <w:p w14:paraId="6D985960">
      <w:pPr>
        <w:keepNext w:val="0"/>
        <w:keepLines w:val="0"/>
        <w:pageBreakBefore w:val="0"/>
        <w:widowControl/>
        <w:numPr>
          <w:ilvl w:val="0"/>
          <w:numId w:val="0"/>
        </w:numPr>
        <w:kinsoku/>
        <w:wordWrap/>
        <w:overflowPunct/>
        <w:topLinePunct w:val="0"/>
        <w:autoSpaceDE/>
        <w:autoSpaceDN/>
        <w:bidi w:val="0"/>
        <w:adjustRightInd/>
        <w:snapToGrid/>
        <w:spacing w:beforeLines="0" w:afterLines="0" w:line="600" w:lineRule="exact"/>
        <w:ind w:firstLine="643" w:firstLineChars="200"/>
        <w:textAlignment w:val="auto"/>
        <w:rPr>
          <w:rFonts w:hint="eastAsia"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u w:val="none" w:color="auto"/>
          <w:lang w:val="en-US" w:eastAsia="zh-CN" w:bidi="ar-SA"/>
        </w:rPr>
        <w:t>第一部分</w:t>
      </w:r>
      <w:r>
        <w:rPr>
          <w:rFonts w:hint="eastAsia" w:ascii="仿宋_GB2312" w:hAnsi="仿宋_GB2312" w:eastAsia="仿宋_GB2312" w:cs="仿宋_GB2312"/>
          <w:b/>
          <w:kern w:val="0"/>
          <w:sz w:val="32"/>
          <w:szCs w:val="32"/>
          <w:highlight w:val="none"/>
        </w:rPr>
        <w:t>202</w:t>
      </w:r>
      <w:r>
        <w:rPr>
          <w:rFonts w:hint="eastAsia" w:ascii="仿宋_GB2312" w:hAnsi="仿宋_GB2312" w:eastAsia="仿宋_GB2312" w:cs="仿宋_GB2312"/>
          <w:b/>
          <w:kern w:val="0"/>
          <w:sz w:val="32"/>
          <w:szCs w:val="32"/>
          <w:highlight w:val="none"/>
          <w:lang w:val="en-US" w:eastAsia="zh-CN"/>
        </w:rPr>
        <w:t>3</w:t>
      </w:r>
      <w:r>
        <w:rPr>
          <w:rFonts w:hint="eastAsia" w:ascii="仿宋_GB2312" w:hAnsi="仿宋_GB2312" w:eastAsia="仿宋_GB2312" w:cs="仿宋_GB2312"/>
          <w:b/>
          <w:kern w:val="0"/>
          <w:sz w:val="32"/>
          <w:szCs w:val="32"/>
          <w:highlight w:val="none"/>
        </w:rPr>
        <w:t>年部门预算说明</w:t>
      </w:r>
    </w:p>
    <w:p w14:paraId="2C47CFA9">
      <w:pPr>
        <w:pStyle w:val="4"/>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shd w:val="clear" w:color="auto" w:fill="FFFFFF"/>
        </w:rPr>
        <w:t>一、部门基本概况</w:t>
      </w:r>
    </w:p>
    <w:p w14:paraId="6977AE29">
      <w:pPr>
        <w:pStyle w:val="4"/>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shd w:val="clear" w:color="auto" w:fill="FFFFFF"/>
        </w:rPr>
        <w:t>二、部门预算单位构成</w:t>
      </w:r>
    </w:p>
    <w:p w14:paraId="644D35C6">
      <w:pPr>
        <w:pStyle w:val="4"/>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shd w:val="clear" w:color="auto" w:fill="FFFFFF"/>
        </w:rPr>
        <w:t>三、部门收支总体情况</w:t>
      </w:r>
    </w:p>
    <w:p w14:paraId="152DA6F2">
      <w:pPr>
        <w:pStyle w:val="4"/>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shd w:val="clear" w:color="auto" w:fill="FFFFFF"/>
        </w:rPr>
        <w:t>四、一般公共预算拨款支出</w:t>
      </w:r>
    </w:p>
    <w:p w14:paraId="324EA62D">
      <w:pPr>
        <w:pStyle w:val="4"/>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shd w:val="clear" w:color="auto" w:fill="FFFFFF"/>
        </w:rPr>
        <w:t>五、政府性基金预算支出</w:t>
      </w:r>
    </w:p>
    <w:p w14:paraId="4784C51B">
      <w:pPr>
        <w:pStyle w:val="4"/>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shd w:val="clear" w:color="auto" w:fill="FFFFFF"/>
        </w:rPr>
        <w:t>六、其他重要事项的情况说明</w:t>
      </w:r>
    </w:p>
    <w:p w14:paraId="3B62A880">
      <w:pPr>
        <w:pStyle w:val="4"/>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600" w:lineRule="exact"/>
        <w:ind w:firstLine="640" w:firstLineChars="200"/>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32"/>
          <w:szCs w:val="32"/>
          <w:highlight w:val="none"/>
          <w:shd w:val="clear" w:color="auto" w:fill="FFFFFF"/>
        </w:rPr>
        <w:t>七、名词解释</w:t>
      </w:r>
    </w:p>
    <w:p w14:paraId="5C3950DE">
      <w:pPr>
        <w:keepNext w:val="0"/>
        <w:keepLines w:val="0"/>
        <w:pageBreakBefore w:val="0"/>
        <w:widowControl/>
        <w:numPr>
          <w:ilvl w:val="0"/>
          <w:numId w:val="0"/>
        </w:numPr>
        <w:kinsoku/>
        <w:wordWrap/>
        <w:overflowPunct/>
        <w:topLinePunct w:val="0"/>
        <w:autoSpaceDE/>
        <w:autoSpaceDN/>
        <w:bidi w:val="0"/>
        <w:adjustRightInd/>
        <w:snapToGrid/>
        <w:spacing w:beforeLines="0" w:afterLines="0" w:line="600" w:lineRule="exact"/>
        <w:ind w:firstLine="643" w:firstLineChars="200"/>
        <w:textAlignment w:val="auto"/>
        <w:rPr>
          <w:rFonts w:hint="eastAsia"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第二部分 202</w:t>
      </w:r>
      <w:r>
        <w:rPr>
          <w:rFonts w:hint="eastAsia" w:ascii="仿宋_GB2312" w:hAnsi="仿宋_GB2312" w:eastAsia="仿宋_GB2312" w:cs="仿宋_GB2312"/>
          <w:b/>
          <w:kern w:val="0"/>
          <w:sz w:val="32"/>
          <w:szCs w:val="32"/>
          <w:highlight w:val="none"/>
          <w:lang w:val="en-US" w:eastAsia="zh-CN"/>
        </w:rPr>
        <w:t>3</w:t>
      </w:r>
      <w:r>
        <w:rPr>
          <w:rFonts w:hint="eastAsia" w:ascii="仿宋_GB2312" w:hAnsi="仿宋_GB2312" w:eastAsia="仿宋_GB2312" w:cs="仿宋_GB2312"/>
          <w:b/>
          <w:kern w:val="0"/>
          <w:sz w:val="32"/>
          <w:szCs w:val="32"/>
          <w:highlight w:val="none"/>
        </w:rPr>
        <w:t>年部门预算表</w:t>
      </w:r>
    </w:p>
    <w:p w14:paraId="2824F8CA">
      <w:pPr>
        <w:widowControl/>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1、收支</w:t>
      </w:r>
      <w:r>
        <w:rPr>
          <w:rFonts w:hint="eastAsia" w:ascii="仿宋_GB2312" w:hAnsi="仿宋_GB2312" w:eastAsia="仿宋_GB2312" w:cs="仿宋_GB2312"/>
          <w:sz w:val="32"/>
          <w:szCs w:val="32"/>
          <w:highlight w:val="none"/>
          <w:lang w:val="en-US" w:eastAsia="zh-CN"/>
        </w:rPr>
        <w:t>预算</w:t>
      </w:r>
      <w:r>
        <w:rPr>
          <w:rFonts w:hint="eastAsia" w:ascii="仿宋_GB2312" w:hAnsi="仿宋_GB2312" w:eastAsia="仿宋_GB2312" w:cs="仿宋_GB2312"/>
          <w:sz w:val="32"/>
          <w:szCs w:val="32"/>
          <w:highlight w:val="none"/>
        </w:rPr>
        <w:t>总表</w:t>
      </w:r>
    </w:p>
    <w:p w14:paraId="4BB02386">
      <w:pPr>
        <w:widowControl/>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2、收入</w:t>
      </w:r>
      <w:r>
        <w:rPr>
          <w:rFonts w:hint="eastAsia" w:ascii="仿宋_GB2312" w:hAnsi="仿宋_GB2312" w:eastAsia="仿宋_GB2312" w:cs="仿宋_GB2312"/>
          <w:sz w:val="32"/>
          <w:szCs w:val="32"/>
          <w:highlight w:val="none"/>
          <w:lang w:val="en-US" w:eastAsia="zh-CN"/>
        </w:rPr>
        <w:t>预算</w:t>
      </w:r>
      <w:r>
        <w:rPr>
          <w:rFonts w:hint="eastAsia" w:ascii="仿宋_GB2312" w:hAnsi="仿宋_GB2312" w:eastAsia="仿宋_GB2312" w:cs="仿宋_GB2312"/>
          <w:sz w:val="32"/>
          <w:szCs w:val="32"/>
          <w:highlight w:val="none"/>
        </w:rPr>
        <w:t>总表</w:t>
      </w:r>
    </w:p>
    <w:p w14:paraId="37F6B42E">
      <w:pPr>
        <w:widowControl/>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3、支出</w:t>
      </w:r>
      <w:r>
        <w:rPr>
          <w:rFonts w:hint="eastAsia" w:ascii="仿宋_GB2312" w:hAnsi="仿宋_GB2312" w:eastAsia="仿宋_GB2312" w:cs="仿宋_GB2312"/>
          <w:sz w:val="32"/>
          <w:szCs w:val="32"/>
          <w:highlight w:val="none"/>
          <w:lang w:val="en-US" w:eastAsia="zh-CN"/>
        </w:rPr>
        <w:t>预算</w:t>
      </w:r>
      <w:r>
        <w:rPr>
          <w:rFonts w:hint="eastAsia" w:ascii="仿宋_GB2312" w:hAnsi="仿宋_GB2312" w:eastAsia="仿宋_GB2312" w:cs="仿宋_GB2312"/>
          <w:sz w:val="32"/>
          <w:szCs w:val="32"/>
          <w:highlight w:val="none"/>
        </w:rPr>
        <w:t>总表</w:t>
      </w:r>
    </w:p>
    <w:p w14:paraId="2B1DCCA8">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4、财政拨款收支总表</w:t>
      </w:r>
    </w:p>
    <w:p w14:paraId="1238ED96">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5、一般公共预算支出表</w:t>
      </w:r>
    </w:p>
    <w:p w14:paraId="2935C164">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6、一般公共预算基本支出表</w:t>
      </w:r>
    </w:p>
    <w:p w14:paraId="153AFCCA">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7、一般公共预算“三公”经费支出表</w:t>
      </w:r>
    </w:p>
    <w:p w14:paraId="36FCE8B5">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8、政府性基金预算支出表</w:t>
      </w:r>
    </w:p>
    <w:p w14:paraId="2BF1AD84">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9、国有资本经营预算支出表</w:t>
      </w:r>
    </w:p>
    <w:p w14:paraId="7F189471">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_GB2312" w:hAnsi="仿宋_GB2312" w:eastAsia="仿宋_GB2312" w:cs="仿宋_GB2312"/>
          <w:sz w:val="32"/>
          <w:szCs w:val="32"/>
          <w:highlight w:val="none"/>
        </w:rPr>
        <w:sectPr>
          <w:headerReference r:id="rId3" w:type="default"/>
          <w:footerReference r:id="rId4" w:type="even"/>
          <w:pgSz w:w="11906" w:h="16838"/>
          <w:pgMar w:top="1440" w:right="1800" w:bottom="1440" w:left="1800" w:header="851" w:footer="992" w:gutter="0"/>
          <w:cols w:space="720" w:num="1"/>
          <w:docGrid w:type="lines" w:linePitch="312" w:charSpace="0"/>
        </w:sectPr>
      </w:pPr>
    </w:p>
    <w:p w14:paraId="436A2F6B">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10、项目支出绩效目标表</w:t>
      </w:r>
    </w:p>
    <w:p w14:paraId="7F9CEE06">
      <w:pPr>
        <w:widowControl/>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11、部门整体支出绩效目标表</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在平台集中公开）</w:t>
      </w:r>
    </w:p>
    <w:p w14:paraId="02A09A3F">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注：以上部门预算报表中，空表表示本部门无相关收支情况。</w:t>
      </w:r>
    </w:p>
    <w:p w14:paraId="70A96AD1">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bCs w:val="0"/>
          <w:kern w:val="0"/>
          <w:sz w:val="32"/>
          <w:szCs w:val="32"/>
          <w:highlight w:val="none"/>
        </w:rPr>
      </w:pPr>
    </w:p>
    <w:p w14:paraId="08FC0866">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Cs/>
          <w:kern w:val="0"/>
          <w:sz w:val="44"/>
          <w:szCs w:val="44"/>
          <w:highlight w:val="none"/>
        </w:rPr>
      </w:pPr>
      <w:r>
        <w:rPr>
          <w:rFonts w:hint="eastAsia" w:ascii="黑体" w:hAnsi="黑体" w:eastAsia="黑体" w:cs="黑体"/>
          <w:b/>
          <w:bCs/>
          <w:color w:val="3D3D3D"/>
          <w:kern w:val="0"/>
          <w:sz w:val="44"/>
          <w:szCs w:val="44"/>
          <w:highlight w:val="none"/>
          <w:lang w:val="en-US" w:eastAsia="zh-CN" w:bidi="ar"/>
        </w:rPr>
        <w:t> </w:t>
      </w:r>
      <w:r>
        <w:rPr>
          <w:rFonts w:hint="eastAsia" w:ascii="黑体" w:hAnsi="黑体" w:eastAsia="黑体" w:cs="黑体"/>
          <w:b/>
          <w:bCs w:val="0"/>
          <w:kern w:val="0"/>
          <w:sz w:val="44"/>
          <w:szCs w:val="44"/>
          <w:highlight w:val="none"/>
        </w:rPr>
        <w:t xml:space="preserve">第一部分 </w:t>
      </w:r>
      <w:r>
        <w:rPr>
          <w:rFonts w:hint="eastAsia" w:ascii="黑体" w:hAnsi="黑体" w:eastAsia="黑体" w:cs="黑体"/>
          <w:b/>
          <w:bCs w:val="0"/>
          <w:kern w:val="0"/>
          <w:sz w:val="44"/>
          <w:szCs w:val="44"/>
          <w:highlight w:val="none"/>
          <w:lang w:val="en-US" w:eastAsia="zh-CN"/>
        </w:rPr>
        <w:t>2023年</w:t>
      </w:r>
      <w:r>
        <w:rPr>
          <w:rFonts w:hint="eastAsia" w:ascii="黑体" w:hAnsi="黑体" w:eastAsia="黑体" w:cs="黑体"/>
          <w:b/>
          <w:bCs w:val="0"/>
          <w:kern w:val="0"/>
          <w:sz w:val="44"/>
          <w:szCs w:val="44"/>
          <w:highlight w:val="none"/>
        </w:rPr>
        <w:t>部门预算说明</w:t>
      </w:r>
    </w:p>
    <w:p w14:paraId="37A20043">
      <w:pPr>
        <w:keepNext w:val="0"/>
        <w:keepLines w:val="0"/>
        <w:widowControl/>
        <w:suppressLineNumbers w:val="0"/>
        <w:pBdr>
          <w:top w:val="none" w:color="auto" w:sz="0" w:space="0"/>
          <w:left w:val="none" w:color="auto" w:sz="0" w:space="0"/>
          <w:bottom w:val="none" w:color="auto" w:sz="0" w:space="0"/>
          <w:right w:val="none" w:color="auto" w:sz="0" w:space="0"/>
        </w:pBdr>
        <w:spacing w:before="156" w:beforeAutospacing="0" w:after="75" w:afterAutospacing="0" w:line="500" w:lineRule="atLeast"/>
        <w:ind w:left="0" w:right="0"/>
        <w:jc w:val="left"/>
        <w:rPr>
          <w:rFonts w:hint="eastAsia" w:ascii="黑体" w:hAnsi="黑体" w:eastAsia="黑体" w:cs="黑体"/>
          <w:color w:val="3D3D3D"/>
          <w:sz w:val="44"/>
          <w:szCs w:val="44"/>
          <w:highlight w:val="none"/>
        </w:rPr>
      </w:pPr>
    </w:p>
    <w:p w14:paraId="1B306B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6" w:beforeAutospacing="0" w:after="75" w:afterAutospacing="0" w:line="600" w:lineRule="exact"/>
        <w:ind w:left="0" w:right="0"/>
        <w:jc w:val="left"/>
        <w:textAlignment w:val="auto"/>
        <w:rPr>
          <w:rFonts w:hint="eastAsia" w:ascii="黑体" w:hAnsi="黑体" w:eastAsia="黑体" w:cs="黑体"/>
          <w:color w:val="3D3D3D"/>
          <w:sz w:val="32"/>
          <w:szCs w:val="32"/>
          <w:highlight w:val="none"/>
        </w:rPr>
      </w:pPr>
      <w:r>
        <w:rPr>
          <w:rFonts w:hint="eastAsia" w:ascii="黑体" w:hAnsi="黑体" w:eastAsia="黑体" w:cs="黑体"/>
          <w:color w:val="3D3D3D"/>
          <w:kern w:val="0"/>
          <w:sz w:val="32"/>
          <w:szCs w:val="32"/>
          <w:highlight w:val="none"/>
          <w:lang w:val="en-US" w:eastAsia="zh-CN" w:bidi="ar"/>
        </w:rPr>
        <w:t>一、部门基本概况</w:t>
      </w:r>
    </w:p>
    <w:p w14:paraId="194C07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600" w:lineRule="exact"/>
        <w:ind w:left="0" w:right="0" w:firstLine="629"/>
        <w:jc w:val="left"/>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b/>
          <w:bCs/>
          <w:color w:val="3D3D3D"/>
          <w:kern w:val="0"/>
          <w:sz w:val="32"/>
          <w:szCs w:val="32"/>
          <w:highlight w:val="none"/>
          <w:lang w:val="en-US" w:eastAsia="zh-CN" w:bidi="ar"/>
        </w:rPr>
        <w:t>（一）部门职责</w:t>
      </w:r>
    </w:p>
    <w:p w14:paraId="3BE7EB6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color w:val="3D3D3D"/>
          <w:sz w:val="32"/>
          <w:szCs w:val="32"/>
          <w:highlight w:val="none"/>
        </w:rPr>
        <w:t>1.贯彻执行国家国内外贸易、国际经济合作和区域经济合作的发展战略、政策，起草我市国内外贸易、招商引资、承接产业转移、对外援助、对外投资和对外经济合作的地方性法规及规章草案、政策措施和实施办法，研究经济全球化、区域经济合作、现代流通方式的发展趋势和流通体制改革并提出建议。</w:t>
      </w:r>
    </w:p>
    <w:p w14:paraId="061BE74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color w:val="3D3D3D"/>
          <w:sz w:val="32"/>
          <w:szCs w:val="32"/>
          <w:highlight w:val="none"/>
        </w:rPr>
        <w:t>2.负责推进流通产业结构调整，指导流通企业改革，促进商贸服务业和社区商业发展，提出促进中小商贸企业发展的政策建议，推动流通标准化和连锁经营、商业特许经营、物流配送、电子商务等现代流通方式的发展。</w:t>
      </w:r>
    </w:p>
    <w:p w14:paraId="1A68C4E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color w:val="3D3D3D"/>
          <w:sz w:val="32"/>
          <w:szCs w:val="32"/>
          <w:highlight w:val="none"/>
        </w:rPr>
        <w:t>3.拟订全市国内贸易发展规划，促进城乡市场发展，研究提出引导国内外资金投向市场体系建设的政策建议，指导大宗产品批发市场规划和城市商业网点规划、商业体系建设工作，推进农村市场体系建设，组织实施农村现代流通网络工程。</w:t>
      </w:r>
    </w:p>
    <w:p w14:paraId="5494457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color w:val="3D3D3D"/>
          <w:sz w:val="32"/>
          <w:szCs w:val="32"/>
          <w:highlight w:val="none"/>
        </w:rPr>
        <w:t>4.承担牵头协调整顿和规范市场经济秩序工作的责任，拟订规范市场秩序的政策；推动商务领域信用建设，指导商业信用销售，建立市场诚信公共服务平台；按有关规定对特殊流通行业进行监督管理。</w:t>
      </w:r>
    </w:p>
    <w:p w14:paraId="2F3EF4B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color w:val="3D3D3D"/>
          <w:sz w:val="32"/>
          <w:szCs w:val="32"/>
          <w:highlight w:val="none"/>
        </w:rPr>
        <w:t>5.承担组织实施重要消费品市场调控和重要生产资料（成品油）流通管理的责任，监测分析重要消费品的市场运行、商品供求状况，调查分析重要消费品价格信息，进行预测预警和信息引导；按分工负责重要消费品（肉类、边销茶、小包装食品等）储备管理和市场调控工作；按有关规定对成品油流通进行监督管理。</w:t>
      </w:r>
    </w:p>
    <w:p w14:paraId="66B98AA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color w:val="3D3D3D"/>
          <w:sz w:val="32"/>
          <w:szCs w:val="32"/>
          <w:highlight w:val="none"/>
        </w:rPr>
        <w:t>6.贯彻执行国家进出口商品、加工贸易管理办法和进出口管理商品、技术目录，拟订促进外贸增长方式转变的政策措施，组织实施重要工业品、原材料和重要农产品进出口总量计划，会同有关部门协调大宗商品的进出口，指导贸易促进活动和外贸促进体系建设。</w:t>
      </w:r>
    </w:p>
    <w:p w14:paraId="77B39E4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color w:val="3D3D3D"/>
          <w:sz w:val="32"/>
          <w:szCs w:val="32"/>
          <w:highlight w:val="none"/>
        </w:rPr>
        <w:t>7.贯彻执行国家对外技术贸易、出口管制以及鼓励技术和成套设备进出口的贸易政策，推进进出口贸易标准化工作；依法监督技术引进、设备进口、国家限制出口技术的工作。</w:t>
      </w:r>
    </w:p>
    <w:p w14:paraId="0655361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color w:val="3D3D3D"/>
          <w:sz w:val="32"/>
          <w:szCs w:val="32"/>
          <w:highlight w:val="none"/>
        </w:rPr>
        <w:t>8.牵头拟订服务贸易发展规划并开展相关工作；会同有关部门制定促进服务出口、服务外包的规划、政策并组织实施，推动服务外包平台建设。</w:t>
      </w:r>
    </w:p>
    <w:p w14:paraId="03C7EDB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color w:val="3D3D3D"/>
          <w:sz w:val="32"/>
          <w:szCs w:val="32"/>
          <w:highlight w:val="none"/>
        </w:rPr>
        <w:t>9.贯彻执行我国多双边(含区域、自由贸易区)经贸合作战略和政策，推进我市与其他国家(地区)的经贸往来与投资贸易合作；牵头承担全市商务领域涉及世界贸易组织事务的相关工作，负责对外经济贸易协调工作。 </w:t>
      </w:r>
    </w:p>
    <w:p w14:paraId="335C2DF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color w:val="3D3D3D"/>
          <w:sz w:val="32"/>
          <w:szCs w:val="32"/>
          <w:highlight w:val="none"/>
        </w:rPr>
        <w:t>10.负责组织协调反倾销、反补贴、保障措施及其他与进出口公平贸易相关的工作，协助开展对外贸易调查和产业损害调查，指导协调产业安全应对工作。</w:t>
      </w:r>
    </w:p>
    <w:p w14:paraId="3343DF0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color w:val="3D3D3D"/>
          <w:sz w:val="32"/>
          <w:szCs w:val="32"/>
          <w:highlight w:val="none"/>
        </w:rPr>
        <w:t>11.指导和管理全市招商引资、投资促进和承接产业转移工作，拟订并组织实施招商引资和承接产业转移政策；依权限办理全市外商投资企业的审批和备案；指导国家级、省级经济技术开发区的有关工作。</w:t>
      </w:r>
    </w:p>
    <w:p w14:paraId="60E008B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color w:val="3D3D3D"/>
          <w:sz w:val="32"/>
          <w:szCs w:val="32"/>
          <w:highlight w:val="none"/>
        </w:rPr>
        <w:t>12.拟订并组织实施对外经济合作政策；依法管理和监督对外承包工程、对外劳务合作等；拟订市内人员出境就业管理政策并组织实施，负责牵头外派劳务和境外就业人员的权益保护工作；拟订境外投资的管理办法和具体政策，指导市内企业对外投资开办企业(金融企业除外)按程序报批。</w:t>
      </w:r>
    </w:p>
    <w:p w14:paraId="251E6F5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color w:val="3D3D3D"/>
          <w:sz w:val="32"/>
          <w:szCs w:val="32"/>
          <w:highlight w:val="none"/>
        </w:rPr>
        <w:t>13.贯彻执行国家对外援助政策和方案，协调管理全市承担的对外援助项目；协调管理多双边对我市的无偿援助和赠款(不含财政合作项下外国政府及国际金融组织的赠款)等发展合作业务。</w:t>
      </w:r>
    </w:p>
    <w:p w14:paraId="0EAC195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color w:val="3D3D3D"/>
          <w:sz w:val="32"/>
          <w:szCs w:val="32"/>
          <w:highlight w:val="none"/>
        </w:rPr>
        <w:t>14.贯彻执行国家对香港、澳门特别行政区和台湾地区的经贸规划、政策，指导我市对港、澳、台地区贸易和经贸合作活动，协调港、澳、台商投资管理工作。</w:t>
      </w:r>
    </w:p>
    <w:p w14:paraId="3638356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color w:val="3D3D3D"/>
          <w:sz w:val="32"/>
          <w:szCs w:val="32"/>
          <w:highlight w:val="none"/>
        </w:rPr>
        <w:t>15.承担会展业促进与管理有关工作。</w:t>
      </w:r>
    </w:p>
    <w:p w14:paraId="5A63BAD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color w:val="3D3D3D"/>
          <w:sz w:val="32"/>
          <w:szCs w:val="32"/>
          <w:highlight w:val="none"/>
        </w:rPr>
        <w:t>16.负责全市对外开放口岸的规划、申报及有关审批工作；协调管理全市口岸工作，推动建立大通关机制。 </w:t>
      </w:r>
    </w:p>
    <w:p w14:paraId="63F21AC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color w:val="3D3D3D"/>
          <w:sz w:val="32"/>
          <w:szCs w:val="32"/>
          <w:highlight w:val="none"/>
        </w:rPr>
        <w:t>17.负责商贸行业安全生产监督管理工作。</w:t>
      </w:r>
    </w:p>
    <w:p w14:paraId="20381A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600" w:lineRule="exact"/>
        <w:ind w:left="0" w:right="0" w:firstLine="627"/>
        <w:jc w:val="left"/>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color w:val="3D3D3D"/>
          <w:kern w:val="0"/>
          <w:sz w:val="32"/>
          <w:szCs w:val="32"/>
          <w:highlight w:val="none"/>
          <w:lang w:val="en-US" w:eastAsia="zh-CN" w:bidi="ar"/>
        </w:rPr>
        <w:t>18.完成市委、市政府交办的其他任务。</w:t>
      </w:r>
    </w:p>
    <w:p w14:paraId="0EC6A2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600" w:lineRule="exact"/>
        <w:ind w:left="0" w:right="0" w:firstLine="629"/>
        <w:jc w:val="left"/>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b/>
          <w:bCs/>
          <w:color w:val="3D3D3D"/>
          <w:kern w:val="0"/>
          <w:sz w:val="32"/>
          <w:szCs w:val="32"/>
          <w:highlight w:val="none"/>
          <w:lang w:val="en-US" w:eastAsia="zh-CN" w:bidi="ar"/>
        </w:rPr>
        <w:t>（二）机构设置情况</w:t>
      </w:r>
    </w:p>
    <w:p w14:paraId="177A9C4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color w:val="3D3D3D"/>
          <w:sz w:val="32"/>
          <w:szCs w:val="32"/>
          <w:highlight w:val="none"/>
        </w:rPr>
        <w:t>怀化市商务局作为一级部门预算单位，内设科室为:办公室、财务审计科、人事科、政策法规和市场秩序科、电子商务科、市场体系建设科、对外贸易科、投资管理和对外经济合作科、流通业发展科、口岸办、市场运行和消费促进科、口岸国际物流发展科、改革推进科、机关党委等。另有两个二级单位（均为非独立核算、非独立部门预算单位）：怀化市投资促进事务中心、怀化市商务服务中心。</w:t>
      </w:r>
    </w:p>
    <w:p w14:paraId="3B6892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600" w:lineRule="exact"/>
        <w:ind w:left="0" w:right="0" w:firstLine="627"/>
        <w:jc w:val="left"/>
        <w:textAlignment w:val="auto"/>
        <w:rPr>
          <w:rFonts w:hint="eastAsia" w:ascii="黑体" w:hAnsi="黑体" w:eastAsia="黑体" w:cs="黑体"/>
          <w:color w:val="3D3D3D"/>
          <w:sz w:val="32"/>
          <w:szCs w:val="32"/>
          <w:highlight w:val="none"/>
        </w:rPr>
      </w:pPr>
      <w:r>
        <w:rPr>
          <w:rFonts w:hint="eastAsia" w:ascii="黑体" w:hAnsi="黑体" w:eastAsia="黑体" w:cs="黑体"/>
          <w:color w:val="3D3D3D"/>
          <w:kern w:val="0"/>
          <w:sz w:val="32"/>
          <w:szCs w:val="32"/>
          <w:highlight w:val="none"/>
          <w:lang w:val="en-US" w:eastAsia="zh-CN" w:bidi="ar"/>
        </w:rPr>
        <w:t>二、部门预算单位构成</w:t>
      </w:r>
    </w:p>
    <w:p w14:paraId="1CB115D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color w:val="3D3D3D"/>
          <w:sz w:val="32"/>
          <w:szCs w:val="32"/>
          <w:highlight w:val="none"/>
        </w:rPr>
        <w:t>纳入2023年怀化市商务局部门预算编制范围的预算单位包括：怀化市商务局部门本级，两个二级单位（均为非独立核算、非独立部门预算单位）：怀化市投资促进事务中心、怀化市商务服务中心。</w:t>
      </w:r>
    </w:p>
    <w:p w14:paraId="0EF5F8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600" w:lineRule="exact"/>
        <w:ind w:left="0" w:right="0" w:firstLine="627"/>
        <w:jc w:val="left"/>
        <w:textAlignment w:val="auto"/>
        <w:rPr>
          <w:rFonts w:hint="eastAsia" w:ascii="黑体" w:hAnsi="黑体" w:eastAsia="黑体" w:cs="黑体"/>
          <w:color w:val="3D3D3D"/>
          <w:sz w:val="32"/>
          <w:szCs w:val="32"/>
          <w:highlight w:val="none"/>
        </w:rPr>
      </w:pPr>
      <w:r>
        <w:rPr>
          <w:rFonts w:hint="eastAsia" w:ascii="黑体" w:hAnsi="黑体" w:eastAsia="黑体" w:cs="黑体"/>
          <w:color w:val="3D3D3D"/>
          <w:kern w:val="0"/>
          <w:sz w:val="32"/>
          <w:szCs w:val="32"/>
          <w:highlight w:val="none"/>
          <w:lang w:val="en-US" w:eastAsia="zh-CN" w:bidi="ar"/>
        </w:rPr>
        <w:t>三、部门收支总体情况</w:t>
      </w:r>
    </w:p>
    <w:p w14:paraId="21176D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600" w:lineRule="exact"/>
        <w:ind w:left="0" w:right="0" w:firstLine="640"/>
        <w:jc w:val="left"/>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color w:val="3D3D3D"/>
          <w:kern w:val="0"/>
          <w:sz w:val="32"/>
          <w:szCs w:val="32"/>
          <w:highlight w:val="none"/>
          <w:lang w:val="en-US" w:eastAsia="zh-CN" w:bidi="ar"/>
        </w:rPr>
        <w:t>2023年部门预算包括本单位预算内的收支情况。</w:t>
      </w:r>
    </w:p>
    <w:p w14:paraId="1ADFE2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600" w:lineRule="exact"/>
        <w:ind w:left="0" w:right="0" w:firstLine="627"/>
        <w:jc w:val="left"/>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b/>
          <w:sz w:val="32"/>
          <w:szCs w:val="32"/>
          <w:highlight w:val="none"/>
        </w:rPr>
        <w:t>（一）收入预算：</w:t>
      </w:r>
      <w:r>
        <w:rPr>
          <w:rFonts w:hint="eastAsia" w:ascii="仿宋_GB2312" w:hAnsi="仿宋_GB2312" w:eastAsia="仿宋_GB2312" w:cs="仿宋_GB2312"/>
          <w:sz w:val="32"/>
          <w:szCs w:val="32"/>
          <w:highlight w:val="none"/>
        </w:rPr>
        <w:t>包括一般公共预算、政府性基金、国有资本经营预算等财政拨款收入，以及经营收入、事业收入等单位资金。</w:t>
      </w:r>
      <w:r>
        <w:rPr>
          <w:rFonts w:hint="eastAsia" w:ascii="仿宋_GB2312" w:hAnsi="仿宋_GB2312" w:eastAsia="仿宋_GB2312" w:cs="仿宋_GB2312"/>
          <w:sz w:val="32"/>
          <w:szCs w:val="32"/>
          <w:highlight w:val="none"/>
          <w:lang w:eastAsia="zh-CN"/>
        </w:rPr>
        <w:t>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年本部门收入预算</w:t>
      </w:r>
      <w:r>
        <w:rPr>
          <w:rFonts w:hint="eastAsia" w:ascii="仿宋_GB2312" w:hAnsi="仿宋_GB2312" w:eastAsia="仿宋_GB2312" w:cs="仿宋_GB2312"/>
          <w:color w:val="3D3D3D"/>
          <w:kern w:val="0"/>
          <w:sz w:val="32"/>
          <w:szCs w:val="32"/>
          <w:highlight w:val="none"/>
          <w:lang w:val="en-US" w:eastAsia="zh-CN" w:bidi="ar"/>
        </w:rPr>
        <w:t>2000.66万元，其中，一般公共预算拨款2000.66万元。同口径对比，收入较上年增加154.46万元，增加</w:t>
      </w:r>
      <w:r>
        <w:rPr>
          <w:rFonts w:hint="eastAsia" w:ascii="仿宋_GB2312" w:hAnsi="仿宋_GB2312" w:eastAsia="仿宋_GB2312" w:cs="仿宋_GB2312"/>
          <w:b w:val="0"/>
          <w:bCs w:val="0"/>
          <w:sz w:val="32"/>
          <w:szCs w:val="32"/>
          <w:highlight w:val="none"/>
          <w:lang w:val="en-US" w:eastAsia="zh-CN"/>
        </w:rPr>
        <w:t>8.37%。</w:t>
      </w:r>
      <w:r>
        <w:rPr>
          <w:rFonts w:hint="eastAsia" w:ascii="仿宋_GB2312" w:hAnsi="仿宋_GB2312" w:eastAsia="仿宋_GB2312" w:cs="仿宋_GB2312"/>
          <w:color w:val="3D3D3D"/>
          <w:kern w:val="0"/>
          <w:sz w:val="32"/>
          <w:szCs w:val="32"/>
          <w:highlight w:val="none"/>
          <w:lang w:val="en-US" w:eastAsia="zh-CN" w:bidi="ar"/>
        </w:rPr>
        <w:t>主要原因是因机构改革，原怀化市商业企业改制服务办公室于2022年并入我单位，导致离退休人员增加70人。</w:t>
      </w:r>
    </w:p>
    <w:p w14:paraId="7BFD15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600" w:lineRule="exact"/>
        <w:ind w:left="0" w:right="0" w:firstLine="627"/>
        <w:jc w:val="left"/>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color w:val="3D3D3D"/>
          <w:kern w:val="0"/>
          <w:sz w:val="32"/>
          <w:szCs w:val="32"/>
          <w:highlight w:val="none"/>
          <w:lang w:val="en-US" w:eastAsia="zh-CN" w:bidi="ar"/>
        </w:rPr>
        <w:t>（二）支出预算，2023年</w:t>
      </w:r>
      <w:r>
        <w:rPr>
          <w:rFonts w:hint="eastAsia" w:ascii="仿宋_GB2312" w:hAnsi="仿宋_GB2312" w:eastAsia="仿宋_GB2312" w:cs="仿宋_GB2312"/>
          <w:sz w:val="32"/>
          <w:szCs w:val="32"/>
          <w:highlight w:val="none"/>
          <w:lang w:val="en-US" w:eastAsia="zh-CN"/>
        </w:rPr>
        <w:t>本</w:t>
      </w:r>
      <w:r>
        <w:rPr>
          <w:rFonts w:hint="eastAsia" w:ascii="仿宋_GB2312" w:hAnsi="仿宋_GB2312" w:eastAsia="仿宋_GB2312" w:cs="仿宋_GB2312"/>
          <w:sz w:val="32"/>
          <w:szCs w:val="32"/>
          <w:highlight w:val="none"/>
        </w:rPr>
        <w:t>部门</w:t>
      </w:r>
      <w:r>
        <w:rPr>
          <w:rFonts w:hint="eastAsia" w:ascii="仿宋_GB2312" w:hAnsi="仿宋_GB2312" w:eastAsia="仿宋_GB2312" w:cs="仿宋_GB2312"/>
          <w:sz w:val="32"/>
          <w:szCs w:val="32"/>
          <w:highlight w:val="none"/>
          <w:lang w:val="en-US" w:eastAsia="zh-CN"/>
        </w:rPr>
        <w:t>支出</w:t>
      </w:r>
      <w:r>
        <w:rPr>
          <w:rFonts w:hint="eastAsia" w:ascii="仿宋_GB2312" w:hAnsi="仿宋_GB2312" w:eastAsia="仿宋_GB2312" w:cs="仿宋_GB2312"/>
          <w:color w:val="3D3D3D"/>
          <w:kern w:val="0"/>
          <w:sz w:val="32"/>
          <w:szCs w:val="32"/>
          <w:highlight w:val="none"/>
          <w:lang w:val="en-US" w:eastAsia="zh-CN" w:bidi="ar"/>
        </w:rPr>
        <w:t>预算数2000.66万元，其中，一般公共服务支出1817.13万元，社会保障和就业支出127.39万元，卫生健康支出56.14万元。</w:t>
      </w:r>
      <w:r>
        <w:rPr>
          <w:rFonts w:hint="eastAsia" w:ascii="仿宋_GB2312" w:hAnsi="仿宋_GB2312" w:eastAsia="仿宋_GB2312" w:cs="仿宋_GB2312"/>
          <w:b w:val="0"/>
          <w:bCs w:val="0"/>
          <w:sz w:val="32"/>
          <w:szCs w:val="32"/>
          <w:highlight w:val="none"/>
        </w:rPr>
        <w:t>压减公用经费和专项支出后，同口径对比，支出较上年</w:t>
      </w:r>
      <w:r>
        <w:rPr>
          <w:rFonts w:hint="eastAsia" w:ascii="仿宋_GB2312" w:hAnsi="仿宋_GB2312" w:eastAsia="仿宋_GB2312" w:cs="仿宋_GB2312"/>
          <w:color w:val="3D3D3D"/>
          <w:kern w:val="0"/>
          <w:sz w:val="32"/>
          <w:szCs w:val="32"/>
          <w:highlight w:val="none"/>
          <w:lang w:val="en-US" w:eastAsia="zh-CN" w:bidi="ar"/>
        </w:rPr>
        <w:t>增加154.46万元，增长</w:t>
      </w:r>
      <w:r>
        <w:rPr>
          <w:rFonts w:hint="eastAsia" w:ascii="仿宋_GB2312" w:hAnsi="仿宋_GB2312" w:eastAsia="仿宋_GB2312" w:cs="仿宋_GB2312"/>
          <w:b w:val="0"/>
          <w:bCs w:val="0"/>
          <w:sz w:val="32"/>
          <w:szCs w:val="32"/>
          <w:highlight w:val="none"/>
          <w:lang w:val="en-US" w:eastAsia="zh-CN"/>
        </w:rPr>
        <w:t>8.37%。</w:t>
      </w:r>
      <w:r>
        <w:rPr>
          <w:rFonts w:hint="eastAsia" w:ascii="仿宋_GB2312" w:hAnsi="仿宋_GB2312" w:eastAsia="仿宋_GB2312" w:cs="仿宋_GB2312"/>
          <w:b w:val="0"/>
          <w:bCs w:val="0"/>
          <w:sz w:val="32"/>
          <w:szCs w:val="32"/>
          <w:highlight w:val="none"/>
        </w:rPr>
        <w:t>主要原因如下：</w:t>
      </w:r>
    </w:p>
    <w:p w14:paraId="1231965E">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1.</w:t>
      </w:r>
      <w:r>
        <w:rPr>
          <w:rFonts w:hint="eastAsia" w:ascii="仿宋_GB2312" w:hAnsi="仿宋_GB2312" w:eastAsia="仿宋_GB2312" w:cs="仿宋_GB2312"/>
          <w:b w:val="0"/>
          <w:bCs w:val="0"/>
          <w:color w:val="auto"/>
          <w:sz w:val="32"/>
          <w:szCs w:val="32"/>
          <w:highlight w:val="none"/>
        </w:rPr>
        <w:t>基本支出较上年增加</w:t>
      </w:r>
      <w:r>
        <w:rPr>
          <w:rFonts w:hint="eastAsia" w:ascii="仿宋_GB2312" w:hAnsi="仿宋_GB2312" w:eastAsia="仿宋_GB2312" w:cs="仿宋_GB2312"/>
          <w:b w:val="0"/>
          <w:bCs w:val="0"/>
          <w:color w:val="auto"/>
          <w:sz w:val="32"/>
          <w:szCs w:val="32"/>
          <w:highlight w:val="none"/>
          <w:lang w:val="en-US" w:eastAsia="zh-CN"/>
        </w:rPr>
        <w:t>473.96</w:t>
      </w:r>
      <w:r>
        <w:rPr>
          <w:rFonts w:hint="eastAsia" w:ascii="仿宋_GB2312" w:hAnsi="仿宋_GB2312" w:eastAsia="仿宋_GB2312" w:cs="仿宋_GB2312"/>
          <w:b w:val="0"/>
          <w:bCs w:val="0"/>
          <w:color w:val="auto"/>
          <w:sz w:val="32"/>
          <w:szCs w:val="32"/>
          <w:highlight w:val="none"/>
        </w:rPr>
        <w:t>万元。主要原因：一是</w:t>
      </w:r>
      <w:r>
        <w:rPr>
          <w:rFonts w:hint="eastAsia" w:ascii="仿宋_GB2312" w:hAnsi="仿宋_GB2312" w:eastAsia="仿宋_GB2312" w:cs="仿宋_GB2312"/>
          <w:b w:val="0"/>
          <w:bCs w:val="0"/>
          <w:color w:val="auto"/>
          <w:sz w:val="32"/>
          <w:szCs w:val="32"/>
          <w:highlight w:val="none"/>
          <w:lang w:val="en-US" w:eastAsia="zh-CN"/>
        </w:rPr>
        <w:t>2023年</w:t>
      </w:r>
      <w:r>
        <w:rPr>
          <w:rFonts w:hint="eastAsia" w:ascii="仿宋_GB2312" w:hAnsi="仿宋_GB2312" w:eastAsia="仿宋_GB2312" w:cs="仿宋_GB2312"/>
          <w:b w:val="0"/>
          <w:bCs w:val="0"/>
          <w:color w:val="auto"/>
          <w:sz w:val="32"/>
          <w:szCs w:val="32"/>
          <w:highlight w:val="none"/>
        </w:rPr>
        <w:t>上下年预算一体化系统取数口径有变化，导致在基本支出里上述两项支出较上年增加</w:t>
      </w:r>
      <w:r>
        <w:rPr>
          <w:rFonts w:hint="eastAsia" w:ascii="仿宋_GB2312" w:hAnsi="仿宋_GB2312" w:eastAsia="仿宋_GB2312" w:cs="仿宋_GB2312"/>
          <w:b w:val="0"/>
          <w:bCs w:val="0"/>
          <w:color w:val="auto"/>
          <w:sz w:val="32"/>
          <w:szCs w:val="32"/>
          <w:highlight w:val="none"/>
          <w:lang w:val="en-US" w:eastAsia="zh-CN"/>
        </w:rPr>
        <w:t>奖金取数205.989</w:t>
      </w:r>
      <w:r>
        <w:rPr>
          <w:rFonts w:hint="eastAsia" w:ascii="仿宋_GB2312" w:hAnsi="仿宋_GB2312" w:eastAsia="仿宋_GB2312" w:cs="仿宋_GB2312"/>
          <w:b w:val="0"/>
          <w:bCs w:val="0"/>
          <w:color w:val="auto"/>
          <w:sz w:val="32"/>
          <w:szCs w:val="32"/>
          <w:highlight w:val="none"/>
        </w:rPr>
        <w:t>万元；二是2022年规范津补贴后，奖金支出较上年</w:t>
      </w:r>
      <w:r>
        <w:rPr>
          <w:rFonts w:hint="eastAsia" w:ascii="仿宋_GB2312" w:hAnsi="仿宋_GB2312" w:eastAsia="仿宋_GB2312" w:cs="仿宋_GB2312"/>
          <w:b w:val="0"/>
          <w:bCs w:val="0"/>
          <w:color w:val="auto"/>
          <w:sz w:val="32"/>
          <w:szCs w:val="32"/>
          <w:highlight w:val="none"/>
          <w:lang w:eastAsia="zh-CN"/>
        </w:rPr>
        <w:t>增加</w:t>
      </w:r>
      <w:r>
        <w:rPr>
          <w:rFonts w:hint="eastAsia" w:ascii="仿宋_GB2312" w:hAnsi="仿宋_GB2312" w:eastAsia="仿宋_GB2312" w:cs="仿宋_GB2312"/>
          <w:b w:val="0"/>
          <w:bCs w:val="0"/>
          <w:color w:val="auto"/>
          <w:sz w:val="32"/>
          <w:szCs w:val="32"/>
          <w:highlight w:val="none"/>
          <w:lang w:val="en-US" w:eastAsia="zh-CN"/>
        </w:rPr>
        <w:t>12.13</w:t>
      </w:r>
      <w:r>
        <w:rPr>
          <w:rFonts w:hint="eastAsia" w:ascii="仿宋_GB2312" w:hAnsi="仿宋_GB2312" w:eastAsia="仿宋_GB2312" w:cs="仿宋_GB2312"/>
          <w:b w:val="0"/>
          <w:bCs w:val="0"/>
          <w:color w:val="auto"/>
          <w:sz w:val="32"/>
          <w:szCs w:val="32"/>
          <w:highlight w:val="none"/>
        </w:rPr>
        <w:t>万元；三是</w:t>
      </w:r>
      <w:r>
        <w:rPr>
          <w:rFonts w:hint="eastAsia" w:ascii="仿宋_GB2312" w:hAnsi="仿宋_GB2312" w:eastAsia="仿宋_GB2312" w:cs="仿宋_GB2312"/>
          <w:b w:val="0"/>
          <w:bCs w:val="0"/>
          <w:color w:val="auto"/>
          <w:sz w:val="32"/>
          <w:szCs w:val="32"/>
          <w:highlight w:val="none"/>
          <w:lang w:eastAsia="zh-CN"/>
        </w:rPr>
        <w:t>商业企业改制服务办公室人员合并，退休人员也一并并入导致退休人员对个人和家庭的补助</w:t>
      </w:r>
      <w:r>
        <w:rPr>
          <w:rFonts w:hint="eastAsia" w:ascii="仿宋_GB2312" w:hAnsi="仿宋_GB2312" w:eastAsia="仿宋_GB2312" w:cs="仿宋_GB2312"/>
          <w:b w:val="0"/>
          <w:bCs w:val="0"/>
          <w:color w:val="auto"/>
          <w:sz w:val="32"/>
          <w:szCs w:val="32"/>
          <w:highlight w:val="none"/>
        </w:rPr>
        <w:t>，相关预算较上年增加</w:t>
      </w:r>
      <w:r>
        <w:rPr>
          <w:rFonts w:hint="eastAsia" w:ascii="仿宋_GB2312" w:hAnsi="仿宋_GB2312" w:eastAsia="仿宋_GB2312" w:cs="仿宋_GB2312"/>
          <w:b w:val="0"/>
          <w:bCs w:val="0"/>
          <w:color w:val="auto"/>
          <w:sz w:val="32"/>
          <w:szCs w:val="32"/>
          <w:highlight w:val="none"/>
          <w:lang w:val="en-US" w:eastAsia="zh-CN"/>
        </w:rPr>
        <w:t>231.14</w:t>
      </w:r>
      <w:r>
        <w:rPr>
          <w:rFonts w:hint="eastAsia" w:ascii="仿宋_GB2312" w:hAnsi="仿宋_GB2312" w:eastAsia="仿宋_GB2312" w:cs="仿宋_GB2312"/>
          <w:b w:val="0"/>
          <w:bCs w:val="0"/>
          <w:color w:val="auto"/>
          <w:sz w:val="32"/>
          <w:szCs w:val="32"/>
          <w:highlight w:val="none"/>
        </w:rPr>
        <w:t>万元；四是住房公积金及离退休人员特需费因上下年预算一体化系统取数口径有变化，导致在基本支出里上述两项支出较上年增加</w:t>
      </w:r>
      <w:r>
        <w:rPr>
          <w:rFonts w:hint="eastAsia" w:ascii="仿宋_GB2312" w:hAnsi="仿宋_GB2312" w:eastAsia="仿宋_GB2312" w:cs="仿宋_GB2312"/>
          <w:b w:val="0"/>
          <w:bCs w:val="0"/>
          <w:color w:val="auto"/>
          <w:sz w:val="32"/>
          <w:szCs w:val="32"/>
          <w:highlight w:val="none"/>
          <w:lang w:val="en-US" w:eastAsia="zh-CN"/>
        </w:rPr>
        <w:t>23.95</w:t>
      </w:r>
      <w:r>
        <w:rPr>
          <w:rFonts w:hint="eastAsia" w:ascii="仿宋_GB2312" w:hAnsi="仿宋_GB2312" w:eastAsia="仿宋_GB2312" w:cs="仿宋_GB2312"/>
          <w:b w:val="0"/>
          <w:bCs w:val="0"/>
          <w:color w:val="auto"/>
          <w:sz w:val="32"/>
          <w:szCs w:val="32"/>
          <w:highlight w:val="none"/>
        </w:rPr>
        <w:t>万元。</w:t>
      </w:r>
    </w:p>
    <w:p w14:paraId="6BA0AD6A">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bCs w:val="0"/>
          <w:color w:val="C00000"/>
          <w:sz w:val="32"/>
          <w:szCs w:val="32"/>
          <w:highlight w:val="none"/>
        </w:rPr>
      </w:pPr>
      <w:r>
        <w:rPr>
          <w:rFonts w:hint="eastAsia" w:ascii="仿宋_GB2312" w:hAnsi="仿宋_GB2312" w:eastAsia="仿宋_GB2312" w:cs="仿宋_GB2312"/>
          <w:b w:val="0"/>
          <w:bCs w:val="0"/>
          <w:color w:val="auto"/>
          <w:sz w:val="32"/>
          <w:szCs w:val="32"/>
          <w:highlight w:val="none"/>
        </w:rPr>
        <w:t>2.项目支出较上年减少</w:t>
      </w:r>
      <w:r>
        <w:rPr>
          <w:rFonts w:hint="eastAsia" w:ascii="仿宋_GB2312" w:hAnsi="仿宋_GB2312" w:eastAsia="仿宋_GB2312" w:cs="仿宋_GB2312"/>
          <w:b w:val="0"/>
          <w:bCs w:val="0"/>
          <w:color w:val="auto"/>
          <w:sz w:val="32"/>
          <w:szCs w:val="32"/>
          <w:highlight w:val="none"/>
          <w:lang w:val="en-US" w:eastAsia="zh-CN"/>
        </w:rPr>
        <w:t>319.5</w:t>
      </w:r>
      <w:r>
        <w:rPr>
          <w:rFonts w:hint="eastAsia" w:ascii="仿宋_GB2312" w:hAnsi="仿宋_GB2312" w:eastAsia="仿宋_GB2312" w:cs="仿宋_GB2312"/>
          <w:b w:val="0"/>
          <w:bCs w:val="0"/>
          <w:color w:val="auto"/>
          <w:sz w:val="32"/>
          <w:szCs w:val="32"/>
          <w:highlight w:val="none"/>
        </w:rPr>
        <w:t>万元。 （1）本年新增</w:t>
      </w:r>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rPr>
        <w:t>个2023年改制企业维稳经费</w:t>
      </w:r>
      <w:r>
        <w:rPr>
          <w:rFonts w:hint="eastAsia" w:ascii="仿宋_GB2312" w:hAnsi="仿宋_GB2312" w:eastAsia="仿宋_GB2312" w:cs="仿宋_GB2312"/>
          <w:b w:val="0"/>
          <w:bCs w:val="0"/>
          <w:color w:val="auto"/>
          <w:sz w:val="32"/>
          <w:szCs w:val="32"/>
          <w:highlight w:val="none"/>
          <w:lang w:val="en-US" w:eastAsia="zh-CN"/>
        </w:rPr>
        <w:t>7.5万元</w:t>
      </w:r>
      <w:r>
        <w:rPr>
          <w:rFonts w:hint="eastAsia" w:ascii="仿宋_GB2312" w:hAnsi="仿宋_GB2312" w:eastAsia="仿宋_GB2312" w:cs="仿宋_GB2312"/>
          <w:b w:val="0"/>
          <w:bCs w:val="0"/>
          <w:color w:val="auto"/>
          <w:sz w:val="32"/>
          <w:szCs w:val="32"/>
          <w:highlight w:val="none"/>
        </w:rPr>
        <w:t>（2）本年减少</w:t>
      </w:r>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rPr>
        <w:t>个项目</w:t>
      </w:r>
      <w:r>
        <w:rPr>
          <w:rFonts w:hint="eastAsia" w:ascii="仿宋_GB2312" w:hAnsi="仿宋_GB2312" w:eastAsia="仿宋_GB2312" w:cs="仿宋_GB2312"/>
          <w:b w:val="0"/>
          <w:bCs w:val="0"/>
          <w:color w:val="auto"/>
          <w:sz w:val="32"/>
          <w:szCs w:val="32"/>
          <w:highlight w:val="none"/>
          <w:lang w:val="en-US" w:eastAsia="zh-CN"/>
        </w:rPr>
        <w:t>200</w:t>
      </w:r>
      <w:r>
        <w:rPr>
          <w:rFonts w:hint="eastAsia" w:ascii="仿宋_GB2312" w:hAnsi="仿宋_GB2312" w:eastAsia="仿宋_GB2312" w:cs="仿宋_GB2312"/>
          <w:b w:val="0"/>
          <w:bCs w:val="0"/>
          <w:color w:val="auto"/>
          <w:sz w:val="32"/>
          <w:szCs w:val="32"/>
          <w:highlight w:val="none"/>
        </w:rPr>
        <w:t>万元：城市一刻钟便民生活圈建设</w:t>
      </w:r>
      <w:r>
        <w:rPr>
          <w:rFonts w:hint="eastAsia" w:ascii="仿宋_GB2312" w:hAnsi="仿宋_GB2312" w:eastAsia="仿宋_GB2312" w:cs="仿宋_GB2312"/>
          <w:b w:val="0"/>
          <w:bCs w:val="0"/>
          <w:color w:val="auto"/>
          <w:sz w:val="32"/>
          <w:szCs w:val="32"/>
          <w:highlight w:val="none"/>
          <w:lang w:val="en-US" w:eastAsia="zh-CN"/>
        </w:rPr>
        <w:t>200</w:t>
      </w:r>
      <w:r>
        <w:rPr>
          <w:rFonts w:hint="eastAsia" w:ascii="仿宋_GB2312" w:hAnsi="仿宋_GB2312" w:eastAsia="仿宋_GB2312" w:cs="仿宋_GB2312"/>
          <w:b w:val="0"/>
          <w:bCs w:val="0"/>
          <w:color w:val="auto"/>
          <w:sz w:val="32"/>
          <w:szCs w:val="32"/>
          <w:highlight w:val="none"/>
        </w:rPr>
        <w:t>万元。（3）延续项目健康产业博览会专项经费支出合计较上年减少</w:t>
      </w:r>
      <w:r>
        <w:rPr>
          <w:rFonts w:hint="eastAsia" w:ascii="仿宋_GB2312" w:hAnsi="仿宋_GB2312" w:eastAsia="仿宋_GB2312" w:cs="仿宋_GB2312"/>
          <w:b w:val="0"/>
          <w:bCs w:val="0"/>
          <w:color w:val="auto"/>
          <w:sz w:val="32"/>
          <w:szCs w:val="32"/>
          <w:highlight w:val="none"/>
          <w:lang w:val="en-US" w:eastAsia="zh-CN"/>
        </w:rPr>
        <w:t>15</w:t>
      </w:r>
      <w:r>
        <w:rPr>
          <w:rFonts w:hint="eastAsia" w:ascii="仿宋_GB2312" w:hAnsi="仿宋_GB2312" w:eastAsia="仿宋_GB2312" w:cs="仿宋_GB2312"/>
          <w:b w:val="0"/>
          <w:bCs w:val="0"/>
          <w:color w:val="auto"/>
          <w:sz w:val="32"/>
          <w:szCs w:val="32"/>
          <w:highlight w:val="none"/>
        </w:rPr>
        <w:t>万元</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2023年驻点及产业招商专项经费支出合计较上年减少</w:t>
      </w:r>
      <w:r>
        <w:rPr>
          <w:rFonts w:hint="eastAsia" w:ascii="仿宋_GB2312" w:hAnsi="仿宋_GB2312" w:eastAsia="仿宋_GB2312" w:cs="仿宋_GB2312"/>
          <w:b w:val="0"/>
          <w:bCs w:val="0"/>
          <w:color w:val="auto"/>
          <w:sz w:val="32"/>
          <w:szCs w:val="32"/>
          <w:highlight w:val="none"/>
          <w:lang w:val="en-US" w:eastAsia="zh-CN"/>
        </w:rPr>
        <w:t>110万元；2023年内贸流通专项</w:t>
      </w:r>
      <w:r>
        <w:rPr>
          <w:rFonts w:hint="eastAsia" w:ascii="仿宋_GB2312" w:hAnsi="仿宋_GB2312" w:eastAsia="仿宋_GB2312" w:cs="仿宋_GB2312"/>
          <w:b w:val="0"/>
          <w:bCs w:val="0"/>
          <w:color w:val="auto"/>
          <w:sz w:val="32"/>
          <w:szCs w:val="32"/>
          <w:highlight w:val="none"/>
        </w:rPr>
        <w:t>支出合计较上年减少</w:t>
      </w:r>
      <w:r>
        <w:rPr>
          <w:rFonts w:hint="eastAsia" w:ascii="仿宋_GB2312" w:hAnsi="仿宋_GB2312" w:eastAsia="仿宋_GB2312" w:cs="仿宋_GB2312"/>
          <w:b w:val="0"/>
          <w:bCs w:val="0"/>
          <w:color w:val="auto"/>
          <w:sz w:val="32"/>
          <w:szCs w:val="32"/>
          <w:highlight w:val="none"/>
          <w:lang w:val="en-US" w:eastAsia="zh-CN"/>
        </w:rPr>
        <w:t>6万元</w:t>
      </w:r>
      <w:r>
        <w:rPr>
          <w:rFonts w:hint="eastAsia" w:ascii="仿宋_GB2312" w:hAnsi="仿宋_GB2312" w:eastAsia="仿宋_GB2312" w:cs="仿宋_GB2312"/>
          <w:b w:val="0"/>
          <w:bCs w:val="0"/>
          <w:color w:val="auto"/>
          <w:sz w:val="32"/>
          <w:szCs w:val="32"/>
          <w:highlight w:val="none"/>
        </w:rPr>
        <w:t>。</w:t>
      </w:r>
    </w:p>
    <w:p w14:paraId="54C0D3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600" w:lineRule="exact"/>
        <w:ind w:left="0" w:right="0" w:firstLine="627"/>
        <w:jc w:val="left"/>
        <w:textAlignment w:val="auto"/>
        <w:rPr>
          <w:rFonts w:hint="eastAsia" w:ascii="黑体" w:hAnsi="黑体" w:eastAsia="黑体" w:cs="黑体"/>
          <w:color w:val="3D3D3D"/>
          <w:kern w:val="0"/>
          <w:sz w:val="32"/>
          <w:szCs w:val="32"/>
          <w:highlight w:val="none"/>
          <w:lang w:val="en-US" w:eastAsia="zh-CN" w:bidi="ar"/>
        </w:rPr>
      </w:pPr>
      <w:r>
        <w:rPr>
          <w:rFonts w:hint="eastAsia" w:ascii="黑体" w:hAnsi="黑体" w:eastAsia="黑体" w:cs="黑体"/>
          <w:color w:val="3D3D3D"/>
          <w:kern w:val="0"/>
          <w:sz w:val="32"/>
          <w:szCs w:val="32"/>
          <w:highlight w:val="none"/>
          <w:lang w:val="en-US" w:eastAsia="zh-CN" w:bidi="ar"/>
        </w:rPr>
        <w:t>四、一般公共预算拨款支出</w:t>
      </w:r>
    </w:p>
    <w:p w14:paraId="742860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600" w:lineRule="exact"/>
        <w:ind w:left="0" w:right="0"/>
        <w:jc w:val="left"/>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color w:val="3D3D3D"/>
          <w:kern w:val="0"/>
          <w:sz w:val="32"/>
          <w:szCs w:val="32"/>
          <w:highlight w:val="none"/>
          <w:lang w:val="en-US" w:eastAsia="zh-CN" w:bidi="ar"/>
        </w:rPr>
        <w:t>    2023年</w:t>
      </w:r>
      <w:r>
        <w:rPr>
          <w:rFonts w:hint="default" w:ascii="Times New Roman" w:hAnsi="Times New Roman" w:eastAsia="仿宋_GB2312" w:cs="Times New Roman"/>
          <w:sz w:val="32"/>
          <w:szCs w:val="32"/>
          <w:highlight w:val="none"/>
        </w:rPr>
        <w:t>本部门</w:t>
      </w:r>
      <w:r>
        <w:rPr>
          <w:rFonts w:hint="eastAsia" w:ascii="仿宋_GB2312" w:hAnsi="仿宋_GB2312" w:eastAsia="仿宋_GB2312" w:cs="仿宋_GB2312"/>
          <w:color w:val="3D3D3D"/>
          <w:kern w:val="0"/>
          <w:sz w:val="32"/>
          <w:szCs w:val="32"/>
          <w:highlight w:val="none"/>
          <w:lang w:val="en-US" w:eastAsia="zh-CN" w:bidi="ar"/>
        </w:rPr>
        <w:t>一般公共预算拨款收入为2000.66万元，其中，一般公共服务支出1817.13万元，</w:t>
      </w:r>
      <w:r>
        <w:rPr>
          <w:rFonts w:hint="eastAsia" w:ascii="仿宋_GB2312" w:hAnsi="仿宋_GB2312" w:eastAsia="仿宋_GB2312" w:cs="仿宋_GB2312"/>
          <w:sz w:val="32"/>
          <w:szCs w:val="32"/>
          <w:highlight w:val="none"/>
        </w:rPr>
        <w:t>占</w:t>
      </w:r>
      <w:r>
        <w:rPr>
          <w:rFonts w:hint="eastAsia" w:ascii="仿宋_GB2312" w:hAnsi="仿宋_GB2312" w:eastAsia="仿宋_GB2312" w:cs="仿宋_GB2312"/>
          <w:sz w:val="32"/>
          <w:szCs w:val="32"/>
          <w:highlight w:val="none"/>
          <w:u w:val="none"/>
          <w:lang w:val="en-US" w:eastAsia="zh-CN"/>
        </w:rPr>
        <w:t>90.83</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color w:val="3D3D3D"/>
          <w:kern w:val="0"/>
          <w:sz w:val="32"/>
          <w:szCs w:val="32"/>
          <w:highlight w:val="none"/>
          <w:lang w:val="en-US" w:eastAsia="zh-CN" w:bidi="ar"/>
        </w:rPr>
        <w:t>社会保障和就业支出127.39万元，</w:t>
      </w:r>
      <w:r>
        <w:rPr>
          <w:rFonts w:hint="eastAsia" w:ascii="仿宋_GB2312" w:hAnsi="仿宋_GB2312" w:eastAsia="仿宋_GB2312" w:cs="仿宋_GB2312"/>
          <w:sz w:val="32"/>
          <w:szCs w:val="32"/>
          <w:highlight w:val="none"/>
        </w:rPr>
        <w:t>占</w:t>
      </w:r>
      <w:r>
        <w:rPr>
          <w:rFonts w:hint="eastAsia" w:ascii="仿宋_GB2312" w:hAnsi="仿宋_GB2312" w:eastAsia="仿宋_GB2312" w:cs="仿宋_GB2312"/>
          <w:sz w:val="32"/>
          <w:szCs w:val="32"/>
          <w:highlight w:val="none"/>
          <w:u w:val="none"/>
          <w:lang w:val="en-US" w:eastAsia="zh-CN"/>
        </w:rPr>
        <w:t>6.37</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color w:val="3D3D3D"/>
          <w:kern w:val="0"/>
          <w:sz w:val="32"/>
          <w:szCs w:val="32"/>
          <w:highlight w:val="none"/>
          <w:lang w:val="en-US" w:eastAsia="zh-CN" w:bidi="ar"/>
        </w:rPr>
        <w:t>卫生健康支出56.14万元，</w:t>
      </w:r>
      <w:r>
        <w:rPr>
          <w:rFonts w:hint="eastAsia" w:ascii="仿宋_GB2312" w:hAnsi="仿宋_GB2312" w:eastAsia="仿宋_GB2312" w:cs="仿宋_GB2312"/>
          <w:sz w:val="32"/>
          <w:szCs w:val="32"/>
          <w:highlight w:val="none"/>
        </w:rPr>
        <w:t>占</w:t>
      </w:r>
      <w:r>
        <w:rPr>
          <w:rFonts w:hint="eastAsia" w:ascii="仿宋_GB2312" w:hAnsi="仿宋_GB2312" w:eastAsia="仿宋_GB2312" w:cs="仿宋_GB2312"/>
          <w:sz w:val="32"/>
          <w:szCs w:val="32"/>
          <w:highlight w:val="none"/>
          <w:u w:val="none"/>
          <w:lang w:val="en-US" w:eastAsia="zh-CN"/>
        </w:rPr>
        <w:t>2.80</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color w:val="3D3D3D"/>
          <w:kern w:val="0"/>
          <w:sz w:val="32"/>
          <w:szCs w:val="32"/>
          <w:highlight w:val="none"/>
          <w:lang w:val="en-US" w:eastAsia="zh-CN" w:bidi="ar"/>
        </w:rPr>
        <w:t>具体安排情况如下：</w:t>
      </w:r>
    </w:p>
    <w:p w14:paraId="1AD188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600" w:lineRule="exact"/>
        <w:ind w:left="0" w:right="0" w:firstLine="640"/>
        <w:jc w:val="left"/>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color w:val="3D3D3D"/>
          <w:kern w:val="0"/>
          <w:sz w:val="32"/>
          <w:szCs w:val="32"/>
          <w:highlight w:val="none"/>
          <w:lang w:val="en-US" w:eastAsia="zh-CN" w:bidi="ar"/>
        </w:rPr>
        <w:t>（一）基本支出：</w:t>
      </w:r>
      <w:r>
        <w:rPr>
          <w:rFonts w:hint="eastAsia" w:ascii="仿宋_GB2312" w:hAnsi="仿宋_GB2312" w:eastAsia="仿宋_GB2312" w:cs="仿宋_GB2312"/>
          <w:sz w:val="32"/>
          <w:szCs w:val="32"/>
          <w:highlight w:val="none"/>
          <w:lang w:eastAsia="zh-CN"/>
        </w:rPr>
        <w:t>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年本部门基本支出预算数</w:t>
      </w:r>
      <w:r>
        <w:rPr>
          <w:rFonts w:hint="eastAsia" w:ascii="仿宋_GB2312" w:hAnsi="仿宋_GB2312" w:eastAsia="仿宋_GB2312" w:cs="仿宋_GB2312"/>
          <w:color w:val="3D3D3D"/>
          <w:kern w:val="0"/>
          <w:sz w:val="32"/>
          <w:szCs w:val="32"/>
          <w:highlight w:val="none"/>
          <w:lang w:val="en-US" w:eastAsia="zh-CN" w:bidi="ar"/>
        </w:rPr>
        <w:t>为1642.16万元，是指为保障单位机构正常运转、完成日常工作任务而发生的各项支出，包括用于基本工资319.02万元、津贴补贴101.22万元、奖金218.72万元、绩效工资83.95万元，退休费105.83万元，离休费48.18万元、其他对个人和家庭的补助274.5万元、养老保险缴费127.39万元，医疗保险缴费56.14万元，住房公积金86.75万元，办公费5万元、公车运行维护费8万元、福利费12万元、差旅费10万元、工会经费12万元等；</w:t>
      </w:r>
    </w:p>
    <w:p w14:paraId="39A264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600" w:lineRule="exact"/>
        <w:ind w:left="0" w:right="0" w:firstLine="640"/>
        <w:jc w:val="left"/>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color w:val="3D3D3D"/>
          <w:kern w:val="0"/>
          <w:sz w:val="32"/>
          <w:szCs w:val="32"/>
          <w:highlight w:val="none"/>
          <w:lang w:val="en-US" w:eastAsia="zh-CN" w:bidi="ar"/>
        </w:rPr>
        <w:t>（二）项目支出：</w:t>
      </w:r>
      <w:r>
        <w:rPr>
          <w:rFonts w:hint="eastAsia" w:ascii="仿宋_GB2312" w:hAnsi="仿宋_GB2312" w:eastAsia="仿宋_GB2312" w:cs="仿宋_GB2312"/>
          <w:sz w:val="32"/>
          <w:szCs w:val="32"/>
          <w:highlight w:val="none"/>
          <w:lang w:eastAsia="zh-CN"/>
        </w:rPr>
        <w:t>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年本部门</w:t>
      </w:r>
      <w:r>
        <w:rPr>
          <w:rFonts w:hint="eastAsia" w:ascii="仿宋_GB2312" w:hAnsi="仿宋_GB2312" w:eastAsia="仿宋_GB2312" w:cs="仿宋_GB2312"/>
          <w:sz w:val="32"/>
          <w:szCs w:val="32"/>
          <w:highlight w:val="none"/>
          <w:lang w:val="en-US" w:eastAsia="zh-CN"/>
        </w:rPr>
        <w:t>项目</w:t>
      </w:r>
      <w:r>
        <w:rPr>
          <w:rFonts w:hint="eastAsia" w:ascii="仿宋_GB2312" w:hAnsi="仿宋_GB2312" w:eastAsia="仿宋_GB2312" w:cs="仿宋_GB2312"/>
          <w:sz w:val="32"/>
          <w:szCs w:val="32"/>
          <w:highlight w:val="none"/>
        </w:rPr>
        <w:t>支出预算数</w:t>
      </w:r>
      <w:r>
        <w:rPr>
          <w:rFonts w:hint="eastAsia" w:ascii="仿宋_GB2312" w:hAnsi="仿宋_GB2312" w:eastAsia="仿宋_GB2312" w:cs="仿宋_GB2312"/>
          <w:color w:val="3D3D3D"/>
          <w:kern w:val="0"/>
          <w:sz w:val="32"/>
          <w:szCs w:val="32"/>
          <w:highlight w:val="none"/>
          <w:lang w:val="en-US" w:eastAsia="zh-CN" w:bidi="ar"/>
        </w:rPr>
        <w:t>为358.5万元，是指单位为完成特定行政工作任务或事业发展目标而发生的支出，包括有关事业发展专项、专项业务费、基本建设支出等。其中：内贸流通支出10万元，主要用于市场运行等方面；健康产业博览会专项支出75万元，主要用于我市健康产业博览会前期筹备和会展工作等方面；驻点及产业招商专项支出250万元，主要用于全市驻点招商机构和产业链招商引资工作方面；招商引资专项16万元，主要用于单位日常招商引资工作方面；改制企业维稳专项支出7.5万元，主要用于在协调解决改制遗留问题方面的维稳支出。</w:t>
      </w:r>
    </w:p>
    <w:p w14:paraId="5CA32C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600" w:lineRule="exact"/>
        <w:ind w:left="0" w:right="0" w:firstLine="627"/>
        <w:jc w:val="left"/>
        <w:textAlignment w:val="auto"/>
        <w:rPr>
          <w:rFonts w:hint="eastAsia" w:ascii="黑体" w:hAnsi="黑体" w:eastAsia="黑体" w:cs="黑体"/>
          <w:color w:val="3D3D3D"/>
          <w:kern w:val="0"/>
          <w:sz w:val="32"/>
          <w:szCs w:val="32"/>
          <w:highlight w:val="none"/>
          <w:lang w:val="en-US" w:eastAsia="zh-CN" w:bidi="ar"/>
        </w:rPr>
      </w:pPr>
      <w:r>
        <w:rPr>
          <w:rFonts w:hint="eastAsia" w:ascii="黑体" w:hAnsi="黑体" w:eastAsia="黑体" w:cs="黑体"/>
          <w:color w:val="3D3D3D"/>
          <w:kern w:val="0"/>
          <w:sz w:val="32"/>
          <w:szCs w:val="32"/>
          <w:highlight w:val="none"/>
          <w:lang w:val="en-US" w:eastAsia="zh-CN" w:bidi="ar"/>
        </w:rPr>
        <w:t>五、政府性基金预算支出情况</w:t>
      </w:r>
    </w:p>
    <w:p w14:paraId="347EA3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600" w:lineRule="exact"/>
        <w:ind w:left="0" w:right="0"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2023年</w:t>
      </w:r>
      <w:r>
        <w:rPr>
          <w:rFonts w:hint="eastAsia" w:ascii="仿宋_GB2312" w:hAnsi="仿宋_GB2312" w:eastAsia="仿宋_GB2312" w:cs="仿宋_GB2312"/>
          <w:sz w:val="32"/>
          <w:szCs w:val="32"/>
          <w:highlight w:val="none"/>
          <w:lang w:val="en-US" w:eastAsia="zh-CN"/>
        </w:rPr>
        <w:t>本部门</w:t>
      </w:r>
      <w:r>
        <w:rPr>
          <w:rFonts w:hint="eastAsia" w:ascii="仿宋_GB2312" w:hAnsi="仿宋_GB2312" w:eastAsia="仿宋_GB2312" w:cs="仿宋_GB2312"/>
          <w:sz w:val="32"/>
          <w:szCs w:val="32"/>
          <w:highlight w:val="none"/>
        </w:rPr>
        <w:t>无政府性基金</w:t>
      </w:r>
      <w:r>
        <w:rPr>
          <w:rFonts w:hint="eastAsia" w:ascii="仿宋_GB2312" w:hAnsi="仿宋_GB2312" w:eastAsia="仿宋_GB2312" w:cs="仿宋_GB2312"/>
          <w:sz w:val="32"/>
          <w:szCs w:val="32"/>
          <w:highlight w:val="none"/>
          <w:lang w:val="en-US" w:eastAsia="zh-CN"/>
        </w:rPr>
        <w:t>安排的</w:t>
      </w:r>
      <w:r>
        <w:rPr>
          <w:rFonts w:hint="eastAsia" w:ascii="仿宋_GB2312" w:hAnsi="仿宋_GB2312" w:eastAsia="仿宋_GB2312" w:cs="仿宋_GB2312"/>
          <w:sz w:val="32"/>
          <w:szCs w:val="32"/>
          <w:highlight w:val="none"/>
        </w:rPr>
        <w:t>支出</w:t>
      </w:r>
    </w:p>
    <w:p w14:paraId="25BA06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600" w:lineRule="exact"/>
        <w:ind w:left="0" w:right="0"/>
        <w:jc w:val="left"/>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color w:val="3D3D3D"/>
          <w:kern w:val="0"/>
          <w:sz w:val="32"/>
          <w:szCs w:val="32"/>
          <w:highlight w:val="none"/>
          <w:lang w:val="en-US" w:eastAsia="zh-CN" w:bidi="ar"/>
        </w:rPr>
        <w:t>   </w:t>
      </w:r>
      <w:r>
        <w:rPr>
          <w:rFonts w:hint="eastAsia" w:ascii="黑体" w:hAnsi="黑体" w:eastAsia="黑体" w:cs="黑体"/>
          <w:color w:val="3D3D3D"/>
          <w:kern w:val="0"/>
          <w:sz w:val="32"/>
          <w:szCs w:val="32"/>
          <w:highlight w:val="none"/>
          <w:lang w:val="en-US" w:eastAsia="zh-CN" w:bidi="ar"/>
        </w:rPr>
        <w:t> 六、其他重要事项的情况说明</w:t>
      </w:r>
    </w:p>
    <w:p w14:paraId="0B70BF0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600" w:lineRule="exact"/>
        <w:ind w:left="660" w:right="0"/>
        <w:jc w:val="both"/>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b/>
          <w:bCs/>
          <w:color w:val="3D3D3D"/>
          <w:kern w:val="0"/>
          <w:sz w:val="32"/>
          <w:szCs w:val="32"/>
          <w:highlight w:val="none"/>
          <w:lang w:val="en-US" w:eastAsia="zh-CN" w:bidi="ar"/>
        </w:rPr>
        <w:t>（一）“三公”经费预算</w:t>
      </w:r>
    </w:p>
    <w:p w14:paraId="66B84A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600" w:lineRule="exact"/>
        <w:ind w:left="0" w:right="0"/>
        <w:jc w:val="both"/>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color w:val="3D3D3D"/>
          <w:kern w:val="0"/>
          <w:sz w:val="32"/>
          <w:szCs w:val="32"/>
          <w:highlight w:val="none"/>
          <w:lang w:val="en-US" w:eastAsia="zh-CN" w:bidi="ar"/>
        </w:rPr>
        <w:t>    </w:t>
      </w:r>
      <w:r>
        <w:rPr>
          <w:rFonts w:hint="eastAsia" w:ascii="仿宋_GB2312" w:hAnsi="仿宋_GB2312" w:eastAsia="仿宋_GB2312" w:cs="仿宋_GB2312"/>
          <w:b w:val="0"/>
          <w:bCs w:val="0"/>
          <w:color w:val="3D3D3D"/>
          <w:kern w:val="0"/>
          <w:sz w:val="32"/>
          <w:szCs w:val="32"/>
          <w:highlight w:val="none"/>
          <w:lang w:val="en-US" w:eastAsia="zh-CN" w:bidi="ar"/>
        </w:rPr>
        <w:t> 2023年市商务局安排“三公”经费预算数为103.55万元，其中，公务接待费80.55万元，</w:t>
      </w:r>
      <w:r>
        <w:rPr>
          <w:rFonts w:hint="eastAsia" w:ascii="仿宋_GB2312" w:hAnsi="仿宋_GB2312" w:eastAsia="仿宋_GB2312" w:cs="仿宋_GB2312"/>
          <w:color w:val="000000"/>
          <w:sz w:val="32"/>
          <w:szCs w:val="32"/>
          <w:highlight w:val="none"/>
          <w:shd w:val="clear" w:color="auto" w:fill="FFFFFF"/>
        </w:rPr>
        <w:t>公务用车购置及运行费</w:t>
      </w:r>
      <w:r>
        <w:rPr>
          <w:rFonts w:hint="eastAsia" w:ascii="仿宋_GB2312" w:hAnsi="仿宋_GB2312" w:eastAsia="仿宋_GB2312" w:cs="仿宋_GB2312"/>
          <w:sz w:val="32"/>
          <w:szCs w:val="32"/>
          <w:highlight w:val="none"/>
          <w:lang w:val="en-US" w:eastAsia="zh-CN"/>
        </w:rPr>
        <w:t>23</w:t>
      </w:r>
      <w:r>
        <w:rPr>
          <w:rFonts w:hint="eastAsia" w:ascii="仿宋_GB2312" w:hAnsi="仿宋_GB2312" w:eastAsia="仿宋_GB2312" w:cs="仿宋_GB2312"/>
          <w:color w:val="000000"/>
          <w:sz w:val="32"/>
          <w:szCs w:val="32"/>
          <w:highlight w:val="none"/>
          <w:shd w:val="clear" w:color="auto" w:fill="FFFFFF"/>
          <w:lang w:val="en-US" w:eastAsia="zh-CN"/>
        </w:rPr>
        <w:t>万元（</w:t>
      </w:r>
      <w:r>
        <w:rPr>
          <w:rFonts w:hint="eastAsia" w:ascii="仿宋_GB2312" w:hAnsi="仿宋_GB2312" w:eastAsia="仿宋_GB2312" w:cs="仿宋_GB2312"/>
          <w:b w:val="0"/>
          <w:bCs w:val="0"/>
          <w:color w:val="3D3D3D"/>
          <w:kern w:val="0"/>
          <w:sz w:val="32"/>
          <w:szCs w:val="32"/>
          <w:highlight w:val="none"/>
          <w:lang w:val="en-US" w:eastAsia="zh-CN" w:bidi="ar"/>
        </w:rPr>
        <w:t>公务用车购置费0万元，公务用车运行费23万元）</w:t>
      </w:r>
      <w:bookmarkStart w:id="20" w:name="_GoBack"/>
      <w:bookmarkEnd w:id="20"/>
      <w:r>
        <w:rPr>
          <w:rFonts w:hint="eastAsia" w:ascii="仿宋_GB2312" w:hAnsi="仿宋_GB2312" w:eastAsia="仿宋_GB2312" w:cs="仿宋_GB2312"/>
          <w:b w:val="0"/>
          <w:bCs w:val="0"/>
          <w:color w:val="3D3D3D"/>
          <w:kern w:val="0"/>
          <w:sz w:val="32"/>
          <w:szCs w:val="32"/>
          <w:highlight w:val="none"/>
          <w:lang w:val="en-US" w:eastAsia="zh-CN" w:bidi="ar"/>
        </w:rPr>
        <w:t>，因公出国（境）费0万元。2023年“三公”经费预算较上年预算数减少29.95万元，下降22.43%，主要因为按照“三公”经费“只减不增”原则，从严从紧安排“三公”经费预算。</w:t>
      </w:r>
    </w:p>
    <w:p w14:paraId="30D1E5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600" w:lineRule="exact"/>
        <w:ind w:left="660" w:right="0"/>
        <w:jc w:val="both"/>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b/>
          <w:bCs/>
          <w:color w:val="3D3D3D"/>
          <w:kern w:val="0"/>
          <w:sz w:val="32"/>
          <w:szCs w:val="32"/>
          <w:highlight w:val="none"/>
          <w:lang w:val="en-US" w:eastAsia="zh-CN" w:bidi="ar"/>
        </w:rPr>
        <w:t>（二）机关运行经费</w:t>
      </w:r>
    </w:p>
    <w:p w14:paraId="517337C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600" w:lineRule="exact"/>
        <w:ind w:left="0" w:right="0"/>
        <w:jc w:val="left"/>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color w:val="3D3D3D"/>
          <w:kern w:val="0"/>
          <w:sz w:val="32"/>
          <w:szCs w:val="32"/>
          <w:highlight w:val="none"/>
          <w:lang w:val="en-US" w:eastAsia="zh-CN" w:bidi="ar"/>
        </w:rPr>
        <w:t>    </w:t>
      </w:r>
      <w:r>
        <w:rPr>
          <w:rFonts w:hint="eastAsia" w:ascii="仿宋_GB2312" w:hAnsi="仿宋_GB2312" w:eastAsia="仿宋_GB2312" w:cs="仿宋_GB2312"/>
          <w:b w:val="0"/>
          <w:bCs w:val="0"/>
          <w:color w:val="3D3D3D"/>
          <w:kern w:val="0"/>
          <w:sz w:val="32"/>
          <w:szCs w:val="32"/>
          <w:highlight w:val="none"/>
          <w:lang w:val="en-US" w:eastAsia="zh-CN" w:bidi="ar"/>
        </w:rPr>
        <w:t> 2023年市商务局机关运行经费100.5万元，压减公用经费后安排80.4万元，同口径对比上年预算数减少8.4万元，下降9.46%，主要因为在职人数减少。主要用于：公车运行及维护支出，8万元；福利费支出，12万元；委托业务费支出，5万元；劳务费支出3万元；差旅费支出，10万元；办公费支出，5万元；工会经费支出，12万元等。</w:t>
      </w:r>
    </w:p>
    <w:p w14:paraId="34A8A9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600" w:lineRule="exact"/>
        <w:ind w:left="0" w:right="0"/>
        <w:jc w:val="both"/>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b/>
          <w:bCs/>
          <w:color w:val="3D3D3D"/>
          <w:kern w:val="0"/>
          <w:sz w:val="32"/>
          <w:szCs w:val="32"/>
          <w:highlight w:val="none"/>
          <w:lang w:val="en-US" w:eastAsia="zh-CN" w:bidi="ar"/>
        </w:rPr>
        <w:t>    （三）政府采购情况</w:t>
      </w:r>
    </w:p>
    <w:p w14:paraId="5B94FF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600" w:lineRule="exact"/>
        <w:ind w:left="0" w:right="0"/>
        <w:jc w:val="left"/>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color w:val="3D3D3D"/>
          <w:kern w:val="0"/>
          <w:sz w:val="32"/>
          <w:szCs w:val="32"/>
          <w:highlight w:val="none"/>
          <w:lang w:val="en-US" w:eastAsia="zh-CN" w:bidi="ar"/>
        </w:rPr>
        <w:t>     2023年市商务局政府采购预算总额75万元，其中，政府采购货物预算0万元、政府采购工程预算0万元、政府采购服务预算75万元。</w:t>
      </w:r>
    </w:p>
    <w:p w14:paraId="3F9181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600" w:lineRule="exact"/>
        <w:ind w:left="0" w:right="0" w:firstLine="642"/>
        <w:jc w:val="left"/>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b/>
          <w:bCs/>
          <w:color w:val="3D3D3D"/>
          <w:kern w:val="0"/>
          <w:sz w:val="32"/>
          <w:szCs w:val="32"/>
          <w:highlight w:val="none"/>
          <w:lang w:val="en-US" w:eastAsia="zh-CN" w:bidi="ar"/>
        </w:rPr>
        <w:t>（四）预算绩效管理情况</w:t>
      </w:r>
    </w:p>
    <w:p w14:paraId="0BEDE1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600" w:lineRule="exact"/>
        <w:ind w:left="0" w:right="0" w:firstLine="640"/>
        <w:jc w:val="left"/>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color w:val="3D3D3D"/>
          <w:kern w:val="0"/>
          <w:sz w:val="32"/>
          <w:szCs w:val="32"/>
          <w:highlight w:val="none"/>
          <w:lang w:val="en-US" w:eastAsia="zh-CN" w:bidi="ar"/>
        </w:rPr>
        <w:t>按照市本级预算绩效管理工作的总体要求，2023年我单位整体支出2000.66万元，全部实行整体支出绩效目标管理，</w:t>
      </w:r>
      <w:r>
        <w:rPr>
          <w:rFonts w:hint="eastAsia" w:ascii="仿宋_GB2312" w:hAnsi="仿宋_GB2312" w:eastAsia="仿宋_GB2312" w:cs="仿宋_GB2312"/>
          <w:color w:val="000000"/>
          <w:sz w:val="32"/>
          <w:szCs w:val="32"/>
          <w:highlight w:val="none"/>
          <w:shd w:val="clear" w:color="auto" w:fill="FFFFFF"/>
        </w:rPr>
        <w:t>基本支出</w:t>
      </w:r>
      <w:r>
        <w:rPr>
          <w:rFonts w:hint="eastAsia" w:ascii="仿宋_GB2312" w:hAnsi="仿宋_GB2312" w:eastAsia="仿宋_GB2312" w:cs="仿宋_GB2312"/>
          <w:sz w:val="32"/>
          <w:szCs w:val="32"/>
          <w:highlight w:val="none"/>
          <w:lang w:val="en-US" w:eastAsia="zh-CN"/>
        </w:rPr>
        <w:t>1642.16</w:t>
      </w:r>
      <w:r>
        <w:rPr>
          <w:rFonts w:hint="eastAsia" w:ascii="仿宋_GB2312" w:hAnsi="仿宋_GB2312" w:eastAsia="仿宋_GB2312" w:cs="仿宋_GB2312"/>
          <w:color w:val="000000"/>
          <w:sz w:val="32"/>
          <w:szCs w:val="32"/>
          <w:highlight w:val="none"/>
          <w:shd w:val="clear" w:color="auto" w:fill="FFFFFF"/>
          <w:lang w:val="en-US" w:eastAsia="zh-CN"/>
        </w:rPr>
        <w:t>万元，</w:t>
      </w:r>
      <w:r>
        <w:rPr>
          <w:rFonts w:hint="eastAsia" w:ascii="仿宋_GB2312" w:hAnsi="仿宋_GB2312" w:eastAsia="仿宋_GB2312" w:cs="仿宋_GB2312"/>
          <w:color w:val="3D3D3D"/>
          <w:kern w:val="0"/>
          <w:sz w:val="32"/>
          <w:szCs w:val="32"/>
          <w:highlight w:val="none"/>
          <w:lang w:val="en-US" w:eastAsia="zh-CN" w:bidi="ar"/>
        </w:rPr>
        <w:t>编报绩效目标的项目5个，涉及项目支出358.5万元，其中内贸流通专项经费10万元，健康产业博览会专项经费75万元，驻点及产业招商专项250万元，招商引资专项16万元，改制企业维稳经费7.5万元。全部实行项目支出绩效目标管理。</w:t>
      </w:r>
    </w:p>
    <w:p w14:paraId="38D721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600" w:lineRule="exact"/>
        <w:ind w:left="0" w:right="0" w:firstLine="642"/>
        <w:jc w:val="left"/>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b/>
          <w:bCs/>
          <w:color w:val="3D3D3D"/>
          <w:kern w:val="0"/>
          <w:sz w:val="32"/>
          <w:szCs w:val="32"/>
          <w:highlight w:val="none"/>
          <w:lang w:val="en-US" w:eastAsia="zh-CN" w:bidi="ar"/>
        </w:rPr>
        <w:t>（五） 国有资产占用情况</w:t>
      </w:r>
    </w:p>
    <w:p w14:paraId="69E77F5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highlight w:val="none"/>
          <w:shd w:val="clear" w:color="auto" w:fill="FFFFFF"/>
        </w:rPr>
      </w:pPr>
      <w:r>
        <w:rPr>
          <w:rFonts w:hint="eastAsia" w:ascii="仿宋_GB2312" w:hAnsi="仿宋_GB2312" w:eastAsia="仿宋_GB2312" w:cs="仿宋_GB2312"/>
          <w:color w:val="000000"/>
          <w:sz w:val="32"/>
          <w:szCs w:val="32"/>
          <w:highlight w:val="none"/>
          <w:shd w:val="clear" w:color="auto" w:fill="FFFFFF"/>
        </w:rPr>
        <w:t>截至</w:t>
      </w:r>
      <w:r>
        <w:rPr>
          <w:rFonts w:hint="eastAsia" w:ascii="仿宋_GB2312" w:hAnsi="仿宋_GB2312" w:eastAsia="仿宋_GB2312" w:cs="仿宋_GB2312"/>
          <w:color w:val="000000"/>
          <w:sz w:val="32"/>
          <w:szCs w:val="32"/>
          <w:highlight w:val="none"/>
          <w:shd w:val="clear" w:color="auto" w:fill="FFFFFF"/>
          <w:lang w:eastAsia="zh-CN"/>
        </w:rPr>
        <w:t>2022</w:t>
      </w:r>
      <w:r>
        <w:rPr>
          <w:rFonts w:hint="eastAsia" w:ascii="仿宋_GB2312" w:hAnsi="仿宋_GB2312" w:eastAsia="仿宋_GB2312" w:cs="仿宋_GB2312"/>
          <w:color w:val="000000"/>
          <w:sz w:val="32"/>
          <w:szCs w:val="32"/>
          <w:highlight w:val="none"/>
          <w:shd w:val="clear" w:color="auto" w:fill="FFFFFF"/>
        </w:rPr>
        <w:t>年12月底，本</w:t>
      </w:r>
      <w:bookmarkStart w:id="0" w:name="START_DIV8"/>
      <w:bookmarkEnd w:id="0"/>
      <w:bookmarkStart w:id="1" w:name="END_DEPT8"/>
      <w:bookmarkEnd w:id="1"/>
      <w:bookmarkStart w:id="2" w:name="DIS_MARK_DEPT8"/>
      <w:bookmarkEnd w:id="2"/>
      <w:bookmarkStart w:id="3" w:name="START_DEPT8"/>
      <w:bookmarkEnd w:id="3"/>
      <w:bookmarkStart w:id="4" w:name="IS_DEPT8"/>
      <w:bookmarkEnd w:id="4"/>
      <w:bookmarkStart w:id="5" w:name="DIS_MARK_DIV8"/>
      <w:r>
        <w:rPr>
          <w:rFonts w:hint="eastAsia" w:ascii="仿宋_GB2312" w:hAnsi="仿宋_GB2312" w:eastAsia="仿宋_GB2312" w:cs="仿宋_GB2312"/>
          <w:color w:val="000000"/>
          <w:sz w:val="32"/>
          <w:szCs w:val="32"/>
          <w:highlight w:val="none"/>
          <w:shd w:val="clear" w:color="auto" w:fill="FFFFFF"/>
        </w:rPr>
        <w:t>单位</w:t>
      </w:r>
      <w:bookmarkEnd w:id="5"/>
      <w:bookmarkStart w:id="6" w:name="END_DIV8"/>
      <w:bookmarkEnd w:id="6"/>
      <w:r>
        <w:rPr>
          <w:rFonts w:hint="eastAsia" w:ascii="仿宋_GB2312" w:hAnsi="仿宋_GB2312" w:eastAsia="仿宋_GB2312" w:cs="仿宋_GB2312"/>
          <w:color w:val="000000"/>
          <w:sz w:val="32"/>
          <w:szCs w:val="32"/>
          <w:highlight w:val="none"/>
          <w:shd w:val="clear" w:color="auto" w:fill="FFFFFF"/>
        </w:rPr>
        <w:t>共有公务用车</w:t>
      </w:r>
      <w:r>
        <w:rPr>
          <w:rFonts w:hint="eastAsia" w:ascii="仿宋_GB2312" w:hAnsi="仿宋_GB2312" w:eastAsia="仿宋_GB2312" w:cs="仿宋_GB2312"/>
          <w:color w:val="000000"/>
          <w:sz w:val="32"/>
          <w:szCs w:val="32"/>
          <w:highlight w:val="none"/>
          <w:shd w:val="clear" w:color="auto" w:fill="FFFFFF"/>
          <w:lang w:val="en-US" w:eastAsia="zh-CN"/>
        </w:rPr>
        <w:t>11</w:t>
      </w:r>
      <w:r>
        <w:rPr>
          <w:rFonts w:hint="eastAsia" w:ascii="仿宋_GB2312" w:hAnsi="仿宋_GB2312" w:eastAsia="仿宋_GB2312" w:cs="仿宋_GB2312"/>
          <w:color w:val="000000"/>
          <w:sz w:val="32"/>
          <w:szCs w:val="32"/>
          <w:highlight w:val="none"/>
          <w:shd w:val="clear" w:color="auto" w:fill="FFFFFF"/>
        </w:rPr>
        <w:t>辆，其中，机要通信用车</w:t>
      </w:r>
      <w:bookmarkStart w:id="7" w:name="GYZC_TOTAL_JYTXYC"/>
      <w:r>
        <w:rPr>
          <w:rFonts w:hint="eastAsia" w:ascii="仿宋_GB2312" w:hAnsi="仿宋_GB2312" w:eastAsia="仿宋_GB2312" w:cs="仿宋_GB2312"/>
          <w:color w:val="000000"/>
          <w:sz w:val="32"/>
          <w:szCs w:val="32"/>
          <w:highlight w:val="none"/>
          <w:shd w:val="clear" w:color="auto" w:fill="FFFFFF"/>
        </w:rPr>
        <w:t>0</w:t>
      </w:r>
      <w:bookmarkEnd w:id="7"/>
      <w:r>
        <w:rPr>
          <w:rFonts w:hint="eastAsia" w:ascii="仿宋_GB2312" w:hAnsi="仿宋_GB2312" w:eastAsia="仿宋_GB2312" w:cs="仿宋_GB2312"/>
          <w:color w:val="000000"/>
          <w:sz w:val="32"/>
          <w:szCs w:val="32"/>
          <w:highlight w:val="none"/>
          <w:shd w:val="clear" w:color="auto" w:fill="FFFFFF"/>
        </w:rPr>
        <w:t>辆，应急保障用车</w:t>
      </w:r>
      <w:bookmarkStart w:id="8" w:name="GYZC_TOTAL_YJBZYC"/>
      <w:r>
        <w:rPr>
          <w:rFonts w:hint="eastAsia" w:ascii="仿宋_GB2312" w:hAnsi="仿宋_GB2312" w:eastAsia="仿宋_GB2312" w:cs="仿宋_GB2312"/>
          <w:color w:val="000000"/>
          <w:sz w:val="32"/>
          <w:szCs w:val="32"/>
          <w:highlight w:val="none"/>
          <w:shd w:val="clear" w:color="auto" w:fill="FFFFFF"/>
        </w:rPr>
        <w:t>0</w:t>
      </w:r>
      <w:bookmarkEnd w:id="8"/>
      <w:r>
        <w:rPr>
          <w:rFonts w:hint="eastAsia" w:ascii="仿宋_GB2312" w:hAnsi="仿宋_GB2312" w:eastAsia="仿宋_GB2312" w:cs="仿宋_GB2312"/>
          <w:color w:val="000000"/>
          <w:sz w:val="32"/>
          <w:szCs w:val="32"/>
          <w:highlight w:val="none"/>
          <w:shd w:val="clear" w:color="auto" w:fill="FFFFFF"/>
        </w:rPr>
        <w:t>辆，执法执勤用车</w:t>
      </w:r>
      <w:bookmarkStart w:id="9" w:name="GYZC_TOTAL_ZFZQYC"/>
      <w:r>
        <w:rPr>
          <w:rFonts w:hint="eastAsia" w:ascii="仿宋_GB2312" w:hAnsi="仿宋_GB2312" w:eastAsia="仿宋_GB2312" w:cs="仿宋_GB2312"/>
          <w:color w:val="000000"/>
          <w:sz w:val="32"/>
          <w:szCs w:val="32"/>
          <w:highlight w:val="none"/>
          <w:shd w:val="clear" w:color="auto" w:fill="FFFFFF"/>
        </w:rPr>
        <w:t>0</w:t>
      </w:r>
      <w:bookmarkEnd w:id="9"/>
      <w:r>
        <w:rPr>
          <w:rFonts w:hint="eastAsia" w:ascii="仿宋_GB2312" w:hAnsi="仿宋_GB2312" w:eastAsia="仿宋_GB2312" w:cs="仿宋_GB2312"/>
          <w:color w:val="000000"/>
          <w:sz w:val="32"/>
          <w:szCs w:val="32"/>
          <w:highlight w:val="none"/>
          <w:shd w:val="clear" w:color="auto" w:fill="FFFFFF"/>
        </w:rPr>
        <w:t>辆，特种专业技术用车</w:t>
      </w:r>
      <w:bookmarkStart w:id="10" w:name="GYZC_TOTAL_TZZYJSYC"/>
      <w:r>
        <w:rPr>
          <w:rFonts w:hint="eastAsia" w:ascii="仿宋_GB2312" w:hAnsi="仿宋_GB2312" w:eastAsia="仿宋_GB2312" w:cs="仿宋_GB2312"/>
          <w:color w:val="000000"/>
          <w:sz w:val="32"/>
          <w:szCs w:val="32"/>
          <w:highlight w:val="none"/>
          <w:shd w:val="clear" w:color="auto" w:fill="FFFFFF"/>
        </w:rPr>
        <w:t>0</w:t>
      </w:r>
      <w:bookmarkEnd w:id="10"/>
      <w:r>
        <w:rPr>
          <w:rFonts w:hint="eastAsia" w:ascii="仿宋_GB2312" w:hAnsi="仿宋_GB2312" w:eastAsia="仿宋_GB2312" w:cs="仿宋_GB2312"/>
          <w:color w:val="000000"/>
          <w:sz w:val="32"/>
          <w:szCs w:val="32"/>
          <w:highlight w:val="none"/>
          <w:shd w:val="clear" w:color="auto" w:fill="FFFFFF"/>
        </w:rPr>
        <w:t>辆，其他按照规定配备的公务用车</w:t>
      </w:r>
      <w:r>
        <w:rPr>
          <w:rFonts w:hint="eastAsia" w:ascii="仿宋_GB2312" w:hAnsi="仿宋_GB2312" w:eastAsia="仿宋_GB2312" w:cs="仿宋_GB2312"/>
          <w:color w:val="000000"/>
          <w:sz w:val="32"/>
          <w:szCs w:val="32"/>
          <w:highlight w:val="none"/>
          <w:shd w:val="clear" w:color="auto" w:fill="FFFFFF"/>
          <w:lang w:val="en-US" w:eastAsia="zh-CN"/>
        </w:rPr>
        <w:t>11</w:t>
      </w:r>
      <w:r>
        <w:rPr>
          <w:rFonts w:hint="eastAsia" w:ascii="仿宋_GB2312" w:hAnsi="仿宋_GB2312" w:eastAsia="仿宋_GB2312" w:cs="仿宋_GB2312"/>
          <w:color w:val="000000"/>
          <w:sz w:val="32"/>
          <w:szCs w:val="32"/>
          <w:highlight w:val="none"/>
          <w:shd w:val="clear" w:color="auto" w:fill="FFFFFF"/>
        </w:rPr>
        <w:t>辆；单位价值50万元以上通用设备</w:t>
      </w:r>
      <w:r>
        <w:rPr>
          <w:rFonts w:hint="eastAsia" w:ascii="仿宋_GB2312" w:hAnsi="仿宋_GB2312" w:eastAsia="仿宋_GB2312" w:cs="仿宋_GB2312"/>
          <w:color w:val="000000"/>
          <w:sz w:val="32"/>
          <w:szCs w:val="32"/>
          <w:highlight w:val="none"/>
          <w:shd w:val="clear" w:color="auto" w:fill="FFFFFF"/>
          <w:lang w:val="en-US" w:eastAsia="zh-CN"/>
        </w:rPr>
        <w:t>5</w:t>
      </w:r>
      <w:r>
        <w:rPr>
          <w:rFonts w:hint="eastAsia" w:ascii="仿宋_GB2312" w:hAnsi="仿宋_GB2312" w:eastAsia="仿宋_GB2312" w:cs="仿宋_GB2312"/>
          <w:color w:val="000000"/>
          <w:sz w:val="32"/>
          <w:szCs w:val="32"/>
          <w:highlight w:val="none"/>
          <w:shd w:val="clear" w:color="auto" w:fill="FFFFFF"/>
        </w:rPr>
        <w:t>台，单位价值100万元以上专用设备</w:t>
      </w:r>
      <w:bookmarkStart w:id="11" w:name="GYZC_TOTAL_DJ_100"/>
      <w:r>
        <w:rPr>
          <w:rFonts w:hint="eastAsia" w:ascii="仿宋_GB2312" w:hAnsi="仿宋_GB2312" w:eastAsia="仿宋_GB2312" w:cs="仿宋_GB2312"/>
          <w:color w:val="000000"/>
          <w:sz w:val="32"/>
          <w:szCs w:val="32"/>
          <w:highlight w:val="none"/>
          <w:shd w:val="clear" w:color="auto" w:fill="FFFFFF"/>
        </w:rPr>
        <w:t>0</w:t>
      </w:r>
      <w:bookmarkEnd w:id="11"/>
      <w:r>
        <w:rPr>
          <w:rFonts w:hint="eastAsia" w:ascii="仿宋_GB2312" w:hAnsi="仿宋_GB2312" w:eastAsia="仿宋_GB2312" w:cs="仿宋_GB2312"/>
          <w:color w:val="000000"/>
          <w:sz w:val="32"/>
          <w:szCs w:val="32"/>
          <w:highlight w:val="none"/>
          <w:shd w:val="clear" w:color="auto" w:fill="FFFFFF"/>
        </w:rPr>
        <w:t>台。</w:t>
      </w:r>
      <w:r>
        <w:rPr>
          <w:rFonts w:hint="eastAsia" w:ascii="仿宋_GB2312" w:hAnsi="仿宋_GB2312" w:eastAsia="仿宋_GB2312" w:cs="仿宋_GB2312"/>
          <w:color w:val="000000"/>
          <w:sz w:val="32"/>
          <w:szCs w:val="32"/>
          <w:highlight w:val="none"/>
          <w:shd w:val="clear" w:color="auto" w:fill="FFFFFF"/>
          <w:lang w:eastAsia="zh-CN"/>
        </w:rPr>
        <w:t>2023</w:t>
      </w:r>
      <w:r>
        <w:rPr>
          <w:rFonts w:hint="eastAsia" w:ascii="仿宋_GB2312" w:hAnsi="仿宋_GB2312" w:eastAsia="仿宋_GB2312" w:cs="仿宋_GB2312"/>
          <w:color w:val="000000"/>
          <w:sz w:val="32"/>
          <w:szCs w:val="32"/>
          <w:highlight w:val="none"/>
          <w:shd w:val="clear" w:color="auto" w:fill="FFFFFF"/>
        </w:rPr>
        <w:t>年拟新增配置公务用车</w:t>
      </w:r>
      <w:bookmarkStart w:id="12" w:name="GYZC_NEW_GWYC"/>
      <w:r>
        <w:rPr>
          <w:rFonts w:hint="eastAsia" w:ascii="仿宋_GB2312" w:hAnsi="仿宋_GB2312" w:eastAsia="仿宋_GB2312" w:cs="仿宋_GB2312"/>
          <w:color w:val="000000"/>
          <w:sz w:val="32"/>
          <w:szCs w:val="32"/>
          <w:highlight w:val="none"/>
          <w:shd w:val="clear" w:color="auto" w:fill="FFFFFF"/>
        </w:rPr>
        <w:t>0</w:t>
      </w:r>
      <w:bookmarkEnd w:id="12"/>
      <w:r>
        <w:rPr>
          <w:rFonts w:hint="eastAsia" w:ascii="仿宋_GB2312" w:hAnsi="仿宋_GB2312" w:eastAsia="仿宋_GB2312" w:cs="仿宋_GB2312"/>
          <w:color w:val="000000"/>
          <w:sz w:val="32"/>
          <w:szCs w:val="32"/>
          <w:highlight w:val="none"/>
          <w:shd w:val="clear" w:color="auto" w:fill="FFFFFF"/>
        </w:rPr>
        <w:t>辆，其中，机要通信用车</w:t>
      </w:r>
      <w:bookmarkStart w:id="13" w:name="GYZC_NEW_JYTXYC"/>
      <w:r>
        <w:rPr>
          <w:rFonts w:hint="eastAsia" w:ascii="仿宋_GB2312" w:hAnsi="仿宋_GB2312" w:eastAsia="仿宋_GB2312" w:cs="仿宋_GB2312"/>
          <w:color w:val="000000"/>
          <w:sz w:val="32"/>
          <w:szCs w:val="32"/>
          <w:highlight w:val="none"/>
          <w:shd w:val="clear" w:color="auto" w:fill="FFFFFF"/>
        </w:rPr>
        <w:t>0</w:t>
      </w:r>
      <w:bookmarkEnd w:id="13"/>
      <w:r>
        <w:rPr>
          <w:rFonts w:hint="eastAsia" w:ascii="仿宋_GB2312" w:hAnsi="仿宋_GB2312" w:eastAsia="仿宋_GB2312" w:cs="仿宋_GB2312"/>
          <w:color w:val="000000"/>
          <w:sz w:val="32"/>
          <w:szCs w:val="32"/>
          <w:highlight w:val="none"/>
          <w:shd w:val="clear" w:color="auto" w:fill="FFFFFF"/>
        </w:rPr>
        <w:t>辆，应急保障用车</w:t>
      </w:r>
      <w:bookmarkStart w:id="14" w:name="GYZC_NEW_YJBZYC"/>
      <w:r>
        <w:rPr>
          <w:rFonts w:hint="eastAsia" w:ascii="仿宋_GB2312" w:hAnsi="仿宋_GB2312" w:eastAsia="仿宋_GB2312" w:cs="仿宋_GB2312"/>
          <w:color w:val="000000"/>
          <w:sz w:val="32"/>
          <w:szCs w:val="32"/>
          <w:highlight w:val="none"/>
          <w:shd w:val="clear" w:color="auto" w:fill="FFFFFF"/>
        </w:rPr>
        <w:t>0</w:t>
      </w:r>
      <w:bookmarkEnd w:id="14"/>
      <w:r>
        <w:rPr>
          <w:rFonts w:hint="eastAsia" w:ascii="仿宋_GB2312" w:hAnsi="仿宋_GB2312" w:eastAsia="仿宋_GB2312" w:cs="仿宋_GB2312"/>
          <w:color w:val="000000"/>
          <w:sz w:val="32"/>
          <w:szCs w:val="32"/>
          <w:highlight w:val="none"/>
          <w:shd w:val="clear" w:color="auto" w:fill="FFFFFF"/>
        </w:rPr>
        <w:t>辆，执法执勤用车</w:t>
      </w:r>
      <w:bookmarkStart w:id="15" w:name="GYZC_NEW_ZFZQYC"/>
      <w:r>
        <w:rPr>
          <w:rFonts w:hint="eastAsia" w:ascii="仿宋_GB2312" w:hAnsi="仿宋_GB2312" w:eastAsia="仿宋_GB2312" w:cs="仿宋_GB2312"/>
          <w:color w:val="000000"/>
          <w:sz w:val="32"/>
          <w:szCs w:val="32"/>
          <w:highlight w:val="none"/>
          <w:shd w:val="clear" w:color="auto" w:fill="FFFFFF"/>
        </w:rPr>
        <w:t>0</w:t>
      </w:r>
      <w:bookmarkEnd w:id="15"/>
      <w:r>
        <w:rPr>
          <w:rFonts w:hint="eastAsia" w:ascii="仿宋_GB2312" w:hAnsi="仿宋_GB2312" w:eastAsia="仿宋_GB2312" w:cs="仿宋_GB2312"/>
          <w:color w:val="000000"/>
          <w:sz w:val="32"/>
          <w:szCs w:val="32"/>
          <w:highlight w:val="none"/>
          <w:shd w:val="clear" w:color="auto" w:fill="FFFFFF"/>
        </w:rPr>
        <w:t>辆，特种专业技术用车</w:t>
      </w:r>
      <w:bookmarkStart w:id="16" w:name="GYZC_NEW_TZZYJSYC"/>
      <w:r>
        <w:rPr>
          <w:rFonts w:hint="eastAsia" w:ascii="仿宋_GB2312" w:hAnsi="仿宋_GB2312" w:eastAsia="仿宋_GB2312" w:cs="仿宋_GB2312"/>
          <w:color w:val="000000"/>
          <w:sz w:val="32"/>
          <w:szCs w:val="32"/>
          <w:highlight w:val="none"/>
          <w:shd w:val="clear" w:color="auto" w:fill="FFFFFF"/>
        </w:rPr>
        <w:t>0</w:t>
      </w:r>
      <w:bookmarkEnd w:id="16"/>
      <w:r>
        <w:rPr>
          <w:rFonts w:hint="eastAsia" w:ascii="仿宋_GB2312" w:hAnsi="仿宋_GB2312" w:eastAsia="仿宋_GB2312" w:cs="仿宋_GB2312"/>
          <w:color w:val="000000"/>
          <w:sz w:val="32"/>
          <w:szCs w:val="32"/>
          <w:highlight w:val="none"/>
          <w:shd w:val="clear" w:color="auto" w:fill="FFFFFF"/>
        </w:rPr>
        <w:t>辆，其他按照规定配备的公务用车</w:t>
      </w:r>
      <w:bookmarkStart w:id="17" w:name="GYZC_NEW_QTYC"/>
      <w:r>
        <w:rPr>
          <w:rFonts w:hint="eastAsia" w:ascii="仿宋_GB2312" w:hAnsi="仿宋_GB2312" w:eastAsia="仿宋_GB2312" w:cs="仿宋_GB2312"/>
          <w:color w:val="000000"/>
          <w:sz w:val="32"/>
          <w:szCs w:val="32"/>
          <w:highlight w:val="none"/>
          <w:shd w:val="clear" w:color="auto" w:fill="FFFFFF"/>
        </w:rPr>
        <w:t>0</w:t>
      </w:r>
      <w:bookmarkEnd w:id="17"/>
      <w:r>
        <w:rPr>
          <w:rFonts w:hint="eastAsia" w:ascii="仿宋_GB2312" w:hAnsi="仿宋_GB2312" w:eastAsia="仿宋_GB2312" w:cs="仿宋_GB2312"/>
          <w:color w:val="000000"/>
          <w:sz w:val="32"/>
          <w:szCs w:val="32"/>
          <w:highlight w:val="none"/>
          <w:shd w:val="clear" w:color="auto" w:fill="FFFFFF"/>
        </w:rPr>
        <w:t>辆；新增配备单位价值50万元以上通用设备</w:t>
      </w:r>
      <w:bookmarkStart w:id="18" w:name="GYZC_NEW_DJ_50"/>
      <w:r>
        <w:rPr>
          <w:rFonts w:hint="eastAsia" w:ascii="仿宋_GB2312" w:hAnsi="仿宋_GB2312" w:eastAsia="仿宋_GB2312" w:cs="仿宋_GB2312"/>
          <w:color w:val="000000"/>
          <w:sz w:val="32"/>
          <w:szCs w:val="32"/>
          <w:highlight w:val="none"/>
          <w:shd w:val="clear" w:color="auto" w:fill="FFFFFF"/>
        </w:rPr>
        <w:t>0</w:t>
      </w:r>
      <w:bookmarkEnd w:id="18"/>
      <w:r>
        <w:rPr>
          <w:rFonts w:hint="eastAsia" w:ascii="仿宋_GB2312" w:hAnsi="仿宋_GB2312" w:eastAsia="仿宋_GB2312" w:cs="仿宋_GB2312"/>
          <w:color w:val="000000"/>
          <w:sz w:val="32"/>
          <w:szCs w:val="32"/>
          <w:highlight w:val="none"/>
          <w:shd w:val="clear" w:color="auto" w:fill="FFFFFF"/>
        </w:rPr>
        <w:t>台，单位价值100万元以上专用设备</w:t>
      </w:r>
      <w:bookmarkStart w:id="19" w:name="GYZC_NEW_DJ_100"/>
      <w:r>
        <w:rPr>
          <w:rFonts w:hint="eastAsia" w:ascii="仿宋_GB2312" w:hAnsi="仿宋_GB2312" w:eastAsia="仿宋_GB2312" w:cs="仿宋_GB2312"/>
          <w:color w:val="000000"/>
          <w:sz w:val="32"/>
          <w:szCs w:val="32"/>
          <w:highlight w:val="none"/>
          <w:shd w:val="clear" w:color="auto" w:fill="FFFFFF"/>
        </w:rPr>
        <w:t>0</w:t>
      </w:r>
      <w:bookmarkEnd w:id="19"/>
      <w:r>
        <w:rPr>
          <w:rFonts w:hint="eastAsia" w:ascii="仿宋_GB2312" w:hAnsi="仿宋_GB2312" w:eastAsia="仿宋_GB2312" w:cs="仿宋_GB2312"/>
          <w:color w:val="000000"/>
          <w:sz w:val="32"/>
          <w:szCs w:val="32"/>
          <w:highlight w:val="none"/>
          <w:shd w:val="clear" w:color="auto" w:fill="FFFFFF"/>
        </w:rPr>
        <w:t>台。</w:t>
      </w:r>
    </w:p>
    <w:p w14:paraId="087177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600" w:lineRule="exact"/>
        <w:ind w:left="0" w:right="0" w:firstLine="642"/>
        <w:jc w:val="left"/>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b/>
          <w:bCs/>
          <w:color w:val="3D3D3D"/>
          <w:kern w:val="0"/>
          <w:sz w:val="32"/>
          <w:szCs w:val="32"/>
          <w:highlight w:val="none"/>
          <w:lang w:val="en-US" w:eastAsia="zh-CN" w:bidi="ar"/>
        </w:rPr>
        <w:t>（六）一般性支出情况</w:t>
      </w:r>
    </w:p>
    <w:p w14:paraId="0FBD18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600" w:lineRule="exact"/>
        <w:ind w:left="0" w:right="0" w:firstLine="640"/>
        <w:jc w:val="left"/>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b w:val="0"/>
          <w:bCs w:val="0"/>
          <w:color w:val="3D3D3D"/>
          <w:kern w:val="0"/>
          <w:sz w:val="32"/>
          <w:szCs w:val="32"/>
          <w:highlight w:val="none"/>
          <w:lang w:val="en-US" w:eastAsia="zh-CN" w:bidi="ar"/>
        </w:rPr>
        <w:t>1.2023年</w:t>
      </w:r>
      <w:r>
        <w:rPr>
          <w:rFonts w:hint="eastAsia" w:ascii="仿宋_GB2312" w:hAnsi="仿宋_GB2312" w:eastAsia="仿宋_GB2312" w:cs="仿宋_GB2312"/>
          <w:color w:val="3D3D3D"/>
          <w:kern w:val="0"/>
          <w:sz w:val="32"/>
          <w:szCs w:val="32"/>
          <w:highlight w:val="none"/>
          <w:lang w:val="en-US" w:eastAsia="zh-CN" w:bidi="ar"/>
        </w:rPr>
        <w:t>，本部门会议费预算87万元，具体为：全市商务经济工作会议，内容为各县市区上年商务工作总结、下年工作计划交流，预计参会人数30人，预算1万元；驻点及产业经济工作会议，内容为全市招商引资工作总结及下阶段工作部署会。预计参会人数30人，预算1万元。项目座谈会，内容为重要企业来怀考察时安排的专项座谈会，预计会议数量5次，参会人数共100人，预算10万元。健康产业博览会，内容为我市健康相关产业的推介和宣传，参会人数300人，预算75万元。</w:t>
      </w:r>
    </w:p>
    <w:p w14:paraId="355EA3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600" w:lineRule="exact"/>
        <w:ind w:left="0" w:right="0" w:firstLine="640"/>
        <w:jc w:val="left"/>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color w:val="3D3D3D"/>
          <w:kern w:val="0"/>
          <w:sz w:val="32"/>
          <w:szCs w:val="32"/>
          <w:highlight w:val="none"/>
          <w:lang w:val="en-US" w:eastAsia="zh-CN" w:bidi="ar"/>
        </w:rPr>
        <w:t>2.2023年，本部门培训费预算6万元，具体为：全市招商引资培训，内容为全市招商引资人才的专题培训，预计人数80人，预算4万元；限上企业培训，内容为为企业提供入统指导、数据报送培训等，预计人数50人，预算2万元等。</w:t>
      </w:r>
    </w:p>
    <w:p w14:paraId="00C63A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600" w:lineRule="exact"/>
        <w:ind w:left="0" w:right="0" w:firstLine="640"/>
        <w:jc w:val="left"/>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color w:val="3D3D3D"/>
          <w:kern w:val="0"/>
          <w:sz w:val="32"/>
          <w:szCs w:val="32"/>
          <w:highlight w:val="none"/>
          <w:lang w:val="en-US" w:eastAsia="zh-CN" w:bidi="ar"/>
        </w:rPr>
        <w:t>3.2023年本部门未举办节庆、晚会、论坛、赛事等预算。</w:t>
      </w:r>
    </w:p>
    <w:p w14:paraId="4A8EB8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600" w:lineRule="exact"/>
        <w:ind w:left="0" w:right="0" w:firstLine="627"/>
        <w:jc w:val="left"/>
        <w:textAlignment w:val="auto"/>
        <w:rPr>
          <w:rFonts w:hint="eastAsia" w:ascii="黑体" w:hAnsi="黑体" w:eastAsia="黑体" w:cs="黑体"/>
          <w:color w:val="3D3D3D"/>
          <w:kern w:val="0"/>
          <w:sz w:val="32"/>
          <w:szCs w:val="32"/>
          <w:highlight w:val="none"/>
          <w:lang w:val="en-US" w:eastAsia="zh-CN" w:bidi="ar"/>
        </w:rPr>
      </w:pPr>
      <w:r>
        <w:rPr>
          <w:rFonts w:hint="eastAsia" w:ascii="黑体" w:hAnsi="黑体" w:eastAsia="黑体" w:cs="黑体"/>
          <w:color w:val="3D3D3D"/>
          <w:kern w:val="0"/>
          <w:sz w:val="32"/>
          <w:szCs w:val="32"/>
          <w:highlight w:val="none"/>
          <w:lang w:val="en-US" w:eastAsia="zh-CN" w:bidi="ar"/>
        </w:rPr>
        <w:t>七、专业名词解释</w:t>
      </w:r>
    </w:p>
    <w:p w14:paraId="17BA8A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600" w:lineRule="exact"/>
        <w:ind w:left="0" w:right="0" w:firstLine="642"/>
        <w:jc w:val="left"/>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b/>
          <w:bCs/>
          <w:color w:val="3D3D3D"/>
          <w:kern w:val="0"/>
          <w:sz w:val="32"/>
          <w:szCs w:val="32"/>
          <w:highlight w:val="none"/>
          <w:lang w:val="en-US" w:eastAsia="zh-CN" w:bidi="ar"/>
        </w:rPr>
        <w:t>1.机关运行经费：</w:t>
      </w:r>
      <w:r>
        <w:rPr>
          <w:rFonts w:hint="eastAsia" w:ascii="仿宋_GB2312" w:hAnsi="仿宋_GB2312" w:eastAsia="仿宋_GB2312" w:cs="仿宋_GB2312"/>
          <w:color w:val="3D3D3D"/>
          <w:kern w:val="0"/>
          <w:sz w:val="32"/>
          <w:szCs w:val="32"/>
          <w:highlight w:val="none"/>
          <w:lang w:val="en-US" w:eastAsia="zh-CN" w:bidi="ar"/>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44F511E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600" w:lineRule="exact"/>
        <w:ind w:left="0" w:right="0" w:firstLine="642"/>
        <w:jc w:val="left"/>
        <w:textAlignment w:val="auto"/>
        <w:rPr>
          <w:rFonts w:hint="eastAsia" w:ascii="仿宋_GB2312" w:hAnsi="仿宋_GB2312" w:eastAsia="仿宋_GB2312" w:cs="仿宋_GB2312"/>
          <w:color w:val="3D3D3D"/>
          <w:sz w:val="32"/>
          <w:szCs w:val="32"/>
          <w:highlight w:val="none"/>
        </w:rPr>
      </w:pPr>
      <w:r>
        <w:rPr>
          <w:rFonts w:hint="eastAsia" w:ascii="仿宋_GB2312" w:hAnsi="仿宋_GB2312" w:eastAsia="仿宋_GB2312" w:cs="仿宋_GB2312"/>
          <w:b/>
          <w:bCs/>
          <w:color w:val="3D3D3D"/>
          <w:kern w:val="0"/>
          <w:sz w:val="32"/>
          <w:szCs w:val="32"/>
          <w:highlight w:val="none"/>
          <w:lang w:val="en-US" w:eastAsia="zh-CN" w:bidi="ar"/>
        </w:rPr>
        <w:t>2.“三公”经费：</w:t>
      </w:r>
      <w:r>
        <w:rPr>
          <w:rFonts w:hint="eastAsia" w:ascii="仿宋_GB2312" w:hAnsi="仿宋_GB2312" w:eastAsia="仿宋_GB2312" w:cs="仿宋_GB2312"/>
          <w:color w:val="3D3D3D"/>
          <w:kern w:val="0"/>
          <w:sz w:val="32"/>
          <w:szCs w:val="32"/>
          <w:highlight w:val="none"/>
          <w:lang w:val="en-US" w:eastAsia="zh-CN" w:bidi="ar"/>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236A95C7">
      <w:pPr>
        <w:spacing w:line="600" w:lineRule="exact"/>
        <w:ind w:firstLine="883" w:firstLineChars="200"/>
        <w:jc w:val="center"/>
        <w:rPr>
          <w:rStyle w:val="7"/>
          <w:rFonts w:hint="eastAsia" w:ascii="仿宋_GB2312" w:hAnsi="仿宋_GB2312" w:eastAsia="仿宋_GB2312" w:cs="仿宋_GB2312"/>
          <w:color w:val="auto"/>
          <w:sz w:val="44"/>
          <w:szCs w:val="44"/>
          <w:highlight w:val="none"/>
        </w:rPr>
      </w:pPr>
    </w:p>
    <w:p w14:paraId="008539AF">
      <w:pPr>
        <w:spacing w:line="600" w:lineRule="exact"/>
        <w:ind w:firstLine="883" w:firstLineChars="200"/>
        <w:jc w:val="center"/>
        <w:rPr>
          <w:rStyle w:val="7"/>
          <w:rFonts w:hint="eastAsia" w:ascii="仿宋_GB2312" w:hAnsi="仿宋_GB2312" w:eastAsia="仿宋_GB2312" w:cs="仿宋_GB2312"/>
          <w:color w:val="auto"/>
          <w:sz w:val="44"/>
          <w:szCs w:val="44"/>
          <w:highlight w:val="none"/>
        </w:rPr>
      </w:pPr>
    </w:p>
    <w:p w14:paraId="6E96B752">
      <w:pPr>
        <w:spacing w:line="240" w:lineRule="auto"/>
        <w:ind w:firstLine="0" w:firstLineChars="0"/>
        <w:jc w:val="center"/>
        <w:rPr>
          <w:rStyle w:val="7"/>
          <w:rFonts w:hint="eastAsia" w:ascii="黑体" w:hAnsi="黑体" w:eastAsia="黑体" w:cs="Times New Roman"/>
          <w:b/>
          <w:bCs/>
          <w:color w:val="auto"/>
          <w:sz w:val="44"/>
          <w:szCs w:val="44"/>
          <w:highlight w:val="none"/>
        </w:rPr>
      </w:pPr>
      <w:r>
        <w:rPr>
          <w:rStyle w:val="7"/>
          <w:rFonts w:hint="eastAsia" w:ascii="黑体" w:hAnsi="黑体" w:eastAsia="黑体" w:cs="Times New Roman"/>
          <w:b/>
          <w:bCs/>
          <w:color w:val="auto"/>
          <w:sz w:val="44"/>
          <w:szCs w:val="44"/>
          <w:highlight w:val="none"/>
        </w:rPr>
        <w:t>第二部分202</w:t>
      </w:r>
      <w:r>
        <w:rPr>
          <w:rStyle w:val="7"/>
          <w:rFonts w:hint="eastAsia" w:ascii="黑体" w:hAnsi="黑体" w:eastAsia="黑体" w:cs="Times New Roman"/>
          <w:b/>
          <w:bCs/>
          <w:color w:val="auto"/>
          <w:sz w:val="44"/>
          <w:szCs w:val="44"/>
          <w:highlight w:val="none"/>
          <w:lang w:val="en-US" w:eastAsia="zh-CN"/>
        </w:rPr>
        <w:t>3</w:t>
      </w:r>
      <w:r>
        <w:rPr>
          <w:rStyle w:val="7"/>
          <w:rFonts w:hint="eastAsia" w:ascii="黑体" w:hAnsi="黑体" w:eastAsia="黑体" w:cs="Times New Roman"/>
          <w:b/>
          <w:bCs/>
          <w:color w:val="auto"/>
          <w:sz w:val="44"/>
          <w:szCs w:val="44"/>
          <w:highlight w:val="none"/>
        </w:rPr>
        <w:t>年部门预算表</w:t>
      </w:r>
    </w:p>
    <w:p w14:paraId="72406FD8">
      <w:pPr>
        <w:spacing w:line="240" w:lineRule="auto"/>
        <w:ind w:firstLine="0" w:firstLineChars="0"/>
        <w:jc w:val="center"/>
        <w:rPr>
          <w:rStyle w:val="7"/>
          <w:rFonts w:hint="eastAsia" w:ascii="黑体" w:hAnsi="黑体" w:eastAsia="黑体" w:cs="Times New Roman"/>
          <w:b/>
          <w:bCs/>
          <w:color w:val="auto"/>
          <w:sz w:val="44"/>
          <w:szCs w:val="44"/>
          <w:highlight w:val="none"/>
        </w:rPr>
      </w:pPr>
      <w:r>
        <w:rPr>
          <w:rStyle w:val="7"/>
          <w:rFonts w:hint="eastAsia" w:ascii="黑体" w:hAnsi="黑体" w:eastAsia="黑体" w:cs="Times New Roman"/>
          <w:b/>
          <w:bCs/>
          <w:color w:val="auto"/>
          <w:sz w:val="44"/>
          <w:szCs w:val="44"/>
          <w:highlight w:val="none"/>
        </w:rPr>
        <w:t>（详情见公开附表）</w:t>
      </w:r>
    </w:p>
    <w:p w14:paraId="72EBCA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44"/>
          <w:szCs w:val="44"/>
          <w:highlight w:val="none"/>
        </w:rPr>
      </w:pPr>
    </w:p>
    <w:p w14:paraId="1C61C061">
      <w:pPr>
        <w:rPr>
          <w:sz w:val="44"/>
          <w:szCs w:val="44"/>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43DB3">
    <w:pPr>
      <w:pStyle w:val="2"/>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26670" cy="131445"/>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26670" cy="131445"/>
                      </a:xfrm>
                      <a:prstGeom prst="rect">
                        <a:avLst/>
                      </a:prstGeom>
                      <a:noFill/>
                      <a:ln>
                        <a:noFill/>
                      </a:ln>
                    </wps:spPr>
                    <wps:txbx>
                      <w:txbxContent>
                        <w:p w14:paraId="73E2414E">
                          <w:pPr>
                            <w:pStyle w:val="2"/>
                            <w:rPr>
                              <w:rStyle w:val="8"/>
                            </w:rPr>
                          </w:pPr>
                          <w:r>
                            <w:fldChar w:fldCharType="begin"/>
                          </w:r>
                          <w:r>
                            <w:rPr>
                              <w:rStyle w:val="8"/>
                            </w:rPr>
                            <w:instrText xml:space="preserve">PAGE  </w:instrText>
                          </w:r>
                          <w:r>
                            <w:fldChar w:fldCharType="separate"/>
                          </w:r>
                          <w:r>
                            <w:rPr>
                              <w:rStyle w:val="8"/>
                            </w:rPr>
                            <w:t>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2.1pt;mso-position-horizontal:center;mso-position-horizontal-relative:margin;mso-wrap-distance-bottom:0pt;mso-wrap-distance-left:0pt;mso-wrap-distance-right:0pt;mso-wrap-distance-top:0pt;mso-wrap-style:none;z-index:251659264;mso-width-relative:page;mso-height-relative:page;" filled="f" stroked="f" coordsize="21600,21600" o:gfxdata="UEsDBAoAAAAAAIdO4kAAAAAAAAAAAAAAAAAEAAAAZHJzL1BLAwQUAAAACACHTuJAjUeE/dAAAAAC&#10;AQAADwAAAGRycy9kb3ducmV2LnhtbE2PwU7DMBBE70j8g7VI3KjdCNEqjdNDJS7cKAiJ2zbexhH2&#10;OrLdNPl7DBe4rDSa0czbZj97JyaKaQisYb1SIIi7YAbuNby/PT9sQaSMbNAFJg0LJdi3tzcN1iZc&#10;+ZWmY+5FKeFUowab81hLmTpLHtMqjMTFO4foMRcZe2kiXku5d7JS6kl6HLgsWBzpYKn7Ol68hs38&#10;EWhMdKDP89RFOyxb97JofX+3VjsQmeb8F4Yf/IIObWE6hQubJJyG8kj+vcV7rECcNFRqA7Jt5H/0&#10;9htQSwMEFAAAAAgAh07iQPlDa9bMAQAAlgMAAA4AAABkcnMvZTJvRG9jLnhtbK1TS47TQBDdI3GH&#10;Vu9Jx2YIyIozAkWDkBAgDRyg027HLfVPXZ3YuQDcgBUb9pwr56C6bWc+bGbBxilXVV6996q8vh6M&#10;JkcZQDlb02KxpERa4Rpl9zX99vXmxRtKIHLbcO2srOlJAr3ePH+27n0lS9c53chAEMRC1fuadjH6&#10;ijEQnTQcFs5Li8XWBcMjvoY9awLvEd1oVi6XK9a70PjghATA7HYs0gkxPAXQta0ScuvEwUgbR9Qg&#10;NY8oCTrlgW4y27aVIn5uW5CR6Jqi0pifOATjXXqyzZpX+8B9p8REgT+FwiNNhiuLQy9QWx45OQT1&#10;D5RRIjhwbVwIZ9goJDuCKorlI29uO+5l1oJWg7+YDv8PVnw6fglENTUtKbHc4MLPP3+cf/05//5O&#10;ymRP76HCrluPfXF45wY8mjkPmEyqhzaY9It6CNbR3NPFXDlEIjBZrlavsSCwUrwsrq5eJRB2918f&#10;IL6XzpAU1DTg6rKj/PgR4tg6t6RR1t0orfP6tH2QQMyUYYn4SDBFcdgNk5qda04opset19TikVOi&#10;P1g0NR3IHIQ52M3BwQe175BakXmBf3uISCJzSxNG2Gkwriurm04r3cP999x19zlt/g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NR4T90AAAAAIBAAAPAAAAAAAAAAEAIAAAACIAAABkcnMvZG93bnJl&#10;di54bWxQSwECFAAUAAAACACHTuJA+UNr1swBAACWAwAADgAAAAAAAAABACAAAAAfAQAAZHJzL2Uy&#10;b0RvYy54bWxQSwUGAAAAAAYABgBZAQAAXQUAAAAA&#10;">
              <v:fill on="f" focussize="0,0"/>
              <v:stroke on="f"/>
              <v:imagedata o:title=""/>
              <o:lock v:ext="edit" aspectratio="f"/>
              <v:textbox inset="0mm,0mm,0mm,0mm" style="mso-fit-shape-to-text:t;">
                <w:txbxContent>
                  <w:p w14:paraId="73E2414E">
                    <w:pPr>
                      <w:pStyle w:val="2"/>
                      <w:rPr>
                        <w:rStyle w:val="8"/>
                      </w:rPr>
                    </w:pPr>
                    <w:r>
                      <w:fldChar w:fldCharType="begin"/>
                    </w:r>
                    <w:r>
                      <w:rPr>
                        <w:rStyle w:val="8"/>
                      </w:rPr>
                      <w:instrText xml:space="preserve">PAGE  </w:instrText>
                    </w:r>
                    <w:r>
                      <w:fldChar w:fldCharType="separate"/>
                    </w:r>
                    <w:r>
                      <w:rPr>
                        <w:rStyle w:val="8"/>
                      </w:rPr>
                      <w:t>1</w:t>
                    </w:r>
                    <w:r>
                      <w:fldChar w:fldCharType="end"/>
                    </w:r>
                  </w:p>
                </w:txbxContent>
              </v:textbox>
              <w10:wrap type="square"/>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682E6">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ZmVlZWE1YThmOTUxYzdmMmU4OWMyMmJiMWY5ZTgifQ=="/>
  </w:docVars>
  <w:rsids>
    <w:rsidRoot w:val="7A6D6EC8"/>
    <w:rsid w:val="01E2036E"/>
    <w:rsid w:val="31676768"/>
    <w:rsid w:val="5B816D5A"/>
    <w:rsid w:val="5E854B1E"/>
    <w:rsid w:val="7A6D6E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99"/>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qFormat/>
    <w:uiPriority w:val="0"/>
    <w:rPr>
      <w:b/>
      <w:bCs/>
    </w:rPr>
  </w:style>
  <w:style w:type="character" w:styleId="8">
    <w:name w:val="page number"/>
    <w:basedOn w:val="6"/>
    <w:uiPriority w:val="0"/>
  </w:style>
  <w:style w:type="character" w:styleId="9">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4677</Words>
  <Characters>5097</Characters>
  <Lines>0</Lines>
  <Paragraphs>0</Paragraphs>
  <TotalTime>3</TotalTime>
  <ScaleCrop>false</ScaleCrop>
  <LinksUpToDate>false</LinksUpToDate>
  <CharactersWithSpaces>5102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2024-10-09T09:23:00Z</dcterms:created>
  <dc:creator>Z.</dc:creator>
  <cp:lastModifiedBy>WPS_1668149522</cp:lastModifiedBy>
  <dcterms:modified xsi:type="dcterms:W3CDTF">2024-10-21T23:35:55Z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E77F19904B714FCDB6C51172999A2BF5_11</vt:lpwstr>
  </property>
</Properties>
</file>