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956E9">
      <w:pPr>
        <w:pStyle w:val="12"/>
        <w:jc w:val="both"/>
        <w:rPr>
          <w:sz w:val="56"/>
          <w:szCs w:val="56"/>
        </w:rPr>
      </w:pPr>
      <w:r>
        <w:rPr>
          <w:sz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106045</wp:posOffset>
                </wp:positionV>
                <wp:extent cx="149225" cy="263525"/>
                <wp:effectExtent l="0" t="0" r="3175" b="31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1799590" y="935990"/>
                          <a:ext cx="149225" cy="26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CF64A">
                            <w:pPr>
                              <w:rPr>
                                <w:rFonts w:hint="eastAsia" w:ascii="楷体" w:hAnsi="楷体" w:eastAsia="楷体" w:cs="楷体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flip:y;margin-left:-15.35pt;margin-top:8.35pt;height:20.75pt;width:11.75pt;z-index:251659264;mso-width-relative:page;mso-height-relative:page;" fillcolor="#FFFFFF [3201]" filled="t" stroked="f" coordsize="21600,21600" o:gfxdata="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jvQBJNUA&#10;AAAIAQAADwAAAAAAAAABACAAAAAiAAAAZHJzL2Rvd25yZXYueG1sUEsBAhQAFAAAAAgAh07iQHxo&#10;ObdbAgAAowQAAA4AAAAAAAAAAQAgAAAAJAEAAGRycy9lMm9Eb2MueG1sUEsFBgAAAAAGAAYAWQEA&#10;APE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65CF64A">
                      <w:pPr>
                        <w:rPr>
                          <w:rFonts w:hint="eastAsia" w:ascii="楷体" w:hAnsi="楷体" w:eastAsia="楷体" w:cs="楷体"/>
                          <w:sz w:val="30"/>
                          <w:szCs w:val="3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516A50">
      <w:pPr>
        <w:pStyle w:val="12"/>
        <w:jc w:val="center"/>
        <w:rPr>
          <w:sz w:val="56"/>
          <w:szCs w:val="56"/>
        </w:rPr>
      </w:pPr>
    </w:p>
    <w:p w14:paraId="66FA31A2">
      <w:pPr>
        <w:pStyle w:val="12"/>
        <w:jc w:val="center"/>
        <w:rPr>
          <w:sz w:val="84"/>
          <w:szCs w:val="84"/>
        </w:rPr>
      </w:pPr>
    </w:p>
    <w:p w14:paraId="315FEF96">
      <w:pPr>
        <w:pStyle w:val="12"/>
        <w:jc w:val="center"/>
        <w:rPr>
          <w:sz w:val="84"/>
          <w:szCs w:val="84"/>
        </w:rPr>
      </w:pPr>
    </w:p>
    <w:p w14:paraId="476DC103">
      <w:pPr>
        <w:pStyle w:val="12"/>
        <w:jc w:val="center"/>
        <w:rPr>
          <w:rFonts w:hint="eastAsia"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202</w:t>
      </w:r>
      <w:r>
        <w:rPr>
          <w:rFonts w:hint="eastAsia" w:ascii="方正小标宋_GBK" w:hAnsi="方正小标宋_GBK" w:eastAsia="方正小标宋_GBK" w:cs="方正小标宋_GBK"/>
          <w:sz w:val="84"/>
          <w:szCs w:val="84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年度</w:t>
      </w:r>
    </w:p>
    <w:p w14:paraId="0AC3D022">
      <w:pPr>
        <w:pStyle w:val="12"/>
        <w:jc w:val="center"/>
        <w:rPr>
          <w:rFonts w:hint="eastAsia"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  <w:lang w:eastAsia="zh-CN"/>
        </w:rPr>
        <w:t>怀化市商务局</w:t>
      </w: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部门决算</w:t>
      </w:r>
    </w:p>
    <w:p w14:paraId="798C2867">
      <w:pPr>
        <w:pStyle w:val="12"/>
        <w:jc w:val="center"/>
        <w:rPr>
          <w:rFonts w:hint="eastAsia" w:ascii="方正小标宋_GBK" w:hAnsi="方正小标宋_GBK" w:eastAsia="方正小标宋_GBK" w:cs="方正小标宋_GBK"/>
          <w:sz w:val="56"/>
          <w:szCs w:val="56"/>
        </w:rPr>
      </w:pPr>
    </w:p>
    <w:p w14:paraId="4C7B6F4E">
      <w:pPr>
        <w:pStyle w:val="12"/>
        <w:jc w:val="center"/>
        <w:rPr>
          <w:sz w:val="56"/>
          <w:szCs w:val="56"/>
        </w:rPr>
      </w:pPr>
    </w:p>
    <w:p w14:paraId="5CC091E4">
      <w:pPr>
        <w:pStyle w:val="12"/>
        <w:jc w:val="center"/>
        <w:rPr>
          <w:sz w:val="56"/>
          <w:szCs w:val="56"/>
        </w:rPr>
      </w:pPr>
    </w:p>
    <w:p w14:paraId="38573C78">
      <w:pPr>
        <w:pStyle w:val="12"/>
        <w:jc w:val="center"/>
        <w:rPr>
          <w:sz w:val="56"/>
          <w:szCs w:val="56"/>
        </w:rPr>
      </w:pPr>
    </w:p>
    <w:p w14:paraId="1F772709">
      <w:pPr>
        <w:pStyle w:val="12"/>
        <w:jc w:val="center"/>
        <w:rPr>
          <w:sz w:val="32"/>
          <w:szCs w:val="32"/>
        </w:rPr>
      </w:pPr>
    </w:p>
    <w:p w14:paraId="3AE758FB">
      <w:pPr>
        <w:pStyle w:val="12"/>
        <w:jc w:val="center"/>
        <w:rPr>
          <w:sz w:val="32"/>
          <w:szCs w:val="32"/>
        </w:rPr>
      </w:pPr>
    </w:p>
    <w:p w14:paraId="7F95F436">
      <w:pPr>
        <w:pStyle w:val="12"/>
        <w:jc w:val="center"/>
        <w:rPr>
          <w:sz w:val="32"/>
          <w:szCs w:val="32"/>
        </w:rPr>
      </w:pPr>
    </w:p>
    <w:p w14:paraId="41AFF4D2">
      <w:pPr>
        <w:pStyle w:val="12"/>
        <w:jc w:val="center"/>
        <w:rPr>
          <w:sz w:val="32"/>
          <w:szCs w:val="32"/>
        </w:rPr>
      </w:pPr>
    </w:p>
    <w:p w14:paraId="5F221FA6">
      <w:pPr>
        <w:pStyle w:val="12"/>
        <w:jc w:val="center"/>
        <w:rPr>
          <w:sz w:val="32"/>
          <w:szCs w:val="32"/>
        </w:rPr>
      </w:pPr>
    </w:p>
    <w:p w14:paraId="75E4E7B5">
      <w:pPr>
        <w:pStyle w:val="12"/>
        <w:spacing w:line="540" w:lineRule="exact"/>
        <w:jc w:val="center"/>
        <w:rPr>
          <w:sz w:val="56"/>
          <w:szCs w:val="56"/>
        </w:rPr>
      </w:pPr>
    </w:p>
    <w:p w14:paraId="3667447C">
      <w:pPr>
        <w:pStyle w:val="12"/>
        <w:spacing w:line="500" w:lineRule="exact"/>
        <w:jc w:val="both"/>
        <w:rPr>
          <w:b/>
          <w:sz w:val="36"/>
          <w:szCs w:val="28"/>
        </w:rPr>
      </w:pPr>
    </w:p>
    <w:p w14:paraId="0DB1FFCE">
      <w:pPr>
        <w:pStyle w:val="12"/>
        <w:spacing w:line="500" w:lineRule="exact"/>
        <w:jc w:val="center"/>
        <w:rPr>
          <w:b/>
          <w:sz w:val="36"/>
          <w:szCs w:val="28"/>
        </w:rPr>
      </w:pPr>
      <w:r>
        <w:rPr>
          <w:rFonts w:hint="eastAsia"/>
          <w:b/>
          <w:sz w:val="36"/>
          <w:szCs w:val="28"/>
        </w:rPr>
        <w:t>目录</w:t>
      </w:r>
    </w:p>
    <w:p w14:paraId="4222890C">
      <w:pPr>
        <w:pStyle w:val="12"/>
        <w:spacing w:line="500" w:lineRule="exact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第一部分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hAnsi="黑体" w:cs="黑体"/>
          <w:b w:val="0"/>
          <w:bCs/>
          <w:sz w:val="28"/>
          <w:szCs w:val="28"/>
          <w:lang w:val="en-US" w:eastAsia="zh-CN"/>
        </w:rPr>
        <w:t>怀化市商务局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概况</w:t>
      </w:r>
    </w:p>
    <w:p w14:paraId="169188A3">
      <w:pPr>
        <w:pStyle w:val="12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一、部门职责</w:t>
      </w:r>
    </w:p>
    <w:p w14:paraId="09568033">
      <w:pPr>
        <w:pStyle w:val="12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二、机构设置</w:t>
      </w:r>
    </w:p>
    <w:p w14:paraId="3798590F">
      <w:pPr>
        <w:pStyle w:val="12"/>
        <w:spacing w:line="500" w:lineRule="exact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第二部分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部门决算表</w:t>
      </w:r>
    </w:p>
    <w:p w14:paraId="5B406469">
      <w:pPr>
        <w:pStyle w:val="12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一、收入支出决算总表</w:t>
      </w:r>
    </w:p>
    <w:p w14:paraId="256C0148">
      <w:pPr>
        <w:pStyle w:val="12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二、收入决算表</w:t>
      </w:r>
    </w:p>
    <w:p w14:paraId="1484EE53">
      <w:pPr>
        <w:pStyle w:val="12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三、支出决算表</w:t>
      </w:r>
    </w:p>
    <w:p w14:paraId="7DA7CD4A">
      <w:pPr>
        <w:pStyle w:val="12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四、财政拨款收入支出决算总表</w:t>
      </w:r>
    </w:p>
    <w:p w14:paraId="14FC59AF">
      <w:pPr>
        <w:pStyle w:val="12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五、一般公共预算财政拨款支出决算表</w:t>
      </w:r>
    </w:p>
    <w:p w14:paraId="6EDB6D79">
      <w:pPr>
        <w:pStyle w:val="12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六、一般公共预算财政拨款基本支出决算明细表</w:t>
      </w:r>
    </w:p>
    <w:p w14:paraId="0C7ACE69">
      <w:pPr>
        <w:pStyle w:val="12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七、政府性基金预算财政拨款收入支出决算表</w:t>
      </w:r>
    </w:p>
    <w:p w14:paraId="5D12D170">
      <w:pPr>
        <w:pStyle w:val="12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八、国有资本经营预算财政拨款支出决算表</w:t>
      </w:r>
    </w:p>
    <w:p w14:paraId="3B8E49AD">
      <w:pPr>
        <w:pStyle w:val="12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九、财政拨款“三公”经费支出决算表</w:t>
      </w:r>
    </w:p>
    <w:p w14:paraId="1C469041">
      <w:pPr>
        <w:pStyle w:val="12"/>
        <w:spacing w:line="500" w:lineRule="exact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第三部分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部门决算情况说明</w:t>
      </w:r>
    </w:p>
    <w:p w14:paraId="221C8DFA">
      <w:pPr>
        <w:pStyle w:val="12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一、收入支出决算总体情况说明</w:t>
      </w:r>
    </w:p>
    <w:p w14:paraId="47BF5D1C">
      <w:pPr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二、收入决算情况说明</w:t>
      </w:r>
    </w:p>
    <w:p w14:paraId="3B4303F4"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三、支出决算情况说明</w:t>
      </w:r>
    </w:p>
    <w:p w14:paraId="240E47B2"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四、财政拨款收入支出决算总体情况说明</w:t>
      </w:r>
    </w:p>
    <w:p w14:paraId="32EE21F7"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五、一般公共预算财政拨款支出决算情况说明</w:t>
      </w:r>
    </w:p>
    <w:p w14:paraId="5B540F14"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六、一般公共预算财政拨款基本支出决算情况说明</w:t>
      </w:r>
    </w:p>
    <w:p w14:paraId="06740097"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七、财政拨款三公经费支出决算情况说明</w:t>
      </w:r>
    </w:p>
    <w:p w14:paraId="61020FD6"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八、政府性基金预算收入支出决算情况</w:t>
      </w:r>
    </w:p>
    <w:p w14:paraId="77124BA3"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九、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关于国有经营资本预算支出情况说明</w:t>
      </w:r>
    </w:p>
    <w:p w14:paraId="09376E86"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十、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关于机关运行经费支出说明</w:t>
      </w:r>
    </w:p>
    <w:p w14:paraId="34B2EF37"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一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、一般性支出情况说明</w:t>
      </w:r>
    </w:p>
    <w:p w14:paraId="26EA6D62"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、关于政府采购支出说明</w:t>
      </w:r>
    </w:p>
    <w:p w14:paraId="154438C3">
      <w:pPr>
        <w:pStyle w:val="12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28"/>
          <w:szCs w:val="28"/>
        </w:rPr>
        <w:t>、关于国有资产占用情况说明</w:t>
      </w:r>
    </w:p>
    <w:p w14:paraId="7C054833">
      <w:pPr>
        <w:pStyle w:val="12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</w:rPr>
        <w:t>、关于</w:t>
      </w:r>
      <w:r>
        <w:rPr>
          <w:rFonts w:hint="default" w:ascii="Times New Roman" w:hAnsi="Times New Roman" w:eastAsia="仿宋_GB2312" w:cs="Times New Roman"/>
          <w:sz w:val="28"/>
          <w:szCs w:val="28"/>
        </w:rPr>
        <w:t>202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年度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预算</w:t>
      </w:r>
      <w:r>
        <w:rPr>
          <w:rFonts w:hint="eastAsia" w:ascii="仿宋_GB2312" w:hAnsi="仿宋_GB2312" w:eastAsia="仿宋_GB2312" w:cs="仿宋_GB2312"/>
          <w:sz w:val="28"/>
          <w:szCs w:val="28"/>
        </w:rPr>
        <w:t>绩效情况的说明</w:t>
      </w:r>
    </w:p>
    <w:p w14:paraId="5CBE5901">
      <w:pPr>
        <w:pStyle w:val="12"/>
        <w:spacing w:line="500" w:lineRule="exact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第四部分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名词解释</w:t>
      </w:r>
    </w:p>
    <w:p w14:paraId="6392F8A5">
      <w:pPr>
        <w:pStyle w:val="12"/>
        <w:spacing w:line="500" w:lineRule="exact"/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第</w:t>
      </w:r>
      <w:r>
        <w:rPr>
          <w:rFonts w:hint="eastAsia" w:hAnsi="黑体" w:cs="黑体"/>
          <w:b w:val="0"/>
          <w:bCs/>
          <w:sz w:val="28"/>
          <w:szCs w:val="28"/>
          <w:lang w:eastAsia="zh-CN"/>
        </w:rPr>
        <w:t>五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部分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hAnsi="黑体" w:cs="黑体"/>
          <w:b w:val="0"/>
          <w:bCs/>
          <w:sz w:val="28"/>
          <w:szCs w:val="28"/>
          <w:lang w:eastAsia="zh-CN"/>
        </w:rPr>
        <w:t>附件</w:t>
      </w:r>
    </w:p>
    <w:p w14:paraId="46C7223E">
      <w:pPr>
        <w:pStyle w:val="12"/>
        <w:spacing w:line="500" w:lineRule="exact"/>
        <w:rPr>
          <w:rFonts w:hint="eastAsia" w:ascii="黑体" w:hAnsi="黑体" w:eastAsia="黑体" w:cs="黑体"/>
          <w:b w:val="0"/>
          <w:bCs/>
          <w:sz w:val="28"/>
          <w:szCs w:val="28"/>
        </w:rPr>
      </w:pPr>
    </w:p>
    <w:p w14:paraId="7CA8D4B7">
      <w:pPr>
        <w:jc w:val="center"/>
        <w:rPr>
          <w:sz w:val="72"/>
          <w:szCs w:val="72"/>
        </w:rPr>
      </w:pPr>
    </w:p>
    <w:p w14:paraId="118171B4">
      <w:pPr>
        <w:jc w:val="center"/>
        <w:rPr>
          <w:sz w:val="72"/>
          <w:szCs w:val="72"/>
        </w:rPr>
      </w:pPr>
    </w:p>
    <w:p w14:paraId="17F6EF21">
      <w:pPr>
        <w:jc w:val="center"/>
        <w:rPr>
          <w:sz w:val="72"/>
          <w:szCs w:val="72"/>
        </w:rPr>
      </w:pPr>
    </w:p>
    <w:p w14:paraId="4060FB2F">
      <w:pPr>
        <w:jc w:val="center"/>
        <w:rPr>
          <w:sz w:val="72"/>
          <w:szCs w:val="72"/>
        </w:rPr>
      </w:pPr>
    </w:p>
    <w:p w14:paraId="7CBC2BE4">
      <w:pPr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 w14:paraId="058229A5">
      <w:pPr>
        <w:pStyle w:val="12"/>
        <w:jc w:val="center"/>
        <w:rPr>
          <w:rFonts w:hint="eastAsia"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 xml:space="preserve">第一部分 </w:t>
      </w:r>
    </w:p>
    <w:p w14:paraId="2BF57BCD">
      <w:pPr>
        <w:pStyle w:val="12"/>
        <w:jc w:val="center"/>
        <w:rPr>
          <w:rFonts w:hint="eastAsia" w:ascii="方正小标宋_GBK" w:hAnsi="方正小标宋_GBK" w:eastAsia="方正小标宋_GBK" w:cs="方正小标宋_GBK"/>
          <w:sz w:val="84"/>
          <w:szCs w:val="84"/>
        </w:rPr>
      </w:pPr>
    </w:p>
    <w:p w14:paraId="52CF649A">
      <w:pPr>
        <w:pStyle w:val="12"/>
        <w:jc w:val="center"/>
        <w:rPr>
          <w:rFonts w:hint="eastAsia"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  <w:lang w:eastAsia="zh-CN"/>
        </w:rPr>
        <w:t>怀化市商务局</w:t>
      </w: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概况</w:t>
      </w:r>
    </w:p>
    <w:p w14:paraId="2F328834">
      <w:pPr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 w14:paraId="090D1CB3">
      <w:pPr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 w14:paraId="312F280A">
      <w:pPr>
        <w:jc w:val="center"/>
        <w:rPr>
          <w:sz w:val="72"/>
          <w:szCs w:val="72"/>
        </w:rPr>
      </w:pPr>
    </w:p>
    <w:p w14:paraId="220D44F2">
      <w:pPr>
        <w:jc w:val="center"/>
        <w:rPr>
          <w:sz w:val="72"/>
          <w:szCs w:val="72"/>
        </w:rPr>
      </w:pPr>
    </w:p>
    <w:p w14:paraId="5EEA2165">
      <w:pPr>
        <w:jc w:val="center"/>
        <w:rPr>
          <w:sz w:val="72"/>
          <w:szCs w:val="72"/>
        </w:rPr>
      </w:pPr>
    </w:p>
    <w:p w14:paraId="0D87D480">
      <w:pPr>
        <w:pStyle w:val="13"/>
        <w:numPr>
          <w:ilvl w:val="0"/>
          <w:numId w:val="1"/>
        </w:numPr>
        <w:ind w:firstLine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部门职责</w:t>
      </w:r>
    </w:p>
    <w:p w14:paraId="346439A2">
      <w:pPr>
        <w:widowControl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本部门主管全市商贸物流、招商引资等工作，为市人民政府工作部门。加挂怀化市人民政府口岸办公室牌子。</w:t>
      </w:r>
    </w:p>
    <w:p w14:paraId="673C16EB">
      <w:pPr>
        <w:widowControl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(一)贯彻执行国家国内外贸易、国际经济合作和区域经济合作的发展战略、政策，起草我市国内外贸易、招商引资、承接产业转移、对外援助、对外投资和对外经济合作的地方性法规及规章草案、政策措施和实施办法，研究经济全球化、区域经济合作、现代流通方式的发展趋势和流通体制改革并提出建议。</w:t>
      </w:r>
    </w:p>
    <w:p w14:paraId="24C629ED">
      <w:pPr>
        <w:widowControl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(二)负责推进流通产业结构调整，指导流通企业改革，促进商贸服务业和社区商业发展，提出促进中小商贸企业发展的政策建议，推动流通标准化和连锁经营、商业特许经营、物流配送、电子商务等现代流通方式的发展。</w:t>
      </w:r>
    </w:p>
    <w:p w14:paraId="5EDE9581">
      <w:pPr>
        <w:widowControl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(三)拟订全市国内贸易发展规划，促进城乡市场发展，研究提出引导国内外资金投向市场体系建设的政策建议，指导大宗产品批发市场规划和城市商业网点规划、商业体系建设工作，推进农村市场体系建设，组织实施农村现代流通网络工程。</w:t>
      </w:r>
    </w:p>
    <w:p w14:paraId="45A6105D">
      <w:pPr>
        <w:widowControl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(四)承担牵头协调整顿和规范市场经济秩序工作的责任，拟订规范市场秩序的政策；推动商务领域信用建设，指导商业信用销售，建立市场诚信公共服务平台；按有关规定对特殊流通行业进行监督管理。</w:t>
      </w:r>
    </w:p>
    <w:p w14:paraId="4CF2406A">
      <w:pPr>
        <w:widowControl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(五)承担组织实施重要消费品市场调控和重要生产资料（成品油）流通管理的责任，监测分析重要消费品的市场运行、商品供求状况，调查分析重要消费品价格信息，进行预测预警和信息引导；按分工负责重要消费品（肉类、边销茶、小包装食品等）储备管理和市场调控工作；按有关规定对成品油流通进行监督管理。</w:t>
      </w:r>
    </w:p>
    <w:p w14:paraId="46ED7BA7">
      <w:pPr>
        <w:widowControl/>
        <w:spacing w:line="600" w:lineRule="exact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41CBA56D">
      <w:pPr>
        <w:widowControl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(六)贯彻执行国家进出口商品、加工贸易管理办法和进出口管理商品、技术目录，拟订促进外贸增长方式转变的政策措施，组织实施重要工业品、原材料和重要农产品进出口总量计划，会同有关部门协调大宗商品的进出口，指导贸易促进活动和外贸促进体系建设。</w:t>
      </w:r>
    </w:p>
    <w:p w14:paraId="5136A451">
      <w:pPr>
        <w:widowControl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(七)贯彻执行国家对外技术贸易、出口管制以及鼓励技术和成套设备进出口的贸易政策，推进进出口贸易标准化工作；依法监督技术引进、设备进口、国家限制出口技术的工作。</w:t>
      </w:r>
    </w:p>
    <w:p w14:paraId="2FA96DB4">
      <w:pPr>
        <w:widowControl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(八)牵头拟订服务贸易发展规划并开展相关工作；会同有关部门制定促进服务出口、服务外包的规划、政策并组织实施，推动服务外包平台建设。</w:t>
      </w:r>
    </w:p>
    <w:p w14:paraId="373A3894">
      <w:pPr>
        <w:widowControl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(九)贯彻执行我国多双边(含区域、自由贸易区)经贸合作战略和政策，推进我市与其他国家(地区)的经贸往来与投资贸易合作；牵头承担全市商务领域涉及世界贸易组织事务的相关工作，负责对外经济贸易协调工作。 </w:t>
      </w:r>
    </w:p>
    <w:p w14:paraId="0D233079">
      <w:pPr>
        <w:widowControl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(十)负责组织协调反倾销、反补贴、保障措施及其他与进出口公平贸易相关的工作，协助开展对外贸易调查和产业损害调查，指导协调产业安全应对工作。</w:t>
      </w:r>
    </w:p>
    <w:p w14:paraId="173B4AEC">
      <w:pPr>
        <w:widowControl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(十一)指导和管理全市招商引资、投资促进和承接产业转移工作，拟订并组织实施招商引资和承接产业转移政策；依权限办理全市外商投资企业的审批和备案；指导国家级、省级经济技术开发区的有关工作。</w:t>
      </w:r>
    </w:p>
    <w:p w14:paraId="07200ED6">
      <w:pPr>
        <w:widowControl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(十二)拟订并组织实施对外经济合作政策；依法管理和监督对外承包工程、对外劳务合作等；拟订市内人员出境就业管理政策并组织实施，负责牵头外派劳务和境外就业人员的权益保护工作；拟订境外投资的管理办法和具体政策，指导市内企业对外投资开办企业(金融企业除外)按程序报批。</w:t>
      </w:r>
    </w:p>
    <w:p w14:paraId="2911AFD1">
      <w:pPr>
        <w:widowControl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(十三)贯彻执行国家对外援助政策和方案，协调管理全市承担的对外援助项目；协调管理多双边对我市的无偿援助和赠款(不含财政合作项下外国政府及国际金融组织的赠款)等发展合作业务。</w:t>
      </w:r>
    </w:p>
    <w:p w14:paraId="061BD0FC">
      <w:pPr>
        <w:widowControl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(十四)贯彻执行国家对香港、澳门特别行政区和台湾地区的经贸规划、政策，指导我市对港、澳、台地区贸易和经贸合作活动，协调港、澳、台商投资管理工作。 </w:t>
      </w:r>
    </w:p>
    <w:p w14:paraId="526DAB2B">
      <w:pPr>
        <w:widowControl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(十五)承担会展业促进与管理有关工作。</w:t>
      </w:r>
    </w:p>
    <w:p w14:paraId="36139A04">
      <w:pPr>
        <w:widowControl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(十六)负责全市对外开放口岸的规划、申报及有关审批工作；协调管理全市口岸工作，推动建立大通关机制。 </w:t>
      </w:r>
    </w:p>
    <w:p w14:paraId="10BC28EC">
      <w:pPr>
        <w:widowControl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(十八)负责商贸行业安全生产监督管理工作。</w:t>
      </w:r>
    </w:p>
    <w:p w14:paraId="46E6475F">
      <w:pPr>
        <w:widowControl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(十九)完成市委、市政府交办的其他任务。</w:t>
      </w:r>
    </w:p>
    <w:p w14:paraId="5C300DBA">
      <w:pPr>
        <w:widowControl/>
        <w:spacing w:line="600" w:lineRule="exact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5C307802">
      <w:pPr>
        <w:widowControl/>
        <w:spacing w:line="600" w:lineRule="exact"/>
        <w:ind w:firstLine="640" w:firstLineChars="200"/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  <w:t>二、机构设置及决算单位构成</w:t>
      </w:r>
    </w:p>
    <w:p w14:paraId="29DC7B4C">
      <w:pPr>
        <w:widowControl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（一）内设机构设置。怀化市商务局为一级部门预算单位，内设机构包括：办公室、财务审计科、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shd w:val="clear" w:color="auto" w:fill="auto"/>
        </w:rPr>
        <w:t>政策法规和市场秩序科、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市场运行和消费促进科、市场体系建设科、服务贸易和商贸服务业科、流通产业发展科、口岸科、电子商务科、对外贸易科、投资管理和对外经济合作科、人事科。下设两个二级单位（均为非独立核算、非独立部门预算单位）：怀化市投资促进事务中心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怀化</w:t>
      </w:r>
      <w:r>
        <w:rPr>
          <w:rFonts w:hint="eastAsia" w:ascii="Times New Roman" w:hAnsi="Times New Roman" w:eastAsia="仿宋_GB2312" w:cs="仿宋_GB2312"/>
          <w:sz w:val="32"/>
          <w:szCs w:val="32"/>
        </w:rPr>
        <w:t>市商务服务中心。</w:t>
      </w:r>
    </w:p>
    <w:p w14:paraId="3B504D1F">
      <w:pPr>
        <w:widowControl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（二）部门决算单位构成。怀化市商务局202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年部门决算汇总公开单位构成包括：怀化市商务局本级,无独立预算二级单位。 </w:t>
      </w:r>
    </w:p>
    <w:p w14:paraId="15F04923"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   </w:t>
      </w:r>
    </w:p>
    <w:p w14:paraId="7BDBBCE3">
      <w:pPr>
        <w:jc w:val="center"/>
        <w:rPr>
          <w:rFonts w:ascii="黑体" w:hAnsi="黑体" w:eastAsia="黑体"/>
          <w:sz w:val="28"/>
          <w:szCs w:val="28"/>
        </w:rPr>
      </w:pPr>
    </w:p>
    <w:p w14:paraId="126301C7">
      <w:pPr>
        <w:jc w:val="center"/>
        <w:rPr>
          <w:rFonts w:ascii="黑体" w:hAnsi="黑体" w:eastAsia="黑体"/>
          <w:sz w:val="28"/>
          <w:szCs w:val="28"/>
        </w:rPr>
      </w:pPr>
    </w:p>
    <w:p w14:paraId="6D88D12B">
      <w:pPr>
        <w:jc w:val="both"/>
        <w:rPr>
          <w:rFonts w:hint="eastAsia" w:ascii="黑体" w:hAnsi="黑体" w:eastAsia="黑体"/>
          <w:sz w:val="28"/>
          <w:szCs w:val="28"/>
        </w:rPr>
      </w:pPr>
    </w:p>
    <w:p w14:paraId="49F922F5">
      <w:pPr>
        <w:numPr>
          <w:ilvl w:val="0"/>
          <w:numId w:val="2"/>
        </w:numPr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部门决算表</w:t>
      </w:r>
    </w:p>
    <w:p w14:paraId="79466310">
      <w:pPr>
        <w:widowControl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（详情请见附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件）</w:t>
      </w:r>
    </w:p>
    <w:p w14:paraId="68B689B0">
      <w:pPr>
        <w:jc w:val="both"/>
        <w:rPr>
          <w:rFonts w:ascii="黑体" w:hAnsi="黑体" w:eastAsia="黑体"/>
          <w:sz w:val="28"/>
          <w:szCs w:val="28"/>
        </w:rPr>
      </w:pPr>
    </w:p>
    <w:p w14:paraId="21DE065E">
      <w:pPr>
        <w:numPr>
          <w:ilvl w:val="0"/>
          <w:numId w:val="2"/>
        </w:numPr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sz w:val="32"/>
          <w:szCs w:val="32"/>
        </w:rPr>
        <w:t>年度部门决算情况说明</w:t>
      </w:r>
    </w:p>
    <w:p w14:paraId="21800AC0">
      <w:pPr>
        <w:widowControl/>
        <w:ind w:firstLine="320" w:firstLineChars="100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一、收入支出决算总体情况说明</w:t>
      </w:r>
    </w:p>
    <w:p w14:paraId="5221594F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年度收、支总计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11070.68</w:t>
      </w:r>
      <w:r>
        <w:rPr>
          <w:rFonts w:hint="eastAsia" w:ascii="Times New Roman" w:hAnsi="Times New Roman" w:eastAsia="仿宋_GB2312"/>
          <w:sz w:val="32"/>
          <w:szCs w:val="32"/>
        </w:rPr>
        <w:t>万元。与上年相比，增加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5037.58</w:t>
      </w:r>
      <w:r>
        <w:rPr>
          <w:rFonts w:hint="eastAsia" w:ascii="Times New Roman" w:hAnsi="Times New Roman" w:eastAsia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83.5</w:t>
      </w:r>
      <w:r>
        <w:rPr>
          <w:rFonts w:hint="eastAsia" w:ascii="Times New Roman" w:hAnsi="Times New Roman" w:eastAsia="仿宋_GB2312"/>
          <w:sz w:val="32"/>
          <w:szCs w:val="32"/>
        </w:rPr>
        <w:t>%，主要是因为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本年“一事一议”项目增多，如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RCEP经贸博览会系列活动、“港洽周”、外出招商、消费促进活动等项目开展。</w:t>
      </w:r>
    </w:p>
    <w:p w14:paraId="2554DC6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二、收入决算情况说明</w:t>
      </w:r>
    </w:p>
    <w:p w14:paraId="1344C6F7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年度收入合计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5597.28</w:t>
      </w:r>
      <w:r>
        <w:rPr>
          <w:rFonts w:hint="eastAsia" w:ascii="Times New Roman" w:hAnsi="Times New Roman" w:eastAsia="仿宋_GB2312"/>
          <w:sz w:val="32"/>
          <w:szCs w:val="32"/>
        </w:rPr>
        <w:t>万元，其中：财政拨款收入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5473.4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97.79</w:t>
      </w:r>
      <w:r>
        <w:rPr>
          <w:rFonts w:hint="eastAsia" w:ascii="Times New Roman" w:hAnsi="Times New Roman" w:eastAsia="仿宋_GB2312"/>
          <w:sz w:val="32"/>
          <w:szCs w:val="32"/>
        </w:rPr>
        <w:t>%；其他收入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123.89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2.21</w:t>
      </w:r>
      <w:r>
        <w:rPr>
          <w:rFonts w:hint="eastAsia" w:ascii="Times New Roman" w:hAnsi="Times New Roman" w:eastAsia="仿宋_GB2312"/>
          <w:sz w:val="32"/>
          <w:szCs w:val="32"/>
        </w:rPr>
        <w:t>%。</w:t>
      </w:r>
    </w:p>
    <w:p w14:paraId="6C518F58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三、支出决算情况说明</w:t>
      </w:r>
    </w:p>
    <w:p w14:paraId="6F6D90D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年度支出合计5634.14万元，其中：基本支出1689.44万元，占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30</w:t>
      </w:r>
      <w:r>
        <w:rPr>
          <w:rFonts w:hint="eastAsia" w:ascii="Times New Roman" w:hAnsi="Times New Roman" w:eastAsia="仿宋_GB2312"/>
          <w:sz w:val="32"/>
          <w:szCs w:val="32"/>
        </w:rPr>
        <w:t>%；项目支出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3944.7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70</w:t>
      </w:r>
      <w:r>
        <w:rPr>
          <w:rFonts w:hint="eastAsia" w:ascii="Times New Roman" w:hAnsi="Times New Roman" w:eastAsia="仿宋_GB2312"/>
          <w:sz w:val="32"/>
          <w:szCs w:val="32"/>
        </w:rPr>
        <w:t>%。</w:t>
      </w:r>
    </w:p>
    <w:p w14:paraId="68743206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四、财政拨款收入支出决算总体情况说明</w:t>
      </w:r>
    </w:p>
    <w:p w14:paraId="18EFD3B1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  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年度财政拨款收、支总计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10946.8</w:t>
      </w:r>
      <w:r>
        <w:rPr>
          <w:rFonts w:hint="eastAsia" w:ascii="Times New Roman" w:hAnsi="Times New Roman" w:eastAsia="仿宋_GB2312"/>
          <w:sz w:val="32"/>
          <w:szCs w:val="32"/>
        </w:rPr>
        <w:t>万元，与上年相比，增加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4929.38</w:t>
      </w:r>
      <w:r>
        <w:rPr>
          <w:rFonts w:hint="eastAsia" w:ascii="Times New Roman" w:hAnsi="Times New Roman" w:eastAsia="仿宋_GB2312"/>
          <w:sz w:val="32"/>
          <w:szCs w:val="32"/>
        </w:rPr>
        <w:t>万元,增长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81.9</w:t>
      </w:r>
      <w:r>
        <w:rPr>
          <w:rFonts w:hint="eastAsia" w:ascii="Times New Roman" w:hAnsi="Times New Roman" w:eastAsia="仿宋_GB2312"/>
          <w:sz w:val="32"/>
          <w:szCs w:val="32"/>
        </w:rPr>
        <w:t>%，</w:t>
      </w:r>
      <w:r>
        <w:rPr>
          <w:rFonts w:hint="eastAsia" w:ascii="Times New Roman" w:hAnsi="Times New Roman" w:eastAsia="仿宋_GB2312"/>
          <w:sz w:val="32"/>
          <w:szCs w:val="32"/>
        </w:rPr>
        <w:t>主要是因为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本年“一事一议”项目增多，如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RCEP经贸博览会系列活动、“港洽周”、步步高中环广场垫付拆迁款、消费促进活动等项目开展。</w:t>
      </w:r>
    </w:p>
    <w:p w14:paraId="7C47D68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五、一般公共预算财政拨款支出决算情况说明</w:t>
      </w:r>
    </w:p>
    <w:p w14:paraId="600798CD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（一）一般公共预算财政拨款支出决算总体情况</w:t>
      </w:r>
    </w:p>
    <w:p w14:paraId="2E6228A6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年度财政拨款支出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4921.96</w:t>
      </w:r>
      <w:r>
        <w:rPr>
          <w:rFonts w:hint="eastAsia" w:ascii="Times New Roman" w:hAnsi="Times New Roman" w:eastAsia="仿宋_GB2312"/>
          <w:sz w:val="32"/>
          <w:szCs w:val="32"/>
        </w:rPr>
        <w:t>万元，占本年支出合计的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87.36</w:t>
      </w:r>
      <w:r>
        <w:rPr>
          <w:rFonts w:hint="eastAsia" w:ascii="Times New Roman" w:hAnsi="Times New Roman" w:eastAsia="仿宋_GB2312"/>
          <w:sz w:val="32"/>
          <w:szCs w:val="32"/>
        </w:rPr>
        <w:t>%，</w:t>
      </w:r>
      <w:r>
        <w:rPr>
          <w:rFonts w:hint="eastAsia" w:ascii="Times New Roman" w:hAnsi="Times New Roman" w:eastAsia="仿宋_GB2312"/>
          <w:sz w:val="32"/>
          <w:szCs w:val="32"/>
        </w:rPr>
        <w:t>与上年相比，财政拨款支出增加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1913.25</w:t>
      </w:r>
      <w:r>
        <w:rPr>
          <w:rFonts w:hint="eastAsia" w:ascii="Times New Roman" w:hAnsi="Times New Roman" w:eastAsia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63.59</w:t>
      </w:r>
      <w:r>
        <w:rPr>
          <w:rFonts w:hint="eastAsia" w:ascii="Times New Roman" w:hAnsi="Times New Roman" w:eastAsia="仿宋_GB2312"/>
          <w:sz w:val="32"/>
          <w:szCs w:val="32"/>
        </w:rPr>
        <w:t>%，</w:t>
      </w:r>
      <w:r>
        <w:rPr>
          <w:rFonts w:hint="eastAsia" w:ascii="Times New Roman" w:hAnsi="Times New Roman" w:eastAsia="仿宋_GB2312"/>
          <w:sz w:val="32"/>
          <w:szCs w:val="32"/>
        </w:rPr>
        <w:t>主要是因为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“一事一议”项目增多，如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RCEP经贸博览会系列活动、“港洽周”、外出招商、消费促进活动等项目开展。</w:t>
      </w:r>
    </w:p>
    <w:p w14:paraId="5771309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480" w:firstLineChars="150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（二）一般公共预算财政拨款支出决算结构情况</w:t>
      </w:r>
    </w:p>
    <w:p w14:paraId="4AA948D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年度财政拨款支出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4921.96</w:t>
      </w:r>
      <w:r>
        <w:rPr>
          <w:rFonts w:hint="eastAsia" w:ascii="Times New Roman" w:hAnsi="Times New Roman" w:eastAsia="仿宋_GB2312"/>
          <w:sz w:val="32"/>
          <w:szCs w:val="32"/>
        </w:rPr>
        <w:t>万元，主要用于以下方面：一般公共服务（类）支出2833.37万元，占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57.57</w:t>
      </w:r>
      <w:r>
        <w:rPr>
          <w:rFonts w:hint="eastAsia" w:ascii="Times New Roman" w:hAnsi="Times New Roman" w:eastAsia="仿宋_GB2312"/>
          <w:sz w:val="32"/>
          <w:szCs w:val="32"/>
        </w:rPr>
        <w:t>%；社会保障和就业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（类）</w:t>
      </w:r>
      <w:r>
        <w:rPr>
          <w:rFonts w:hint="eastAsia" w:ascii="Times New Roman" w:hAnsi="Times New Roman" w:eastAsia="仿宋_GB2312"/>
          <w:sz w:val="32"/>
          <w:szCs w:val="32"/>
        </w:rPr>
        <w:t>支出391.33万元，占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7.95</w:t>
      </w:r>
      <w:r>
        <w:rPr>
          <w:rFonts w:hint="eastAsia" w:ascii="Times New Roman" w:hAnsi="Times New Roman" w:eastAsia="仿宋_GB2312"/>
          <w:sz w:val="32"/>
          <w:szCs w:val="32"/>
        </w:rPr>
        <w:t>%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/>
          <w:sz w:val="32"/>
          <w:szCs w:val="32"/>
        </w:rPr>
        <w:t>卫生健康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（类）</w:t>
      </w:r>
      <w:r>
        <w:rPr>
          <w:rFonts w:hint="eastAsia" w:ascii="Times New Roman" w:hAnsi="Times New Roman" w:eastAsia="仿宋_GB2312"/>
          <w:sz w:val="32"/>
          <w:szCs w:val="32"/>
        </w:rPr>
        <w:t>支出61.66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1.25%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；商业服务业等（类）支出1635.6万元，占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33.23%。</w:t>
      </w:r>
    </w:p>
    <w:p w14:paraId="2A32E97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（三）一般公共预算财政拨款支出决算具体情况</w:t>
      </w:r>
    </w:p>
    <w:p w14:paraId="306D2F4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年度财政拨款支出年初预算数为</w:t>
      </w:r>
      <w:r>
        <w:rPr>
          <w:rFonts w:ascii="仿宋_GB2312" w:hAnsi="宋体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2000.66</w:t>
      </w:r>
      <w:r>
        <w:rPr>
          <w:rFonts w:hint="eastAsia" w:ascii="Times New Roman" w:hAnsi="Times New Roman" w:eastAsia="仿宋_GB2312"/>
          <w:sz w:val="32"/>
          <w:szCs w:val="32"/>
        </w:rPr>
        <w:t>万元，支出决算数为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4921.96</w:t>
      </w:r>
      <w:r>
        <w:rPr>
          <w:rFonts w:hint="eastAsia" w:ascii="Times New Roman" w:hAnsi="Times New Roman" w:eastAsia="仿宋_GB2312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246</w:t>
      </w:r>
      <w:r>
        <w:rPr>
          <w:rFonts w:hint="eastAsia" w:ascii="Times New Roman" w:hAnsi="Times New Roman" w:eastAsia="仿宋_GB2312"/>
          <w:sz w:val="32"/>
          <w:szCs w:val="32"/>
        </w:rPr>
        <w:t>%，其中：</w:t>
      </w:r>
    </w:p>
    <w:p w14:paraId="4B490F5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1、一般公共服务（类）商贸事务（款）行政运行（项）。</w:t>
      </w:r>
    </w:p>
    <w:p w14:paraId="171997C6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年初预算为996.9万元，支出决算为954.6万元，完成年初预算的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95.75</w:t>
      </w:r>
      <w:r>
        <w:rPr>
          <w:rFonts w:hint="eastAsia" w:ascii="Times New Roman" w:hAnsi="Times New Roman" w:eastAsia="仿宋_GB2312"/>
          <w:sz w:val="32"/>
          <w:szCs w:val="32"/>
        </w:rPr>
        <w:t>%，决算数小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于</w:t>
      </w:r>
      <w:r>
        <w:rPr>
          <w:rFonts w:hint="eastAsia" w:ascii="Times New Roman" w:hAnsi="Times New Roman" w:eastAsia="仿宋_GB2312"/>
          <w:sz w:val="32"/>
          <w:szCs w:val="32"/>
        </w:rPr>
        <w:t>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人员退休，费用使用减少。</w:t>
      </w:r>
    </w:p>
    <w:p w14:paraId="0DD78CB9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Times New Roman" w:hAnsi="Times New Roman" w:eastAsia="仿宋_GB2312" w:cstheme="minorBidi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color w:val="auto"/>
          <w:kern w:val="2"/>
          <w:sz w:val="32"/>
          <w:szCs w:val="32"/>
          <w:lang w:val="en-US" w:eastAsia="zh-CN" w:bidi="ar-SA"/>
        </w:rPr>
        <w:t>2、一般公共服务（类）商贸事务（款）机关服务（项）。</w:t>
      </w:r>
    </w:p>
    <w:p w14:paraId="5EACC83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Times New Roman" w:hAnsi="Times New Roman" w:eastAsia="仿宋_GB2312" w:cstheme="minorBidi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color w:val="auto"/>
          <w:kern w:val="2"/>
          <w:sz w:val="32"/>
          <w:szCs w:val="32"/>
          <w:lang w:val="en-US" w:eastAsia="zh-CN" w:bidi="ar-SA"/>
        </w:rPr>
        <w:t>年初预算为469.22万元，支出决算39.89为万元，完成年初预算的8.5%，决算数小于年初预算数的主要原因是：离退休人员支出项目调整。</w:t>
      </w:r>
    </w:p>
    <w:p w14:paraId="0ACBA450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、一般公共服务（类）商贸事务（款）国内贸易管理（项）。</w:t>
      </w:r>
    </w:p>
    <w:p w14:paraId="69370FE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85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万元，支出决算为82.46万元，完成年初预算的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97.01</w:t>
      </w:r>
      <w:r>
        <w:rPr>
          <w:rFonts w:hint="eastAsia" w:ascii="Times New Roman" w:hAnsi="Times New Roman" w:eastAsia="仿宋_GB2312"/>
          <w:sz w:val="32"/>
          <w:szCs w:val="32"/>
        </w:rPr>
        <w:t>%，决算数小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于</w:t>
      </w:r>
      <w:r>
        <w:rPr>
          <w:rFonts w:hint="eastAsia" w:ascii="Times New Roman" w:hAnsi="Times New Roman" w:eastAsia="仿宋_GB2312"/>
          <w:sz w:val="32"/>
          <w:szCs w:val="32"/>
        </w:rPr>
        <w:t>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内贸项目及活动开支减少。</w:t>
      </w:r>
    </w:p>
    <w:p w14:paraId="5F019A66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/>
          <w:sz w:val="32"/>
          <w:szCs w:val="32"/>
        </w:rPr>
        <w:t>、一般公共服务（类）商贸事务（款）招商引资（项）。</w:t>
      </w:r>
    </w:p>
    <w:p w14:paraId="0CBE1F09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jc w:val="both"/>
        <w:textAlignment w:val="auto"/>
        <w:rPr>
          <w:rFonts w:hint="eastAsia" w:ascii="Times New Roman" w:hAnsi="Times New Roman" w:eastAsia="仿宋_GB2312" w:cstheme="minorBidi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266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万元，支出决算为345.32万元，完成年初预算的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129.82</w:t>
      </w:r>
      <w:r>
        <w:rPr>
          <w:rFonts w:hint="eastAsia" w:ascii="Times New Roman" w:hAnsi="Times New Roman" w:eastAsia="仿宋_GB2312"/>
          <w:sz w:val="32"/>
          <w:szCs w:val="32"/>
        </w:rPr>
        <w:t>%，决算数大于小于年初预算数的主要原因是</w:t>
      </w:r>
      <w:r>
        <w:rPr>
          <w:rFonts w:hint="eastAsia" w:ascii="Times New Roman" w:hAnsi="Times New Roman" w:eastAsia="仿宋_GB2312" w:cstheme="minorBidi"/>
          <w:color w:val="auto"/>
          <w:kern w:val="2"/>
          <w:sz w:val="32"/>
          <w:szCs w:val="32"/>
          <w:lang w:val="en-US" w:eastAsia="zh-CN" w:bidi="ar-SA"/>
        </w:rPr>
        <w:t>：增加2022年度全市招商引资先进单位奖励项目。</w:t>
      </w:r>
    </w:p>
    <w:p w14:paraId="56938B67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/>
          <w:sz w:val="32"/>
          <w:szCs w:val="32"/>
        </w:rPr>
        <w:t>、一般公共服务（类）商贸事务（款）其他商贸事务支出（项）。</w:t>
      </w:r>
    </w:p>
    <w:p w14:paraId="4EEF557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万元，支出决算为1407.9万元，决算数大于（小于）年初预算数的主要原因是：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新增各类“一事一议”活动，如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RCEP经贸博览会系列活动、消费促进系列活动、食餐会等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</w:p>
    <w:p w14:paraId="5026622D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、一般公共服务（类）组织事务（款）其他组织事务支出（项）。</w:t>
      </w:r>
    </w:p>
    <w:p w14:paraId="06A3F900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万元，支出决算为3.2万元，完成年初预算的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320</w:t>
      </w:r>
      <w:r>
        <w:rPr>
          <w:rFonts w:hint="eastAsia" w:ascii="Times New Roman" w:hAnsi="Times New Roman" w:eastAsia="仿宋_GB2312"/>
          <w:sz w:val="32"/>
          <w:szCs w:val="32"/>
        </w:rPr>
        <w:t>%，决算数大于年初预算数的主要原因是：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组织部拨入人才引进补贴资金。</w:t>
      </w:r>
    </w:p>
    <w:p w14:paraId="63CF82C1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六、一般公共预算财政拨款基本支出决算情况说明</w:t>
      </w:r>
    </w:p>
    <w:p w14:paraId="79445D0B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年度财政拨款基本支出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1528.69</w:t>
      </w:r>
      <w:r>
        <w:rPr>
          <w:rFonts w:hint="eastAsia" w:ascii="Times New Roman" w:hAnsi="Times New Roman" w:eastAsia="仿宋_GB2312"/>
          <w:sz w:val="32"/>
          <w:szCs w:val="32"/>
        </w:rPr>
        <w:t>万元，其中：</w:t>
      </w:r>
    </w:p>
    <w:p w14:paraId="2037C594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人员经费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1399.91</w:t>
      </w:r>
      <w:r>
        <w:rPr>
          <w:rFonts w:hint="eastAsia" w:ascii="Times New Roman" w:hAnsi="Times New Roman" w:eastAsia="仿宋_GB2312"/>
          <w:sz w:val="32"/>
          <w:szCs w:val="32"/>
        </w:rPr>
        <w:t>万元，占基本支出的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91.58</w:t>
      </w:r>
      <w:r>
        <w:rPr>
          <w:rFonts w:hint="eastAsia" w:ascii="Times New Roman" w:hAnsi="Times New Roman" w:eastAsia="仿宋_GB2312"/>
          <w:sz w:val="32"/>
          <w:szCs w:val="32"/>
        </w:rPr>
        <w:t>%,主要包括基本工资440.19、津贴补贴214.75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万元</w:t>
      </w:r>
      <w:r>
        <w:rPr>
          <w:rFonts w:hint="eastAsia" w:ascii="Times New Roman" w:hAnsi="Times New Roman" w:eastAsia="仿宋_GB2312"/>
          <w:sz w:val="32"/>
          <w:szCs w:val="32"/>
        </w:rPr>
        <w:t>、奖金193.78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万元</w:t>
      </w:r>
      <w:r>
        <w:rPr>
          <w:rFonts w:hint="eastAsia" w:ascii="Times New Roman" w:hAnsi="Times New Roman" w:eastAsia="仿宋_GB2312"/>
          <w:sz w:val="32"/>
          <w:szCs w:val="32"/>
        </w:rPr>
        <w:t>、伙食补助费116.26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万元、</w:t>
      </w:r>
      <w:r>
        <w:rPr>
          <w:rFonts w:hint="eastAsia" w:ascii="Times New Roman" w:hAnsi="Times New Roman" w:eastAsia="仿宋_GB2312"/>
          <w:sz w:val="32"/>
          <w:szCs w:val="32"/>
        </w:rPr>
        <w:t>职工基本医疗保险缴费49.82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万元、</w:t>
      </w:r>
      <w:r>
        <w:rPr>
          <w:rFonts w:hint="eastAsia" w:ascii="Times New Roman" w:hAnsi="Times New Roman" w:eastAsia="仿宋_GB2312"/>
          <w:sz w:val="32"/>
          <w:szCs w:val="32"/>
        </w:rPr>
        <w:t>其他社会保障缴费9.75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万元、</w:t>
      </w:r>
      <w:r>
        <w:rPr>
          <w:rFonts w:hint="eastAsia" w:ascii="Times New Roman" w:hAnsi="Times New Roman" w:eastAsia="仿宋_GB2312"/>
          <w:sz w:val="32"/>
          <w:szCs w:val="32"/>
        </w:rPr>
        <w:t>对个人和家庭的补助375.36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万元。</w:t>
      </w:r>
    </w:p>
    <w:p w14:paraId="19DD61F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公用经费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128.78</w:t>
      </w:r>
      <w:r>
        <w:rPr>
          <w:rFonts w:hint="eastAsia" w:ascii="Times New Roman" w:hAnsi="Times New Roman" w:eastAsia="仿宋_GB2312"/>
          <w:sz w:val="32"/>
          <w:szCs w:val="32"/>
        </w:rPr>
        <w:t>万元，占基本支出的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8.42</w:t>
      </w:r>
      <w:r>
        <w:rPr>
          <w:rFonts w:hint="eastAsia" w:ascii="Times New Roman" w:hAnsi="Times New Roman" w:eastAsia="仿宋_GB2312"/>
          <w:sz w:val="32"/>
          <w:szCs w:val="32"/>
        </w:rPr>
        <w:t>%，主要包括办公费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6.31万元</w:t>
      </w:r>
      <w:r>
        <w:rPr>
          <w:rFonts w:hint="eastAsia" w:ascii="Times New Roman" w:hAnsi="Times New Roman" w:eastAsia="仿宋_GB2312"/>
          <w:sz w:val="32"/>
          <w:szCs w:val="32"/>
        </w:rPr>
        <w:t>、印刷费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2.8万元</w:t>
      </w:r>
      <w:r>
        <w:rPr>
          <w:rFonts w:hint="eastAsia"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水费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2.23万元、电费4万元、邮电费1.58万元、物业管理费3.21万元、差旅费3.73万元、维护费3.79万元、会议费0.99万元、公务接待2.04万元、会议费0.99万元、公务接待2.04万元、劳务费8.32万元、委托业务费2.45万元、福利费22.95万元、公务用车运行维护费7.41万元、其他交通费用53.21万元、其他商品和服务支出3.76万元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17F91BB1">
      <w:pPr>
        <w:pStyle w:val="1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财政拨款三公经费支出决算情况说明</w:t>
      </w:r>
    </w:p>
    <w:p w14:paraId="0203A5CF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/>
          <w:bCs w:val="0"/>
          <w:sz w:val="32"/>
          <w:szCs w:val="32"/>
        </w:rPr>
      </w:pPr>
      <w:r>
        <w:rPr>
          <w:rFonts w:hint="eastAsia" w:ascii="楷体" w:hAnsi="楷体" w:eastAsia="楷体" w:cs="楷体"/>
          <w:b/>
          <w:bCs w:val="0"/>
          <w:sz w:val="32"/>
          <w:szCs w:val="32"/>
        </w:rPr>
        <w:t>（一）“三公”经费财政拨款支出决算总体情况说明</w:t>
      </w:r>
    </w:p>
    <w:p w14:paraId="6680CDFD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“三公”经费财政拨款支出预算为103.55万元，支出决算为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181.66</w:t>
      </w:r>
      <w:r>
        <w:rPr>
          <w:rFonts w:hint="eastAsia" w:ascii="Times New Roman" w:hAnsi="Times New Roman" w:eastAsia="仿宋_GB2312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175.4</w:t>
      </w:r>
      <w:r>
        <w:rPr>
          <w:rFonts w:hint="eastAsia" w:ascii="Times New Roman" w:hAnsi="Times New Roman" w:eastAsia="仿宋_GB2312"/>
          <w:sz w:val="32"/>
          <w:szCs w:val="32"/>
        </w:rPr>
        <w:t>%，决算数大于预算数的主要原因是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因公出国境项目增加，</w:t>
      </w:r>
      <w:r>
        <w:rPr>
          <w:rFonts w:hint="eastAsia" w:ascii="Times New Roman" w:hAnsi="Times New Roman" w:eastAsia="仿宋_GB2312"/>
          <w:sz w:val="32"/>
          <w:szCs w:val="32"/>
        </w:rPr>
        <w:t>与上年相比增加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48.16</w:t>
      </w:r>
      <w:r>
        <w:rPr>
          <w:rFonts w:hint="eastAsia" w:ascii="Times New Roman" w:hAnsi="Times New Roman" w:eastAsia="仿宋_GB2312"/>
          <w:sz w:val="32"/>
          <w:szCs w:val="32"/>
        </w:rPr>
        <w:t>万元，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增加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36.07</w:t>
      </w:r>
      <w:r>
        <w:rPr>
          <w:rFonts w:hint="eastAsia" w:ascii="Times New Roman" w:hAnsi="Times New Roman" w:eastAsia="仿宋_GB2312"/>
          <w:sz w:val="32"/>
          <w:szCs w:val="32"/>
        </w:rPr>
        <w:t>%,增长的主要原因是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根据工作需求增加因公出国境费用</w:t>
      </w:r>
      <w:r>
        <w:rPr>
          <w:rFonts w:hint="eastAsia" w:ascii="Times New Roman" w:hAnsi="Times New Roman" w:eastAsia="仿宋_GB2312"/>
          <w:sz w:val="32"/>
          <w:szCs w:val="32"/>
        </w:rPr>
        <w:t>。其中：</w:t>
      </w:r>
    </w:p>
    <w:p w14:paraId="1A0611B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因公出国（境）费支出预算为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103.2</w:t>
      </w:r>
      <w:r>
        <w:rPr>
          <w:rFonts w:hint="eastAsia" w:ascii="Times New Roman" w:hAnsi="Times New Roman" w:eastAsia="仿宋_GB2312"/>
          <w:sz w:val="32"/>
          <w:szCs w:val="32"/>
        </w:rPr>
        <w:t>万元，决算数大于预算数的主要原因是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按工作要求增加领导带队出访东盟及非洲国家支出</w:t>
      </w:r>
      <w:r>
        <w:rPr>
          <w:rFonts w:hint="eastAsia" w:ascii="Times New Roman" w:hAnsi="Times New Roman" w:eastAsia="仿宋_GB2312"/>
          <w:sz w:val="32"/>
          <w:szCs w:val="32"/>
        </w:rPr>
        <w:t>，与上年相比增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103.2</w:t>
      </w:r>
      <w:r>
        <w:rPr>
          <w:rFonts w:hint="eastAsia" w:ascii="Times New Roman" w:hAnsi="Times New Roman" w:eastAsia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103.2</w:t>
      </w:r>
      <w:r>
        <w:rPr>
          <w:rFonts w:hint="eastAsia" w:ascii="Times New Roman" w:hAnsi="Times New Roman" w:eastAsia="仿宋_GB2312"/>
          <w:sz w:val="32"/>
          <w:szCs w:val="32"/>
        </w:rPr>
        <w:t>%,增长的主要原因是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按上级工作要求开展此类活动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29E104A2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公务接待费支出预算为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80.55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63.17</w:t>
      </w:r>
      <w:r>
        <w:rPr>
          <w:rFonts w:hint="eastAsia" w:ascii="Times New Roman" w:hAnsi="Times New Roman" w:eastAsia="仿宋_GB2312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78.42</w:t>
      </w:r>
      <w:r>
        <w:rPr>
          <w:rFonts w:hint="eastAsia" w:ascii="Times New Roman" w:hAnsi="Times New Roman" w:eastAsia="仿宋_GB2312"/>
          <w:sz w:val="32"/>
          <w:szCs w:val="32"/>
        </w:rPr>
        <w:t>%，决算数小于预算数的主要原因是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按照节约原则，压减招待开支</w:t>
      </w:r>
      <w:r>
        <w:rPr>
          <w:rFonts w:hint="eastAsia" w:ascii="Times New Roman" w:hAnsi="Times New Roman" w:eastAsia="仿宋_GB2312"/>
          <w:sz w:val="32"/>
          <w:szCs w:val="32"/>
        </w:rPr>
        <w:t>，与上年相比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决算减少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2.94</w:t>
      </w:r>
      <w:r>
        <w:rPr>
          <w:rFonts w:hint="eastAsia" w:ascii="Times New Roman" w:hAnsi="Times New Roman" w:eastAsia="仿宋_GB2312"/>
          <w:sz w:val="32"/>
          <w:szCs w:val="32"/>
        </w:rPr>
        <w:t>万元，减少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4.45</w:t>
      </w:r>
      <w:r>
        <w:rPr>
          <w:rFonts w:hint="eastAsia" w:ascii="Times New Roman" w:hAnsi="Times New Roman" w:eastAsia="仿宋_GB2312"/>
          <w:sz w:val="32"/>
          <w:szCs w:val="32"/>
        </w:rPr>
        <w:t>%,减少的主要原因是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按照节约原则，压减招待开支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10DFCC0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公务用车购置费支出预算为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%。</w:t>
      </w:r>
    </w:p>
    <w:p w14:paraId="66A64661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公务用车运行维护费支出预算为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23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15.25</w:t>
      </w:r>
      <w:r>
        <w:rPr>
          <w:rFonts w:hint="eastAsia" w:ascii="Times New Roman" w:hAnsi="Times New Roman" w:eastAsia="仿宋_GB2312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66.3</w:t>
      </w:r>
      <w:r>
        <w:rPr>
          <w:rFonts w:hint="eastAsia" w:ascii="Times New Roman" w:hAnsi="Times New Roman" w:eastAsia="仿宋_GB2312"/>
          <w:sz w:val="32"/>
          <w:szCs w:val="32"/>
        </w:rPr>
        <w:t>%，决算数小于预算数的主要原因是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厉行节约，压减公务用车开支</w:t>
      </w:r>
      <w:r>
        <w:rPr>
          <w:rFonts w:hint="eastAsia" w:ascii="Times New Roman" w:hAnsi="Times New Roman" w:eastAsia="仿宋_GB2312"/>
          <w:sz w:val="32"/>
          <w:szCs w:val="32"/>
        </w:rPr>
        <w:t>，与上年相比减少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4.55</w:t>
      </w:r>
      <w:r>
        <w:rPr>
          <w:rFonts w:hint="eastAsia" w:ascii="Times New Roman" w:hAnsi="Times New Roman" w:eastAsia="仿宋_GB2312"/>
          <w:sz w:val="32"/>
          <w:szCs w:val="32"/>
        </w:rPr>
        <w:t>万元，减少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22.98</w:t>
      </w:r>
      <w:r>
        <w:rPr>
          <w:rFonts w:hint="eastAsia" w:ascii="Times New Roman" w:hAnsi="Times New Roman" w:eastAsia="仿宋_GB2312"/>
          <w:sz w:val="32"/>
          <w:szCs w:val="32"/>
        </w:rPr>
        <w:t>%,减少的主要原因是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厉行节约，压减公务用车支出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5C0AE738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/>
          <w:bCs w:val="0"/>
          <w:sz w:val="32"/>
          <w:szCs w:val="32"/>
        </w:rPr>
      </w:pPr>
      <w:r>
        <w:rPr>
          <w:rFonts w:hint="eastAsia" w:ascii="楷体" w:hAnsi="楷体" w:eastAsia="楷体" w:cs="楷体"/>
          <w:b/>
          <w:bCs w:val="0"/>
          <w:sz w:val="32"/>
          <w:szCs w:val="32"/>
        </w:rPr>
        <w:t>（二）“三公”经费财政拨款支出决算具体情况说明</w:t>
      </w:r>
    </w:p>
    <w:p w14:paraId="5F7025F9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年度“三公”经费财政拨款支出决算中，公务接待费支出决算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63.17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34.78</w:t>
      </w:r>
      <w:r>
        <w:rPr>
          <w:rFonts w:hint="eastAsia" w:ascii="Times New Roman" w:hAnsi="Times New Roman" w:eastAsia="仿宋_GB2312"/>
          <w:sz w:val="32"/>
          <w:szCs w:val="32"/>
        </w:rPr>
        <w:t>%,因公出国（境）费支出决算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103.2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56.81</w:t>
      </w:r>
      <w:r>
        <w:rPr>
          <w:rFonts w:hint="eastAsia" w:ascii="Times New Roman" w:hAnsi="Times New Roman" w:eastAsia="仿宋_GB2312"/>
          <w:sz w:val="32"/>
          <w:szCs w:val="32"/>
        </w:rPr>
        <w:t>%,公务用车购置费及运行维护费支出决算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15.25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8.41</w:t>
      </w:r>
      <w:r>
        <w:rPr>
          <w:rFonts w:hint="eastAsia" w:ascii="Times New Roman" w:hAnsi="Times New Roman" w:eastAsia="仿宋_GB2312"/>
          <w:sz w:val="32"/>
          <w:szCs w:val="32"/>
        </w:rPr>
        <w:t>%。其中：</w:t>
      </w:r>
    </w:p>
    <w:p w14:paraId="5F28190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因公出国（境）费支出决算为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103.2</w:t>
      </w:r>
      <w:r>
        <w:rPr>
          <w:rFonts w:hint="eastAsia" w:ascii="Times New Roman" w:hAnsi="Times New Roman" w:eastAsia="仿宋_GB2312"/>
          <w:sz w:val="32"/>
          <w:szCs w:val="32"/>
        </w:rPr>
        <w:t>万元，全年安排因公出国（境）团组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个，累计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仿宋_GB2312"/>
          <w:sz w:val="32"/>
          <w:szCs w:val="32"/>
        </w:rPr>
        <w:t>人次,</w:t>
      </w:r>
      <w:r>
        <w:rPr>
          <w:rFonts w:hint="eastAsia" w:ascii="Times New Roman" w:hAnsi="Times New Roman" w:eastAsia="仿宋_GB2312"/>
          <w:sz w:val="32"/>
          <w:szCs w:val="32"/>
        </w:rPr>
        <w:t>开支内容包括：</w:t>
      </w:r>
    </w:p>
    <w:p w14:paraId="126EA07F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市领导出访东盟  68.37万元</w:t>
      </w:r>
    </w:p>
    <w:p w14:paraId="3CFB69D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市领导出访非洲  34.88万元</w:t>
      </w:r>
    </w:p>
    <w:p w14:paraId="55C868CF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2、公务接待费支出决算为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63.17</w:t>
      </w:r>
      <w:r>
        <w:rPr>
          <w:rFonts w:hint="eastAsia" w:ascii="Times New Roman" w:hAnsi="Times New Roman" w:eastAsia="仿宋_GB2312"/>
          <w:sz w:val="32"/>
          <w:szCs w:val="32"/>
        </w:rPr>
        <w:t>万元，全年共接待来访团组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527</w:t>
      </w:r>
      <w:r>
        <w:rPr>
          <w:rFonts w:hint="eastAsia" w:ascii="Times New Roman" w:hAnsi="Times New Roman" w:eastAsia="仿宋_GB2312"/>
          <w:sz w:val="32"/>
          <w:szCs w:val="32"/>
        </w:rPr>
        <w:t>个、来宾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3458</w:t>
      </w:r>
      <w:r>
        <w:rPr>
          <w:rFonts w:hint="eastAsia" w:ascii="Times New Roman" w:hAnsi="Times New Roman" w:eastAsia="仿宋_GB2312"/>
          <w:sz w:val="32"/>
          <w:szCs w:val="32"/>
        </w:rPr>
        <w:t>人次，主要是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日常开展公务接待活动</w:t>
      </w:r>
      <w:r>
        <w:rPr>
          <w:rFonts w:hint="eastAsia" w:ascii="Times New Roman" w:hAnsi="Times New Roman" w:eastAsia="仿宋_GB2312"/>
          <w:sz w:val="32"/>
          <w:szCs w:val="32"/>
        </w:rPr>
        <w:t>发生的接待支出。</w:t>
      </w:r>
    </w:p>
    <w:p w14:paraId="75C7C1E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楷体" w:hAnsi="楷体" w:eastAsia="楷体" w:cs="楷体"/>
          <w:b/>
          <w:bCs/>
          <w:i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/>
          <w:sz w:val="32"/>
          <w:szCs w:val="32"/>
        </w:rPr>
        <w:t>3、公务用车购置费及运行维护费支出决算为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万元，其中：公务用车购置费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截止202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年12月31日，我单位开支财政拨款的公务用车保有量为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/>
          <w:sz w:val="32"/>
          <w:szCs w:val="32"/>
        </w:rPr>
        <w:t>辆。</w:t>
      </w:r>
    </w:p>
    <w:p w14:paraId="6ADAF18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八、政府性基金预算收入支出决算情况</w:t>
      </w:r>
    </w:p>
    <w:p w14:paraId="7A81EBAF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hint="eastAsia" w:ascii="楷体" w:hAnsi="楷体" w:eastAsia="楷体" w:cs="楷体"/>
          <w:b/>
          <w:bCs/>
          <w:i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   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年度政府性基金预算财政拨款收入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551.44</w:t>
      </w:r>
      <w:r>
        <w:rPr>
          <w:rFonts w:hint="eastAsia" w:ascii="Times New Roman" w:hAnsi="Times New Roman" w:eastAsia="仿宋_GB2312"/>
          <w:sz w:val="32"/>
          <w:szCs w:val="32"/>
        </w:rPr>
        <w:t>万元，项目支出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551.44</w:t>
      </w:r>
      <w:r>
        <w:rPr>
          <w:rFonts w:hint="eastAsia" w:ascii="Times New Roman" w:hAnsi="Times New Roman" w:eastAsia="仿宋_GB2312"/>
          <w:sz w:val="32"/>
          <w:szCs w:val="32"/>
        </w:rPr>
        <w:t>万元；年末结转和结余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万元。具体情况如下：</w:t>
      </w:r>
    </w:p>
    <w:p w14:paraId="51CD5E7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1、城乡社区支出（类）国有土地使用权出让收入安排的支出（款）征地和拆迁补偿支出（项）。</w:t>
      </w:r>
    </w:p>
    <w:p w14:paraId="716C0B8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551.44</w:t>
      </w:r>
      <w:r>
        <w:rPr>
          <w:rFonts w:hint="eastAsia" w:ascii="Times New Roman" w:hAnsi="Times New Roman" w:eastAsia="仿宋_GB2312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551.44</w:t>
      </w:r>
      <w:r>
        <w:rPr>
          <w:rFonts w:hint="eastAsia" w:ascii="Times New Roman" w:hAnsi="Times New Roman" w:eastAsia="仿宋_GB2312"/>
          <w:sz w:val="32"/>
          <w:szCs w:val="32"/>
        </w:rPr>
        <w:t>%，决算数大于年初预算数的主要原因是：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增加步步高中环广场垫付拆迁款项目。</w:t>
      </w:r>
    </w:p>
    <w:p w14:paraId="4FD95840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00" w:lineRule="exact"/>
        <w:ind w:leftChars="200" w:firstLine="320" w:firstLineChars="100"/>
        <w:textAlignment w:val="auto"/>
        <w:rPr>
          <w:rFonts w:hint="eastAsia" w:ascii="Times New Roman" w:hAnsi="Times New Roman" w:eastAsia="仿宋_GB2312"/>
          <w:b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color w:val="auto"/>
          <w:sz w:val="32"/>
          <w:szCs w:val="32"/>
          <w:lang w:eastAsia="zh-CN"/>
        </w:rPr>
        <w:t>九、关于国有经营预算收入支出决算情况</w:t>
      </w:r>
    </w:p>
    <w:p w14:paraId="182DEA47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本部门202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无国有经营预算收入支出情况。</w:t>
      </w:r>
    </w:p>
    <w:p w14:paraId="658B8DED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b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b/>
          <w:color w:val="auto"/>
          <w:sz w:val="32"/>
          <w:szCs w:val="32"/>
          <w:lang w:eastAsia="zh-CN"/>
        </w:rPr>
        <w:t>十、</w:t>
      </w:r>
      <w:r>
        <w:rPr>
          <w:rFonts w:hint="eastAsia" w:ascii="Times New Roman" w:hAnsi="Times New Roman" w:eastAsia="仿宋_GB2312"/>
          <w:b/>
          <w:color w:val="auto"/>
          <w:sz w:val="32"/>
          <w:szCs w:val="32"/>
        </w:rPr>
        <w:t>关于机关运行经费支出说明</w:t>
      </w:r>
    </w:p>
    <w:p w14:paraId="7078D361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本部门202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年度机关运行经费支出128.78万元，比年初预算数增加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28.28</w:t>
      </w:r>
      <w:r>
        <w:rPr>
          <w:rFonts w:hint="eastAsia" w:ascii="Times New Roman" w:hAnsi="Times New Roman" w:eastAsia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28.14</w:t>
      </w:r>
      <w:r>
        <w:rPr>
          <w:rFonts w:hint="eastAsia" w:ascii="Times New Roman" w:hAnsi="Times New Roman" w:eastAsia="仿宋_GB2312"/>
          <w:sz w:val="32"/>
          <w:szCs w:val="32"/>
        </w:rPr>
        <w:t>%。主要原因是：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增加因公出国境项目资金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524F2EE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十</w:t>
      </w:r>
      <w:r>
        <w:rPr>
          <w:rFonts w:hint="eastAsia" w:hAnsi="黑体" w:cs="黑体"/>
          <w:b w:val="0"/>
          <w:bCs/>
          <w:sz w:val="32"/>
          <w:szCs w:val="32"/>
          <w:lang w:eastAsia="zh-CN"/>
        </w:rPr>
        <w:t>一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、一般性支出情况说明</w:t>
      </w:r>
    </w:p>
    <w:p w14:paraId="3120621D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gree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年本部门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一般公共预算财政拨款基本支出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0.99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万元，用于召开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全市商务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会议，人数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人，内容为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全市招商会议开展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；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无培训、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节庆、晚会、论坛、赛事活动开支。</w:t>
      </w:r>
    </w:p>
    <w:p w14:paraId="4FC3B25F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十</w:t>
      </w:r>
      <w:r>
        <w:rPr>
          <w:rFonts w:hint="eastAsia" w:hAnsi="黑体" w:cs="黑体"/>
          <w:b w:val="0"/>
          <w:bCs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、关于政府采购支出说明</w:t>
      </w:r>
    </w:p>
    <w:p w14:paraId="61E33C2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本部门202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年度政府采购支出总额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516.52</w:t>
      </w:r>
      <w:r>
        <w:rPr>
          <w:rFonts w:hint="eastAsia" w:ascii="Times New Roman" w:hAnsi="Times New Roman" w:eastAsia="仿宋_GB2312"/>
          <w:sz w:val="32"/>
          <w:szCs w:val="32"/>
        </w:rPr>
        <w:t>万元，其中：政府采购货物支出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38.66</w:t>
      </w:r>
      <w:r>
        <w:rPr>
          <w:rFonts w:hint="eastAsia" w:ascii="Times New Roman" w:hAnsi="Times New Roman" w:eastAsia="仿宋_GB2312"/>
          <w:sz w:val="32"/>
          <w:szCs w:val="32"/>
        </w:rPr>
        <w:t>万元、政府采购工程支出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万元、政府采购服务支出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477.86</w:t>
      </w:r>
      <w:r>
        <w:rPr>
          <w:rFonts w:hint="eastAsia" w:ascii="Times New Roman" w:hAnsi="Times New Roman" w:eastAsia="仿宋_GB2312"/>
          <w:sz w:val="32"/>
          <w:szCs w:val="32"/>
        </w:rPr>
        <w:t>万元。授予中小企业合同金额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516.52</w:t>
      </w:r>
      <w:r>
        <w:rPr>
          <w:rFonts w:hint="eastAsia" w:ascii="Times New Roman" w:hAnsi="Times New Roman" w:eastAsia="仿宋_GB2312"/>
          <w:sz w:val="32"/>
          <w:szCs w:val="32"/>
        </w:rPr>
        <w:t>万元，占政府采购支出总额的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%，其中：授予小微企业合同金额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516.52</w:t>
      </w:r>
      <w:r>
        <w:rPr>
          <w:rFonts w:hint="eastAsia" w:ascii="Times New Roman" w:hAnsi="Times New Roman" w:eastAsia="仿宋_GB2312"/>
          <w:sz w:val="32"/>
          <w:szCs w:val="32"/>
        </w:rPr>
        <w:t>万元，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占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授予中小企业合同金额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%。货物采购授予中小企业合同金额占货物支出金额的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%，服务采购授予中小企业合同金额占服务支出金额的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%。</w:t>
      </w:r>
    </w:p>
    <w:p w14:paraId="0418D211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十</w:t>
      </w:r>
      <w:r>
        <w:rPr>
          <w:rFonts w:hint="eastAsia" w:hAnsi="黑体" w:cs="黑体"/>
          <w:b w:val="0"/>
          <w:bCs/>
          <w:color w:val="auto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、关于国有资产占用情况说明</w:t>
      </w:r>
    </w:p>
    <w:p w14:paraId="4324774B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截至202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年12月31日，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部门（单位）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共有车辆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辆，其中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，副部（省）级及以上领导用车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主要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负责人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机要通信用车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辆、应急保障用车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辆、执法执勤用车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辆、特种专业技术用车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辆、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离退休干部服务用车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辆、其他用车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辆，其他用车主要是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日常公务用车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；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单位价值100万元以上设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备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（不含车辆）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台（套）。</w:t>
      </w:r>
    </w:p>
    <w:p w14:paraId="0A517398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十</w:t>
      </w:r>
      <w:r>
        <w:rPr>
          <w:rFonts w:hint="eastAsia" w:hAnsi="黑体" w:cs="黑体"/>
          <w:b w:val="0"/>
          <w:bCs/>
          <w:color w:val="auto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、关于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年度</w:t>
      </w:r>
      <w:r>
        <w:rPr>
          <w:rFonts w:hint="eastAsia" w:hAnsi="黑体" w:cs="黑体"/>
          <w:b w:val="0"/>
          <w:bCs/>
          <w:color w:val="auto"/>
          <w:sz w:val="32"/>
          <w:szCs w:val="32"/>
          <w:lang w:eastAsia="zh-CN"/>
        </w:rPr>
        <w:t>预算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绩效情况的说明</w:t>
      </w:r>
    </w:p>
    <w:p w14:paraId="5BB7E80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（一）绩效管理工作开展情况</w:t>
      </w:r>
    </w:p>
    <w:p w14:paraId="4E20E88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960" w:firstLineChars="3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一是合理设定项目绩效内容；二是积极配合财政及相关部门对绩效进行跟踪及监督。三是严格绩效考评工作。</w:t>
      </w:r>
    </w:p>
    <w:p w14:paraId="49B189A3">
      <w:pPr>
        <w:pStyle w:val="1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部门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（单位）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整体支出绩效情况</w:t>
      </w:r>
    </w:p>
    <w:p w14:paraId="7C1055E7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/>
          <w:sz w:val="32"/>
          <w:szCs w:val="32"/>
          <w:highlight w:val="gree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一是区域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协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作实现新突破。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2023年开行国际货运班列480列（公路卡班25列），同比增长217.88%；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带动全市进出口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额首次突破百亿关口（103.6亿元）、同比增长121.6%，实现连续19个月增速排名全省第1、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总量排名进位；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是对外交流取得新成效。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深化与东盟经贸往来，市委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、市政府领导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率怀化经贸代表团赴老挝、柬埔寨、缅甸开展经贸交流系列活动。开拓对非经贸合作，组织参加第三届中非经贸博览会，促成马拉维共和国农业部部长来怀调研考察，并与我市签署合作备忘录。全市实现对外实际投资1746万美元、总量排名全省第7，同比增长558.8%、增速排名全省第3；对外工程承包完成营业额1439万美元、总量排名全省第5，同比增长292.1%、增速排名全省第1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三是平台建设取得新进展。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成功举办首届湖南（怀化）—RCEP经贸博览会，老挝、缅甸等6个国家外宾出席博览会，共签约项目113个、总投资750亿元，获评为“中国会展之星·中国最具创新特色展会”，怀化市被评为“全国优秀会展城市”。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是项目引进来势较好。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举办“怀化市对接粤港澳大湾区招商推介会暨‘湘商回归’恳谈会”、“中国（怀化）—RCEP中医药产业对接会”、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“2023第三届全国茯苓大会暨第六届武陵山（怀化）国际健康产业博览会”等活动，签约引进了一批大项目、好项目。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全市实际到位省外境内资金689.98亿元，超额完成目标任务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引进项目479个、总投资1468.16亿元，其中10亿元以上项</w:t>
      </w:r>
      <w:bookmarkStart w:id="0" w:name="_GoBack"/>
      <w:r>
        <w:rPr>
          <w:rFonts w:hint="default" w:ascii="Times New Roman" w:hAnsi="Times New Roman" w:eastAsia="仿宋_GB2312" w:cs="Times New Roman"/>
          <w:sz w:val="32"/>
          <w:szCs w:val="32"/>
        </w:rPr>
        <w:t>目45个、总投资736.75亿元，省级认定“三类500强”企业项目28个。实际使用外资6118万美元、同比增长422.5%，总量和增速分别居全省第4位、第2位，新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设外商投资企业29家，县市区外资引进全面破零。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产业招商势头强劲。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开发包装招商引资项目513个，总投资2044亿元；新签约产业链项目440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个、总投资1379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亿元。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是全力组织促消费活动。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落实“消费提振年”工作要求，承办全省消</w:t>
      </w:r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费促进季(夏季)启动仪式，开展了2023迎春年货会、汽车展销节、“相约国际陆港 • 嗨购幸福怀化”消费节、“味道湖南怀化味道”美食品鉴宴等800余场次促消费活动，全市累计发放消费券2600余万元，直接撬动13.78亿元批零住餐实体消费；全市实现社会消费品零售总额769.29亿元，同比增长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9.2%、全省排名第2。</w:t>
      </w:r>
    </w:p>
    <w:p w14:paraId="2AA97501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（三）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存在的问题及原因分析</w:t>
      </w:r>
    </w:p>
    <w:p w14:paraId="1DEB2EC3">
      <w:pPr>
        <w:pStyle w:val="12"/>
        <w:ind w:firstLine="640" w:firstLineChars="200"/>
        <w:jc w:val="both"/>
        <w:rPr>
          <w:rFonts w:hint="eastAsia" w:eastAsia="仿宋"/>
          <w:sz w:val="72"/>
          <w:szCs w:val="72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一是</w:t>
      </w: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公用支出经费预算无法满足全年运转需要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;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二是我局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离、退休人员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较多，负担重；三是“一事一议”增加项目较多。</w:t>
      </w:r>
    </w:p>
    <w:p w14:paraId="122B4F8C">
      <w:pPr>
        <w:pStyle w:val="12"/>
        <w:jc w:val="both"/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第四部分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 xml:space="preserve">  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</w:rPr>
        <w:t>名词解释</w:t>
      </w:r>
    </w:p>
    <w:p w14:paraId="68D82BD7">
      <w:pPr>
        <w:widowControl/>
        <w:ind w:firstLine="640" w:firstLineChars="200"/>
        <w:jc w:val="left"/>
        <w:rPr>
          <w:rFonts w:hint="eastAsia" w:cs="黑体" w:asciiTheme="minorEastAsia" w:hAnsiTheme="minorEastAsia"/>
          <w:color w:val="000000"/>
          <w:kern w:val="0"/>
          <w:sz w:val="32"/>
          <w:szCs w:val="32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1.机关运行经费：</w:t>
      </w: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14:paraId="2D755DFE">
      <w:pPr>
        <w:pStyle w:val="12"/>
        <w:jc w:val="both"/>
        <w:rPr>
          <w:rFonts w:cs="黑体" w:asciiTheme="minorEastAsia" w:hAnsiTheme="minorEastAsia"/>
          <w:color w:val="000000"/>
          <w:kern w:val="0"/>
          <w:sz w:val="32"/>
          <w:szCs w:val="32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2.“三公”经费：</w:t>
      </w:r>
      <w:r>
        <w:rPr>
          <w:rFonts w:hint="eastAsia" w:ascii="Times New Roman" w:hAnsi="Times New Roman" w:eastAsia="仿宋_GB2312"/>
          <w:sz w:val="32"/>
          <w:szCs w:val="32"/>
        </w:rPr>
        <w:t>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sectPr>
      <w:pgSz w:w="11906" w:h="16838"/>
      <w:pgMar w:top="720" w:right="720" w:bottom="720" w:left="72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F73C0C"/>
    <w:multiLevelType w:val="singleLevel"/>
    <w:tmpl w:val="A3F73C0C"/>
    <w:lvl w:ilvl="0" w:tentative="0">
      <w:start w:val="2"/>
      <w:numFmt w:val="chineseCounting"/>
      <w:suff w:val="space"/>
      <w:lvlText w:val="第%1部分"/>
      <w:lvlJc w:val="left"/>
      <w:rPr>
        <w:rFonts w:hint="eastAsia"/>
      </w:rPr>
    </w:lvl>
  </w:abstractNum>
  <w:abstractNum w:abstractNumId="1">
    <w:nsid w:val="0BBAA7CD"/>
    <w:multiLevelType w:val="singleLevel"/>
    <w:tmpl w:val="0BBAA7CD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73518C1"/>
    <w:multiLevelType w:val="multilevel"/>
    <w:tmpl w:val="373518C1"/>
    <w:lvl w:ilvl="0" w:tentative="0">
      <w:start w:val="1"/>
      <w:numFmt w:val="none"/>
      <w:lvlText w:val="一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C6F7B81"/>
    <w:multiLevelType w:val="singleLevel"/>
    <w:tmpl w:val="7C6F7B81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zNDU2Nzk4MDNlMDAzZjQ0ZWQwOTM0OTZkZGM3Y2MifQ=="/>
  </w:docVars>
  <w:rsids>
    <w:rsidRoot w:val="004506F9"/>
    <w:rsid w:val="0002229B"/>
    <w:rsid w:val="000273BD"/>
    <w:rsid w:val="00040CBC"/>
    <w:rsid w:val="000415B7"/>
    <w:rsid w:val="00041E3F"/>
    <w:rsid w:val="00055DAA"/>
    <w:rsid w:val="00061F7B"/>
    <w:rsid w:val="000658A3"/>
    <w:rsid w:val="00074155"/>
    <w:rsid w:val="000A3F69"/>
    <w:rsid w:val="00103957"/>
    <w:rsid w:val="00152C6D"/>
    <w:rsid w:val="00162D39"/>
    <w:rsid w:val="001678BD"/>
    <w:rsid w:val="00182373"/>
    <w:rsid w:val="001A67DB"/>
    <w:rsid w:val="001C3C29"/>
    <w:rsid w:val="001D51E5"/>
    <w:rsid w:val="001E080D"/>
    <w:rsid w:val="001E53D0"/>
    <w:rsid w:val="001F0C3B"/>
    <w:rsid w:val="00202C82"/>
    <w:rsid w:val="00214427"/>
    <w:rsid w:val="00226CB7"/>
    <w:rsid w:val="00264552"/>
    <w:rsid w:val="00264EF9"/>
    <w:rsid w:val="00265724"/>
    <w:rsid w:val="0027426B"/>
    <w:rsid w:val="002E0A30"/>
    <w:rsid w:val="003130C4"/>
    <w:rsid w:val="00316C4B"/>
    <w:rsid w:val="0032192B"/>
    <w:rsid w:val="003479BD"/>
    <w:rsid w:val="0037197D"/>
    <w:rsid w:val="003768D5"/>
    <w:rsid w:val="003926B9"/>
    <w:rsid w:val="003C47E6"/>
    <w:rsid w:val="003C4FC2"/>
    <w:rsid w:val="00416E61"/>
    <w:rsid w:val="0042790C"/>
    <w:rsid w:val="004506F9"/>
    <w:rsid w:val="004717A2"/>
    <w:rsid w:val="00473DF3"/>
    <w:rsid w:val="00487911"/>
    <w:rsid w:val="00491741"/>
    <w:rsid w:val="004B0CEE"/>
    <w:rsid w:val="00500E5F"/>
    <w:rsid w:val="005122EF"/>
    <w:rsid w:val="0051441A"/>
    <w:rsid w:val="00517C33"/>
    <w:rsid w:val="00517D5F"/>
    <w:rsid w:val="00523644"/>
    <w:rsid w:val="0054069E"/>
    <w:rsid w:val="00544866"/>
    <w:rsid w:val="005767CC"/>
    <w:rsid w:val="00590D9F"/>
    <w:rsid w:val="00595D26"/>
    <w:rsid w:val="005A74E6"/>
    <w:rsid w:val="005B404E"/>
    <w:rsid w:val="005D4D55"/>
    <w:rsid w:val="005E2CFB"/>
    <w:rsid w:val="005F2103"/>
    <w:rsid w:val="005F3D1C"/>
    <w:rsid w:val="0062378F"/>
    <w:rsid w:val="00641842"/>
    <w:rsid w:val="00651EEC"/>
    <w:rsid w:val="00686673"/>
    <w:rsid w:val="00691E8C"/>
    <w:rsid w:val="006A22C4"/>
    <w:rsid w:val="006A351B"/>
    <w:rsid w:val="006B0422"/>
    <w:rsid w:val="006C1B53"/>
    <w:rsid w:val="006D7730"/>
    <w:rsid w:val="006E5284"/>
    <w:rsid w:val="006F3EB5"/>
    <w:rsid w:val="00702E34"/>
    <w:rsid w:val="00704395"/>
    <w:rsid w:val="00710FE7"/>
    <w:rsid w:val="00717621"/>
    <w:rsid w:val="00720FF1"/>
    <w:rsid w:val="00727A53"/>
    <w:rsid w:val="00787B42"/>
    <w:rsid w:val="007C4539"/>
    <w:rsid w:val="007F3657"/>
    <w:rsid w:val="00812ED5"/>
    <w:rsid w:val="008277D9"/>
    <w:rsid w:val="0084478C"/>
    <w:rsid w:val="0086638C"/>
    <w:rsid w:val="008A3E8D"/>
    <w:rsid w:val="009237C4"/>
    <w:rsid w:val="00944C48"/>
    <w:rsid w:val="00950252"/>
    <w:rsid w:val="00967F5D"/>
    <w:rsid w:val="009A0F95"/>
    <w:rsid w:val="009B3ADF"/>
    <w:rsid w:val="009C3B52"/>
    <w:rsid w:val="009E6817"/>
    <w:rsid w:val="009E6E9A"/>
    <w:rsid w:val="00A01D2B"/>
    <w:rsid w:val="00A42218"/>
    <w:rsid w:val="00A70249"/>
    <w:rsid w:val="00A70B02"/>
    <w:rsid w:val="00A71D9F"/>
    <w:rsid w:val="00A92E9F"/>
    <w:rsid w:val="00AB18FF"/>
    <w:rsid w:val="00B33BEA"/>
    <w:rsid w:val="00B57C9F"/>
    <w:rsid w:val="00B63572"/>
    <w:rsid w:val="00B845B3"/>
    <w:rsid w:val="00B85D8B"/>
    <w:rsid w:val="00BB4A40"/>
    <w:rsid w:val="00BD6C3E"/>
    <w:rsid w:val="00BE3674"/>
    <w:rsid w:val="00C10681"/>
    <w:rsid w:val="00C3049A"/>
    <w:rsid w:val="00C31B1E"/>
    <w:rsid w:val="00C77645"/>
    <w:rsid w:val="00CE04C3"/>
    <w:rsid w:val="00CE76A0"/>
    <w:rsid w:val="00D148C6"/>
    <w:rsid w:val="00D17A8A"/>
    <w:rsid w:val="00D415BA"/>
    <w:rsid w:val="00D63780"/>
    <w:rsid w:val="00D644EE"/>
    <w:rsid w:val="00DD06FF"/>
    <w:rsid w:val="00DD5FE9"/>
    <w:rsid w:val="00E00C7A"/>
    <w:rsid w:val="00E37D6C"/>
    <w:rsid w:val="00E55B68"/>
    <w:rsid w:val="00E561AE"/>
    <w:rsid w:val="00E67BE6"/>
    <w:rsid w:val="00E8683C"/>
    <w:rsid w:val="00EA2B72"/>
    <w:rsid w:val="00F74360"/>
    <w:rsid w:val="00FB462F"/>
    <w:rsid w:val="00FE16FA"/>
    <w:rsid w:val="00FE328A"/>
    <w:rsid w:val="00FE6269"/>
    <w:rsid w:val="00FF5CD6"/>
    <w:rsid w:val="0BBA7A0E"/>
    <w:rsid w:val="0E74430B"/>
    <w:rsid w:val="10831E63"/>
    <w:rsid w:val="1BD111DE"/>
    <w:rsid w:val="1CA43482"/>
    <w:rsid w:val="1D97DEFF"/>
    <w:rsid w:val="1DFF72E5"/>
    <w:rsid w:val="1EFC6F07"/>
    <w:rsid w:val="26294BA0"/>
    <w:rsid w:val="2FDF85B8"/>
    <w:rsid w:val="2FFFEE04"/>
    <w:rsid w:val="33A61841"/>
    <w:rsid w:val="349B7C71"/>
    <w:rsid w:val="34DF85B0"/>
    <w:rsid w:val="35937989"/>
    <w:rsid w:val="3B8F36BC"/>
    <w:rsid w:val="436721C3"/>
    <w:rsid w:val="438660D8"/>
    <w:rsid w:val="45033924"/>
    <w:rsid w:val="491FF225"/>
    <w:rsid w:val="4B4518AC"/>
    <w:rsid w:val="4BC45254"/>
    <w:rsid w:val="4FFD214C"/>
    <w:rsid w:val="50491A39"/>
    <w:rsid w:val="555E7742"/>
    <w:rsid w:val="5777D4F5"/>
    <w:rsid w:val="57E127AA"/>
    <w:rsid w:val="59DD8326"/>
    <w:rsid w:val="5DEF592A"/>
    <w:rsid w:val="5F862638"/>
    <w:rsid w:val="5FC6BB1E"/>
    <w:rsid w:val="5FF720F1"/>
    <w:rsid w:val="605207DF"/>
    <w:rsid w:val="60B73D35"/>
    <w:rsid w:val="64D76F35"/>
    <w:rsid w:val="674768DD"/>
    <w:rsid w:val="67FF5C0B"/>
    <w:rsid w:val="6C1352D1"/>
    <w:rsid w:val="6EFC0924"/>
    <w:rsid w:val="6FB74722"/>
    <w:rsid w:val="6FEF8B7E"/>
    <w:rsid w:val="71A6591B"/>
    <w:rsid w:val="737D59BA"/>
    <w:rsid w:val="77C37683"/>
    <w:rsid w:val="79FF515B"/>
    <w:rsid w:val="7E9E1962"/>
    <w:rsid w:val="7E9F11B4"/>
    <w:rsid w:val="7F37EC1E"/>
    <w:rsid w:val="7F7DCD9D"/>
    <w:rsid w:val="7F970A6F"/>
    <w:rsid w:val="7FC1FFF3"/>
    <w:rsid w:val="7FC69637"/>
    <w:rsid w:val="7FDF8620"/>
    <w:rsid w:val="7FFB242F"/>
    <w:rsid w:val="7FFDB408"/>
    <w:rsid w:val="7FFE4EEB"/>
    <w:rsid w:val="95FB2B98"/>
    <w:rsid w:val="9A639BC2"/>
    <w:rsid w:val="9FF7D786"/>
    <w:rsid w:val="ABBFB23D"/>
    <w:rsid w:val="C3B4DA5A"/>
    <w:rsid w:val="CBFF70E0"/>
    <w:rsid w:val="CFF50B82"/>
    <w:rsid w:val="CFFFAD89"/>
    <w:rsid w:val="DFFE359E"/>
    <w:rsid w:val="DFFE4FFD"/>
    <w:rsid w:val="EEABED75"/>
    <w:rsid w:val="F56FDF51"/>
    <w:rsid w:val="F6B69F17"/>
    <w:rsid w:val="F77F1D61"/>
    <w:rsid w:val="F7FED3A9"/>
    <w:rsid w:val="F8C9DB26"/>
    <w:rsid w:val="F97E8EAE"/>
    <w:rsid w:val="FB36E1A6"/>
    <w:rsid w:val="FB3BE134"/>
    <w:rsid w:val="FCFF4275"/>
    <w:rsid w:val="FD7FEEEA"/>
    <w:rsid w:val="FDFFB577"/>
    <w:rsid w:val="FEEA50FE"/>
    <w:rsid w:val="FF7D47A9"/>
    <w:rsid w:val="FFCF21CB"/>
    <w:rsid w:val="FFFF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widowControl/>
      <w:spacing w:after="120"/>
      <w:ind w:left="420" w:leftChars="200"/>
      <w:jc w:val="left"/>
    </w:pPr>
    <w:rPr>
      <w:rFonts w:ascii="宋体" w:hAnsi="宋体" w:eastAsia="宋体" w:cs="宋体"/>
      <w:kern w:val="0"/>
      <w:sz w:val="24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next w:val="2"/>
    <w:semiHidden/>
    <w:qFormat/>
    <w:uiPriority w:val="0"/>
    <w:pPr>
      <w:snapToGrid w:val="0"/>
      <w:jc w:val="left"/>
    </w:pPr>
    <w:rPr>
      <w:sz w:val="18"/>
      <w:szCs w:val="18"/>
    </w:rPr>
  </w:style>
  <w:style w:type="character" w:customStyle="1" w:styleId="10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sz w:val="18"/>
      <w:szCs w:val="18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kern w:val="0"/>
      <w:sz w:val="24"/>
      <w:szCs w:val="24"/>
      <w:lang w:val="en-US" w:eastAsia="zh-CN" w:bidi="ar-SA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5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2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1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13</Pages>
  <Words>6467</Words>
  <Characters>7206</Characters>
  <Lines>63</Lines>
  <Paragraphs>18</Paragraphs>
  <TotalTime>41</TotalTime>
  <ScaleCrop>false</ScaleCrop>
  <LinksUpToDate>false</LinksUpToDate>
  <CharactersWithSpaces>7234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2020-07-08T02:32:00Z</dcterms:created>
  <dc:creator>李航 null</dc:creator>
  <cp:lastModifiedBy>Z.</cp:lastModifiedBy>
  <cp:lastPrinted>2024-08-08T10:20:00Z</cp:lastPrinted>
  <dcterms:modified xsi:type="dcterms:W3CDTF">2024-09-26T09:02:08Z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A5D654F4B0D046389E08847B867B3201_13</vt:lpwstr>
  </property>
</Properties>
</file>