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sz w:val="84"/>
          <w:szCs w:val="84"/>
        </w:rPr>
      </w:pPr>
      <w:r>
        <w:rPr>
          <w:rFonts w:hint="eastAsia"/>
          <w:sz w:val="84"/>
          <w:szCs w:val="84"/>
        </w:rPr>
        <w:t>2021年度</w:t>
      </w:r>
    </w:p>
    <w:p>
      <w:pPr>
        <w:pStyle w:val="10"/>
        <w:jc w:val="center"/>
        <w:rPr>
          <w:rFonts w:hint="eastAsia"/>
          <w:sz w:val="84"/>
          <w:szCs w:val="84"/>
          <w:lang w:eastAsia="zh-CN"/>
        </w:rPr>
      </w:pPr>
      <w:r>
        <w:rPr>
          <w:rFonts w:hint="eastAsia"/>
          <w:sz w:val="84"/>
          <w:szCs w:val="84"/>
          <w:lang w:eastAsia="zh-CN"/>
        </w:rPr>
        <w:t>怀化市机关事务管理局</w:t>
      </w:r>
    </w:p>
    <w:p>
      <w:pPr>
        <w:pStyle w:val="10"/>
        <w:jc w:val="center"/>
        <w:rPr>
          <w:sz w:val="84"/>
          <w:szCs w:val="84"/>
        </w:rPr>
      </w:pPr>
      <w:r>
        <w:rPr>
          <w:rFonts w:hint="eastAsia"/>
          <w:sz w:val="84"/>
          <w:szCs w:val="84"/>
        </w:rPr>
        <w:t>部门决算</w:t>
      </w: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00" w:lineRule="exact"/>
        <w:jc w:val="center"/>
        <w:rPr>
          <w:b/>
          <w:sz w:val="36"/>
          <w:szCs w:val="28"/>
        </w:rPr>
      </w:pPr>
      <w:r>
        <w:rPr>
          <w:rFonts w:hint="eastAsia"/>
          <w:b/>
          <w:sz w:val="36"/>
          <w:szCs w:val="28"/>
        </w:rPr>
        <w:t>目录</w:t>
      </w:r>
    </w:p>
    <w:p>
      <w:pPr>
        <w:pStyle w:val="10"/>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怀化市机关事务管理局</w:t>
      </w:r>
      <w:r>
        <w:rPr>
          <w:rFonts w:hint="eastAsia"/>
          <w:b/>
          <w:sz w:val="28"/>
          <w:szCs w:val="28"/>
        </w:rPr>
        <w:t>概况</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pStyle w:val="10"/>
        <w:spacing w:line="500" w:lineRule="exact"/>
        <w:ind w:firstLine="700" w:firstLineChars="250"/>
        <w:rPr>
          <w:rFonts w:hint="eastAsia" w:ascii="仿宋_GB2312" w:hAnsi="仿宋_GB2312" w:cs="仿宋_GB2312" w:eastAsiaTheme="minorEastAsia"/>
          <w:sz w:val="28"/>
          <w:szCs w:val="28"/>
        </w:rPr>
      </w:pPr>
      <w:r>
        <w:rPr>
          <w:rFonts w:hint="eastAsia" w:ascii="仿宋_GB2312" w:hAnsi="仿宋_GB2312" w:cs="仿宋_GB2312" w:eastAsiaTheme="minorEastAsia"/>
          <w:sz w:val="28"/>
          <w:szCs w:val="28"/>
        </w:rPr>
        <w:t>九、国有资本经营预算财政拨款支出决算情况说明</w:t>
      </w:r>
    </w:p>
    <w:p>
      <w:pPr>
        <w:pStyle w:val="10"/>
        <w:spacing w:line="500" w:lineRule="exact"/>
        <w:ind w:firstLine="700" w:firstLineChars="250"/>
        <w:rPr>
          <w:rFonts w:hint="eastAsia" w:ascii="仿宋_GB2312" w:hAnsi="仿宋_GB2312" w:cs="仿宋_GB2312" w:eastAsiaTheme="minorEastAsia"/>
          <w:sz w:val="28"/>
          <w:szCs w:val="28"/>
        </w:rPr>
      </w:pPr>
      <w:r>
        <w:rPr>
          <w:rFonts w:hint="eastAsia" w:ascii="仿宋_GB2312" w:hAnsi="仿宋_GB2312" w:cs="仿宋_GB2312" w:eastAsiaTheme="minorEastAsia"/>
          <w:sz w:val="28"/>
          <w:szCs w:val="28"/>
        </w:rPr>
        <w:t>十、关于机关运行经费支出说明</w:t>
      </w:r>
    </w:p>
    <w:p>
      <w:pPr>
        <w:pStyle w:val="10"/>
        <w:spacing w:line="500" w:lineRule="exact"/>
        <w:ind w:firstLine="700" w:firstLineChars="250"/>
        <w:rPr>
          <w:rFonts w:hint="eastAsia" w:ascii="仿宋_GB2312" w:hAnsi="仿宋_GB2312" w:cs="仿宋_GB2312" w:eastAsiaTheme="minorEastAsia"/>
          <w:sz w:val="28"/>
          <w:szCs w:val="28"/>
        </w:rPr>
      </w:pPr>
      <w:r>
        <w:rPr>
          <w:rFonts w:hint="eastAsia" w:ascii="仿宋_GB2312" w:hAnsi="仿宋_GB2312" w:cs="仿宋_GB2312" w:eastAsiaTheme="minorEastAsia"/>
          <w:sz w:val="28"/>
          <w:szCs w:val="28"/>
        </w:rPr>
        <w:t>十一、一般性支出情况说明</w:t>
      </w:r>
    </w:p>
    <w:p>
      <w:pPr>
        <w:pStyle w:val="10"/>
        <w:spacing w:line="500" w:lineRule="exact"/>
        <w:ind w:firstLine="700" w:firstLineChars="250"/>
        <w:rPr>
          <w:rFonts w:hint="eastAsia" w:ascii="仿宋_GB2312" w:hAnsi="仿宋_GB2312" w:cs="仿宋_GB2312" w:eastAsiaTheme="minorEastAsia"/>
          <w:sz w:val="28"/>
          <w:szCs w:val="28"/>
        </w:rPr>
      </w:pPr>
      <w:r>
        <w:rPr>
          <w:rFonts w:hint="eastAsia" w:ascii="仿宋_GB2312" w:hAnsi="仿宋_GB2312" w:cs="仿宋_GB2312" w:eastAsiaTheme="minorEastAsia"/>
          <w:sz w:val="28"/>
          <w:szCs w:val="28"/>
        </w:rPr>
        <w:t>十二、关于政府采购支出说明</w:t>
      </w:r>
    </w:p>
    <w:p>
      <w:pPr>
        <w:pStyle w:val="10"/>
        <w:spacing w:line="500" w:lineRule="exact"/>
        <w:ind w:firstLine="700" w:firstLineChars="250"/>
        <w:rPr>
          <w:rFonts w:hint="eastAsia" w:ascii="仿宋_GB2312" w:hAnsi="仿宋_GB2312" w:cs="仿宋_GB2312" w:eastAsiaTheme="minorEastAsia"/>
          <w:sz w:val="28"/>
          <w:szCs w:val="28"/>
        </w:rPr>
      </w:pPr>
      <w:r>
        <w:rPr>
          <w:rFonts w:hint="eastAsia" w:ascii="仿宋_GB2312" w:hAnsi="仿宋_GB2312" w:cs="仿宋_GB2312" w:eastAsiaTheme="minorEastAsia"/>
          <w:sz w:val="28"/>
          <w:szCs w:val="28"/>
        </w:rPr>
        <w:t>十三、关于国有资产占用情况说明</w:t>
      </w:r>
    </w:p>
    <w:p>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十四、关于2021年度预算绩效情况的说明</w:t>
      </w:r>
    </w:p>
    <w:p>
      <w:pPr>
        <w:autoSpaceDE w:val="0"/>
        <w:autoSpaceDN w:val="0"/>
        <w:adjustRightInd w:val="0"/>
        <w:spacing w:line="500" w:lineRule="exact"/>
        <w:jc w:val="left"/>
        <w:rPr>
          <w:rFonts w:ascii="黑体" w:hAnsi="黑体" w:eastAsia="黑体" w:cs="黑体"/>
          <w:b/>
          <w:color w:val="000000"/>
          <w:kern w:val="0"/>
          <w:sz w:val="28"/>
          <w:szCs w:val="28"/>
        </w:rPr>
      </w:pP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0"/>
        <w:jc w:val="center"/>
        <w:rPr>
          <w:sz w:val="84"/>
          <w:szCs w:val="84"/>
        </w:rPr>
      </w:pPr>
      <w:r>
        <w:rPr>
          <w:rFonts w:hint="eastAsia"/>
          <w:sz w:val="84"/>
          <w:szCs w:val="84"/>
        </w:rPr>
        <w:t>第一部分</w:t>
      </w:r>
      <w:r>
        <w:rPr>
          <w:sz w:val="84"/>
          <w:szCs w:val="84"/>
        </w:rPr>
        <w:t xml:space="preserve"> </w:t>
      </w:r>
    </w:p>
    <w:p>
      <w:pPr>
        <w:pStyle w:val="10"/>
        <w:jc w:val="center"/>
        <w:rPr>
          <w:sz w:val="84"/>
          <w:szCs w:val="84"/>
        </w:rPr>
      </w:pPr>
    </w:p>
    <w:p>
      <w:pPr>
        <w:pStyle w:val="10"/>
        <w:jc w:val="center"/>
        <w:rPr>
          <w:rFonts w:hint="eastAsia"/>
          <w:sz w:val="84"/>
          <w:szCs w:val="84"/>
          <w:lang w:eastAsia="zh-CN"/>
        </w:rPr>
      </w:pPr>
      <w:r>
        <w:rPr>
          <w:rFonts w:hint="eastAsia"/>
          <w:sz w:val="84"/>
          <w:szCs w:val="84"/>
          <w:lang w:eastAsia="zh-CN"/>
        </w:rPr>
        <w:t>怀化市机关事务管理局</w:t>
      </w:r>
    </w:p>
    <w:p>
      <w:pPr>
        <w:pStyle w:val="10"/>
        <w:jc w:val="center"/>
        <w:rPr>
          <w:sz w:val="84"/>
          <w:szCs w:val="84"/>
        </w:rPr>
      </w:pPr>
      <w:r>
        <w:rPr>
          <w:rFonts w:hint="eastAsia"/>
          <w:sz w:val="84"/>
          <w:szCs w:val="84"/>
        </w:rPr>
        <w:t>概况</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1"/>
        <w:ind w:left="720" w:firstLine="0" w:firstLineChars="0"/>
        <w:jc w:val="left"/>
        <w:rPr>
          <w:rFonts w:ascii="黑体" w:hAnsi="黑体" w:eastAsia="黑体"/>
          <w:sz w:val="32"/>
          <w:szCs w:val="32"/>
        </w:rPr>
      </w:pPr>
    </w:p>
    <w:p>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lang w:val="en-US" w:eastAsia="zh-CN"/>
        </w:rPr>
        <w:t>（一）</w:t>
      </w:r>
      <w:r>
        <w:rPr>
          <w:rFonts w:hint="eastAsia" w:asciiTheme="minorEastAsia" w:hAnsiTheme="minorEastAsia"/>
          <w:bCs/>
          <w:kern w:val="0"/>
          <w:sz w:val="32"/>
          <w:szCs w:val="32"/>
        </w:rPr>
        <w:t>指导全市机关事务工作，负责市直机关事务的管理、保障和服务工作，组织拟订全市机关事务管理和后勤体制改革的具体政策、制度、标准并监督实施；负责指导全市机关后勤服务单位业务工作；会同有关部门协调解决机关后勤工作中的有关问题。</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lang w:val="en-US" w:eastAsia="zh-CN"/>
        </w:rPr>
        <w:t>（二）</w:t>
      </w:r>
      <w:r>
        <w:rPr>
          <w:rFonts w:hint="eastAsia" w:asciiTheme="minorEastAsia" w:hAnsiTheme="minorEastAsia"/>
          <w:bCs/>
          <w:kern w:val="0"/>
          <w:sz w:val="32"/>
          <w:szCs w:val="32"/>
        </w:rPr>
        <w:t>对市直机关单位的房地产实施管理，制订相关管理制度并监督执行；协助有关部门做好市直机关房地产的监督管理工作；负责市直党政机关办公用房集中统一管理，协助有关部门管理市直机关的行政建房计划和投资；根据授权承担市直机关行政办公用房及其他非经营性项目的集中统一建设职责；负责市直机关办公用房维修管理，承办市直机关房屋维修、危旧房改造事务工作；负责市直机关行政用房、住宅建设土地使用权证的有关管理工作。指导、监督、检查全市党政机关办公用房管理，指导市直机关物业管理工作。</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lang w:val="en-US" w:eastAsia="zh-CN"/>
        </w:rPr>
        <w:t>（三）</w:t>
      </w:r>
      <w:r>
        <w:rPr>
          <w:rFonts w:hint="eastAsia" w:asciiTheme="minorEastAsia" w:hAnsiTheme="minorEastAsia"/>
          <w:bCs/>
          <w:kern w:val="0"/>
          <w:sz w:val="32"/>
          <w:szCs w:val="32"/>
        </w:rPr>
        <w:t>负责市直行政事业单位国有资产集中统一管理，承担配置计划审核、产权界定、清查登记、资产处置工作。负责市直行政事业单位经营性资产的管理工作。负责外宾赠送我市领导人和各部门的礼品、市直机关单位公派出国人员的礼品和其他礼金礼品的管理工作。会同有关部门负责市纪委监委移交资产物品的管理处置工作。</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lang w:val="en-US" w:eastAsia="zh-CN"/>
        </w:rPr>
        <w:t>（四）</w:t>
      </w:r>
      <w:r>
        <w:rPr>
          <w:rFonts w:hint="eastAsia" w:asciiTheme="minorEastAsia" w:hAnsiTheme="minorEastAsia"/>
          <w:bCs/>
          <w:kern w:val="0"/>
          <w:sz w:val="32"/>
          <w:szCs w:val="32"/>
        </w:rPr>
        <w:t>负责市直机关住房制度改革工作，研究拟订住房制度改革方案和实施细则并组织实施；在权限范围内负责市直公务员集中住宅区、保障性住房的建设、管理和服务工作；负责市直机关存量公有住房清查、产权登记、调剂配租、维修维护、资产处置等工作。</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lang w:val="en-US" w:eastAsia="zh-CN"/>
        </w:rPr>
        <w:t>（五）</w:t>
      </w:r>
      <w:r>
        <w:rPr>
          <w:rFonts w:hint="eastAsia" w:asciiTheme="minorEastAsia" w:hAnsiTheme="minorEastAsia"/>
          <w:bCs/>
          <w:kern w:val="0"/>
          <w:sz w:val="32"/>
          <w:szCs w:val="32"/>
        </w:rPr>
        <w:t>指导、监督、检查全市公务用车管理工作；负责市直行政事业单位公务用车的编制、配备、更新、处置以及预算内专项用于解决市领导和市直行政事业单位公务用车的经费管理工作，负责市直公务用车平台管理工作。</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lang w:val="en-US" w:eastAsia="zh-CN"/>
        </w:rPr>
        <w:t>（六）</w:t>
      </w:r>
      <w:r>
        <w:rPr>
          <w:rFonts w:hint="eastAsia" w:asciiTheme="minorEastAsia" w:hAnsiTheme="minorEastAsia"/>
          <w:bCs/>
          <w:kern w:val="0"/>
          <w:sz w:val="32"/>
          <w:szCs w:val="32"/>
        </w:rPr>
        <w:t>统筹协调、指导、推进全市公共机构节能工作，会同有关部门推进全市节约型机关建设，制定推动全市公共机构节能的规划、制度并组织实施；负责市直公共机构节约能源资源管理工作。</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lang w:val="en-US" w:eastAsia="zh-CN"/>
        </w:rPr>
        <w:t>（七）</w:t>
      </w:r>
      <w:r>
        <w:rPr>
          <w:rFonts w:hint="eastAsia" w:asciiTheme="minorEastAsia" w:hAnsiTheme="minorEastAsia"/>
          <w:bCs/>
          <w:kern w:val="0"/>
          <w:sz w:val="32"/>
          <w:szCs w:val="32"/>
        </w:rPr>
        <w:t>负责按规定为异地交流来怀工作的市级领导提供住房保障等服务。</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lang w:val="en-US" w:eastAsia="zh-CN"/>
        </w:rPr>
        <w:t>（八）</w:t>
      </w:r>
      <w:r>
        <w:rPr>
          <w:rFonts w:hint="eastAsia" w:asciiTheme="minorEastAsia" w:hAnsiTheme="minorEastAsia"/>
          <w:bCs/>
          <w:kern w:val="0"/>
          <w:sz w:val="32"/>
          <w:szCs w:val="32"/>
        </w:rPr>
        <w:t>负责市委机关、市政府机关（市民服务中心，下同）的事务管理、保障和服务工作；承担市委机关、市政府机关房屋维修、危旧房改造事务工作；承办市委机关住房交易管理工作。</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lang w:val="en-US" w:eastAsia="zh-CN"/>
        </w:rPr>
        <w:t>（九）</w:t>
      </w:r>
      <w:r>
        <w:rPr>
          <w:rFonts w:hint="eastAsia" w:asciiTheme="minorEastAsia" w:hAnsiTheme="minorEastAsia"/>
          <w:bCs/>
          <w:kern w:val="0"/>
          <w:sz w:val="32"/>
          <w:szCs w:val="32"/>
        </w:rPr>
        <w:t>会同相关部门组织实施市直机关后勤员工培训工作。</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lang w:val="en-US" w:eastAsia="zh-CN"/>
        </w:rPr>
        <w:t>（十）</w:t>
      </w:r>
      <w:r>
        <w:rPr>
          <w:rFonts w:hint="eastAsia" w:asciiTheme="minorEastAsia" w:hAnsiTheme="minorEastAsia"/>
          <w:bCs/>
          <w:kern w:val="0"/>
          <w:sz w:val="32"/>
          <w:szCs w:val="32"/>
        </w:rPr>
        <w:t>承办市委、市政府交办的其它任务。</w:t>
      </w:r>
    </w:p>
    <w:p>
      <w:pPr>
        <w:widowControl/>
        <w:spacing w:line="600" w:lineRule="exact"/>
        <w:ind w:firstLine="640" w:firstLineChars="200"/>
        <w:rPr>
          <w:rFonts w:hint="eastAsia" w:asciiTheme="minorEastAsia" w:hAnsiTheme="minorEastAsia"/>
          <w:bCs/>
          <w:kern w:val="0"/>
          <w:sz w:val="32"/>
          <w:szCs w:val="32"/>
          <w:lang w:eastAsia="zh-CN"/>
        </w:rPr>
      </w:pPr>
      <w:r>
        <w:rPr>
          <w:rFonts w:hint="eastAsia" w:asciiTheme="minorEastAsia" w:hAnsiTheme="minorEastAsia"/>
          <w:bCs/>
          <w:kern w:val="0"/>
          <w:sz w:val="32"/>
          <w:szCs w:val="32"/>
          <w:lang w:val="en-US" w:eastAsia="zh-CN"/>
        </w:rPr>
        <w:t>（十一）</w:t>
      </w:r>
      <w:r>
        <w:rPr>
          <w:rFonts w:hint="eastAsia" w:asciiTheme="minorEastAsia" w:hAnsiTheme="minorEastAsia"/>
          <w:bCs/>
          <w:kern w:val="0"/>
          <w:sz w:val="32"/>
          <w:szCs w:val="32"/>
        </w:rPr>
        <w:t>有关职责分工。市财政局负责制定行政事业单位国有资产管理规章制度，并负责组织实施和监督检查。市机关事务管理局负责市直行政事业单位国有资产管理，承担产权界定、清查登记、资产处置工作，接受市财政局的指导和监督检查。市直行政事业单位按规定负责所属事业单位及派出机构的国有资产管理。</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ind w:firstLine="627" w:firstLineChars="196"/>
        <w:rPr>
          <w:rFonts w:asciiTheme="minorEastAsia" w:hAnsiTheme="minorEastAsia"/>
          <w:sz w:val="32"/>
          <w:szCs w:val="32"/>
        </w:rPr>
      </w:pPr>
      <w:r>
        <w:rPr>
          <w:rFonts w:hint="eastAsia" w:asciiTheme="minorEastAsia" w:hAnsiTheme="minorEastAsia"/>
          <w:sz w:val="32"/>
          <w:szCs w:val="32"/>
        </w:rPr>
        <w:t>（一）内设机构设置</w:t>
      </w:r>
    </w:p>
    <w:p>
      <w:pPr>
        <w:ind w:firstLine="627" w:firstLineChars="196"/>
        <w:rPr>
          <w:rFonts w:asciiTheme="minorEastAsia" w:hAnsiTheme="minorEastAsia"/>
          <w:sz w:val="32"/>
          <w:szCs w:val="32"/>
        </w:rPr>
      </w:pPr>
      <w:r>
        <w:rPr>
          <w:rFonts w:hint="eastAsia" w:asciiTheme="minorEastAsia" w:hAnsiTheme="minorEastAsia"/>
          <w:sz w:val="32"/>
          <w:szCs w:val="32"/>
        </w:rPr>
        <w:t>我局</w:t>
      </w:r>
      <w:r>
        <w:rPr>
          <w:rFonts w:hint="eastAsia" w:asciiTheme="minorEastAsia" w:hAnsiTheme="minorEastAsia"/>
          <w:sz w:val="32"/>
          <w:szCs w:val="32"/>
          <w:lang w:eastAsia="zh-CN"/>
        </w:rPr>
        <w:t>为一级部门预算单位，</w:t>
      </w:r>
      <w:r>
        <w:rPr>
          <w:rFonts w:hint="eastAsia" w:asciiTheme="minorEastAsia" w:hAnsiTheme="minorEastAsia"/>
          <w:sz w:val="32"/>
          <w:szCs w:val="32"/>
        </w:rPr>
        <w:t>内设科室为：办公室、办公用房管理与住房保障科、国有资产管理科、公共机构节能管理科、人事与政策法规科、财务管理科、机关党委。</w:t>
      </w:r>
    </w:p>
    <w:p>
      <w:pPr>
        <w:widowControl/>
        <w:numPr>
          <w:ilvl w:val="0"/>
          <w:numId w:val="2"/>
        </w:numPr>
        <w:ind w:firstLine="627" w:firstLineChars="196"/>
        <w:jc w:val="left"/>
        <w:rPr>
          <w:rFonts w:asciiTheme="minorEastAsia" w:hAnsiTheme="minorEastAsia"/>
          <w:sz w:val="32"/>
          <w:szCs w:val="32"/>
        </w:rPr>
      </w:pPr>
      <w:r>
        <w:rPr>
          <w:rFonts w:hint="eastAsia" w:asciiTheme="minorEastAsia" w:hAnsiTheme="minorEastAsia"/>
          <w:sz w:val="32"/>
          <w:szCs w:val="32"/>
        </w:rPr>
        <w:t>决算单位构成</w:t>
      </w:r>
    </w:p>
    <w:p>
      <w:pPr>
        <w:rPr>
          <w:rFonts w:asciiTheme="minorEastAsia" w:hAnsiTheme="minorEastAsia"/>
          <w:sz w:val="32"/>
          <w:szCs w:val="32"/>
        </w:rPr>
      </w:pPr>
      <w:r>
        <w:rPr>
          <w:rFonts w:hint="eastAsia" w:asciiTheme="minorEastAsia" w:hAnsiTheme="minorEastAsia"/>
          <w:sz w:val="32"/>
          <w:szCs w:val="32"/>
        </w:rPr>
        <w:t xml:space="preserve">     我局202</w:t>
      </w:r>
      <w:r>
        <w:rPr>
          <w:rFonts w:hint="eastAsia" w:asciiTheme="minorEastAsia" w:hAnsiTheme="minorEastAsia"/>
          <w:sz w:val="32"/>
          <w:szCs w:val="32"/>
          <w:lang w:val="en-US" w:eastAsia="zh-CN"/>
        </w:rPr>
        <w:t>1</w:t>
      </w:r>
      <w:r>
        <w:rPr>
          <w:rFonts w:hint="eastAsia" w:asciiTheme="minorEastAsia" w:hAnsiTheme="minorEastAsia"/>
          <w:sz w:val="32"/>
          <w:szCs w:val="32"/>
        </w:rPr>
        <w:t>年部门决算汇总公开单位构成包括：怀化市机关事务管理局本级和怀化市委市政府机关会堂管理所。</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rFonts w:hint="eastAsia"/>
          <w:sz w:val="36"/>
          <w:szCs w:val="36"/>
        </w:rPr>
      </w:pPr>
      <w:r>
        <w:rPr>
          <w:rFonts w:hint="eastAsia"/>
          <w:sz w:val="36"/>
          <w:szCs w:val="36"/>
        </w:rPr>
        <w:t>(具体见附件)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pStyle w:val="10"/>
        <w:jc w:val="center"/>
        <w:rPr>
          <w:sz w:val="72"/>
          <w:szCs w:val="72"/>
        </w:rPr>
      </w:pPr>
    </w:p>
    <w:p>
      <w:pPr>
        <w:pStyle w:val="10"/>
        <w:jc w:val="center"/>
        <w:rPr>
          <w:sz w:val="72"/>
          <w:szCs w:val="72"/>
        </w:rPr>
      </w:pPr>
      <w:r>
        <w:rPr>
          <w:rFonts w:hint="eastAsia"/>
          <w:sz w:val="72"/>
          <w:szCs w:val="72"/>
        </w:rPr>
        <w:t>第三部分</w:t>
      </w:r>
    </w:p>
    <w:p>
      <w:pPr>
        <w:pStyle w:val="10"/>
        <w:jc w:val="center"/>
        <w:rPr>
          <w:sz w:val="70"/>
          <w:szCs w:val="70"/>
        </w:rPr>
      </w:pPr>
    </w:p>
    <w:p>
      <w:pPr>
        <w:pStyle w:val="10"/>
        <w:jc w:val="center"/>
        <w:rPr>
          <w:sz w:val="70"/>
          <w:szCs w:val="70"/>
        </w:rPr>
      </w:pPr>
      <w:r>
        <w:rPr>
          <w:sz w:val="70"/>
          <w:szCs w:val="70"/>
        </w:rPr>
        <w:t>20</w:t>
      </w:r>
      <w:r>
        <w:rPr>
          <w:rFonts w:hint="eastAsia"/>
          <w:sz w:val="70"/>
          <w:szCs w:val="70"/>
        </w:rPr>
        <w:t>21年度部门决算情况说明</w:t>
      </w:r>
    </w:p>
    <w:p>
      <w:pPr>
        <w:widowControl/>
        <w:jc w:val="left"/>
        <w:rPr>
          <w:rFonts w:ascii="黑体" w:eastAsia="黑体" w:cs="黑体"/>
          <w:color w:val="000000"/>
          <w:kern w:val="0"/>
          <w:sz w:val="70"/>
          <w:szCs w:val="70"/>
        </w:rPr>
      </w:pPr>
      <w:r>
        <w:rPr>
          <w:sz w:val="70"/>
          <w:szCs w:val="70"/>
        </w:rPr>
        <w:br w:type="page"/>
      </w:r>
    </w:p>
    <w:p>
      <w:pPr>
        <w:pStyle w:val="10"/>
        <w:rPr>
          <w:rFonts w:asciiTheme="minorEastAsia" w:hAnsiTheme="minorEastAsia" w:eastAsiaTheme="minorEastAsia"/>
          <w:sz w:val="32"/>
          <w:szCs w:val="32"/>
        </w:rPr>
      </w:pPr>
    </w:p>
    <w:p>
      <w:pPr>
        <w:pStyle w:val="10"/>
        <w:rPr>
          <w:rFonts w:hAnsi="黑体"/>
          <w:b/>
          <w:sz w:val="32"/>
          <w:szCs w:val="32"/>
        </w:rPr>
      </w:pPr>
      <w:r>
        <w:rPr>
          <w:rFonts w:hint="eastAsia" w:hAnsi="黑体"/>
          <w:b/>
          <w:sz w:val="32"/>
          <w:szCs w:val="32"/>
        </w:rPr>
        <w:t>一、收入支出决算总体情况说明</w:t>
      </w:r>
    </w:p>
    <w:p>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2021年度收、支</w:t>
      </w:r>
      <w:r>
        <w:rPr>
          <w:rFonts w:hint="eastAsia" w:asciiTheme="minorEastAsia" w:hAnsiTheme="minorEastAsia" w:eastAsiaTheme="minorEastAsia"/>
          <w:sz w:val="32"/>
          <w:szCs w:val="32"/>
          <w:lang w:val="en-US" w:eastAsia="zh-CN"/>
        </w:rPr>
        <w:t>各</w:t>
      </w:r>
      <w:r>
        <w:rPr>
          <w:rFonts w:hint="eastAsia" w:asciiTheme="minorEastAsia" w:hAnsiTheme="minorEastAsia" w:eastAsiaTheme="minorEastAsia"/>
          <w:sz w:val="32"/>
          <w:szCs w:val="32"/>
        </w:rPr>
        <w:t>总计5164.78万元。与上年相比，增加</w:t>
      </w:r>
      <w:r>
        <w:rPr>
          <w:rFonts w:hint="eastAsia" w:asciiTheme="minorEastAsia" w:hAnsiTheme="minorEastAsia" w:eastAsiaTheme="minorEastAsia"/>
          <w:sz w:val="32"/>
          <w:szCs w:val="32"/>
          <w:lang w:val="en-US" w:eastAsia="zh-CN"/>
        </w:rPr>
        <w:t>454.31</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9.64</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市委大院和市民服务中心公用水电费、市委大院和市民服务中心物业管理费有所增加，新增</w:t>
      </w:r>
      <w:r>
        <w:rPr>
          <w:rFonts w:hint="eastAsia" w:asciiTheme="minorEastAsia" w:hAnsiTheme="minorEastAsia" w:eastAsiaTheme="minorEastAsia"/>
          <w:sz w:val="32"/>
          <w:szCs w:val="32"/>
          <w:lang w:val="en-US" w:eastAsia="zh-CN"/>
        </w:rPr>
        <w:t>财源建设奖补资金及科技产业项目（海关改扩建）项目经费。</w:t>
      </w:r>
    </w:p>
    <w:p>
      <w:pPr>
        <w:pStyle w:val="10"/>
        <w:rPr>
          <w:rFonts w:hAnsi="黑体"/>
          <w:b/>
          <w:sz w:val="32"/>
          <w:szCs w:val="32"/>
        </w:rPr>
      </w:pPr>
      <w:r>
        <w:rPr>
          <w:rFonts w:hint="eastAsia" w:hAnsi="黑体"/>
          <w:b/>
          <w:sz w:val="32"/>
          <w:szCs w:val="32"/>
        </w:rPr>
        <w:t>二、收入决算情况说明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w:t>
      </w:r>
      <w:r>
        <w:rPr>
          <w:rFonts w:hint="eastAsia" w:asciiTheme="minorEastAsia" w:hAnsiTheme="minorEastAsia" w:eastAsiaTheme="minorEastAsia"/>
          <w:sz w:val="32"/>
          <w:szCs w:val="32"/>
          <w:lang w:val="en-US" w:eastAsia="zh-CN"/>
        </w:rPr>
        <w:t>5079.32</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4887.63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96.22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无</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eastAsia="zh-CN"/>
        </w:rPr>
        <w:t>和</w:t>
      </w:r>
      <w:r>
        <w:rPr>
          <w:rFonts w:hint="eastAsia" w:asciiTheme="minorEastAsia" w:hAnsiTheme="minorEastAsia" w:eastAsiaTheme="minorEastAsia"/>
          <w:sz w:val="32"/>
          <w:szCs w:val="32"/>
        </w:rPr>
        <w:t>附属单位上缴收入；其他收入191.68万元，占</w:t>
      </w:r>
      <w:r>
        <w:rPr>
          <w:rFonts w:hint="eastAsia" w:asciiTheme="minorEastAsia" w:hAnsiTheme="minorEastAsia" w:eastAsiaTheme="minorEastAsia"/>
          <w:sz w:val="32"/>
          <w:szCs w:val="32"/>
          <w:lang w:val="en-US" w:eastAsia="zh-CN"/>
        </w:rPr>
        <w:t>3.78</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三、支出决算情况说明</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021年度支出合计</w:t>
      </w:r>
      <w:r>
        <w:rPr>
          <w:rFonts w:hint="eastAsia" w:asciiTheme="minorEastAsia" w:hAnsiTheme="minorEastAsia" w:eastAsiaTheme="minorEastAsia"/>
          <w:sz w:val="32"/>
          <w:szCs w:val="32"/>
          <w:lang w:val="en-US" w:eastAsia="zh-CN"/>
        </w:rPr>
        <w:t>5164.78</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1873.49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36.27</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3291.29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63.73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无</w:t>
      </w:r>
      <w:r>
        <w:rPr>
          <w:rFonts w:hint="eastAsia" w:asciiTheme="minorEastAsia" w:hAnsiTheme="minorEastAsia" w:eastAsiaTheme="minorEastAsia"/>
          <w:sz w:val="32"/>
          <w:szCs w:val="32"/>
        </w:rPr>
        <w:t>上缴上级</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eastAsia="zh-CN"/>
        </w:rPr>
        <w:t>和</w:t>
      </w:r>
      <w:r>
        <w:rPr>
          <w:rFonts w:hint="eastAsia" w:asciiTheme="minorEastAsia" w:hAnsiTheme="minorEastAsia" w:eastAsiaTheme="minorEastAsia"/>
          <w:sz w:val="32"/>
          <w:szCs w:val="32"/>
        </w:rPr>
        <w:t>对附属单位补助支出。</w:t>
      </w:r>
    </w:p>
    <w:p>
      <w:pPr>
        <w:pStyle w:val="10"/>
        <w:rPr>
          <w:rFonts w:hAnsi="黑体"/>
          <w:b/>
          <w:sz w:val="32"/>
          <w:szCs w:val="32"/>
        </w:rPr>
      </w:pPr>
      <w:r>
        <w:rPr>
          <w:rFonts w:hint="eastAsia" w:hAnsi="黑体"/>
          <w:b/>
          <w:sz w:val="32"/>
          <w:szCs w:val="32"/>
        </w:rPr>
        <w:t>四、财政拨款收入支出决算总体情况说明</w:t>
      </w:r>
    </w:p>
    <w:p>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2021年度财政拨款收、支总计</w:t>
      </w:r>
      <w:r>
        <w:rPr>
          <w:rFonts w:hint="eastAsia" w:asciiTheme="minorEastAsia" w:hAnsiTheme="minorEastAsia" w:eastAsiaTheme="minorEastAsia"/>
          <w:sz w:val="32"/>
          <w:szCs w:val="32"/>
          <w:lang w:val="en-US" w:eastAsia="zh-CN"/>
        </w:rPr>
        <w:t>各4973.1</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344.15</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7.43</w:t>
      </w:r>
      <w:r>
        <w:rPr>
          <w:rFonts w:hint="eastAsia" w:asciiTheme="minorEastAsia" w:hAnsiTheme="minorEastAsia" w:eastAsiaTheme="minorEastAsia"/>
          <w:sz w:val="32"/>
          <w:szCs w:val="32"/>
        </w:rPr>
        <w:t>%，主要是因为市委大院和市民服务中心公用水电费、市委大院和市民服务中心物业管理费有所增加，新增财源建设奖补资金及科技产业项目（海关改扩建）项目经费。</w:t>
      </w:r>
    </w:p>
    <w:p>
      <w:pPr>
        <w:pStyle w:val="10"/>
        <w:rPr>
          <w:rFonts w:hAnsi="黑体"/>
          <w:b/>
          <w:sz w:val="32"/>
          <w:szCs w:val="32"/>
        </w:rPr>
      </w:pPr>
      <w:r>
        <w:rPr>
          <w:rFonts w:hint="eastAsia" w:hAnsi="黑体"/>
          <w:b/>
          <w:sz w:val="32"/>
          <w:szCs w:val="32"/>
        </w:rPr>
        <w:t>五、一般公共预算财政拨款支出决算情况说明</w:t>
      </w:r>
    </w:p>
    <w:p>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4973.1</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96.29</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608.38</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13.94</w:t>
      </w:r>
      <w:r>
        <w:rPr>
          <w:rFonts w:hint="eastAsia" w:asciiTheme="minorEastAsia" w:hAnsiTheme="minorEastAsia" w:eastAsiaTheme="minorEastAsia"/>
          <w:sz w:val="32"/>
          <w:szCs w:val="32"/>
        </w:rPr>
        <w:t>%，主要是市委大院和市民服务中心公用水电费、市委大院和市民服务中心物业管理费有所增加，新增财源建设奖补资金及科技产业项目（海关改扩建）项目经费。</w:t>
      </w:r>
    </w:p>
    <w:p>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4973.1</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4701.22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94.54</w:t>
      </w:r>
      <w:r>
        <w:rPr>
          <w:rFonts w:hint="eastAsia" w:asciiTheme="minorEastAsia" w:hAnsiTheme="minorEastAsia" w:eastAsiaTheme="minorEastAsia"/>
          <w:sz w:val="32"/>
          <w:szCs w:val="32"/>
        </w:rPr>
        <w:t>%；社会保障和就业支出</w:t>
      </w:r>
      <w:r>
        <w:rPr>
          <w:rFonts w:hint="eastAsia" w:asciiTheme="minorEastAsia" w:hAnsiTheme="minorEastAsia" w:eastAsiaTheme="minorEastAsia"/>
          <w:sz w:val="32"/>
          <w:szCs w:val="32"/>
          <w:lang w:val="en-US" w:eastAsia="zh-CN"/>
        </w:rPr>
        <w:t>174.73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3.52</w:t>
      </w:r>
      <w:r>
        <w:rPr>
          <w:rFonts w:hint="eastAsia" w:asciiTheme="minorEastAsia" w:hAnsiTheme="minorEastAsia" w:eastAsiaTheme="minorEastAsia"/>
          <w:sz w:val="32"/>
          <w:szCs w:val="32"/>
        </w:rPr>
        <w:t>%;卫生健康支出37.15</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0.7</w:t>
      </w:r>
      <w:r>
        <w:rPr>
          <w:rFonts w:hint="eastAsia" w:asciiTheme="minorEastAsia" w:hAnsiTheme="minorEastAsia" w:eastAsiaTheme="minorEastAsia"/>
          <w:sz w:val="32"/>
          <w:szCs w:val="32"/>
        </w:rPr>
        <w:t>%；医疗救助支出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0.04</w:t>
      </w:r>
      <w:r>
        <w:rPr>
          <w:rFonts w:hint="eastAsia" w:asciiTheme="minorEastAsia" w:hAnsiTheme="minorEastAsia" w:eastAsiaTheme="minorEastAsia"/>
          <w:sz w:val="32"/>
          <w:szCs w:val="32"/>
        </w:rPr>
        <w:t>%；节能环保支出</w:t>
      </w:r>
      <w:r>
        <w:rPr>
          <w:rFonts w:hint="eastAsia" w:asciiTheme="minorEastAsia" w:hAnsiTheme="minorEastAsia" w:eastAsiaTheme="minorEastAsia"/>
          <w:sz w:val="32"/>
          <w:szCs w:val="32"/>
          <w:lang w:val="en-US" w:eastAsia="zh-CN"/>
        </w:rPr>
        <w:t>60</w:t>
      </w:r>
      <w:r>
        <w:rPr>
          <w:rFonts w:hint="eastAsia" w:asciiTheme="minorEastAsia" w:hAnsiTheme="minorEastAsia" w:eastAsiaTheme="minorEastAsia"/>
          <w:sz w:val="32"/>
          <w:szCs w:val="32"/>
          <w:lang w:eastAsia="zh-CN"/>
        </w:rPr>
        <w:t>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w:t>
      </w:r>
      <w:r>
        <w:rPr>
          <w:rFonts w:hint="eastAsia" w:asciiTheme="minorEastAsia" w:hAnsiTheme="minorEastAsia" w:eastAsiaTheme="minorEastAsia"/>
          <w:sz w:val="32"/>
          <w:szCs w:val="32"/>
          <w:lang w:val="en-US" w:eastAsia="zh-CN"/>
        </w:rPr>
        <w:t>2134.16</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4973.1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233.02</w:t>
      </w:r>
      <w:r>
        <w:rPr>
          <w:rFonts w:hint="eastAsia" w:asciiTheme="minorEastAsia" w:hAnsiTheme="minorEastAsia" w:eastAsiaTheme="minorEastAsia"/>
          <w:sz w:val="32"/>
          <w:szCs w:val="32"/>
        </w:rPr>
        <w:t>%，其中：</w:t>
      </w:r>
    </w:p>
    <w:p>
      <w:pPr>
        <w:pStyle w:val="10"/>
        <w:ind w:firstLine="640" w:firstLineChars="200"/>
        <w:rPr>
          <w:rFonts w:cs="宋体" w:asciiTheme="minorEastAsia" w:hAnsiTheme="minorEastAsia" w:eastAsiaTheme="minorEastAsia"/>
          <w:color w:val="auto"/>
          <w:sz w:val="32"/>
          <w:szCs w:val="32"/>
        </w:rPr>
      </w:pPr>
      <w:r>
        <w:rPr>
          <w:rFonts w:hint="eastAsia" w:asciiTheme="minorEastAsia" w:hAnsiTheme="minorEastAsia" w:eastAsiaTheme="minorEastAsia"/>
          <w:sz w:val="32"/>
          <w:szCs w:val="32"/>
        </w:rPr>
        <w:t>1、</w:t>
      </w:r>
      <w:r>
        <w:rPr>
          <w:rFonts w:hint="eastAsia" w:cs="宋体" w:asciiTheme="minorEastAsia" w:hAnsiTheme="minorEastAsia" w:eastAsiaTheme="minorEastAsia"/>
          <w:color w:val="auto"/>
          <w:sz w:val="32"/>
          <w:szCs w:val="32"/>
        </w:rPr>
        <w:t>一般公共服务（类）政府办公厅（室）及相关机构事务（款）行政运行（项）。</w:t>
      </w:r>
    </w:p>
    <w:p>
      <w:pPr>
        <w:pStyle w:val="10"/>
        <w:ind w:firstLine="640" w:firstLineChars="200"/>
        <w:rPr>
          <w:rFonts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，支出决算为674.68万元，决算数大于年初预算数的主要原因是：在职干部职工人员经费在年初预算时列入了一般公共服务（类）政府办公厅（室）及相关机构事务（款）机关服务（项）。</w:t>
      </w:r>
    </w:p>
    <w:p>
      <w:pPr>
        <w:pStyle w:val="10"/>
        <w:ind w:firstLine="640" w:firstLineChars="200"/>
        <w:rPr>
          <w:rFonts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rPr>
        <w:t>2、一般公共服务（类）政府办公厅（室）及相关机构事务（款）一般行政管理事务（项）。</w:t>
      </w:r>
    </w:p>
    <w:p>
      <w:pPr>
        <w:pStyle w:val="10"/>
        <w:ind w:firstLine="640" w:firstLineChars="200"/>
        <w:rPr>
          <w:rFonts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，支出决算为423.6万元，决算数大于年初预算数的主要原因是：市委大院和市民中心的维修费和市民中心空调燃气费年初预算列入财政局资产科，由财政下达后我局开支。</w:t>
      </w:r>
    </w:p>
    <w:p>
      <w:pPr>
        <w:pStyle w:val="10"/>
        <w:ind w:firstLine="640" w:firstLineChars="200"/>
        <w:rPr>
          <w:rFonts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rPr>
        <w:t>3、一般公共服务（类）政府办公厅（室）及相关机构事务（款）机关服务（项）。</w:t>
      </w:r>
    </w:p>
    <w:p>
      <w:pPr>
        <w:pStyle w:val="10"/>
        <w:ind w:firstLine="640" w:firstLineChars="200"/>
        <w:rPr>
          <w:rFonts w:hint="eastAsia"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rPr>
        <w:t>年初预算为</w:t>
      </w:r>
      <w:r>
        <w:rPr>
          <w:rFonts w:hint="eastAsia" w:cs="宋体" w:asciiTheme="minorEastAsia" w:hAnsiTheme="minorEastAsia" w:eastAsiaTheme="minorEastAsia"/>
          <w:color w:val="auto"/>
          <w:sz w:val="32"/>
          <w:szCs w:val="32"/>
          <w:lang w:val="en-US" w:eastAsia="zh-CN"/>
        </w:rPr>
        <w:t>1931.42</w:t>
      </w:r>
      <w:r>
        <w:rPr>
          <w:rFonts w:hint="eastAsia" w:cs="宋体" w:asciiTheme="minorEastAsia" w:hAnsiTheme="minorEastAsia" w:eastAsiaTheme="minorEastAsia"/>
          <w:color w:val="auto"/>
          <w:sz w:val="32"/>
          <w:szCs w:val="32"/>
        </w:rPr>
        <w:t>万元，支出决算为</w:t>
      </w:r>
      <w:r>
        <w:rPr>
          <w:rFonts w:hint="eastAsia" w:cs="宋体" w:asciiTheme="minorEastAsia" w:hAnsiTheme="minorEastAsia" w:eastAsiaTheme="minorEastAsia"/>
          <w:color w:val="auto"/>
          <w:sz w:val="32"/>
          <w:szCs w:val="32"/>
          <w:lang w:val="en-US" w:eastAsia="zh-CN"/>
        </w:rPr>
        <w:t>1612.62</w:t>
      </w:r>
      <w:r>
        <w:rPr>
          <w:rFonts w:hint="eastAsia" w:cs="宋体" w:asciiTheme="minorEastAsia" w:hAnsiTheme="minorEastAsia" w:eastAsiaTheme="minorEastAsia"/>
          <w:color w:val="auto"/>
          <w:sz w:val="32"/>
          <w:szCs w:val="32"/>
        </w:rPr>
        <w:t>万元，完成年初预算的</w:t>
      </w:r>
      <w:r>
        <w:rPr>
          <w:rFonts w:hint="eastAsia" w:cs="宋体" w:asciiTheme="minorEastAsia" w:hAnsiTheme="minorEastAsia" w:eastAsiaTheme="minorEastAsia"/>
          <w:color w:val="auto"/>
          <w:sz w:val="32"/>
          <w:szCs w:val="32"/>
          <w:lang w:val="en-US" w:eastAsia="zh-CN"/>
        </w:rPr>
        <w:t>83.49</w:t>
      </w:r>
      <w:r>
        <w:rPr>
          <w:rFonts w:hint="eastAsia" w:cs="宋体" w:asciiTheme="minorEastAsia" w:hAnsiTheme="minorEastAsia" w:eastAsiaTheme="minorEastAsia"/>
          <w:color w:val="auto"/>
          <w:sz w:val="32"/>
          <w:szCs w:val="32"/>
        </w:rPr>
        <w:t>%，决算数小于年初预算数的主要原因是：在职干部职工人员经费开支列入一般公共服务（类）政府办公厅（室）及相关机构事务（款）行政运行（项）决算。</w:t>
      </w:r>
    </w:p>
    <w:p>
      <w:pPr>
        <w:pStyle w:val="10"/>
        <w:ind w:firstLine="640" w:firstLineChars="200"/>
        <w:rPr>
          <w:rFonts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lang w:val="en-US" w:eastAsia="zh-CN"/>
        </w:rPr>
        <w:t>4</w:t>
      </w:r>
      <w:r>
        <w:rPr>
          <w:rFonts w:hint="eastAsia" w:cs="宋体" w:asciiTheme="minorEastAsia" w:hAnsiTheme="minorEastAsia" w:eastAsiaTheme="minorEastAsia"/>
          <w:color w:val="auto"/>
          <w:sz w:val="32"/>
          <w:szCs w:val="32"/>
        </w:rPr>
        <w:t>、一般公共服务（类）其他一般公共服务支出（款）其他政府办公厅（室）及相关机构事务支出（项）。</w:t>
      </w:r>
    </w:p>
    <w:p>
      <w:pPr>
        <w:pStyle w:val="10"/>
        <w:ind w:firstLine="640" w:firstLineChars="200"/>
        <w:rPr>
          <w:rFonts w:hint="eastAsia"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eastAsia="zh-CN"/>
        </w:rPr>
        <w:t>为14.5万元</w:t>
      </w:r>
      <w:r>
        <w:rPr>
          <w:rFonts w:hint="eastAsia" w:cs="宋体" w:asciiTheme="minorEastAsia" w:hAnsiTheme="minorEastAsia" w:eastAsiaTheme="minorEastAsia"/>
          <w:color w:val="auto"/>
          <w:sz w:val="32"/>
          <w:szCs w:val="32"/>
        </w:rPr>
        <w:t>，支出决算为84.27万元，完成年初预算的</w:t>
      </w:r>
      <w:r>
        <w:rPr>
          <w:rFonts w:hint="eastAsia" w:cs="宋体" w:asciiTheme="minorEastAsia" w:hAnsiTheme="minorEastAsia" w:eastAsiaTheme="minorEastAsia"/>
          <w:color w:val="auto"/>
          <w:sz w:val="32"/>
          <w:szCs w:val="32"/>
          <w:lang w:val="en-US" w:eastAsia="zh-CN"/>
        </w:rPr>
        <w:t>581.17</w:t>
      </w:r>
      <w:r>
        <w:rPr>
          <w:rFonts w:hint="eastAsia" w:cs="宋体" w:asciiTheme="minorEastAsia" w:hAnsiTheme="minorEastAsia" w:eastAsiaTheme="minorEastAsia"/>
          <w:color w:val="auto"/>
          <w:sz w:val="32"/>
          <w:szCs w:val="32"/>
        </w:rPr>
        <w:t>%，决算数大于年初预算数的主要原因是：追加</w:t>
      </w:r>
      <w:r>
        <w:rPr>
          <w:rFonts w:hint="eastAsia" w:cs="宋体" w:asciiTheme="minorEastAsia" w:hAnsiTheme="minorEastAsia" w:eastAsiaTheme="minorEastAsia"/>
          <w:color w:val="auto"/>
          <w:sz w:val="32"/>
          <w:szCs w:val="32"/>
          <w:lang w:eastAsia="zh-CN"/>
        </w:rPr>
        <w:t>物业管理费</w:t>
      </w:r>
      <w:r>
        <w:rPr>
          <w:rFonts w:hint="eastAsia" w:cs="宋体" w:asciiTheme="minorEastAsia" w:hAnsiTheme="minorEastAsia" w:eastAsiaTheme="minorEastAsia"/>
          <w:color w:val="auto"/>
          <w:sz w:val="32"/>
          <w:szCs w:val="32"/>
        </w:rPr>
        <w:t>。</w:t>
      </w:r>
    </w:p>
    <w:p>
      <w:pPr>
        <w:pStyle w:val="10"/>
        <w:numPr>
          <w:ilvl w:val="0"/>
          <w:numId w:val="3"/>
        </w:numPr>
        <w:ind w:firstLine="640" w:firstLineChars="200"/>
        <w:rPr>
          <w:rFonts w:hint="eastAsia"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rPr>
        <w:t>一般公共服务（类）财政事务（款）其他财政事务支出（项）。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rPr>
        <w:t>无年初预算，支出决算为</w:t>
      </w:r>
      <w:r>
        <w:rPr>
          <w:rFonts w:hint="eastAsia" w:cs="宋体" w:asciiTheme="minorEastAsia" w:hAnsiTheme="minorEastAsia" w:eastAsiaTheme="minorEastAsia"/>
          <w:color w:val="auto"/>
          <w:sz w:val="32"/>
          <w:szCs w:val="32"/>
          <w:lang w:val="en-US" w:eastAsia="zh-CN"/>
        </w:rPr>
        <w:t>5.5</w:t>
      </w:r>
      <w:r>
        <w:rPr>
          <w:rFonts w:hint="eastAsia" w:cs="宋体" w:asciiTheme="minorEastAsia" w:hAnsiTheme="minorEastAsia" w:eastAsiaTheme="minorEastAsia"/>
          <w:color w:val="auto"/>
          <w:sz w:val="32"/>
          <w:szCs w:val="32"/>
        </w:rPr>
        <w:t>万元，决算数大于年初预算数的主要原因是：</w:t>
      </w:r>
      <w:r>
        <w:rPr>
          <w:rFonts w:hint="eastAsia" w:cs="宋体" w:asciiTheme="minorEastAsia" w:hAnsiTheme="minorEastAsia" w:eastAsiaTheme="minorEastAsia"/>
          <w:color w:val="auto"/>
          <w:sz w:val="32"/>
          <w:szCs w:val="32"/>
          <w:lang w:eastAsia="zh-CN"/>
        </w:rPr>
        <w:t>追加资产管理工作经费。</w:t>
      </w:r>
    </w:p>
    <w:p>
      <w:pPr>
        <w:pStyle w:val="10"/>
        <w:numPr>
          <w:ilvl w:val="0"/>
          <w:numId w:val="3"/>
        </w:numPr>
        <w:ind w:firstLine="640" w:firstLineChars="200"/>
        <w:rPr>
          <w:rFonts w:hint="eastAsia"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rPr>
        <w:t>一般公共服务（类）海关事务（款）其他海关事务支出（项）。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，支出决算为964.8万元，决算数大于年初预算数的主要原因是：</w:t>
      </w:r>
      <w:r>
        <w:rPr>
          <w:rFonts w:hint="eastAsia" w:cs="宋体" w:asciiTheme="minorEastAsia" w:hAnsiTheme="minorEastAsia" w:eastAsiaTheme="minorEastAsia"/>
          <w:color w:val="auto"/>
          <w:sz w:val="32"/>
          <w:szCs w:val="32"/>
          <w:lang w:eastAsia="zh-CN"/>
        </w:rPr>
        <w:t>追加海关改扩建项目经费。</w:t>
      </w:r>
    </w:p>
    <w:p>
      <w:pPr>
        <w:pStyle w:val="10"/>
        <w:numPr>
          <w:ilvl w:val="0"/>
          <w:numId w:val="3"/>
        </w:numPr>
        <w:ind w:firstLine="640" w:firstLineChars="200"/>
        <w:rPr>
          <w:rFonts w:hint="eastAsia"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rPr>
        <w:t>一般公共服务（类）党委办公厅（室）及相关机构事务（款） 一般行政管理事务（项）。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，支出决算为11.45万元，决算数大于年初预算数的主要原因是：</w:t>
      </w:r>
      <w:r>
        <w:rPr>
          <w:rFonts w:hint="eastAsia" w:cs="宋体" w:asciiTheme="minorEastAsia" w:hAnsiTheme="minorEastAsia" w:eastAsiaTheme="minorEastAsia"/>
          <w:color w:val="auto"/>
          <w:sz w:val="32"/>
          <w:szCs w:val="32"/>
          <w:lang w:eastAsia="zh-CN"/>
        </w:rPr>
        <w:t>追加市直单位老干部活动经费。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lang w:val="en-US" w:eastAsia="zh-CN"/>
        </w:rPr>
        <w:t>8、</w:t>
      </w:r>
      <w:r>
        <w:rPr>
          <w:rFonts w:hint="eastAsia" w:cs="宋体" w:asciiTheme="minorEastAsia" w:hAnsiTheme="minorEastAsia" w:eastAsiaTheme="minorEastAsia"/>
          <w:color w:val="auto"/>
          <w:sz w:val="32"/>
          <w:szCs w:val="32"/>
        </w:rPr>
        <w:t>一般公共服务（类）党委办公厅（室）及相关机构事务（款）机关服务（项）。</w:t>
      </w:r>
    </w:p>
    <w:p>
      <w:pPr>
        <w:pStyle w:val="10"/>
        <w:ind w:firstLine="640" w:firstLineChars="200"/>
        <w:rPr>
          <w:rFonts w:hint="eastAsia" w:cs="宋体" w:asciiTheme="minorEastAsia" w:hAnsiTheme="minorEastAsia" w:eastAsiaTheme="minorEastAsia"/>
          <w:color w:val="auto"/>
          <w:sz w:val="32"/>
          <w:szCs w:val="32"/>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eastAsia="zh-CN"/>
        </w:rPr>
        <w:t>为160.00万元</w:t>
      </w:r>
      <w:r>
        <w:rPr>
          <w:rFonts w:hint="eastAsia" w:cs="宋体" w:asciiTheme="minorEastAsia" w:hAnsiTheme="minorEastAsia" w:eastAsiaTheme="minorEastAsia"/>
          <w:color w:val="auto"/>
          <w:sz w:val="32"/>
          <w:szCs w:val="32"/>
        </w:rPr>
        <w:t>，支出决算为159.59万元，完成年初预算的</w:t>
      </w:r>
      <w:r>
        <w:rPr>
          <w:rFonts w:hint="eastAsia" w:cs="宋体" w:asciiTheme="minorEastAsia" w:hAnsiTheme="minorEastAsia" w:eastAsiaTheme="minorEastAsia"/>
          <w:color w:val="auto"/>
          <w:sz w:val="32"/>
          <w:szCs w:val="32"/>
          <w:lang w:val="en-US" w:eastAsia="zh-CN"/>
        </w:rPr>
        <w:t>99.74</w:t>
      </w:r>
      <w:r>
        <w:rPr>
          <w:rFonts w:hint="eastAsia" w:cs="宋体" w:asciiTheme="minorEastAsia" w:hAnsiTheme="minorEastAsia" w:eastAsiaTheme="minorEastAsia"/>
          <w:color w:val="auto"/>
          <w:sz w:val="32"/>
          <w:szCs w:val="32"/>
        </w:rPr>
        <w:t>%，决算数</w:t>
      </w:r>
      <w:r>
        <w:rPr>
          <w:rFonts w:hint="eastAsia" w:cs="宋体" w:asciiTheme="minorEastAsia" w:hAnsiTheme="minorEastAsia" w:eastAsiaTheme="minorEastAsia"/>
          <w:color w:val="auto"/>
          <w:sz w:val="32"/>
          <w:szCs w:val="32"/>
          <w:lang w:eastAsia="zh-CN"/>
        </w:rPr>
        <w:t>小</w:t>
      </w:r>
      <w:r>
        <w:rPr>
          <w:rFonts w:hint="eastAsia" w:cs="宋体" w:asciiTheme="minorEastAsia" w:hAnsiTheme="minorEastAsia" w:eastAsiaTheme="minorEastAsia"/>
          <w:color w:val="auto"/>
          <w:sz w:val="32"/>
          <w:szCs w:val="32"/>
        </w:rPr>
        <w:t>于年初预算数的主要原因是：公车改革经费和公车管理办运行经费</w:t>
      </w:r>
      <w:r>
        <w:rPr>
          <w:rFonts w:hint="eastAsia" w:cs="宋体" w:asciiTheme="minorEastAsia" w:hAnsiTheme="minorEastAsia" w:eastAsiaTheme="minorEastAsia"/>
          <w:color w:val="auto"/>
          <w:sz w:val="32"/>
          <w:szCs w:val="32"/>
          <w:lang w:eastAsia="zh-CN"/>
        </w:rPr>
        <w:t>结转至下年</w:t>
      </w:r>
      <w:r>
        <w:rPr>
          <w:rFonts w:hint="eastAsia" w:cs="宋体" w:asciiTheme="minorEastAsia" w:hAnsiTheme="minorEastAsia" w:eastAsiaTheme="minorEastAsia"/>
          <w:color w:val="auto"/>
          <w:sz w:val="32"/>
          <w:szCs w:val="32"/>
        </w:rPr>
        <w:t>。</w:t>
      </w:r>
    </w:p>
    <w:p>
      <w:pPr>
        <w:pStyle w:val="10"/>
        <w:ind w:firstLine="640" w:firstLineChars="200"/>
        <w:rPr>
          <w:rFonts w:hint="eastAsia" w:cs="宋体" w:asciiTheme="minorEastAsia" w:hAnsiTheme="minorEastAsia" w:eastAsiaTheme="minorEastAsia"/>
          <w:color w:val="auto"/>
          <w:sz w:val="32"/>
          <w:szCs w:val="32"/>
          <w:lang w:val="en-US" w:eastAsia="zh-CN"/>
        </w:rPr>
      </w:pPr>
      <w:r>
        <w:rPr>
          <w:rFonts w:hint="eastAsia" w:cs="宋体" w:asciiTheme="minorEastAsia" w:hAnsiTheme="minorEastAsia" w:eastAsiaTheme="minorEastAsia"/>
          <w:color w:val="auto"/>
          <w:sz w:val="32"/>
          <w:szCs w:val="32"/>
          <w:lang w:val="en-US" w:eastAsia="zh-CN"/>
        </w:rPr>
        <w:t>9、</w:t>
      </w:r>
      <w:r>
        <w:rPr>
          <w:rFonts w:hint="eastAsia" w:cs="宋体" w:asciiTheme="minorEastAsia" w:hAnsiTheme="minorEastAsia" w:eastAsiaTheme="minorEastAsia"/>
          <w:color w:val="auto"/>
          <w:sz w:val="32"/>
          <w:szCs w:val="32"/>
        </w:rPr>
        <w:t>一般公共服务（类）组织事务（款）其他组织事务支出（项）。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，支出决算为3.2万元，决算数大于年初预算数的主要原因是：</w:t>
      </w:r>
      <w:r>
        <w:rPr>
          <w:rFonts w:hint="eastAsia" w:cs="宋体" w:asciiTheme="minorEastAsia" w:hAnsiTheme="minorEastAsia" w:eastAsiaTheme="minorEastAsia"/>
          <w:color w:val="auto"/>
          <w:sz w:val="32"/>
          <w:szCs w:val="32"/>
          <w:lang w:eastAsia="zh-CN"/>
        </w:rPr>
        <w:t>上年结转人才资源开发专项资金。</w:t>
      </w:r>
    </w:p>
    <w:p>
      <w:pPr>
        <w:pStyle w:val="10"/>
        <w:ind w:firstLine="640" w:firstLineChars="200"/>
        <w:rPr>
          <w:rFonts w:hint="eastAsia" w:cs="宋体" w:asciiTheme="minorEastAsia" w:hAnsiTheme="minorEastAsia" w:eastAsiaTheme="minorEastAsia"/>
          <w:color w:val="auto"/>
          <w:sz w:val="32"/>
          <w:szCs w:val="32"/>
          <w:lang w:val="en-US" w:eastAsia="zh-CN"/>
        </w:rPr>
      </w:pPr>
      <w:r>
        <w:rPr>
          <w:rFonts w:hint="eastAsia" w:cs="宋体" w:asciiTheme="minorEastAsia" w:hAnsiTheme="minorEastAsia" w:eastAsiaTheme="minorEastAsia"/>
          <w:color w:val="auto"/>
          <w:sz w:val="32"/>
          <w:szCs w:val="32"/>
          <w:lang w:val="en-US" w:eastAsia="zh-CN"/>
        </w:rPr>
        <w:t>10、</w:t>
      </w:r>
      <w:r>
        <w:rPr>
          <w:rFonts w:hint="eastAsia" w:cs="宋体" w:asciiTheme="minorEastAsia" w:hAnsiTheme="minorEastAsia" w:eastAsiaTheme="minorEastAsia"/>
          <w:color w:val="auto"/>
          <w:sz w:val="32"/>
          <w:szCs w:val="32"/>
        </w:rPr>
        <w:t>一般公共服务（类）其他一般公共服务支出（款）其他一般公共服务支出支出（项）。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w:t>
      </w:r>
      <w:r>
        <w:rPr>
          <w:rFonts w:hint="eastAsia" w:cs="宋体" w:asciiTheme="minorEastAsia" w:hAnsiTheme="minorEastAsia" w:eastAsiaTheme="minorEastAsia"/>
          <w:color w:val="auto"/>
          <w:sz w:val="32"/>
          <w:szCs w:val="32"/>
          <w:lang w:val="en-US" w:eastAsia="zh-CN"/>
        </w:rPr>
        <w:t>761.51</w:t>
      </w:r>
      <w:r>
        <w:rPr>
          <w:rFonts w:hint="eastAsia" w:cs="宋体" w:asciiTheme="minorEastAsia" w:hAnsiTheme="minorEastAsia" w:eastAsiaTheme="minorEastAsia"/>
          <w:color w:val="auto"/>
          <w:sz w:val="32"/>
          <w:szCs w:val="32"/>
        </w:rPr>
        <w:t>万元，决算数大于年初预算数的主要原因是：</w:t>
      </w:r>
      <w:r>
        <w:rPr>
          <w:rFonts w:hint="eastAsia" w:cs="宋体" w:asciiTheme="minorEastAsia" w:hAnsiTheme="minorEastAsia" w:eastAsiaTheme="minorEastAsia"/>
          <w:color w:val="auto"/>
          <w:sz w:val="32"/>
          <w:szCs w:val="32"/>
          <w:lang w:eastAsia="zh-CN"/>
        </w:rPr>
        <w:t>追加怀化市委市政府机关退管所妇委会建党100周年活动、市级领导周转公房和机关会堂维修经费，2021年市委市政府机关大院水电费由财政代下达。</w:t>
      </w:r>
    </w:p>
    <w:p>
      <w:pPr>
        <w:pStyle w:val="10"/>
        <w:ind w:firstLine="640" w:firstLineChars="200"/>
        <w:rPr>
          <w:rFonts w:hint="eastAsia" w:cs="宋体" w:asciiTheme="minorEastAsia" w:hAnsiTheme="minorEastAsia" w:eastAsiaTheme="minorEastAsia"/>
          <w:color w:val="auto"/>
          <w:sz w:val="32"/>
          <w:szCs w:val="32"/>
          <w:lang w:val="en-US" w:eastAsia="zh-CN"/>
        </w:rPr>
      </w:pPr>
      <w:r>
        <w:rPr>
          <w:rFonts w:hint="eastAsia" w:cs="宋体" w:asciiTheme="minorEastAsia" w:hAnsiTheme="minorEastAsia" w:eastAsiaTheme="minorEastAsia"/>
          <w:color w:val="auto"/>
          <w:sz w:val="32"/>
          <w:szCs w:val="32"/>
          <w:lang w:val="en-US" w:eastAsia="zh-CN"/>
        </w:rPr>
        <w:t>11、</w:t>
      </w:r>
      <w:r>
        <w:rPr>
          <w:rFonts w:hint="eastAsia" w:cs="宋体" w:asciiTheme="minorEastAsia" w:hAnsiTheme="minorEastAsia" w:eastAsiaTheme="minorEastAsia"/>
          <w:color w:val="auto"/>
          <w:sz w:val="32"/>
          <w:szCs w:val="32"/>
        </w:rPr>
        <w:t>社会保障和就业支出（类）行政事业单位养老支出（款）机关事业单位基本养老保险缴费支出（项）。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，支出决算为67.51万元，决算数大于年初预算数的主要原因是：</w:t>
      </w:r>
      <w:r>
        <w:rPr>
          <w:rFonts w:hint="eastAsia" w:cs="宋体" w:asciiTheme="minorEastAsia" w:hAnsiTheme="minorEastAsia" w:eastAsiaTheme="minorEastAsia"/>
          <w:color w:val="auto"/>
          <w:sz w:val="32"/>
          <w:szCs w:val="32"/>
          <w:lang w:eastAsia="zh-CN"/>
        </w:rPr>
        <w:t>养老保险缴费。</w:t>
      </w:r>
    </w:p>
    <w:p>
      <w:pPr>
        <w:pStyle w:val="10"/>
        <w:ind w:firstLine="640" w:firstLineChars="200"/>
        <w:rPr>
          <w:rFonts w:hint="eastAsia" w:cs="宋体" w:asciiTheme="minorEastAsia" w:hAnsiTheme="minorEastAsia" w:eastAsiaTheme="minorEastAsia"/>
          <w:color w:val="auto"/>
          <w:sz w:val="32"/>
          <w:szCs w:val="32"/>
          <w:lang w:val="en-US" w:eastAsia="zh-CN"/>
        </w:rPr>
      </w:pPr>
      <w:r>
        <w:rPr>
          <w:rFonts w:hint="eastAsia" w:cs="宋体" w:asciiTheme="minorEastAsia" w:hAnsiTheme="minorEastAsia" w:eastAsiaTheme="minorEastAsia"/>
          <w:color w:val="auto"/>
          <w:sz w:val="32"/>
          <w:szCs w:val="32"/>
          <w:lang w:val="en-US" w:eastAsia="zh-CN"/>
        </w:rPr>
        <w:t>12、</w:t>
      </w:r>
      <w:r>
        <w:rPr>
          <w:rFonts w:hint="eastAsia" w:cs="宋体" w:asciiTheme="minorEastAsia" w:hAnsiTheme="minorEastAsia" w:eastAsiaTheme="minorEastAsia"/>
          <w:color w:val="auto"/>
          <w:sz w:val="32"/>
          <w:szCs w:val="32"/>
        </w:rPr>
        <w:t>社会保障和就业支出（类）行政事业单位养老支出（款） 其他行政事业单位养老支出（项）。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w:t>
      </w:r>
      <w:r>
        <w:rPr>
          <w:rFonts w:hint="eastAsia" w:cs="宋体" w:asciiTheme="minorEastAsia" w:hAnsiTheme="minorEastAsia" w:eastAsiaTheme="minorEastAsia"/>
          <w:color w:val="auto"/>
          <w:sz w:val="32"/>
          <w:szCs w:val="32"/>
          <w:lang w:val="en-US" w:eastAsia="zh-CN"/>
        </w:rPr>
        <w:t>107.22</w:t>
      </w:r>
      <w:r>
        <w:rPr>
          <w:rFonts w:hint="eastAsia" w:cs="宋体" w:asciiTheme="minorEastAsia" w:hAnsiTheme="minorEastAsia" w:eastAsiaTheme="minorEastAsia"/>
          <w:color w:val="auto"/>
          <w:sz w:val="32"/>
          <w:szCs w:val="32"/>
        </w:rPr>
        <w:t>万元，决算数大于年初预算数的主要原因是：</w:t>
      </w:r>
      <w:r>
        <w:rPr>
          <w:rFonts w:hint="eastAsia" w:cs="宋体" w:asciiTheme="minorEastAsia" w:hAnsiTheme="minorEastAsia" w:eastAsiaTheme="minorEastAsia"/>
          <w:color w:val="auto"/>
          <w:sz w:val="32"/>
          <w:szCs w:val="32"/>
          <w:lang w:eastAsia="zh-CN"/>
        </w:rPr>
        <w:t>追加离退休人员春节一次性生活补助。</w:t>
      </w:r>
    </w:p>
    <w:p>
      <w:pPr>
        <w:pStyle w:val="10"/>
        <w:ind w:firstLine="640" w:firstLineChars="200"/>
        <w:rPr>
          <w:rFonts w:hint="eastAsia" w:cs="宋体" w:asciiTheme="minorEastAsia" w:hAnsiTheme="minorEastAsia" w:eastAsiaTheme="minorEastAsia"/>
          <w:color w:val="auto"/>
          <w:sz w:val="32"/>
          <w:szCs w:val="32"/>
          <w:lang w:val="en-US" w:eastAsia="zh-CN"/>
        </w:rPr>
      </w:pPr>
      <w:r>
        <w:rPr>
          <w:rFonts w:hint="eastAsia" w:cs="宋体" w:asciiTheme="minorEastAsia" w:hAnsiTheme="minorEastAsia" w:eastAsiaTheme="minorEastAsia"/>
          <w:color w:val="auto"/>
          <w:sz w:val="32"/>
          <w:szCs w:val="32"/>
          <w:lang w:val="en-US" w:eastAsia="zh-CN"/>
        </w:rPr>
        <w:t>13、</w:t>
      </w:r>
      <w:r>
        <w:rPr>
          <w:rFonts w:hint="eastAsia" w:cs="宋体" w:asciiTheme="minorEastAsia" w:hAnsiTheme="minorEastAsia" w:eastAsiaTheme="minorEastAsia"/>
          <w:color w:val="auto"/>
          <w:sz w:val="32"/>
          <w:szCs w:val="32"/>
        </w:rPr>
        <w:t>卫生健康支出（类）行政事业单位医疗（款） 行政单位医疗（项）。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，支出决算为33.44万元，决算数大于年初预算数的主要原因是：职工基本医疗保险缴费</w:t>
      </w:r>
      <w:r>
        <w:rPr>
          <w:rFonts w:hint="eastAsia" w:cs="宋体" w:asciiTheme="minorEastAsia" w:hAnsiTheme="minorEastAsia" w:eastAsiaTheme="minorEastAsia"/>
          <w:color w:val="auto"/>
          <w:sz w:val="32"/>
          <w:szCs w:val="32"/>
          <w:lang w:eastAsia="zh-CN"/>
        </w:rPr>
        <w:t>。</w:t>
      </w:r>
    </w:p>
    <w:p>
      <w:pPr>
        <w:pStyle w:val="10"/>
        <w:ind w:firstLine="640" w:firstLineChars="200"/>
        <w:rPr>
          <w:rFonts w:hint="eastAsia" w:cs="宋体" w:asciiTheme="minorEastAsia" w:hAnsiTheme="minorEastAsia" w:eastAsiaTheme="minorEastAsia"/>
          <w:color w:val="auto"/>
          <w:sz w:val="32"/>
          <w:szCs w:val="32"/>
          <w:lang w:val="en-US" w:eastAsia="zh-CN"/>
        </w:rPr>
      </w:pPr>
      <w:r>
        <w:rPr>
          <w:rFonts w:hint="eastAsia" w:cs="宋体" w:asciiTheme="minorEastAsia" w:hAnsiTheme="minorEastAsia" w:eastAsiaTheme="minorEastAsia"/>
          <w:color w:val="auto"/>
          <w:sz w:val="32"/>
          <w:szCs w:val="32"/>
          <w:lang w:val="en-US" w:eastAsia="zh-CN"/>
        </w:rPr>
        <w:t>14、</w:t>
      </w:r>
      <w:r>
        <w:rPr>
          <w:rFonts w:hint="eastAsia" w:cs="宋体" w:asciiTheme="minorEastAsia" w:hAnsiTheme="minorEastAsia" w:eastAsiaTheme="minorEastAsia"/>
          <w:color w:val="auto"/>
          <w:sz w:val="32"/>
          <w:szCs w:val="32"/>
        </w:rPr>
        <w:t>卫生健康支出（类）行政事业单位医疗（款）其他行政事业单位医疗支出（项）。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，支出决算为1.71万元，决算数大于年初预算数的主要原因是：职工基本医疗保险缴费</w:t>
      </w:r>
      <w:r>
        <w:rPr>
          <w:rFonts w:hint="eastAsia" w:cs="宋体" w:asciiTheme="minorEastAsia" w:hAnsiTheme="minorEastAsia" w:eastAsiaTheme="minorEastAsia"/>
          <w:color w:val="auto"/>
          <w:sz w:val="32"/>
          <w:szCs w:val="32"/>
          <w:lang w:eastAsia="zh-CN"/>
        </w:rPr>
        <w:t>。</w:t>
      </w:r>
    </w:p>
    <w:p>
      <w:pPr>
        <w:pStyle w:val="10"/>
        <w:ind w:firstLine="640" w:firstLineChars="200"/>
        <w:rPr>
          <w:rFonts w:hint="eastAsia" w:cs="宋体" w:asciiTheme="minorEastAsia" w:hAnsiTheme="minorEastAsia" w:eastAsiaTheme="minorEastAsia"/>
          <w:color w:val="auto"/>
          <w:sz w:val="32"/>
          <w:szCs w:val="32"/>
          <w:lang w:val="en-US" w:eastAsia="zh-CN"/>
        </w:rPr>
      </w:pPr>
      <w:r>
        <w:rPr>
          <w:rFonts w:hint="eastAsia" w:cs="宋体" w:asciiTheme="minorEastAsia" w:hAnsiTheme="minorEastAsia" w:eastAsiaTheme="minorEastAsia"/>
          <w:color w:val="auto"/>
          <w:sz w:val="32"/>
          <w:szCs w:val="32"/>
          <w:lang w:val="en-US" w:eastAsia="zh-CN"/>
        </w:rPr>
        <w:t>15、</w:t>
      </w:r>
      <w:r>
        <w:rPr>
          <w:rFonts w:hint="eastAsia" w:cs="宋体" w:asciiTheme="minorEastAsia" w:hAnsiTheme="minorEastAsia" w:eastAsiaTheme="minorEastAsia"/>
          <w:color w:val="auto"/>
          <w:sz w:val="32"/>
          <w:szCs w:val="32"/>
        </w:rPr>
        <w:t>卫生健康支出（类）医疗救助（款）城乡医疗救助（项）。</w:t>
      </w:r>
    </w:p>
    <w:p>
      <w:pPr>
        <w:pStyle w:val="10"/>
        <w:numPr>
          <w:ilvl w:val="0"/>
          <w:numId w:val="0"/>
        </w:numPr>
        <w:ind w:firstLine="640"/>
        <w:rPr>
          <w:rFonts w:hint="eastAsia" w:cs="宋体" w:asciiTheme="minorEastAsia" w:hAnsiTheme="minorEastAsia" w:eastAsiaTheme="minorEastAsia"/>
          <w:color w:val="auto"/>
          <w:sz w:val="32"/>
          <w:szCs w:val="32"/>
          <w:lang w:eastAsia="zh-CN"/>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，支出决算为2万元，决算数大于年初预算数的主要原因是：</w:t>
      </w:r>
      <w:r>
        <w:rPr>
          <w:rFonts w:hint="eastAsia" w:cs="宋体" w:asciiTheme="minorEastAsia" w:hAnsiTheme="minorEastAsia" w:eastAsiaTheme="minorEastAsia"/>
          <w:color w:val="auto"/>
          <w:sz w:val="32"/>
          <w:szCs w:val="32"/>
          <w:lang w:eastAsia="zh-CN"/>
        </w:rPr>
        <w:t>追加退休干部职工医疗救助经费。</w:t>
      </w:r>
    </w:p>
    <w:p>
      <w:pPr>
        <w:pStyle w:val="10"/>
        <w:ind w:firstLine="640" w:firstLineChars="200"/>
        <w:rPr>
          <w:rFonts w:hint="eastAsia" w:cs="宋体" w:asciiTheme="minorEastAsia" w:hAnsiTheme="minorEastAsia" w:eastAsiaTheme="minorEastAsia"/>
          <w:color w:val="auto"/>
          <w:sz w:val="32"/>
          <w:szCs w:val="32"/>
          <w:lang w:val="en-US" w:eastAsia="zh-CN"/>
        </w:rPr>
      </w:pPr>
      <w:r>
        <w:rPr>
          <w:rFonts w:hint="eastAsia" w:cs="宋体" w:asciiTheme="minorEastAsia" w:hAnsiTheme="minorEastAsia" w:eastAsiaTheme="minorEastAsia"/>
          <w:color w:val="auto"/>
          <w:sz w:val="32"/>
          <w:szCs w:val="32"/>
          <w:lang w:val="en-US" w:eastAsia="zh-CN"/>
        </w:rPr>
        <w:t>16、</w:t>
      </w:r>
      <w:r>
        <w:rPr>
          <w:rFonts w:hint="eastAsia" w:cs="宋体" w:asciiTheme="minorEastAsia" w:hAnsiTheme="minorEastAsia" w:eastAsiaTheme="minorEastAsia"/>
          <w:color w:val="auto"/>
          <w:sz w:val="32"/>
          <w:szCs w:val="32"/>
        </w:rPr>
        <w:t>节能环保支出（类）能源节约利用（款）能源节约利用（项）。</w:t>
      </w:r>
    </w:p>
    <w:p>
      <w:pPr>
        <w:pStyle w:val="10"/>
        <w:numPr>
          <w:ilvl w:val="0"/>
          <w:numId w:val="0"/>
        </w:numPr>
        <w:ind w:firstLine="640"/>
        <w:rPr>
          <w:rFonts w:hint="eastAsia" w:cs="宋体" w:asciiTheme="minorEastAsia" w:hAnsiTheme="minorEastAsia" w:eastAsiaTheme="minorEastAsia"/>
          <w:color w:val="auto"/>
          <w:sz w:val="32"/>
          <w:szCs w:val="32"/>
          <w:lang w:val="en-US" w:eastAsia="zh-CN"/>
        </w:rPr>
      </w:pPr>
      <w:r>
        <w:rPr>
          <w:rFonts w:hint="eastAsia" w:cs="宋体" w:asciiTheme="minorEastAsia" w:hAnsiTheme="minorEastAsia" w:eastAsiaTheme="minorEastAsia"/>
          <w:color w:val="auto"/>
          <w:sz w:val="32"/>
          <w:szCs w:val="32"/>
        </w:rPr>
        <w:t>年初预算</w:t>
      </w:r>
      <w:r>
        <w:rPr>
          <w:rFonts w:hint="eastAsia" w:cs="宋体" w:asciiTheme="minorEastAsia" w:hAnsiTheme="minorEastAsia" w:eastAsiaTheme="minorEastAsia"/>
          <w:color w:val="auto"/>
          <w:sz w:val="32"/>
          <w:szCs w:val="32"/>
          <w:lang w:val="en-US" w:eastAsia="zh-CN"/>
        </w:rPr>
        <w:t>0万元</w:t>
      </w:r>
      <w:r>
        <w:rPr>
          <w:rFonts w:hint="eastAsia" w:cs="宋体" w:asciiTheme="minorEastAsia" w:hAnsiTheme="minorEastAsia" w:eastAsiaTheme="minorEastAsia"/>
          <w:color w:val="auto"/>
          <w:sz w:val="32"/>
          <w:szCs w:val="32"/>
        </w:rPr>
        <w:t>，支出决算为</w:t>
      </w:r>
      <w:r>
        <w:rPr>
          <w:rFonts w:hint="eastAsia" w:cs="宋体" w:asciiTheme="minorEastAsia" w:hAnsiTheme="minorEastAsia" w:eastAsiaTheme="minorEastAsia"/>
          <w:color w:val="auto"/>
          <w:sz w:val="32"/>
          <w:szCs w:val="32"/>
          <w:lang w:val="en-US" w:eastAsia="zh-CN"/>
        </w:rPr>
        <w:t>60</w:t>
      </w:r>
      <w:r>
        <w:rPr>
          <w:rFonts w:hint="eastAsia" w:cs="宋体" w:asciiTheme="minorEastAsia" w:hAnsiTheme="minorEastAsia" w:eastAsiaTheme="minorEastAsia"/>
          <w:color w:val="auto"/>
          <w:sz w:val="32"/>
          <w:szCs w:val="32"/>
        </w:rPr>
        <w:t>万元，决算数大于年初预算数的主要原因是：</w:t>
      </w:r>
      <w:r>
        <w:rPr>
          <w:rFonts w:hint="eastAsia" w:cs="宋体" w:asciiTheme="minorEastAsia" w:hAnsiTheme="minorEastAsia" w:eastAsiaTheme="minorEastAsia"/>
          <w:color w:val="auto"/>
          <w:sz w:val="32"/>
          <w:szCs w:val="32"/>
          <w:lang w:eastAsia="zh-CN"/>
        </w:rPr>
        <w:t>上年结转公共机构节能专项经费。</w:t>
      </w:r>
    </w:p>
    <w:p>
      <w:pPr>
        <w:pStyle w:val="10"/>
        <w:rPr>
          <w:rFonts w:hAnsi="黑体"/>
          <w:b/>
          <w:sz w:val="32"/>
          <w:szCs w:val="32"/>
        </w:rPr>
      </w:pPr>
      <w:r>
        <w:rPr>
          <w:rFonts w:hint="eastAsia" w:hAnsi="黑体"/>
          <w:b/>
          <w:sz w:val="32"/>
          <w:szCs w:val="32"/>
        </w:rPr>
        <w:t>六、一般公共预算财政拨款基本支出决算情况说明</w:t>
      </w:r>
    </w:p>
    <w:p>
      <w:pPr>
        <w:pStyle w:val="10"/>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2021年度财政拨款基本支出</w:t>
      </w:r>
      <w:r>
        <w:rPr>
          <w:rFonts w:hint="eastAsia" w:asciiTheme="minorEastAsia" w:hAnsiTheme="minorEastAsia" w:eastAsiaTheme="minorEastAsia"/>
          <w:sz w:val="32"/>
          <w:szCs w:val="32"/>
          <w:lang w:val="en-US" w:eastAsia="zh-CN"/>
        </w:rPr>
        <w:t>1681.81</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959.3</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57.04</w:t>
      </w:r>
      <w:r>
        <w:rPr>
          <w:rFonts w:hint="eastAsia" w:asciiTheme="minorEastAsia" w:hAnsiTheme="minorEastAsia" w:eastAsiaTheme="minorEastAsia"/>
          <w:sz w:val="32"/>
          <w:szCs w:val="32"/>
        </w:rPr>
        <w:t>%主要包括</w:t>
      </w:r>
      <w:r>
        <w:rPr>
          <w:rFonts w:cs="黑体" w:asciiTheme="minorEastAsia" w:hAnsiTheme="minorEastAsia" w:eastAsiaTheme="minorEastAsia"/>
          <w:color w:val="000000"/>
          <w:sz w:val="32"/>
          <w:szCs w:val="32"/>
        </w:rPr>
        <w:t>津贴补贴、奖金、伙食补助费</w:t>
      </w:r>
      <w:r>
        <w:rPr>
          <w:rFonts w:hint="eastAsia" w:cs="黑体" w:asciiTheme="minorEastAsia" w:hAnsiTheme="minorEastAsia" w:eastAsiaTheme="minorEastAsia"/>
          <w:color w:val="000000"/>
          <w:sz w:val="32"/>
          <w:szCs w:val="32"/>
        </w:rPr>
        <w:t>、医保缴费、养老保险缴费、住房公积金、退休人员费用等</w:t>
      </w: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722.51</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42.96</w:t>
      </w:r>
      <w:r>
        <w:rPr>
          <w:rFonts w:hint="eastAsia" w:asciiTheme="minorEastAsia" w:hAnsiTheme="minorEastAsia" w:eastAsiaTheme="minorEastAsia"/>
          <w:sz w:val="32"/>
          <w:szCs w:val="32"/>
        </w:rPr>
        <w:t>%，主要包括</w:t>
      </w:r>
      <w:r>
        <w:rPr>
          <w:rFonts w:hint="eastAsia" w:cs="黑体" w:asciiTheme="minorEastAsia" w:hAnsiTheme="minorEastAsia" w:eastAsiaTheme="minorEastAsia"/>
          <w:color w:val="000000"/>
          <w:sz w:val="32"/>
          <w:szCs w:val="32"/>
        </w:rPr>
        <w:t>办公费、印刷费、水电费、</w:t>
      </w:r>
      <w:r>
        <w:rPr>
          <w:rFonts w:hint="eastAsia" w:asciiTheme="minorEastAsia" w:hAnsiTheme="minorEastAsia" w:eastAsiaTheme="minorEastAsia"/>
          <w:sz w:val="32"/>
          <w:szCs w:val="32"/>
        </w:rPr>
        <w:t>维修费、公务接待费、劳务费、工会经费、福利费、公用用车运行维护费、其他交通费用、其他商品和服务支出等。</w:t>
      </w:r>
    </w:p>
    <w:p>
      <w:pPr>
        <w:pStyle w:val="10"/>
        <w:rPr>
          <w:rFonts w:hAnsi="黑体"/>
          <w:b/>
          <w:sz w:val="32"/>
          <w:szCs w:val="32"/>
        </w:rPr>
      </w:pPr>
      <w:r>
        <w:rPr>
          <w:rFonts w:hint="eastAsia" w:hAnsi="黑体"/>
          <w:b/>
          <w:sz w:val="32"/>
          <w:szCs w:val="32"/>
        </w:rPr>
        <w:t>七、一般公共预算财政拨款“三公”经费支出决算情况说明</w:t>
      </w:r>
    </w:p>
    <w:p>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2021年度“三公”经费财政拨款支出预算为118万元，支出决算为109.81万元，完成预算的</w:t>
      </w:r>
      <w:r>
        <w:rPr>
          <w:rFonts w:hint="eastAsia" w:asciiTheme="minorEastAsia" w:hAnsiTheme="minorEastAsia" w:eastAsiaTheme="minorEastAsia"/>
          <w:sz w:val="32"/>
          <w:szCs w:val="32"/>
          <w:lang w:val="en-US" w:eastAsia="zh-CN"/>
        </w:rPr>
        <w:t>93.06</w:t>
      </w:r>
      <w:r>
        <w:rPr>
          <w:rFonts w:hint="eastAsia" w:asciiTheme="minorEastAsia" w:hAnsiTheme="minorEastAsia" w:eastAsiaTheme="minorEastAsia"/>
          <w:sz w:val="32"/>
          <w:szCs w:val="32"/>
        </w:rPr>
        <w:t>%，其中：</w:t>
      </w:r>
    </w:p>
    <w:p>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因公出国（境）费支出预算为0万元，支出决算为0万元，决算数与年初预算数持平，主要原因按预算执行，与上年数持平，主要原因本年度未安排因公出国（境）。</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公务接待费支出预算为8万元，支出决算为1.28万元，完成预算的</w:t>
      </w: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%，决算数小于预算数的主要原因是秉持厉行节约原则，严格控制公务接待数量及标准，与上年相比增加</w:t>
      </w:r>
      <w:r>
        <w:rPr>
          <w:rFonts w:hint="eastAsia" w:asciiTheme="minorEastAsia" w:hAnsiTheme="minorEastAsia" w:eastAsiaTheme="minorEastAsia"/>
          <w:sz w:val="32"/>
          <w:szCs w:val="32"/>
          <w:lang w:val="en-US" w:eastAsia="zh-CN"/>
        </w:rPr>
        <w:t>0.58</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82.85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增长的主要原因是</w:t>
      </w:r>
      <w:r>
        <w:rPr>
          <w:rFonts w:hint="eastAsia" w:asciiTheme="minorEastAsia" w:hAnsiTheme="minorEastAsia" w:eastAsiaTheme="minorEastAsia"/>
          <w:sz w:val="32"/>
          <w:szCs w:val="32"/>
          <w:lang w:eastAsia="zh-CN"/>
        </w:rPr>
        <w:t>开展全市事业单位公车改革工作</w:t>
      </w:r>
      <w:r>
        <w:rPr>
          <w:rFonts w:hint="eastAsia" w:asciiTheme="minorEastAsia" w:hAnsiTheme="minorEastAsia" w:eastAsiaTheme="minorEastAsia"/>
          <w:sz w:val="32"/>
          <w:szCs w:val="32"/>
        </w:rPr>
        <w:t>。</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公务用车购置费及运行维护费支出预算为110万元，支出决算为108.53万元，完成预算的</w:t>
      </w:r>
      <w:r>
        <w:rPr>
          <w:rFonts w:hint="eastAsia" w:asciiTheme="minorEastAsia" w:hAnsiTheme="minorEastAsia" w:eastAsiaTheme="minorEastAsia"/>
          <w:sz w:val="32"/>
          <w:szCs w:val="32"/>
          <w:lang w:val="en-US" w:eastAsia="zh-CN"/>
        </w:rPr>
        <w:t>98.66</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小</w:t>
      </w:r>
      <w:r>
        <w:rPr>
          <w:rFonts w:hint="eastAsia" w:asciiTheme="minorEastAsia" w:hAnsiTheme="minorEastAsia" w:eastAsiaTheme="minorEastAsia"/>
          <w:sz w:val="32"/>
          <w:szCs w:val="32"/>
        </w:rPr>
        <w:t>于预算数的主要原因是</w:t>
      </w:r>
      <w:r>
        <w:rPr>
          <w:rFonts w:hint="eastAsia" w:asciiTheme="minorEastAsia" w:hAnsiTheme="minorEastAsia" w:eastAsiaTheme="minorEastAsia"/>
          <w:sz w:val="32"/>
          <w:szCs w:val="32"/>
          <w:lang w:eastAsia="zh-CN"/>
        </w:rPr>
        <w:t>公车平台车辆开支结转至下年</w:t>
      </w:r>
      <w:r>
        <w:rPr>
          <w:rFonts w:hint="eastAsia" w:asciiTheme="minorEastAsia" w:hAnsiTheme="minorEastAsia" w:eastAsiaTheme="minorEastAsia"/>
          <w:sz w:val="32"/>
          <w:szCs w:val="32"/>
        </w:rPr>
        <w:t>，与上年相比增加</w:t>
      </w:r>
      <w:r>
        <w:rPr>
          <w:rFonts w:hint="eastAsia" w:asciiTheme="minorEastAsia" w:hAnsiTheme="minorEastAsia" w:eastAsiaTheme="minorEastAsia"/>
          <w:sz w:val="32"/>
          <w:szCs w:val="32"/>
          <w:lang w:val="en-US" w:eastAsia="zh-CN"/>
        </w:rPr>
        <w:t>81</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294.22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增长的主要原因是</w:t>
      </w:r>
      <w:r>
        <w:rPr>
          <w:rFonts w:hint="eastAsia" w:asciiTheme="minorEastAsia" w:hAnsiTheme="minorEastAsia" w:eastAsiaTheme="minorEastAsia"/>
          <w:sz w:val="32"/>
          <w:szCs w:val="32"/>
          <w:lang w:eastAsia="zh-CN"/>
        </w:rPr>
        <w:t>公车平台和公务用车改革工作经费预算增加，公车平台管理车辆增加</w:t>
      </w:r>
      <w:r>
        <w:rPr>
          <w:rFonts w:hint="eastAsia" w:asciiTheme="minorEastAsia" w:hAnsiTheme="minorEastAsia" w:eastAsiaTheme="minorEastAsia"/>
          <w:sz w:val="32"/>
          <w:szCs w:val="32"/>
        </w:rPr>
        <w:t>。</w:t>
      </w:r>
    </w:p>
    <w:p>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2021年度“三公”经费财政拨款支出决算中，公务接待费支出决算1.28万元，占</w:t>
      </w:r>
      <w:r>
        <w:rPr>
          <w:rFonts w:hint="eastAsia" w:asciiTheme="minorEastAsia" w:hAnsiTheme="minorEastAsia" w:eastAsiaTheme="minorEastAsia"/>
          <w:sz w:val="32"/>
          <w:szCs w:val="32"/>
          <w:lang w:val="en-US" w:eastAsia="zh-CN"/>
        </w:rPr>
        <w:t>1.16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，无</w:t>
      </w:r>
      <w:r>
        <w:rPr>
          <w:rFonts w:hint="eastAsia" w:asciiTheme="minorEastAsia" w:hAnsiTheme="minorEastAsia" w:eastAsiaTheme="minorEastAsia"/>
          <w:sz w:val="32"/>
          <w:szCs w:val="32"/>
        </w:rPr>
        <w:t>因公出国（境）费支出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108.53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98.84</w:t>
      </w:r>
      <w:r>
        <w:rPr>
          <w:rFonts w:hint="eastAsia" w:asciiTheme="minorEastAsia" w:hAnsiTheme="minorEastAsia" w:eastAsiaTheme="minorEastAsia"/>
          <w:sz w:val="32"/>
          <w:szCs w:val="32"/>
        </w:rPr>
        <w:t>%。其中：</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w:t>
      </w:r>
      <w:r>
        <w:rPr>
          <w:rFonts w:hint="eastAsia" w:asciiTheme="minorEastAsia" w:hAnsiTheme="minorEastAsia" w:eastAsiaTheme="minorEastAsia"/>
          <w:sz w:val="32"/>
          <w:szCs w:val="32"/>
          <w:lang w:eastAsia="zh-CN"/>
        </w:rPr>
        <w:t>因公出国（境）费支出决算为0万元，全年安排因公出国（境）团组0个，累计0人次。</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2、公务接待费支出决算为1.28万元，全年共接待来访团组</w:t>
      </w: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80</w:t>
      </w:r>
      <w:r>
        <w:rPr>
          <w:rFonts w:hint="eastAsia" w:asciiTheme="minorEastAsia" w:hAnsiTheme="minorEastAsia" w:eastAsiaTheme="minorEastAsia"/>
          <w:sz w:val="32"/>
          <w:szCs w:val="32"/>
        </w:rPr>
        <w:t>人次，主要是</w:t>
      </w:r>
      <w:r>
        <w:rPr>
          <w:rFonts w:hint="eastAsia" w:asciiTheme="minorEastAsia" w:hAnsiTheme="minorEastAsia" w:eastAsiaTheme="minorEastAsia"/>
          <w:sz w:val="32"/>
          <w:szCs w:val="32"/>
          <w:lang w:eastAsia="zh-CN"/>
        </w:rPr>
        <w:t>公车改革工作</w:t>
      </w:r>
      <w:r>
        <w:rPr>
          <w:rFonts w:hint="eastAsia" w:asciiTheme="minorEastAsia" w:hAnsiTheme="minorEastAsia" w:eastAsiaTheme="minorEastAsia"/>
          <w:sz w:val="32"/>
          <w:szCs w:val="32"/>
        </w:rPr>
        <w:t>发生的接待支出。</w:t>
      </w:r>
    </w:p>
    <w:p>
      <w:pPr>
        <w:ind w:firstLine="640" w:firstLineChars="20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eastAsiaTheme="minorEastAsia"/>
          <w:sz w:val="32"/>
          <w:szCs w:val="32"/>
          <w:lang w:val="en-US" w:eastAsia="zh-CN"/>
        </w:rPr>
        <w:t>108.53</w:t>
      </w:r>
      <w:r>
        <w:rPr>
          <w:rFonts w:hint="eastAsia" w:asciiTheme="minorEastAsia" w:hAnsiTheme="minorEastAsia"/>
          <w:sz w:val="32"/>
          <w:szCs w:val="32"/>
        </w:rPr>
        <w:t>万元，其</w:t>
      </w:r>
      <w:r>
        <w:rPr>
          <w:rFonts w:hint="eastAsia" w:cs="黑体" w:asciiTheme="minorEastAsia" w:hAnsiTheme="minorEastAsia" w:eastAsiaTheme="minorEastAsia"/>
          <w:color w:val="000000"/>
          <w:kern w:val="0"/>
          <w:sz w:val="32"/>
          <w:szCs w:val="32"/>
          <w:lang w:val="en-US" w:eastAsia="zh-CN" w:bidi="ar-SA"/>
        </w:rPr>
        <w:t>中：公务用车购置费0万元，更新公务用车0辆。</w:t>
      </w:r>
      <w:r>
        <w:rPr>
          <w:rFonts w:hint="eastAsia" w:asciiTheme="minorEastAsia" w:hAnsiTheme="minorEastAsia"/>
          <w:sz w:val="32"/>
          <w:szCs w:val="32"/>
        </w:rPr>
        <w:t>公务用车运行维护费</w:t>
      </w:r>
      <w:r>
        <w:rPr>
          <w:rFonts w:hint="eastAsia" w:asciiTheme="minorEastAsia" w:hAnsiTheme="minorEastAsia" w:eastAsiaTheme="minorEastAsia"/>
          <w:sz w:val="32"/>
          <w:szCs w:val="32"/>
          <w:lang w:val="en-US" w:eastAsia="zh-CN"/>
        </w:rPr>
        <w:t>108.53</w:t>
      </w:r>
      <w:r>
        <w:rPr>
          <w:rFonts w:hint="eastAsia" w:asciiTheme="minorEastAsia" w:hAnsiTheme="minorEastAsia"/>
          <w:sz w:val="32"/>
          <w:szCs w:val="32"/>
        </w:rPr>
        <w:t>万元，主要是</w:t>
      </w:r>
      <w:r>
        <w:rPr>
          <w:rFonts w:hint="eastAsia" w:asciiTheme="minorEastAsia" w:hAnsiTheme="minorEastAsia"/>
          <w:sz w:val="32"/>
          <w:szCs w:val="32"/>
          <w:lang w:eastAsia="zh-CN"/>
        </w:rPr>
        <w:t>公车平台车辆</w:t>
      </w:r>
      <w:r>
        <w:rPr>
          <w:rFonts w:hint="eastAsia" w:asciiTheme="minorEastAsia" w:hAnsiTheme="minorEastAsia"/>
          <w:sz w:val="32"/>
          <w:szCs w:val="32"/>
        </w:rPr>
        <w:t>支出，截止2021年12月31日，我单位开支财政拨款的公务用车保有量为</w:t>
      </w:r>
      <w:r>
        <w:rPr>
          <w:rFonts w:hint="eastAsia" w:asciiTheme="minorEastAsia" w:hAnsiTheme="minorEastAsia"/>
          <w:sz w:val="32"/>
          <w:szCs w:val="32"/>
          <w:lang w:val="en-US" w:eastAsia="zh-CN"/>
        </w:rPr>
        <w:t>51</w:t>
      </w:r>
      <w:r>
        <w:rPr>
          <w:rFonts w:hint="eastAsia" w:asciiTheme="minorEastAsia" w:hAnsiTheme="minorEastAsia"/>
          <w:sz w:val="32"/>
          <w:szCs w:val="32"/>
        </w:rPr>
        <w:t>辆。</w:t>
      </w:r>
    </w:p>
    <w:p>
      <w:pPr>
        <w:pStyle w:val="10"/>
        <w:rPr>
          <w:rFonts w:hAnsi="黑体"/>
          <w:b/>
          <w:sz w:val="32"/>
          <w:szCs w:val="32"/>
        </w:rPr>
      </w:pPr>
      <w:r>
        <w:rPr>
          <w:rFonts w:hint="eastAsia" w:hAnsi="黑体"/>
          <w:b/>
          <w:sz w:val="32"/>
          <w:szCs w:val="32"/>
        </w:rPr>
        <w:t>八、政府性基金预算收入支出决算情况</w:t>
      </w:r>
    </w:p>
    <w:p>
      <w:pPr>
        <w:pStyle w:val="1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sz w:val="32"/>
          <w:szCs w:val="32"/>
          <w:lang w:eastAsia="zh-CN"/>
        </w:rPr>
        <w:t>无</w:t>
      </w:r>
      <w:r>
        <w:rPr>
          <w:rFonts w:hint="eastAsia" w:asciiTheme="minorEastAsia" w:hAnsiTheme="minorEastAsia" w:eastAsiaTheme="minorEastAsia"/>
          <w:sz w:val="32"/>
          <w:szCs w:val="32"/>
        </w:rPr>
        <w:t>2021年度政府性基金预算财政拨款收入</w:t>
      </w:r>
      <w:r>
        <w:rPr>
          <w:rFonts w:hint="eastAsia" w:asciiTheme="minorEastAsia" w:hAnsiTheme="minorEastAsia" w:eastAsiaTheme="minorEastAsia"/>
          <w:sz w:val="32"/>
          <w:szCs w:val="32"/>
          <w:lang w:eastAsia="zh-CN"/>
        </w:rPr>
        <w:t>。</w:t>
      </w:r>
    </w:p>
    <w:p>
      <w:pPr>
        <w:pStyle w:val="10"/>
        <w:rPr>
          <w:rFonts w:hint="eastAsia" w:hAnsi="黑体"/>
          <w:b/>
          <w:sz w:val="32"/>
          <w:szCs w:val="32"/>
          <w:lang w:val="en-US" w:eastAsia="zh-CN"/>
        </w:rPr>
      </w:pPr>
      <w:r>
        <w:rPr>
          <w:rFonts w:hint="eastAsia" w:hAnsi="黑体"/>
          <w:b/>
          <w:sz w:val="32"/>
          <w:szCs w:val="32"/>
          <w:lang w:val="en-US" w:eastAsia="zh-CN"/>
        </w:rPr>
        <w:t>九、国有资本经营预算财政拨款支出</w:t>
      </w:r>
      <w:r>
        <w:rPr>
          <w:rFonts w:hint="eastAsia" w:hAnsi="黑体"/>
          <w:b/>
          <w:sz w:val="32"/>
          <w:szCs w:val="32"/>
        </w:rPr>
        <w:t>决算情况</w:t>
      </w:r>
      <w:r>
        <w:rPr>
          <w:rFonts w:hint="eastAsia" w:hAnsi="黑体"/>
          <w:b/>
          <w:sz w:val="32"/>
          <w:szCs w:val="32"/>
          <w:lang w:val="en-US" w:eastAsia="zh-CN"/>
        </w:rPr>
        <w:t>说明</w:t>
      </w:r>
    </w:p>
    <w:p>
      <w:pPr>
        <w:pStyle w:val="10"/>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本单位无</w:t>
      </w:r>
      <w:r>
        <w:rPr>
          <w:rFonts w:hint="eastAsia" w:asciiTheme="minorEastAsia" w:hAnsiTheme="minorEastAsia" w:eastAsiaTheme="minorEastAsia"/>
          <w:sz w:val="32"/>
          <w:szCs w:val="32"/>
          <w:lang w:val="en-US" w:eastAsia="zh-CN"/>
        </w:rPr>
        <w:t>国有资本经营预算财政拨款支出</w:t>
      </w:r>
    </w:p>
    <w:p>
      <w:pPr>
        <w:pStyle w:val="10"/>
        <w:rPr>
          <w:rFonts w:hAnsi="黑体"/>
          <w:b/>
          <w:sz w:val="32"/>
          <w:szCs w:val="32"/>
        </w:rPr>
      </w:pPr>
      <w:r>
        <w:rPr>
          <w:rFonts w:hint="eastAsia" w:hAnsi="黑体"/>
          <w:b/>
          <w:sz w:val="32"/>
          <w:szCs w:val="32"/>
          <w:lang w:eastAsia="zh-CN"/>
        </w:rPr>
        <w:t>十、</w:t>
      </w:r>
      <w:r>
        <w:rPr>
          <w:rFonts w:hint="eastAsia" w:hAnsi="黑体"/>
          <w:b/>
          <w:sz w:val="32"/>
          <w:szCs w:val="32"/>
        </w:rPr>
        <w:t>机关运行经费支出说明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w:t>
      </w:r>
      <w:r>
        <w:rPr>
          <w:rFonts w:hint="eastAsia" w:asciiTheme="minorEastAsia" w:hAnsiTheme="minorEastAsia" w:eastAsiaTheme="minorEastAsia"/>
          <w:sz w:val="32"/>
          <w:szCs w:val="32"/>
          <w:lang w:val="en-US" w:eastAsia="zh-CN"/>
        </w:rPr>
        <w:t>722.44</w:t>
      </w:r>
      <w:r>
        <w:rPr>
          <w:rFonts w:hint="eastAsia" w:asciiTheme="minorEastAsia" w:hAnsiTheme="minorEastAsia" w:eastAsiaTheme="minorEastAsia"/>
          <w:sz w:val="32"/>
          <w:szCs w:val="32"/>
        </w:rPr>
        <w:t>万元，比上年决算数增加</w:t>
      </w:r>
      <w:r>
        <w:rPr>
          <w:rFonts w:hint="eastAsia" w:asciiTheme="minorEastAsia" w:hAnsiTheme="minorEastAsia" w:eastAsiaTheme="minorEastAsia"/>
          <w:sz w:val="32"/>
          <w:szCs w:val="32"/>
          <w:lang w:val="en-US" w:eastAsia="zh-CN"/>
        </w:rPr>
        <w:t>206.68</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40.07</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eastAsia="zh-CN"/>
        </w:rPr>
        <w:t>市委大院和市民服务中心公用电费开支增加</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十一、一般性支出情况说明</w:t>
      </w:r>
    </w:p>
    <w:p>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2021年本部门</w:t>
      </w:r>
      <w:r>
        <w:rPr>
          <w:rFonts w:hint="eastAsia" w:asciiTheme="minorEastAsia" w:hAnsiTheme="minorEastAsia" w:eastAsiaTheme="minorEastAsia"/>
          <w:sz w:val="32"/>
          <w:szCs w:val="32"/>
          <w:lang w:eastAsia="zh-CN"/>
        </w:rPr>
        <w:t>没有</w:t>
      </w:r>
      <w:r>
        <w:rPr>
          <w:rFonts w:hint="eastAsia" w:asciiTheme="minorEastAsia" w:hAnsiTheme="minorEastAsia" w:eastAsiaTheme="minorEastAsia"/>
          <w:sz w:val="32"/>
          <w:szCs w:val="32"/>
        </w:rPr>
        <w:t>开支会议费</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培训费</w:t>
      </w:r>
      <w:r>
        <w:rPr>
          <w:rFonts w:hint="eastAsia" w:asciiTheme="minorEastAsia" w:hAnsiTheme="minorEastAsia" w:eastAsiaTheme="minorEastAsia"/>
          <w:sz w:val="32"/>
          <w:szCs w:val="32"/>
          <w:lang w:eastAsia="zh-CN"/>
        </w:rPr>
        <w:t>和</w:t>
      </w:r>
      <w:r>
        <w:rPr>
          <w:rFonts w:hint="eastAsia" w:asciiTheme="minorEastAsia" w:hAnsiTheme="minorEastAsia" w:eastAsiaTheme="minorEastAsia"/>
          <w:sz w:val="32"/>
          <w:szCs w:val="32"/>
        </w:rPr>
        <w:t>举办节庆、晚会、论坛、赛事活动</w:t>
      </w:r>
      <w:r>
        <w:rPr>
          <w:rFonts w:hint="eastAsia" w:asciiTheme="minorEastAsia" w:hAnsiTheme="minorEastAsia" w:eastAsiaTheme="minorEastAsia"/>
          <w:sz w:val="32"/>
          <w:szCs w:val="32"/>
          <w:lang w:eastAsia="zh-CN"/>
        </w:rPr>
        <w:t>。</w:t>
      </w:r>
    </w:p>
    <w:p>
      <w:pPr>
        <w:pStyle w:val="10"/>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、政府采购支出说明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w:t>
      </w:r>
      <w:r>
        <w:rPr>
          <w:rFonts w:hint="eastAsia" w:asciiTheme="minorEastAsia" w:hAnsiTheme="minorEastAsia" w:eastAsiaTheme="minorEastAsia"/>
          <w:sz w:val="32"/>
          <w:szCs w:val="32"/>
          <w:lang w:val="en-US" w:eastAsia="zh-CN"/>
        </w:rPr>
        <w:t>2,382.9</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110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1,211</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1,061.9</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1,061.9</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44.56</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1,061.9</w:t>
      </w:r>
      <w:r>
        <w:rPr>
          <w:rFonts w:hint="eastAsia" w:asciiTheme="minorEastAsia" w:hAnsiTheme="minorEastAsia" w:eastAsiaTheme="minorEastAsia"/>
          <w:sz w:val="32"/>
          <w:szCs w:val="32"/>
        </w:rPr>
        <w:t>万元，占授予中小企业合同金额的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bookmarkStart w:id="1" w:name="_GoBack"/>
      <w:bookmarkEnd w:id="1"/>
    </w:p>
    <w:p>
      <w:pPr>
        <w:pStyle w:val="1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、国有资产占用情况说明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w:t>
      </w:r>
      <w:r>
        <w:rPr>
          <w:rFonts w:hint="eastAsia" w:asciiTheme="minorEastAsia" w:hAnsiTheme="minorEastAsia" w:eastAsiaTheme="minorEastAsia"/>
          <w:sz w:val="32"/>
          <w:szCs w:val="32"/>
          <w:lang w:val="en-US" w:eastAsia="zh-CN"/>
        </w:rPr>
        <w:t>51</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49</w:t>
      </w:r>
      <w:r>
        <w:rPr>
          <w:rFonts w:hint="eastAsia" w:asciiTheme="minorEastAsia" w:hAnsiTheme="minorEastAsia" w:eastAsiaTheme="minorEastAsia"/>
          <w:sz w:val="32"/>
          <w:szCs w:val="32"/>
        </w:rPr>
        <w:t>辆，其他用车主要是</w:t>
      </w:r>
      <w:r>
        <w:rPr>
          <w:rFonts w:hint="eastAsia" w:asciiTheme="minorEastAsia" w:hAnsiTheme="minorEastAsia" w:eastAsiaTheme="minorEastAsia"/>
          <w:sz w:val="32"/>
          <w:szCs w:val="32"/>
          <w:lang w:eastAsia="zh-CN"/>
        </w:rPr>
        <w:t>保障市直机关单位用车需求</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pPr>
        <w:pStyle w:val="10"/>
        <w:jc w:val="left"/>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、2021年度预算绩效情况说明</w:t>
      </w:r>
      <w:r>
        <w:rPr>
          <w:rFonts w:hint="eastAsia" w:cs="黑体" w:asciiTheme="minorEastAsia" w:hAnsiTheme="minorEastAsia" w:eastAsiaTheme="minorEastAsia"/>
          <w:color w:val="000000"/>
          <w:kern w:val="0"/>
          <w:sz w:val="32"/>
          <w:szCs w:val="32"/>
          <w:lang w:val="en-US" w:eastAsia="zh-CN" w:bidi="ar-SA"/>
        </w:rPr>
        <w:t>（绩效评价含怀化市委市政府机关会堂管理所）</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年度一般公共预算项目支出全面开展绩效自评，</w:t>
      </w:r>
      <w:r>
        <w:rPr>
          <w:rFonts w:hint="eastAsia" w:cs="黑体" w:asciiTheme="minorEastAsia" w:hAnsiTheme="minorEastAsia"/>
          <w:color w:val="000000"/>
          <w:kern w:val="0"/>
          <w:sz w:val="32"/>
          <w:szCs w:val="32"/>
          <w:lang w:eastAsia="zh-CN"/>
        </w:rPr>
        <w:t>二级</w:t>
      </w:r>
      <w:r>
        <w:rPr>
          <w:rFonts w:hint="eastAsia" w:cs="黑体" w:asciiTheme="minorEastAsia" w:hAnsiTheme="minorEastAsia"/>
          <w:color w:val="000000"/>
          <w:kern w:val="0"/>
          <w:sz w:val="32"/>
          <w:szCs w:val="32"/>
        </w:rPr>
        <w:t>专项业务和项目</w:t>
      </w:r>
      <w:r>
        <w:rPr>
          <w:rFonts w:hint="eastAsia" w:cs="黑体" w:asciiTheme="minorEastAsia" w:hAnsiTheme="minorEastAsia"/>
          <w:color w:val="000000"/>
          <w:kern w:val="0"/>
          <w:sz w:val="32"/>
          <w:szCs w:val="32"/>
          <w:lang w:eastAsia="zh-CN"/>
        </w:rPr>
        <w:t>共</w:t>
      </w:r>
      <w:r>
        <w:rPr>
          <w:rFonts w:hint="eastAsia" w:cs="黑体" w:asciiTheme="minorEastAsia" w:hAnsiTheme="minorEastAsia"/>
          <w:color w:val="000000"/>
          <w:kern w:val="0"/>
          <w:sz w:val="32"/>
          <w:szCs w:val="32"/>
          <w:lang w:val="en-US" w:eastAsia="zh-CN"/>
        </w:rPr>
        <w:t>15</w:t>
      </w:r>
      <w:r>
        <w:rPr>
          <w:rFonts w:hint="eastAsia" w:cs="黑体" w:asciiTheme="minorEastAsia" w:hAnsiTheme="minorEastAsia"/>
          <w:color w:val="000000"/>
          <w:kern w:val="0"/>
          <w:sz w:val="32"/>
          <w:szCs w:val="32"/>
        </w:rPr>
        <w:t>个，共涉及资金</w:t>
      </w:r>
      <w:r>
        <w:rPr>
          <w:rFonts w:hint="eastAsia" w:ascii="仿宋" w:hAnsi="仿宋" w:eastAsia="仿宋"/>
          <w:spacing w:val="-2"/>
          <w:sz w:val="32"/>
          <w:szCs w:val="32"/>
          <w:lang w:val="en-US" w:eastAsia="zh-CN"/>
        </w:rPr>
        <w:t>3296.85</w:t>
      </w:r>
      <w:r>
        <w:rPr>
          <w:rFonts w:hint="eastAsia" w:cs="黑体" w:asciiTheme="minorEastAsia" w:hAnsiTheme="minorEastAsia"/>
          <w:color w:val="000000"/>
          <w:kern w:val="0"/>
          <w:sz w:val="32"/>
          <w:szCs w:val="32"/>
        </w:rPr>
        <w:t>万元，占一般公共预算项目支出总额的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组织对“市委大院、周转房、市民服务中心维修维护资金”“市委市政府集中办公运行经费（燃气）”等</w:t>
      </w:r>
      <w:r>
        <w:rPr>
          <w:rFonts w:hint="eastAsia" w:cs="黑体" w:asciiTheme="minorEastAsia" w:hAnsiTheme="minorEastAsia"/>
          <w:color w:val="000000"/>
          <w:kern w:val="0"/>
          <w:sz w:val="32"/>
          <w:szCs w:val="32"/>
          <w:lang w:val="en-US" w:eastAsia="zh-CN"/>
        </w:rPr>
        <w:t>15</w:t>
      </w:r>
      <w:r>
        <w:rPr>
          <w:rFonts w:hint="eastAsia" w:cs="黑体" w:asciiTheme="minorEastAsia" w:hAnsiTheme="minorEastAsia"/>
          <w:color w:val="000000"/>
          <w:kern w:val="0"/>
          <w:sz w:val="32"/>
          <w:szCs w:val="32"/>
        </w:rPr>
        <w:t>个项目开展了部门评价，涉及一般公共预算支出</w:t>
      </w:r>
      <w:r>
        <w:rPr>
          <w:rFonts w:hint="eastAsia" w:ascii="仿宋" w:hAnsi="仿宋" w:eastAsia="仿宋"/>
          <w:spacing w:val="-2"/>
          <w:sz w:val="32"/>
          <w:szCs w:val="32"/>
          <w:lang w:val="en-US" w:eastAsia="zh-CN"/>
        </w:rPr>
        <w:t>3296.85</w:t>
      </w:r>
      <w:r>
        <w:rPr>
          <w:rFonts w:hint="eastAsia" w:cs="黑体" w:asciiTheme="minorEastAsia" w:hAnsiTheme="minorEastAsia"/>
          <w:color w:val="000000"/>
          <w:kern w:val="0"/>
          <w:sz w:val="32"/>
          <w:szCs w:val="32"/>
        </w:rPr>
        <w:t>万元。从评价情况来看，专项资金的支出均有相关的授权审批手续，资金拨付严格审批程序，对于资金的使用也制定了相关详尽具体办法。针对物业管理费，按政府采购招标签订合同制定了详尽具体的考核办法，进行专项有针对性的管理，并在物业合同履行的过程中，严格按照合同及考评细则的规定对物业公司的服务情况按月进行考核，结合考核得分情况结算当月物业管理费。</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w:t>
      </w:r>
      <w:r>
        <w:rPr>
          <w:rFonts w:hint="eastAsia" w:cs="黑体" w:asciiTheme="minorEastAsia" w:hAnsiTheme="minorEastAsia"/>
          <w:color w:val="000000"/>
          <w:kern w:val="0"/>
          <w:sz w:val="32"/>
          <w:szCs w:val="32"/>
          <w:lang w:eastAsia="zh-CN"/>
        </w:rPr>
        <w:t>我局</w:t>
      </w:r>
      <w:r>
        <w:rPr>
          <w:rFonts w:hint="eastAsia" w:cs="黑体" w:asciiTheme="minorEastAsia" w:hAnsiTheme="minorEastAsia"/>
          <w:color w:val="000000"/>
          <w:kern w:val="0"/>
          <w:sz w:val="32"/>
          <w:szCs w:val="32"/>
        </w:rPr>
        <w:t>开展整体支出绩效评价，涉及一般公共预算支出</w:t>
      </w:r>
      <w:r>
        <w:rPr>
          <w:rFonts w:hint="eastAsia" w:asciiTheme="minorEastAsia" w:hAnsiTheme="minorEastAsia" w:eastAsiaTheme="minorEastAsia"/>
          <w:sz w:val="32"/>
          <w:szCs w:val="32"/>
        </w:rPr>
        <w:t>5172.71</w:t>
      </w:r>
      <w:r>
        <w:rPr>
          <w:rFonts w:hint="eastAsia" w:cs="黑体" w:asciiTheme="minorEastAsia" w:hAnsiTheme="minorEastAsia"/>
          <w:color w:val="000000"/>
          <w:kern w:val="0"/>
          <w:sz w:val="32"/>
          <w:szCs w:val="32"/>
        </w:rPr>
        <w:t>万元。从评价情况来看，</w:t>
      </w:r>
      <w:r>
        <w:rPr>
          <w:rFonts w:hint="eastAsia" w:cs="黑体" w:asciiTheme="minorEastAsia" w:hAnsiTheme="minorEastAsia"/>
          <w:color w:val="000000"/>
          <w:kern w:val="0"/>
          <w:sz w:val="32"/>
          <w:szCs w:val="32"/>
          <w:lang w:eastAsia="zh-CN"/>
        </w:rPr>
        <w:t>我局</w:t>
      </w:r>
      <w:r>
        <w:rPr>
          <w:rFonts w:hint="eastAsia" w:cs="黑体" w:asciiTheme="minorEastAsia" w:hAnsiTheme="minorEastAsia"/>
          <w:color w:val="000000"/>
          <w:kern w:val="0"/>
          <w:sz w:val="32"/>
          <w:szCs w:val="32"/>
        </w:rPr>
        <w:t>严格遵守国家财经法规和财务管理制度规定；资金使用合法合规，支出手续齐全，程序到位。预算完成达到预期</w:t>
      </w:r>
      <w:r>
        <w:rPr>
          <w:rFonts w:hint="eastAsia" w:cs="黑体" w:asciiTheme="minorEastAsia" w:hAnsiTheme="minorEastAsia"/>
          <w:color w:val="000000"/>
          <w:kern w:val="0"/>
          <w:sz w:val="32"/>
          <w:szCs w:val="32"/>
          <w:lang w:eastAsia="zh-CN"/>
        </w:rPr>
        <w:t>、</w:t>
      </w:r>
      <w:r>
        <w:rPr>
          <w:rFonts w:hint="eastAsia" w:cs="黑体" w:asciiTheme="minorEastAsia" w:hAnsiTheme="minorEastAsia"/>
          <w:color w:val="000000"/>
          <w:kern w:val="0"/>
          <w:sz w:val="32"/>
          <w:szCs w:val="32"/>
        </w:rPr>
        <w:t>预算控制较好</w:t>
      </w:r>
      <w:r>
        <w:rPr>
          <w:rFonts w:hint="eastAsia" w:cs="黑体" w:asciiTheme="minorEastAsia" w:hAnsiTheme="minorEastAsia"/>
          <w:color w:val="000000"/>
          <w:kern w:val="0"/>
          <w:sz w:val="32"/>
          <w:szCs w:val="32"/>
          <w:lang w:eastAsia="zh-CN"/>
        </w:rPr>
        <w:t>、公用经费控制较好</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项目绩效自评综述：根据年初设定的绩效目标，项目绩效自评得分为</w:t>
      </w:r>
      <w:r>
        <w:rPr>
          <w:rFonts w:hint="eastAsia" w:cs="黑体" w:asciiTheme="minorEastAsia" w:hAnsiTheme="minorEastAsia"/>
          <w:color w:val="000000"/>
          <w:kern w:val="0"/>
          <w:sz w:val="32"/>
          <w:szCs w:val="32"/>
          <w:lang w:val="en-US" w:eastAsia="zh-CN"/>
        </w:rPr>
        <w:t>98</w:t>
      </w:r>
      <w:r>
        <w:rPr>
          <w:rFonts w:hint="eastAsia" w:cs="黑体" w:asciiTheme="minorEastAsia" w:hAnsiTheme="minorEastAsia"/>
          <w:color w:val="000000"/>
          <w:kern w:val="0"/>
          <w:sz w:val="32"/>
          <w:szCs w:val="32"/>
        </w:rPr>
        <w:t>分。项目全年预算数为</w:t>
      </w:r>
      <w:r>
        <w:rPr>
          <w:rFonts w:hint="eastAsia" w:cs="黑体" w:asciiTheme="minorEastAsia" w:hAnsiTheme="minorEastAsia"/>
          <w:color w:val="000000"/>
          <w:kern w:val="0"/>
          <w:sz w:val="32"/>
          <w:szCs w:val="32"/>
          <w:lang w:val="en-US" w:eastAsia="zh-CN"/>
        </w:rPr>
        <w:t>1461.63</w:t>
      </w:r>
      <w:r>
        <w:rPr>
          <w:rFonts w:hint="eastAsia" w:cs="黑体" w:asciiTheme="minorEastAsia" w:hAnsiTheme="minorEastAsia"/>
          <w:color w:val="000000"/>
          <w:kern w:val="0"/>
          <w:sz w:val="32"/>
          <w:szCs w:val="32"/>
        </w:rPr>
        <w:t>万元，执行数为</w:t>
      </w:r>
      <w:r>
        <w:rPr>
          <w:rFonts w:hint="eastAsia" w:asciiTheme="minorEastAsia" w:hAnsiTheme="minorEastAsia" w:eastAsiaTheme="minorEastAsia"/>
          <w:sz w:val="32"/>
          <w:szCs w:val="32"/>
          <w:lang w:val="en-US" w:eastAsia="zh-CN"/>
        </w:rPr>
        <w:t>3291.29</w:t>
      </w:r>
      <w:r>
        <w:rPr>
          <w:rFonts w:hint="eastAsia" w:cs="黑体" w:asciiTheme="minorEastAsia" w:hAnsiTheme="minorEastAsia"/>
          <w:color w:val="000000"/>
          <w:kern w:val="0"/>
          <w:sz w:val="32"/>
          <w:szCs w:val="32"/>
        </w:rPr>
        <w:t>万元，完成预算的</w:t>
      </w:r>
      <w:r>
        <w:rPr>
          <w:rFonts w:hint="eastAsia" w:cs="黑体" w:asciiTheme="minorEastAsia" w:hAnsiTheme="minorEastAsia"/>
          <w:color w:val="000000"/>
          <w:kern w:val="0"/>
          <w:sz w:val="32"/>
          <w:szCs w:val="32"/>
          <w:lang w:val="en-US" w:eastAsia="zh-CN"/>
        </w:rPr>
        <w:t>215</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。项目绩效目标完成情况：一是</w:t>
      </w:r>
      <w:r>
        <w:rPr>
          <w:rFonts w:hint="eastAsia" w:cs="黑体" w:asciiTheme="minorEastAsia" w:hAnsiTheme="minorEastAsia" w:eastAsiaTheme="minorEastAsia"/>
          <w:color w:val="000000"/>
          <w:kern w:val="0"/>
          <w:sz w:val="32"/>
          <w:szCs w:val="32"/>
          <w:lang w:val="en-US" w:eastAsia="zh-CN" w:bidi="ar-SA"/>
        </w:rPr>
        <w:t>完成市直单位办公用房管理、全市公务用车制度改革等工作要求；保障市季大院和市民服务中心办公区域夏季制冷，冬季取暖，保障各单位日常工作的正常开展；力求做到维修维护及时到位，消除安全隐患，改善办公环境，提高了政府机关形象等；通过对建筑物、构筑物、设备设施的维修维护，有效地提高其使用年限；有效为委派(交流)市领导提供生活服务保障。</w:t>
      </w:r>
      <w:r>
        <w:rPr>
          <w:rFonts w:hint="eastAsia" w:cs="黑体" w:asciiTheme="minorEastAsia" w:hAnsiTheme="minorEastAsia"/>
          <w:color w:val="000000"/>
          <w:kern w:val="0"/>
          <w:sz w:val="32"/>
          <w:szCs w:val="32"/>
        </w:rPr>
        <w:t>；二是</w:t>
      </w:r>
      <w:r>
        <w:rPr>
          <w:rFonts w:hint="eastAsia" w:cs="黑体" w:asciiTheme="minorEastAsia" w:hAnsiTheme="minorEastAsia" w:eastAsiaTheme="minorEastAsia"/>
          <w:color w:val="000000"/>
          <w:kern w:val="0"/>
          <w:sz w:val="32"/>
          <w:szCs w:val="32"/>
          <w:lang w:val="en-US" w:eastAsia="zh-CN" w:bidi="ar-SA"/>
        </w:rPr>
        <w:t>改善办公环境，提高政府办公形象；消除完全隐患，恢复完善功能，通过对建筑物、构筑物、设备设施等维修维护管理，杜绝豪华装修，有力推进了党政机关厉行节约反对浪费，建设节约型机关工作。通过办公用房维修改造，改善了办公环境、完善了办公功能、消除了安全隐患、提升了服务质量、提高了政府机关形象。节能环保，降低能源损耗，完成公务公车改革，打造节约节能型公共机构。建设园林化单位，绿化木美化程序高，整洁舒适。通过项目实施，为军分区营院、市委大院、市民中心等单位或个人解决工作、生活中的现实需求，服务对象满意度高。</w:t>
      </w:r>
      <w:r>
        <w:rPr>
          <w:rFonts w:hint="eastAsia" w:cs="黑体" w:asciiTheme="minorEastAsia" w:hAnsiTheme="minorEastAsia"/>
          <w:color w:val="000000"/>
          <w:kern w:val="0"/>
          <w:sz w:val="32"/>
          <w:szCs w:val="32"/>
        </w:rPr>
        <w:t>发现的主要问题及原因：一是</w:t>
      </w:r>
      <w:r>
        <w:rPr>
          <w:rFonts w:hint="eastAsia" w:cs="黑体" w:asciiTheme="minorEastAsia" w:hAnsiTheme="minorEastAsia" w:eastAsiaTheme="minorEastAsia"/>
          <w:color w:val="000000"/>
          <w:kern w:val="0"/>
          <w:sz w:val="32"/>
          <w:szCs w:val="32"/>
          <w:lang w:val="en-US" w:eastAsia="zh-CN" w:bidi="ar-SA"/>
        </w:rPr>
        <w:t>绩效目标的设定不够科学精细，指向不够明确定性多，量化少，内容不全面，主管部门未作硬性要求使绩效目标未受到重视</w:t>
      </w:r>
      <w:r>
        <w:rPr>
          <w:rFonts w:hint="eastAsia" w:cs="黑体" w:asciiTheme="minorEastAsia" w:hAnsiTheme="minorEastAsia"/>
          <w:color w:val="000000"/>
          <w:kern w:val="0"/>
          <w:sz w:val="32"/>
          <w:szCs w:val="32"/>
        </w:rPr>
        <w:t>；二是</w:t>
      </w:r>
      <w:r>
        <w:rPr>
          <w:rFonts w:hint="eastAsia" w:cs="黑体" w:asciiTheme="minorEastAsia" w:hAnsiTheme="minorEastAsia" w:eastAsiaTheme="minorEastAsia"/>
          <w:color w:val="000000"/>
          <w:kern w:val="0"/>
          <w:sz w:val="32"/>
          <w:szCs w:val="32"/>
          <w:lang w:val="en-US" w:eastAsia="zh-CN" w:bidi="ar-SA"/>
        </w:rPr>
        <w:t>预算编制不严谨，合理性有待进一步提高，软约束，未发挥预算控制的作用，存在频繁追加预算的情况</w:t>
      </w:r>
      <w:r>
        <w:rPr>
          <w:rFonts w:hint="eastAsia" w:cs="黑体" w:asciiTheme="minorEastAsia" w:hAnsiTheme="minorEastAsia"/>
          <w:color w:val="000000"/>
          <w:kern w:val="0"/>
          <w:sz w:val="32"/>
          <w:szCs w:val="32"/>
        </w:rPr>
        <w:t>。下一步改进措施：一是</w:t>
      </w:r>
      <w:r>
        <w:rPr>
          <w:rFonts w:hint="eastAsia" w:cs="黑体" w:asciiTheme="minorEastAsia" w:hAnsiTheme="minorEastAsia" w:eastAsiaTheme="minorEastAsia"/>
          <w:color w:val="000000"/>
          <w:kern w:val="0"/>
          <w:sz w:val="32"/>
          <w:szCs w:val="32"/>
          <w:lang w:val="en-US" w:eastAsia="zh-CN" w:bidi="ar-SA"/>
        </w:rPr>
        <w:t>绩效目标的编制与相应的预算支出范围、方向、效果紧密相关，将绩效目标从数量、质量、成本和时效等方面进一步细化量化，让预算执行、绩效运行监控和绩效评价有据可依，绩效目标要与年度的任务数和计划数相对应，与预算确定的投资额或资金量相匹配。</w:t>
      </w:r>
      <w:r>
        <w:rPr>
          <w:rFonts w:hint="eastAsia" w:cs="黑体" w:asciiTheme="minorEastAsia" w:hAnsiTheme="minorEastAsia"/>
          <w:color w:val="000000"/>
          <w:kern w:val="0"/>
          <w:sz w:val="32"/>
          <w:szCs w:val="32"/>
        </w:rPr>
        <w:t>二是</w:t>
      </w:r>
      <w:r>
        <w:rPr>
          <w:rFonts w:hint="eastAsia" w:cs="黑体" w:asciiTheme="minorEastAsia" w:hAnsiTheme="minorEastAsia" w:eastAsiaTheme="minorEastAsia"/>
          <w:color w:val="000000"/>
          <w:kern w:val="0"/>
          <w:sz w:val="32"/>
          <w:szCs w:val="32"/>
          <w:lang w:val="en-US" w:eastAsia="zh-CN" w:bidi="ar-SA"/>
        </w:rPr>
        <w:t>加强预算管理，注重预算编制的前瞻性，按照《预算法》及其实施条件的相关规定，按照政策规定及本单位的发展规划，结合上一年预算执行情况和本年度预算支出收支变化因素，科学、合理地编制本年预算，在预算执行中确需调剂预算的，按规定程序报经批准。三</w:t>
      </w:r>
      <w:r>
        <w:rPr>
          <w:rFonts w:hint="eastAsia" w:cs="黑体" w:asciiTheme="minorEastAsia" w:hAnsiTheme="minorEastAsia"/>
          <w:color w:val="000000"/>
          <w:kern w:val="0"/>
          <w:sz w:val="32"/>
          <w:szCs w:val="32"/>
        </w:rPr>
        <w:t>是</w:t>
      </w:r>
      <w:r>
        <w:rPr>
          <w:rFonts w:hint="eastAsia" w:cs="黑体" w:asciiTheme="minorEastAsia" w:hAnsiTheme="minorEastAsia" w:eastAsiaTheme="minorEastAsia"/>
          <w:color w:val="000000"/>
          <w:kern w:val="0"/>
          <w:sz w:val="32"/>
          <w:szCs w:val="32"/>
          <w:lang w:val="en-US" w:eastAsia="zh-CN" w:bidi="ar-SA"/>
        </w:rPr>
        <w:t>加强项目招投标管理，应于项目的上一届合同期满之前组织项目招投标工作，做好项目合同期满的衔接工作。</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pPr>
        <w:pStyle w:val="10"/>
        <w:ind w:firstLine="640" w:firstLineChars="200"/>
        <w:jc w:val="left"/>
        <w:rPr>
          <w:sz w:val="72"/>
          <w:szCs w:val="72"/>
        </w:rPr>
      </w:pPr>
      <w:r>
        <w:rPr>
          <w:rFonts w:hint="eastAsia" w:cs="黑体" w:asciiTheme="minorEastAsia" w:hAnsiTheme="minorEastAsia" w:eastAsiaTheme="minorEastAsia"/>
          <w:color w:val="000000"/>
          <w:kern w:val="0"/>
          <w:sz w:val="32"/>
          <w:szCs w:val="32"/>
          <w:lang w:val="en-US" w:eastAsia="zh-CN" w:bidi="ar-SA"/>
        </w:rPr>
        <w:t>一是项目经济性分析：项目成本（预算）控制情况①物业管理经费：对物业管理制定了详尽具体的考核办法，进行专项有针对性的管理，并在物业合同履行的过程中，严格按照合同及考评细则的规定对物业公司的服务情况按月进行考核，结合考核得分情况结算当月物业管理费。②空调燃气经费：根据天气情况变化用于市民服务中心办公区域夏季制冷及冬季取暖，按燃气公司收费标准及时缴纳燃气费，保障各单位日常工作的正常开展。③维修维护经费：严格按流程执行，由承办科室根据需维修维护情况计划方案，编制经费预算，填写《物资采购申报表》，经科室负责人、财务科、监察室审核，按照经费开支额度审定权限审定后开支，力求做到维修维护及时到位。二是项目的效率性分析：专项资金所涉及的项目共四大类、十三项都已完成。完成市直单位办公用房管理、全市公务用车制度改革等工作要求；保障市季大院和市民服务中心办公区域夏季制冷，冬季取暖；保障各单位日常工作的正常开展等我局职能要求。三是项目的效益性分析：①项目预期目标完成程度，提高物业服务费资金使用效益和管理水平；节约维修支出，提高办公效率，改善办公环境提高政府办公形象；节能环保，创立节约型公共机构；建设园林化单位，整洁舒适，秩序良好，适宜办公。②项目实施对经济和社会的影响，改善办公环境，提高政府办公形象；消除完全隐患，恢复完善功能，通过对建筑物、构筑物、设备设施等维修维护管理，杜绝豪华装修，有力推进了党政机关厉行节约反对浪费，建设节约型机关工作。通过办公用房维修改造，改善了办公环境、完善了办公功能、消除了安全隐患、提升了服务质量、提高了政府机关形象；节能环保，降低能源损耗，打造节约节能型公共机构；建设园林化单位，绿化木美化程序高，整洁舒适。</w:t>
      </w:r>
    </w:p>
    <w:p>
      <w:pPr>
        <w:pStyle w:val="10"/>
        <w:jc w:val="both"/>
        <w:rPr>
          <w:rFonts w:hint="eastAsia"/>
          <w:sz w:val="72"/>
          <w:szCs w:val="72"/>
        </w:rPr>
      </w:pPr>
    </w:p>
    <w:p>
      <w:pPr>
        <w:pStyle w:val="10"/>
        <w:ind w:firstLine="2880" w:firstLineChars="400"/>
        <w:jc w:val="both"/>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hint="eastAsia" w:ascii="黑体" w:eastAsia="黑体" w:cs="黑体"/>
          <w:color w:val="000000"/>
          <w:kern w:val="0"/>
          <w:sz w:val="70"/>
          <w:szCs w:val="70"/>
        </w:rPr>
      </w:pPr>
      <w:r>
        <w:rPr>
          <w:rFonts w:hint="eastAsia" w:ascii="黑体" w:eastAsia="黑体" w:cs="黑体"/>
          <w:color w:val="000000"/>
          <w:kern w:val="0"/>
          <w:sz w:val="70"/>
          <w:szCs w:val="70"/>
        </w:rPr>
        <w:t>名词解释</w:t>
      </w:r>
    </w:p>
    <w:p>
      <w:pPr>
        <w:jc w:val="center"/>
        <w:rPr>
          <w:rFonts w:hint="eastAsia" w:ascii="黑体" w:eastAsia="黑体" w:cs="黑体"/>
          <w:color w:val="000000"/>
          <w:kern w:val="0"/>
          <w:sz w:val="70"/>
          <w:szCs w:val="70"/>
        </w:rPr>
      </w:pPr>
    </w:p>
    <w:p>
      <w:pPr>
        <w:widowControl/>
        <w:ind w:firstLine="640" w:firstLineChars="200"/>
        <w:jc w:val="left"/>
        <w:rPr>
          <w:rFonts w:asciiTheme="minorEastAsia" w:hAnsiTheme="minorEastAsia"/>
          <w:sz w:val="32"/>
          <w:szCs w:val="32"/>
        </w:rPr>
      </w:pPr>
      <w:r>
        <w:rPr>
          <w:rFonts w:hint="eastAsia" w:asciiTheme="minorEastAsia" w:hAnsiTheme="minorEastAsia"/>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ind w:firstLine="640" w:firstLineChars="200"/>
        <w:rPr>
          <w:rFonts w:hint="eastAsia" w:asciiTheme="minorEastAsia" w:hAnsiTheme="minorEastAsia"/>
          <w:sz w:val="32"/>
          <w:szCs w:val="32"/>
        </w:rPr>
      </w:pPr>
      <w:r>
        <w:rPr>
          <w:rFonts w:hint="eastAsia" w:asciiTheme="minorEastAsia" w:hAnsiTheme="minorEastAsia"/>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2021年度部门整体支出绩效评价报告</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一、部门概况</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（一）部门基本情况</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1、机构设置</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怀化市机关事务管理局为市政府工作部门，正处级，2021年10月所属事业单位机构编制调整。局机关下设内设科室为：办公室、办公用房管理与住房保障科、国有资产管理科、公共机构节能管理科、人事与政策法规科、财务管理科、机关党委。设怀化市委市政府机关服务中心、怀化市直机关国有资产事务中心、怀化市公务用车事务中心和怀化市委市政府机关幼儿园四个二级机构。</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2、在职人员情况</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局机关行政编制18名（含3个周转编），工勤编制16名，事业编制39名，实有在职人员73人。</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3、主要职能</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指导全市机关事务工作，负责市直机关事务的管理、保障和服务工作，组织拟订全市机关事务管理和后勤体制改革的具体政策、制度、标准并监督实施；负责指导全市机关后勤服务单位业务工作；会同有关部门协调解决机关后勤工作中的有关问题。</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对市直机关单位的房地产实施管理，制订相关管理制度并监督执行；协助有关部门做好市直机关房地产的监督管理工作；负责市直党政机关办公用房集中统一管理，协助有关部门管理市直机关的行政建房计划和投资；根据授权承担市直机关行政办公用房及其他非经营性项目的集中统一建设职责；负责市直机关办公用房维修管理，承办市直机关房屋维修、危旧房改造事务工作；负责市直机关行政用房、住宅建设土地使用权证的有关管理工作。指导、监督、检查全市党政机关办公用房管理，指导市直机关物业管理工作。</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(3)、负责市直行政事业单位国有资产集中统一管理，承担配置计划审核、产权界定、清查登记、资产处置工作。负责市直行政事业单位经营性资产的管理工作。负责外宾赠送我市领导人和各部门的礼品、市直机关单位公派出国人员的礼品和其他礼金礼品的管理工作。会同有关部门负责市纪委监委移交资产物品的管理处置工作。</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(4)、负责市直机关住房制度改革工作，研究拟订住房制度改革方案和实施细则并组织实施；在权限范围内负责市直公务员集中住宅区、保障性住房的建设、管理和服务工作；负责市直机关存量公有住房清查、产权登记、调剂配租、维修维护、资产处置等工作。</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(5)、指导、监督、检查全市公务用车管理工作；负责市直行政事业单位公务用车的编制、配备、更新、处置以及预算内专项用于解决市领导和市直行政事业单位公务用车的经费管理工作，负责市直公务用车平台管理工作。</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(6)、统筹协调、指导、推进全市公共机构节能工作，会同有关部门推进全市节约型机关建设，制定推动全市公共机构节能的规划、制度并组织实施；负责市直公共机构节约能源资源管理工作。</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(7)、负责按规定为异地交流来怀工作的市级领导提供住房保障等服务。</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(8)、负责市委机关、市政府机关（市民服务中心，下同）的事务管理、保障和服务工作；承担市委机关、市政府机关房屋维修、危旧房改造事务工作；承办市委机关住房交易管理工作。</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(9)、会同相关部门组织实施市直机关后勤员工培训工作。</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(10)、承办市委、市政府交办的其它任务。</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(11)、有关职责分工。市财政局负责制定行政事业单位国有资产管理规章制度，并负责组织实施和监督检查。市机关事务管理局负责市直行政事业单位国有资产管理，承担产权界定、清查登记、资产处置工作，接受市财政局的指导和监督检查。市直行政事业单位按规定负责所属事业单位及派出机构的国有资产管理。</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（二）部门整体支出规模、使用方向和主要内容、涉及范围等。</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实际整体支出为5364.39万元,按支出项目分类，其中基本支出为2067.53万元，主要用于人员经费、开展工作日常公用经费。2021年专项业务和项目资金实际支出3296.85万元，主要用于各专项业务工作开支和专项项目开支。</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二、部门整体支出管理及使用情况</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（一）基本支出</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1、基本支出情况</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基本支出为2067.53万元，主要用于人员经费、开展工作日常公用经费。“三公”经费支出109.81万元，与上年决算28.23万元相比，增加81.58万元。其中：公车运行维护费108.53万元，与上年决算27.53万元相比，增加81万元；公务接待费1.28万元，与上年决算0.7万元相比，增加0.58万元。年末保有公务用车51台，公务接待16批次，公务接待80人次。因公车平台车辆增加及机关会堂机构改革并入局本级，我局今年三公经费开支较上年开支增加。</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2、资金管理情况</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（1）加强单位内部控制制度建设，制定了内部控制工作制度、财务管理制度等科学完整的内部控制制度。</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进一步规范财务管理，严肃财经纪律，节约经费支出，强化廉政建设。根据国家、省、市有关财经法规的规定，严格执行财务制度《怀化市机关事务管理局财务管理办法》（试行）怀管发【2018】4号；强化财务规范化管理，支出有相关的授权审批，资金拨付严格按规定的审批程序执行，并履行相应的手续，同时按照相关会计制度和财务管理办法及时进行核算。</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（3）加大对“三公”经费的管理，杜绝无预算、超预算支出行为，并定期开展监督检查，推行厉行节约反对浪费工作的制度化、规范化、程序化，确保“三公”经费各项要求落到实处。</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（4）加强经费支出预算管理，根据《中华人民共和国预算法》、《财政部财政支出绩效评价管理暂行办法》等国家有关规定，推行预算绩效管理，按要求实施绩效自评，提高财政资金使用效益。</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（二）专项支出</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1、专项资金（包括财政资金、自筹资金等）安排落实、总投入等情况分析。</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2021年专项业务和项目资金共安排落实3296.85万元，具体情况如下：</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年初预算1530.13万元，安排落实3296.85万元（含上年结余结转21.12万元），其中：专项业务工作经费（市委大院专项、市民中心、公共节能工作经费、资产改革工作和老干部活动经费）70.63万元、公车改革经费和公车管理办运行经费159.</w:t>
      </w:r>
      <w:r>
        <w:rPr>
          <w:rFonts w:hint="eastAsia" w:cs="黑体" w:asciiTheme="minorEastAsia" w:hAnsiTheme="minorEastAsia"/>
          <w:color w:val="000000"/>
          <w:kern w:val="0"/>
          <w:sz w:val="32"/>
          <w:szCs w:val="32"/>
          <w:lang w:val="en-US" w:eastAsia="zh-CN"/>
        </w:rPr>
        <w:t>6</w:t>
      </w:r>
      <w:r>
        <w:rPr>
          <w:rFonts w:hint="eastAsia" w:cs="黑体" w:asciiTheme="minorEastAsia" w:hAnsiTheme="minorEastAsia"/>
          <w:color w:val="000000"/>
          <w:kern w:val="0"/>
          <w:sz w:val="32"/>
          <w:szCs w:val="32"/>
        </w:rPr>
        <w:t>万元、市委大院、周转房、市民服务中心维修维护资金133.6万元、市委市政府集中办公运行经费（燃气）300万元、市委机关大院绿化安全隐患经费15万元、市民服务中心空调维修改造经费246.2万元、垃圾分类设施专项10.41万元、怀化海关人员周转房费用14.11万元、两院物业管理费969.39万元、市民服务中心办公用房租金200万元、财源建设奖补资金及科技产业项目（海关改扩建）964.8万元、军分区营院管理经费90.35万元、市级领导周转公房经费117.2万元、机关会堂中央空调改造工程1.9</w:t>
      </w:r>
      <w:r>
        <w:rPr>
          <w:rFonts w:hint="eastAsia" w:cs="黑体" w:asciiTheme="minorEastAsia" w:hAnsiTheme="minorEastAsia"/>
          <w:color w:val="000000"/>
          <w:kern w:val="0"/>
          <w:sz w:val="32"/>
          <w:szCs w:val="32"/>
          <w:lang w:val="en-US" w:eastAsia="zh-CN"/>
        </w:rPr>
        <w:t>2</w:t>
      </w:r>
      <w:r>
        <w:rPr>
          <w:rFonts w:hint="eastAsia" w:cs="黑体" w:asciiTheme="minorEastAsia" w:hAnsiTheme="minorEastAsia"/>
          <w:color w:val="000000"/>
          <w:kern w:val="0"/>
          <w:sz w:val="32"/>
          <w:szCs w:val="32"/>
        </w:rPr>
        <w:t>万元、机关会堂消防改造工程3.6</w:t>
      </w:r>
      <w:r>
        <w:rPr>
          <w:rFonts w:hint="eastAsia" w:cs="黑体" w:asciiTheme="minorEastAsia" w:hAnsiTheme="minorEastAsia"/>
          <w:color w:val="000000"/>
          <w:kern w:val="0"/>
          <w:sz w:val="32"/>
          <w:szCs w:val="32"/>
          <w:lang w:val="en-US" w:eastAsia="zh-CN"/>
        </w:rPr>
        <w:t>3</w:t>
      </w:r>
      <w:r>
        <w:rPr>
          <w:rFonts w:hint="eastAsia" w:cs="黑体" w:asciiTheme="minorEastAsia" w:hAnsiTheme="minorEastAsia"/>
          <w:color w:val="000000"/>
          <w:kern w:val="0"/>
          <w:sz w:val="32"/>
          <w:szCs w:val="32"/>
        </w:rPr>
        <w:t>万元。</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2、专项资金（主要指财政资金）实际使用情况分析。</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专项业务和项目资金实际支出3296.85万元，其中：专项业务工作经费（市委大院专项、市民中心、公共节能工作经费、资产改革工作和老干部活动经费）70.63万元、公车改革经费和公车管理办运行经费159.59万元、市委大院、周转房、市民服务中心维修维护资金133.6万元、市委市政府集中办公运行经费（燃气）300万元、市委机关大院绿化安全隐患经费15万元、市民服务中心空调维修改造经费246.2万元、垃圾分类设施专项10.41万元、怀化海关人员周转房费用14.11万元、两院物业管理费969.39万元、市民服务中心办公用房租金200万元、财源建设奖补资金及科技产业项目（海关改扩建）964.8万元、军分区营院管理经费90.35万元、市级领导周转公房经费117.2万元、 机关会堂中央空调改造工程1.9</w:t>
      </w:r>
      <w:r>
        <w:rPr>
          <w:rFonts w:hint="eastAsia" w:cs="黑体" w:asciiTheme="minorEastAsia" w:hAnsiTheme="minorEastAsia"/>
          <w:color w:val="000000"/>
          <w:kern w:val="0"/>
          <w:sz w:val="32"/>
          <w:szCs w:val="32"/>
          <w:lang w:val="en-US" w:eastAsia="zh-CN"/>
        </w:rPr>
        <w:t>2</w:t>
      </w:r>
      <w:r>
        <w:rPr>
          <w:rFonts w:hint="eastAsia" w:cs="黑体" w:asciiTheme="minorEastAsia" w:hAnsiTheme="minorEastAsia"/>
          <w:color w:val="000000"/>
          <w:kern w:val="0"/>
          <w:sz w:val="32"/>
          <w:szCs w:val="32"/>
        </w:rPr>
        <w:t>万元、机关会堂消防改造工程3.6</w:t>
      </w:r>
      <w:r>
        <w:rPr>
          <w:rFonts w:hint="eastAsia" w:cs="黑体" w:asciiTheme="minorEastAsia" w:hAnsiTheme="minorEastAsia"/>
          <w:color w:val="000000"/>
          <w:kern w:val="0"/>
          <w:sz w:val="32"/>
          <w:szCs w:val="32"/>
          <w:lang w:val="en-US" w:eastAsia="zh-CN"/>
        </w:rPr>
        <w:t>3</w:t>
      </w:r>
      <w:r>
        <w:rPr>
          <w:rFonts w:hint="eastAsia" w:cs="黑体" w:asciiTheme="minorEastAsia" w:hAnsiTheme="minorEastAsia"/>
          <w:color w:val="000000"/>
          <w:kern w:val="0"/>
          <w:sz w:val="32"/>
          <w:szCs w:val="32"/>
        </w:rPr>
        <w:t>万元。</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3、专项资金管理情况分析，主要包括管理制度、办法的制订及执行情况。</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专项资金管理严格按《市财政专项资金管理办法》执行，在需要调整使用范围和用途、增加资金等安排时，按专项资金管理办法履行了相应的审批程序和流程；需要进行政府采购的，按政府采购的相关程序办理。专项资金的支出均有相关的授权审批手续，资金拨付严格审批程序，对于资金的使用也制定了相关详尽具体办法。针对物业管理费，按政府采购招标签订合同制定了详尽具体的考核办法，进行专项有针对性的管理，并在物业合同履行的过程中，严格按照合同及考评细则的规定对物业公司的服务情况按月进行考核，结合考核得分情况结算当月物业管理费。</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三、部门专项组织实施情况</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（一）专项组织情况分析</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我局根据相关政策法规要求，进一步健全项目相关制度，对市本级专项资金，财务管理科统一管理，各相关业务科室做好申报与具体管理工作；对支持方向涉及多个业务科室的专项资金，由财务管理科统筹协调管理，纪检监察和各相关业务科室做好申报与项目招投标、调整、竣工验收等具体实施工作。</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（二）专项管理情况分析</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 xml:space="preserve">我局对专项工作的预决算严格按照《怀化市机关事务管理局预决算管理制度》的规定编制；在资金的申报及具体管理工作中按《怀化市机关事务管理局专项资金管理制度》有效执行，建立专项资金专题会议制度，不同专项资金召开不同人员参加，会议主要研究确定专项资金年度使用方案、专项实施负责人、项目日常监督检查、项目验收及其他事宜；专项资金单独核算，专款专用，财务管理科负责专项资金的核算。 </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四、资产管理情况</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进一步健全、完善资产管理制度，将资产管理责任落实到个人，充分发挥单位内部资产管理员的管理监督作用，做到人人都管物，物物有人管。定期查询、汇总、分析单位资产的购置、使用、变动、处置情况，及时与相关部门进行账务核对，从资产的入口到资产的出口做到资产的全生命周期动态管理。</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单位负责明确占有资产的使用管理，明确一名负责人作为资产管理责任人，具体负责本单位国有资产管理工作。主要负责负责本单位国有资产（包括低值品）的日常管理、监督检查工作，组织本单位的资产清查和统计工作；拟定本单位国有资产配置、处置方案并报批；负责本单位存量资产的有效利用，贵重仪器设备的共享及公共平台建设工作；接受资产和财务等职能部门的指导、监督，并报告国有资产管理的有关工作，完成单位资产管理部门交办的其他工作。</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3、单位各部门配备资产管理员，负责本单位国有资产的具体管理工作。主要负责本部门国有资产账务管理；做好本单位资产清查、统计及日常监督检查工作；办理固定资产的登记以及领用人、存放地点变更等手续；负责低值品的登记、建账和管理。</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五、部门整体支出绩效情况</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（一）经济性分析</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 xml:space="preserve"> 2021年度我局财政拨款和上年结转总计5364.39万元，年初预算支出2366.25万元，调整预算后支出5364.39万元，实际支出为5364.39万元；年初预算部门基本支出836.12万元，调整预算后支出2067.54万元，实际支出2067.54万元；三公经费支出109.81万元，年初预算81.65万元，比预算增加34.49%，原因为公车平台车辆增加。</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 xml:space="preserve">在成本费用控制方面，为了最大限度的利用有限的财政资金，我局想方设法进行成本控制，按照预算法及相关文件精神严格把控各项支出，对每一项经费都务必仔细斟酌，在综合事务项目工作中，本着勤俭节约、简单务实的原则，对各项经费进行了不断的压缩和精简，力戒形式主义和形象工程，坚持花小钱办大事，提倡简单务实。  </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（二）效率性分析</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全力抓实抓好党建。一是始终把政治建设摆在首位。局党组始终把党建工作放在首位，将学习传达习近平重要讲话精神列为局党组第一议题，全年专题研究党建工作4次。二是始终把支部建设作为重要抓手。认真落实“三会一课”、民主生活会、领导干部双重组织生活、民主评议党员、谈心谈话等制度，党支部“五化”建设全面达标，全面推进党建示范点创建工作，成功创建党建示范点1个。荣获市直工委表彰1个先进基层党组织、1名优秀党务工作者、1名优秀共产党员。确定预备党员1名。三是始终抓实抓好党员思想教育工作。全局73名党员全部参与学习强国的学习，参学率达到100%。组织全体党员开展机关“光影铸魂”电影党课活动；扎实做好对口西兴社区“双报道”工作，开展志愿服务活动；组织退休支部党员参观了溆浦向警予同志故居、纪念馆，参观了龙潭抗日阵亡将士陵园；为13名入党50年以上党龄的老党员颁发了纪念章。四是始终关怀困难党员。春节期间走访慰问生活难党员5名，送去4000元慰问金；“七一”前夕，走访慰问老党员、生活困难党员12名、生病老党员3人。</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精心发展乡村振兴。一是加强乡村振兴工作力度。局党组和市人民银行一起，以“四不两直”方式，采取召开座谈会、到产业开发现场察看、找工作队和村组干部个别谈话等方式方法，对乡村振兴点辰溪县辰阳镇王家坪村进行了专题调研和走访慰问。分批次对乡村振兴点辰溪县辰阳镇王家坪40户帮扶户开展一对一走访帮扶。二是巩固“两不愁三保障”成果。发放助学资金60人、29625元；落实“雨露计划”职业学历教育补助4人、6000元。脱贫人口（含监测对象）435人已100%参保；大病保险等医疗保障忧患政策全部落实到位；家庭医生签约已应签尽签、服务到位64人；危房改造3户，安全饮水保障到位。三是推进易地扶贫搬迁后续扶持。水、电全部到户，网络全部覆盖，公共服务运行完善。四是加强扶贫项目资产管理。脐橙产业、乡村旅游产业等项目类别完整。五是落实脱贫人口小额信贷。帮助符合条件的脱贫人贷款12户405000元。</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 xml:space="preserve">3、国有资产管理成效明显。一是牵头市直行政事业单位国有资产注入平台公司。与市财政局、市城市建设投资公司按照“三见”“三清”的原则，完成了所有注入资产的核实摸底工作，并协调办理相关移交手续，已签订移交协议的行政事业单位有45家，113宗资产。二是负责机关运行成本统计调查的综合协调工作。按时完成对34家市政府工作部门和1家直属单位的2020年度机关运行成本进行统计调查。三是落实资产管理改革任务。起草完善了《关于深化怀化市市直行政事业单位国有资产管理体制改革的实施方案》和《怀化市市直行政事业单位国有资产管理办法》并于12月7日通过市政府常务会议研究，12月21日通过市委深改会议审议，目前在走两办发文程序，拟于本月底正式印发。四是做好罚没资产管理工作。接收市纪委移交的罚没资产2批，集中拍卖处置了49条香烟，获得40860元处置收入。 </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4、公务用车管理精准精细。一是加快落实公车改革相关配套政策。加快公务员职级并行车补发放、按次按距离包干等公车改革配套政策的落实，完成了公车数据统计及公车配套政策落实情况的调查摸底工作。二是加强市直公务用车集中服务平台建设。公车平台直接集中管理车辆已达到61辆，对市直参改单位的公务出行进行免费保障。从2021年7月平台扩建试运行以来，共派车403台次，调度行政执法车辆999台次。仅市“两会”期间，平台就提供20余辆公务用车保障会议所需，行驶里程达5862公里。三是科学调剂公务用车编制。对市政府办、市人大办、市巡察办、市医保局等8个单位单位重新核定公务用车编制。取消车辆调剂至各县市区41辆，调剂置换到其他市直单位15辆，调剂补充到市直公车平台13辆。四是信息平台运行平稳。党政机关保留车辆录入全省的公车信息平台，严格执行信息平台用车申请、审批、调度等流程，确保我市公车信息化平台使用步入正轨。五是强化公车管理及配套工作。严格把控公车租赁费。累计共审批党政机关公务出行租车审批948次，已用额度292.8万元，剩余额度174.6万元；完成事业单位公务出行租车审批131次，已用额度35.9万元。及时车补异动调整。补发的交通补贴194个单位592人，累计补发2410个月122万元。</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5、公共机构节能管理成效显著。一是全面完成能耗管理目标。2020年怀化市各类公共机构总能耗为53519.64吨标煤，同比下降16.02%；人均能耗114.08千克，同比下降3.9%，全面完成省节能目标。二是节约型机关创建数量稳居全省首位。2021年，全市节约型机关共创建259家单位，两年累计创建506家单位，占全市690家党政机关的73.3%，创建数量在全省稳居首位。三是公共机构生活垃圾分类初步实现市县全覆盖。市委书记雷绍业、市长黎春秋在市委机关大院召开了城市生活垃圾分类工作现场推进演示会，向全市吹响了大力推进生活垃圾分类工作的号角。市、县两级公共机构共计投入超过1000万元，初步完成了生活垃圾分类设施配置；印发各类宣传资料10000份以上，在主流媒体以及自媒体上大力宣传，全面推广生活垃圾分类。</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6、后勤保障服务优质高效。一是全力做好市委市政府机关疫情防控。发放疫情宣传手册20000余份，6次对大院内53栋房屋1227户5000余名居民逐一进行排查，对各进出口安排专人进行查验“双码、一戴、一测”工作，严格落实每天消毒制度，有效保障市委市政府机关大院干部职工群众生命健康安全。二是全力确保市委市政府平安。建立联防联动机制，与入驻单位签订了《2021年平安建设工作责任书》，层层落实责任。扎实开展安全生产检查和安全生产培训，全年联合职能部门安全大检查4次，消防培训6次，实战演练2次，发放安全提示1360多份。加强技防建设，投入500余万元，完成市委市政府安防系统建设，初步实现“人防+物防+技防”三防合一。全年完成中央、省领导来怀接待任务20次，接待外来办事人员4万余人，年纠正违停车辆4219台次，始终确保市委市政府机关平安。三是全力确保市委市政府机关高效运转。投入10余万元对市委大院绿化进行补苗、修枯枝100余处；组织卫生检查12次，整治乱搭、乱养2处，禁止栽菜行为20余人次，禁止乱贴行为50人/次；全年水电维修1800余次，抢修供水供电设施设备10余次，全年供水58多万吨；持续协助住户办理机关大院住房产权证及换证工作，共计100余户。市民服务中心补植小苗10000株，绿化修剪13次；全年更换灯泡880颗、灯罩110个；更换维修麻石板450余块，厕所疏通90余次，更换空调面板18块，处理完成各类诉求3200多个；大小会议接待1245场次，服务满意率达到100%。为500多名退休干部职工提供优质服务，300名幼儿实施优质教育，圆满完成市第六次当代会、市“两会”会务服务工作。</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（三）有效性分析</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1.预算完成率。2021年初预算2366.25万元，预算调整后安排5364.39万元，预算完成率100%，预算完成达到预期。</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2.预算控制率。2021年追加预算2998.14万元，预算控制较好。</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3.新建楼堂馆所面积和投资概算控制率。2021年无新建楼堂管所。</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4.公用经费控制率。2021年实际支出公用经费总额877.87万元，预算安排公用经费总额877.87万元，公用经费控制率为100%，控制较好。</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 xml:space="preserve">5.“三公经费”控制率。“三公经费”实际支出数为109.81万元，年初预算81.65万元，“三公经费”控制率为134.49%，超出年初预算28.16万元，主要是因为公车平台的公车新增至51台。     </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6.管理制度健全性。制定了内部财务管理制度、会计核算制度等管理制度，严格执行差旅费、会议费、培训费和接待费等支出具体管理办法。</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7. 资金使用合规性。严格遵守国家财经法规和财务管理制度规定；资金使用合法合规，支出手续齐全，程序到位。</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（四）可持续性分析</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 xml:space="preserve">1、通过扎实做好各建筑物、设备、设施等维修养护，保证水、电、气正常有序供应，保障市委大院、市民服务中心各单位日常工作的正常开展，各项工作持续有效的进行。 </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2、通过不断完善内部控制制度，保证后续的各项事务开展有章可循、有规可依。</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3、通过不断加强人员培训、提高管理水平，保证了机关事务开展步入良性发展轨道。</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六、存在的主要问题</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通过对整体支出情况的分析，2021年我局整体支出虽然基本保证了各单位的正常运行和职能履行，但在预算编制、执行和管理过程中仍存在一些困难和问题：</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1、绩效目标的设定不够科学精细，指向不够明确,定性多，量化少，内容不全面，主管部门未作硬性要求,使绩效目标未受到重视。</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2、预算编制不够严谨，合理性有待进一步提高，软约束，未发挥预算控制的作用。</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七、改进措施和有关建议</w:t>
      </w:r>
    </w:p>
    <w:p>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绩效目标的编制与相应的预算支出范围、方向、效果紧密相关，将绩效目标从数量、质量、成本和时效等方面进一步细化量化，让预算执行、绩效运行监控和绩效评价有据可依，绩效目标要与年度的任务数和计划数相对应，与预算确定的投资额或资金量相匹配。</w:t>
      </w:r>
    </w:p>
    <w:p>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加强预算管理，注重预算编制的前瞻性，按照《预算法》及其实施条件的相关规定，按照政策规定及本单位的发展规划，结合上一年预算执行情况和本年度预算支出收支变化因素，科学、合理地编制本年预算，在预算执行中确需调剂预算的，按规定程序报经批准。</w:t>
      </w:r>
    </w:p>
    <w:p>
      <w:pPr>
        <w:ind w:firstLine="420" w:firstLineChars="200"/>
      </w:pPr>
    </w:p>
    <w:p>
      <w:pPr>
        <w:ind w:firstLine="640" w:firstLineChars="200"/>
        <w:jc w:val="left"/>
        <w:rPr>
          <w:rFonts w:cs="黑体" w:asciiTheme="minorEastAsia" w:hAnsiTheme="minorEastAsia"/>
          <w:color w:val="000000"/>
          <w:kern w:val="0"/>
          <w:sz w:val="32"/>
          <w:szCs w:val="32"/>
        </w:rPr>
      </w:pPr>
    </w:p>
    <w:p>
      <w:pPr>
        <w:jc w:val="center"/>
        <w:rPr>
          <w:rFonts w:ascii="黑体" w:hAnsi="黑体" w:eastAsia="黑体"/>
          <w:sz w:val="28"/>
          <w:szCs w:val="28"/>
        </w:rPr>
        <w:sectPr>
          <w:pgSz w:w="11906" w:h="16838"/>
          <w:pgMar w:top="1440" w:right="1797" w:bottom="1440" w:left="1797" w:header="851" w:footer="992" w:gutter="0"/>
          <w:cols w:space="425" w:num="1"/>
          <w:docGrid w:type="linesAndChars" w:linePitch="312" w:charSpace="0"/>
        </w:sectPr>
      </w:pP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jc w:val="center"/>
        <w:rPr>
          <w:rFonts w:ascii="Times New Roman" w:hAnsi="Times New Roman" w:eastAsia="方正小标宋_GBK" w:cs="Times New Roman"/>
          <w:kern w:val="0"/>
          <w:sz w:val="36"/>
          <w:szCs w:val="36"/>
        </w:rPr>
      </w:pPr>
      <w:bookmarkStart w:id="0" w:name="RANGE!A1:F16"/>
    </w:p>
    <w:bookmarkEnd w:id="0"/>
    <w:p>
      <w:pPr>
        <w:pStyle w:val="10"/>
        <w:rPr>
          <w:sz w:val="72"/>
          <w:szCs w:val="72"/>
        </w:rPr>
        <w:sectPr>
          <w:pgSz w:w="11906" w:h="16838"/>
          <w:pgMar w:top="720" w:right="720" w:bottom="720" w:left="720" w:header="851" w:footer="992" w:gutter="0"/>
          <w:cols w:space="425" w:num="1"/>
          <w:docGrid w:type="lines" w:linePitch="312" w:charSpace="0"/>
        </w:sectPr>
      </w:pPr>
    </w:p>
    <w:p>
      <w:pPr>
        <w:pStyle w:val="10"/>
        <w:rPr>
          <w:sz w:val="72"/>
          <w:szCs w:val="72"/>
        </w:rPr>
      </w:pPr>
    </w:p>
    <w:p>
      <w:pPr>
        <w:pStyle w:val="10"/>
        <w:jc w:val="center"/>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7C38F"/>
    <w:multiLevelType w:val="singleLevel"/>
    <w:tmpl w:val="8D67C38F"/>
    <w:lvl w:ilvl="0" w:tentative="0">
      <w:start w:val="5"/>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820CCA3"/>
    <w:multiLevelType w:val="singleLevel"/>
    <w:tmpl w:val="4820CCA3"/>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kMmZmMWIxMjRiZmM2MTFkZWVkNGYwNTNmZTUzMGU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70C85"/>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01181A"/>
    <w:rsid w:val="01303AC5"/>
    <w:rsid w:val="02A12B34"/>
    <w:rsid w:val="0430275A"/>
    <w:rsid w:val="04ED3C7C"/>
    <w:rsid w:val="08C37922"/>
    <w:rsid w:val="09544033"/>
    <w:rsid w:val="09B82DDB"/>
    <w:rsid w:val="09DA0997"/>
    <w:rsid w:val="0B3E2736"/>
    <w:rsid w:val="0D402EF5"/>
    <w:rsid w:val="0D413BD1"/>
    <w:rsid w:val="0DE567E1"/>
    <w:rsid w:val="0DE7203F"/>
    <w:rsid w:val="0EFD148A"/>
    <w:rsid w:val="0FE90A65"/>
    <w:rsid w:val="103E61FE"/>
    <w:rsid w:val="10DB2F38"/>
    <w:rsid w:val="12462572"/>
    <w:rsid w:val="139B20B6"/>
    <w:rsid w:val="13B10A95"/>
    <w:rsid w:val="147E4ABA"/>
    <w:rsid w:val="156C2EC6"/>
    <w:rsid w:val="172B5AD5"/>
    <w:rsid w:val="176D5C4E"/>
    <w:rsid w:val="1C2E6C72"/>
    <w:rsid w:val="1C4F3541"/>
    <w:rsid w:val="1CA473E9"/>
    <w:rsid w:val="1CFE6317"/>
    <w:rsid w:val="1D252C53"/>
    <w:rsid w:val="1D966CAE"/>
    <w:rsid w:val="1E0345E3"/>
    <w:rsid w:val="1E2B480D"/>
    <w:rsid w:val="1EFF22A4"/>
    <w:rsid w:val="1F3F0DD7"/>
    <w:rsid w:val="1F7C73CB"/>
    <w:rsid w:val="1F9574BD"/>
    <w:rsid w:val="1FB42D15"/>
    <w:rsid w:val="1FFE1506"/>
    <w:rsid w:val="20E05291"/>
    <w:rsid w:val="221D6715"/>
    <w:rsid w:val="22F5463A"/>
    <w:rsid w:val="23843AD1"/>
    <w:rsid w:val="24330227"/>
    <w:rsid w:val="245D30A8"/>
    <w:rsid w:val="25AD2F8E"/>
    <w:rsid w:val="263E0279"/>
    <w:rsid w:val="270B07AE"/>
    <w:rsid w:val="27580973"/>
    <w:rsid w:val="29D127F2"/>
    <w:rsid w:val="29FC6AB7"/>
    <w:rsid w:val="2B602A2C"/>
    <w:rsid w:val="2C1B5AA1"/>
    <w:rsid w:val="2D6F4423"/>
    <w:rsid w:val="2DBA2FCF"/>
    <w:rsid w:val="2E725599"/>
    <w:rsid w:val="2EE858E9"/>
    <w:rsid w:val="2EED4079"/>
    <w:rsid w:val="2F093D2F"/>
    <w:rsid w:val="2F57758C"/>
    <w:rsid w:val="30275401"/>
    <w:rsid w:val="304F7BF1"/>
    <w:rsid w:val="305314A0"/>
    <w:rsid w:val="317075FB"/>
    <w:rsid w:val="31E34747"/>
    <w:rsid w:val="32C4057C"/>
    <w:rsid w:val="32D30DAD"/>
    <w:rsid w:val="32EB3324"/>
    <w:rsid w:val="340D76D4"/>
    <w:rsid w:val="347D07F4"/>
    <w:rsid w:val="355E5DF1"/>
    <w:rsid w:val="356C2F6A"/>
    <w:rsid w:val="359E55F9"/>
    <w:rsid w:val="35B273E0"/>
    <w:rsid w:val="37410980"/>
    <w:rsid w:val="374970B3"/>
    <w:rsid w:val="37B55984"/>
    <w:rsid w:val="387B329C"/>
    <w:rsid w:val="39032018"/>
    <w:rsid w:val="397D4DF2"/>
    <w:rsid w:val="398D772B"/>
    <w:rsid w:val="39902D77"/>
    <w:rsid w:val="3AD05F82"/>
    <w:rsid w:val="3CA60B04"/>
    <w:rsid w:val="3CE35102"/>
    <w:rsid w:val="3E033D2A"/>
    <w:rsid w:val="3E394D97"/>
    <w:rsid w:val="400D4CA9"/>
    <w:rsid w:val="401F0BD1"/>
    <w:rsid w:val="40704EAF"/>
    <w:rsid w:val="409F7296"/>
    <w:rsid w:val="40F55BB6"/>
    <w:rsid w:val="41EE2D31"/>
    <w:rsid w:val="42415908"/>
    <w:rsid w:val="429513FF"/>
    <w:rsid w:val="42B45D29"/>
    <w:rsid w:val="42BC0A04"/>
    <w:rsid w:val="42DE6E4E"/>
    <w:rsid w:val="454A7D39"/>
    <w:rsid w:val="45706A65"/>
    <w:rsid w:val="46C01222"/>
    <w:rsid w:val="47C06F1E"/>
    <w:rsid w:val="48A77E4E"/>
    <w:rsid w:val="491F06F7"/>
    <w:rsid w:val="49AB4E64"/>
    <w:rsid w:val="4AF869CF"/>
    <w:rsid w:val="4B3A74CF"/>
    <w:rsid w:val="4C0A0767"/>
    <w:rsid w:val="4C1A292A"/>
    <w:rsid w:val="4CF20FE3"/>
    <w:rsid w:val="4EF43951"/>
    <w:rsid w:val="4F03120B"/>
    <w:rsid w:val="4F4E4E0F"/>
    <w:rsid w:val="50616DC4"/>
    <w:rsid w:val="511C1C1F"/>
    <w:rsid w:val="53263464"/>
    <w:rsid w:val="53B92A73"/>
    <w:rsid w:val="53BF2783"/>
    <w:rsid w:val="540A4497"/>
    <w:rsid w:val="54444A33"/>
    <w:rsid w:val="54CA7080"/>
    <w:rsid w:val="551C775D"/>
    <w:rsid w:val="56996AA0"/>
    <w:rsid w:val="56A5094E"/>
    <w:rsid w:val="579B6E0F"/>
    <w:rsid w:val="581E4440"/>
    <w:rsid w:val="58DB2A74"/>
    <w:rsid w:val="59E843B0"/>
    <w:rsid w:val="5C173B26"/>
    <w:rsid w:val="5DD42EF6"/>
    <w:rsid w:val="5DFE64D3"/>
    <w:rsid w:val="5E5F1B68"/>
    <w:rsid w:val="5F201887"/>
    <w:rsid w:val="5FF13CA2"/>
    <w:rsid w:val="5FFF32D5"/>
    <w:rsid w:val="601E082E"/>
    <w:rsid w:val="60F17CF0"/>
    <w:rsid w:val="63714351"/>
    <w:rsid w:val="63A252D2"/>
    <w:rsid w:val="63D959D3"/>
    <w:rsid w:val="64392987"/>
    <w:rsid w:val="657B4435"/>
    <w:rsid w:val="65C459D3"/>
    <w:rsid w:val="685134D0"/>
    <w:rsid w:val="6A525B7A"/>
    <w:rsid w:val="6A5A47A8"/>
    <w:rsid w:val="6A972F43"/>
    <w:rsid w:val="6AFA59F3"/>
    <w:rsid w:val="6B532727"/>
    <w:rsid w:val="6C1C79F7"/>
    <w:rsid w:val="6CFB34BB"/>
    <w:rsid w:val="6EA039EE"/>
    <w:rsid w:val="6ECC1FBE"/>
    <w:rsid w:val="6EE80984"/>
    <w:rsid w:val="6FDE5D8C"/>
    <w:rsid w:val="720F6228"/>
    <w:rsid w:val="72742DC4"/>
    <w:rsid w:val="73485786"/>
    <w:rsid w:val="7396247F"/>
    <w:rsid w:val="73B9469D"/>
    <w:rsid w:val="73EA7F5B"/>
    <w:rsid w:val="751D0C5C"/>
    <w:rsid w:val="75AD78D6"/>
    <w:rsid w:val="778E38D3"/>
    <w:rsid w:val="7ACD7E14"/>
    <w:rsid w:val="7CB77A56"/>
    <w:rsid w:val="7FF12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paragraph" w:customStyle="1" w:styleId="13">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15546</Words>
  <Characters>16652</Characters>
  <Lines>69</Lines>
  <Paragraphs>19</Paragraphs>
  <TotalTime>0</TotalTime>
  <ScaleCrop>false</ScaleCrop>
  <LinksUpToDate>false</LinksUpToDate>
  <CharactersWithSpaces>16684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WPS_1678845426</cp:lastModifiedBy>
  <cp:lastPrinted>2022-07-27T12:55:00Z</cp:lastPrinted>
  <dcterms:modified xsi:type="dcterms:W3CDTF">2023-09-28T10:06:47Z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9410341F9DCE4A968F89A3F52564F9E1</vt:lpwstr>
  </property>
</Properties>
</file>