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sz w:val="84"/>
          <w:szCs w:val="84"/>
        </w:rPr>
      </w:pPr>
      <w:r>
        <w:rPr>
          <w:rFonts w:hint="eastAsia"/>
          <w:sz w:val="84"/>
          <w:szCs w:val="84"/>
        </w:rPr>
        <w:t>2021年度</w:t>
      </w:r>
    </w:p>
    <w:p>
      <w:pPr>
        <w:pStyle w:val="10"/>
        <w:jc w:val="center"/>
        <w:rPr>
          <w:sz w:val="84"/>
          <w:szCs w:val="84"/>
        </w:rPr>
      </w:pPr>
      <w:r>
        <w:rPr>
          <w:rFonts w:hint="default"/>
          <w:sz w:val="84"/>
          <w:szCs w:val="84"/>
        </w:rPr>
        <w:t>怀化市委市政府机关会堂 管理所</w:t>
      </w:r>
      <w:r>
        <w:rPr>
          <w:rFonts w:hint="eastAsia"/>
          <w:sz w:val="84"/>
          <w:szCs w:val="84"/>
        </w:rPr>
        <w:t>决算</w:t>
      </w: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00" w:lineRule="exact"/>
        <w:jc w:val="center"/>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怀化市委市政府机关会堂管理所</w:t>
      </w:r>
      <w:r>
        <w:rPr>
          <w:rFonts w:hint="eastAsia"/>
          <w:b/>
          <w:sz w:val="28"/>
          <w:szCs w:val="28"/>
        </w:rPr>
        <w:t>概况</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九、国有资本经营预算财政拨款支出决算情况说明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十、关于机关运行经费支出说明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十二、关于政府采购支出说明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十三、关于国有资产占用情况说明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十四、关于2021年度预算绩效情况的说明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ascii="仿宋_GB2312" w:hAnsi="仿宋_GB2312" w:cs="仿宋_GB2312"/>
          <w:color w:val="000000"/>
          <w:kern w:val="0"/>
          <w:sz w:val="28"/>
          <w:szCs w:val="28"/>
        </w:rPr>
        <w:t>第四部分名词解释</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0"/>
        <w:jc w:val="center"/>
        <w:rPr>
          <w:sz w:val="84"/>
          <w:szCs w:val="84"/>
        </w:rPr>
      </w:pPr>
      <w:r>
        <w:rPr>
          <w:rFonts w:hint="eastAsia"/>
          <w:sz w:val="84"/>
          <w:szCs w:val="84"/>
        </w:rPr>
        <w:t>第一部分</w:t>
      </w:r>
    </w:p>
    <w:p>
      <w:pPr>
        <w:pStyle w:val="10"/>
        <w:jc w:val="center"/>
        <w:rPr>
          <w:sz w:val="84"/>
          <w:szCs w:val="84"/>
        </w:rPr>
      </w:pPr>
    </w:p>
    <w:p>
      <w:pPr>
        <w:pStyle w:val="10"/>
        <w:jc w:val="center"/>
        <w:rPr>
          <w:sz w:val="84"/>
          <w:szCs w:val="84"/>
        </w:rPr>
      </w:pPr>
      <w:r>
        <w:rPr>
          <w:rFonts w:hint="default"/>
          <w:sz w:val="84"/>
          <w:szCs w:val="84"/>
        </w:rPr>
        <w:t>怀化市委市政府机关会堂 管理所</w:t>
      </w:r>
      <w:r>
        <w:rPr>
          <w:rFonts w:hint="eastAsia"/>
          <w:sz w:val="84"/>
          <w:szCs w:val="84"/>
        </w:rPr>
        <w:t>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ind w:left="720" w:firstLine="0" w:firstLineChars="0"/>
        <w:jc w:val="left"/>
        <w:rPr>
          <w:rFonts w:ascii="黑体" w:hAnsi="黑体" w:eastAsia="黑体"/>
          <w:sz w:val="32"/>
          <w:szCs w:val="32"/>
        </w:rPr>
      </w:pPr>
    </w:p>
    <w:p>
      <w:pPr>
        <w:pStyle w:val="11"/>
        <w:ind w:left="720" w:firstLine="0" w:firstLineChars="0"/>
        <w:jc w:val="left"/>
        <w:rPr>
          <w:rFonts w:ascii="黑体" w:hAnsi="黑体" w:eastAsia="黑体"/>
          <w:sz w:val="32"/>
          <w:szCs w:val="32"/>
        </w:rPr>
      </w:pPr>
    </w:p>
    <w:p>
      <w:pPr>
        <w:pStyle w:val="11"/>
        <w:ind w:left="720" w:firstLine="0" w:firstLineChars="0"/>
        <w:jc w:val="left"/>
        <w:rPr>
          <w:rFonts w:ascii="黑体" w:hAnsi="黑体" w:eastAsia="黑体"/>
          <w:sz w:val="32"/>
          <w:szCs w:val="32"/>
        </w:rPr>
      </w:pPr>
    </w:p>
    <w:p>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widowControl/>
        <w:spacing w:line="600" w:lineRule="exact"/>
        <w:ind w:firstLine="640" w:firstLineChars="200"/>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为机关提供会议及文化活动服务</w:t>
      </w:r>
      <w:r>
        <w:rPr>
          <w:rFonts w:hint="eastAsia" w:eastAsia="仿宋_GB2312"/>
          <w:sz w:val="32"/>
          <w:szCs w:val="32"/>
          <w:highlight w:val="none"/>
          <w:lang w:val="en-US" w:eastAsia="zh-CN"/>
        </w:rPr>
        <w:t>；</w:t>
      </w:r>
      <w:r>
        <w:rPr>
          <w:rFonts w:hint="eastAsia" w:asciiTheme="minorEastAsia" w:hAnsiTheme="minorEastAsia"/>
          <w:bCs/>
          <w:kern w:val="0"/>
          <w:sz w:val="32"/>
          <w:szCs w:val="32"/>
          <w:lang w:val="en-US" w:eastAsia="zh-CN"/>
        </w:rPr>
        <w:t>负责机关会堂管理，会议服务，电影、录相放映和多种经营。</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ind w:firstLine="320" w:firstLineChars="100"/>
        <w:rPr>
          <w:rFonts w:hint="eastAsia" w:asciiTheme="minorEastAsia" w:hAnsiTheme="minorEastAsia"/>
          <w:bCs/>
          <w:kern w:val="0"/>
          <w:sz w:val="32"/>
          <w:szCs w:val="32"/>
        </w:rPr>
      </w:pPr>
      <w:r>
        <w:rPr>
          <w:rFonts w:hint="eastAsia" w:asciiTheme="minorEastAsia" w:hAnsiTheme="minorEastAsia"/>
          <w:bCs/>
          <w:kern w:val="0"/>
          <w:sz w:val="32"/>
          <w:szCs w:val="32"/>
        </w:rPr>
        <w:t>（一）内设机构设置。怀化市委市政府机关会堂管理所</w:t>
      </w:r>
      <w:r>
        <w:rPr>
          <w:rFonts w:hint="eastAsia" w:asciiTheme="minorEastAsia" w:hAnsiTheme="minorEastAsia"/>
          <w:bCs/>
          <w:kern w:val="0"/>
          <w:sz w:val="32"/>
          <w:szCs w:val="32"/>
          <w:lang w:eastAsia="zh-CN"/>
        </w:rPr>
        <w:t>作为</w:t>
      </w:r>
      <w:r>
        <w:rPr>
          <w:rFonts w:hint="eastAsia" w:asciiTheme="minorEastAsia" w:hAnsiTheme="minorEastAsia"/>
          <w:bCs/>
          <w:kern w:val="0"/>
          <w:sz w:val="32"/>
          <w:szCs w:val="32"/>
          <w:lang w:val="en-US" w:eastAsia="zh-CN"/>
        </w:rPr>
        <w:t>怀化市机关事务管理局</w:t>
      </w:r>
      <w:r>
        <w:rPr>
          <w:rFonts w:hint="eastAsia" w:asciiTheme="minorEastAsia" w:hAnsiTheme="minorEastAsia"/>
          <w:bCs/>
          <w:kern w:val="0"/>
          <w:sz w:val="32"/>
          <w:szCs w:val="32"/>
          <w:lang w:eastAsia="zh-CN"/>
        </w:rPr>
        <w:t>的</w:t>
      </w:r>
      <w:r>
        <w:rPr>
          <w:rFonts w:hint="eastAsia" w:asciiTheme="minorEastAsia" w:hAnsiTheme="minorEastAsia"/>
          <w:bCs/>
          <w:kern w:val="0"/>
          <w:sz w:val="32"/>
          <w:szCs w:val="32"/>
          <w:lang w:val="en-US" w:eastAsia="zh-CN"/>
        </w:rPr>
        <w:t>二级部门预算单位，</w:t>
      </w:r>
      <w:r>
        <w:rPr>
          <w:rFonts w:hint="eastAsia" w:asciiTheme="minorEastAsia" w:hAnsiTheme="minorEastAsia"/>
          <w:bCs/>
          <w:kern w:val="0"/>
          <w:sz w:val="32"/>
          <w:szCs w:val="32"/>
          <w:lang w:eastAsia="zh-CN"/>
        </w:rPr>
        <w:t>无内设</w:t>
      </w:r>
      <w:r>
        <w:rPr>
          <w:rFonts w:hint="eastAsia" w:asciiTheme="minorEastAsia" w:hAnsiTheme="minorEastAsia"/>
          <w:bCs/>
          <w:kern w:val="0"/>
          <w:sz w:val="32"/>
          <w:szCs w:val="32"/>
          <w:lang w:val="en-US" w:eastAsia="zh-CN"/>
        </w:rPr>
        <w:t>机构</w:t>
      </w:r>
      <w:r>
        <w:rPr>
          <w:rFonts w:hint="eastAsia" w:asciiTheme="minorEastAsia" w:hAnsiTheme="minorEastAsia"/>
          <w:bCs/>
          <w:kern w:val="0"/>
          <w:sz w:val="32"/>
          <w:szCs w:val="32"/>
          <w:lang w:eastAsia="zh-CN"/>
        </w:rPr>
        <w:t>。</w:t>
      </w:r>
    </w:p>
    <w:p>
      <w:pPr>
        <w:widowControl/>
        <w:spacing w:line="600" w:lineRule="exact"/>
        <w:ind w:firstLine="320" w:firstLineChars="100"/>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（二）决算单位构成。怀化市委市政府机关会堂管理所</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1</w:t>
      </w:r>
      <w:r>
        <w:rPr>
          <w:rFonts w:hint="eastAsia" w:asciiTheme="minorEastAsia" w:hAnsiTheme="minorEastAsia"/>
          <w:bCs/>
          <w:kern w:val="0"/>
          <w:sz w:val="32"/>
          <w:szCs w:val="32"/>
        </w:rPr>
        <w:t>年部门决算公开单位构成包括：怀化市委市政府机关会堂管理所</w:t>
      </w:r>
      <w:r>
        <w:rPr>
          <w:rFonts w:hint="eastAsia" w:asciiTheme="minorEastAsia" w:hAnsiTheme="minorEastAsia"/>
          <w:bCs/>
          <w:kern w:val="0"/>
          <w:sz w:val="32"/>
          <w:szCs w:val="32"/>
          <w:lang w:eastAsia="zh-CN"/>
        </w:rPr>
        <w:t>。</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rFonts w:hint="default"/>
          <w:sz w:val="72"/>
          <w:szCs w:val="72"/>
        </w:rPr>
      </w:pPr>
      <w:r>
        <w:rPr>
          <w:sz w:val="72"/>
          <w:szCs w:val="72"/>
        </w:rPr>
        <w:t>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第三部分</w:t>
      </w:r>
    </w:p>
    <w:p>
      <w:pPr>
        <w:pStyle w:val="10"/>
        <w:jc w:val="center"/>
        <w:rPr>
          <w:sz w:val="70"/>
          <w:szCs w:val="70"/>
        </w:rPr>
      </w:pPr>
    </w:p>
    <w:p>
      <w:pPr>
        <w:pStyle w:val="10"/>
        <w:jc w:val="center"/>
        <w:rPr>
          <w:sz w:val="70"/>
          <w:szCs w:val="70"/>
        </w:rPr>
      </w:pPr>
      <w:r>
        <w:rPr>
          <w:sz w:val="70"/>
          <w:szCs w:val="70"/>
        </w:rPr>
        <w:t>20</w:t>
      </w:r>
      <w:r>
        <w:rPr>
          <w:rFonts w:hint="eastAsia"/>
          <w:sz w:val="70"/>
          <w:szCs w:val="70"/>
        </w:rPr>
        <w:t>21年度部门决算情况说明</w:t>
      </w:r>
    </w:p>
    <w:p>
      <w:pPr>
        <w:widowControl/>
        <w:jc w:val="left"/>
        <w:rPr>
          <w:rFonts w:ascii="黑体" w:eastAsia="黑体" w:cs="黑体"/>
          <w:color w:val="000000"/>
          <w:kern w:val="0"/>
          <w:sz w:val="70"/>
          <w:szCs w:val="70"/>
        </w:rPr>
      </w:pPr>
      <w:r>
        <w:rPr>
          <w:sz w:val="70"/>
          <w:szCs w:val="70"/>
        </w:rPr>
        <w:br w:type="page"/>
      </w:r>
    </w:p>
    <w:p>
      <w:pPr>
        <w:pStyle w:val="10"/>
        <w:rPr>
          <w:rFonts w:asciiTheme="minorEastAsia" w:hAnsiTheme="minorEastAsia" w:eastAsiaTheme="minorEastAsia"/>
          <w:sz w:val="32"/>
          <w:szCs w:val="32"/>
        </w:rPr>
      </w:pPr>
    </w:p>
    <w:p>
      <w:pPr>
        <w:pStyle w:val="10"/>
        <w:rPr>
          <w:rFonts w:hAnsi="黑体"/>
          <w:b/>
          <w:sz w:val="32"/>
          <w:szCs w:val="32"/>
        </w:rPr>
      </w:pPr>
      <w:r>
        <w:rPr>
          <w:rFonts w:hint="eastAsia" w:hAnsi="黑体"/>
          <w:b/>
          <w:sz w:val="32"/>
          <w:szCs w:val="32"/>
        </w:rPr>
        <w:t>一、收入支出决算总体情况说明</w:t>
      </w:r>
    </w:p>
    <w:p>
      <w:pPr>
        <w:pStyle w:val="10"/>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2021年度收、支总计</w:t>
      </w:r>
      <w:r>
        <w:rPr>
          <w:rFonts w:hint="eastAsia" w:asciiTheme="minorEastAsia" w:hAnsiTheme="minorEastAsia" w:eastAsiaTheme="minorEastAsia"/>
          <w:sz w:val="32"/>
          <w:szCs w:val="32"/>
          <w:lang w:val="en-US" w:eastAsia="zh-CN"/>
        </w:rPr>
        <w:t>各</w:t>
      </w:r>
      <w:r>
        <w:rPr>
          <w:rFonts w:hint="default" w:asciiTheme="minorEastAsia" w:hAnsiTheme="minorEastAsia" w:eastAsiaTheme="minorEastAsia"/>
          <w:sz w:val="32"/>
          <w:szCs w:val="32"/>
        </w:rPr>
        <w:t>199.6</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万元。与上年相比，减少</w:t>
      </w:r>
      <w:r>
        <w:rPr>
          <w:rFonts w:hint="default" w:asciiTheme="minorEastAsia" w:hAnsiTheme="minorEastAsia" w:eastAsiaTheme="minorEastAsia"/>
          <w:sz w:val="32"/>
          <w:szCs w:val="32"/>
        </w:rPr>
        <w:t>8.58</w:t>
      </w:r>
      <w:r>
        <w:rPr>
          <w:rFonts w:hint="eastAsia" w:asciiTheme="minorEastAsia" w:hAnsiTheme="minorEastAsia" w:eastAsiaTheme="minorEastAsia"/>
          <w:sz w:val="32"/>
          <w:szCs w:val="32"/>
        </w:rPr>
        <w:t>万元，减少</w:t>
      </w:r>
      <w:r>
        <w:rPr>
          <w:rFonts w:hint="default" w:asciiTheme="minorEastAsia" w:hAnsiTheme="minorEastAsia" w:eastAsiaTheme="minorEastAsia"/>
          <w:sz w:val="32"/>
          <w:szCs w:val="32"/>
        </w:rPr>
        <w:t>4.12</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本年年初结转资金减少。</w:t>
      </w:r>
    </w:p>
    <w:p>
      <w:pPr>
        <w:pStyle w:val="10"/>
        <w:rPr>
          <w:rFonts w:hAnsi="黑体"/>
          <w:b/>
          <w:sz w:val="32"/>
          <w:szCs w:val="32"/>
        </w:rPr>
      </w:pPr>
      <w:r>
        <w:rPr>
          <w:rFonts w:hint="eastAsia" w:hAnsi="黑体"/>
          <w:b/>
          <w:sz w:val="32"/>
          <w:szCs w:val="32"/>
        </w:rPr>
        <w:t>二、收入决算情况说明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default" w:asciiTheme="minorEastAsia" w:hAnsiTheme="minorEastAsia" w:eastAsiaTheme="minorEastAsia"/>
          <w:sz w:val="32"/>
          <w:szCs w:val="32"/>
        </w:rPr>
        <w:t>142.11</w:t>
      </w:r>
      <w:r>
        <w:rPr>
          <w:rFonts w:hint="eastAsia" w:asciiTheme="minorEastAsia" w:hAnsiTheme="minorEastAsia" w:eastAsiaTheme="minorEastAsia"/>
          <w:sz w:val="32"/>
          <w:szCs w:val="32"/>
        </w:rPr>
        <w:t>万元，其中：财政拨款收入</w:t>
      </w:r>
      <w:r>
        <w:rPr>
          <w:rFonts w:hint="default" w:asciiTheme="minorEastAsia" w:hAnsiTheme="minorEastAsia" w:eastAsiaTheme="minorEastAsia"/>
          <w:sz w:val="32"/>
          <w:szCs w:val="32"/>
        </w:rPr>
        <w:t>142.11</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100</w:t>
      </w:r>
      <w:r>
        <w:rPr>
          <w:rFonts w:hint="eastAsia" w:asciiTheme="minorEastAsia" w:hAnsiTheme="minorEastAsia" w:eastAsiaTheme="minorEastAsia"/>
          <w:sz w:val="32"/>
          <w:szCs w:val="32"/>
        </w:rPr>
        <w:t>%；上级补助收入</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%；事业收入</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%；经营收入</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%；附属单位上缴收入</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%；其他收</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三、支出决算情况说明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hint="default" w:asciiTheme="minorEastAsia" w:hAnsiTheme="minorEastAsia" w:eastAsiaTheme="minorEastAsia"/>
          <w:sz w:val="32"/>
          <w:szCs w:val="32"/>
        </w:rPr>
        <w:t>199.61</w:t>
      </w:r>
      <w:r>
        <w:rPr>
          <w:rFonts w:hint="eastAsia" w:asciiTheme="minorEastAsia" w:hAnsiTheme="minorEastAsia" w:eastAsiaTheme="minorEastAsia"/>
          <w:sz w:val="32"/>
          <w:szCs w:val="32"/>
        </w:rPr>
        <w:t>万元，其中：基本支出</w:t>
      </w:r>
      <w:r>
        <w:rPr>
          <w:rFonts w:hint="default" w:asciiTheme="minorEastAsia" w:hAnsiTheme="minorEastAsia" w:eastAsiaTheme="minorEastAsia"/>
          <w:sz w:val="32"/>
          <w:szCs w:val="32"/>
        </w:rPr>
        <w:t>194.05</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97.21</w:t>
      </w:r>
      <w:r>
        <w:rPr>
          <w:rFonts w:hint="eastAsia" w:asciiTheme="minorEastAsia" w:hAnsiTheme="minorEastAsia" w:eastAsiaTheme="minorEastAsia"/>
          <w:sz w:val="32"/>
          <w:szCs w:val="32"/>
        </w:rPr>
        <w:t>%；项目支出</w:t>
      </w:r>
      <w:r>
        <w:rPr>
          <w:rFonts w:hint="default" w:asciiTheme="minorEastAsia" w:hAnsiTheme="minorEastAsia" w:eastAsiaTheme="minorEastAsia"/>
          <w:sz w:val="32"/>
          <w:szCs w:val="32"/>
        </w:rPr>
        <w:t>5.56</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2.79</w:t>
      </w:r>
      <w:r>
        <w:rPr>
          <w:rFonts w:hint="eastAsia" w:asciiTheme="minorEastAsia" w:hAnsiTheme="minorEastAsia" w:eastAsiaTheme="minorEastAsia"/>
          <w:sz w:val="32"/>
          <w:szCs w:val="32"/>
        </w:rPr>
        <w:t>%；上缴上级支出</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%；经营支出</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%；；对附属单位补助支出</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四、财政拨款收入支出决算总体情况说明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2021年度财政拨款收、支总计</w:t>
      </w:r>
      <w:r>
        <w:rPr>
          <w:rFonts w:hint="eastAsia" w:asciiTheme="minorEastAsia" w:hAnsiTheme="minorEastAsia" w:eastAsiaTheme="minorEastAsia"/>
          <w:sz w:val="32"/>
          <w:szCs w:val="32"/>
          <w:lang w:val="en-US" w:eastAsia="zh-CN"/>
        </w:rPr>
        <w:t>各</w:t>
      </w:r>
      <w:r>
        <w:rPr>
          <w:rFonts w:hint="default" w:asciiTheme="minorEastAsia" w:hAnsiTheme="minorEastAsia" w:eastAsiaTheme="minorEastAsia"/>
          <w:sz w:val="32"/>
          <w:szCs w:val="32"/>
        </w:rPr>
        <w:t>199.61</w:t>
      </w:r>
      <w:r>
        <w:rPr>
          <w:rFonts w:hint="eastAsia" w:asciiTheme="minorEastAsia" w:hAnsiTheme="minorEastAsia" w:eastAsiaTheme="minorEastAsia"/>
          <w:sz w:val="32"/>
          <w:szCs w:val="32"/>
        </w:rPr>
        <w:t>万元。与上年相比，减少</w:t>
      </w:r>
      <w:r>
        <w:rPr>
          <w:rFonts w:hint="default" w:asciiTheme="minorEastAsia" w:hAnsiTheme="minorEastAsia" w:eastAsiaTheme="minorEastAsia"/>
          <w:sz w:val="32"/>
          <w:szCs w:val="32"/>
        </w:rPr>
        <w:t>8.58</w:t>
      </w:r>
      <w:r>
        <w:rPr>
          <w:rFonts w:hint="eastAsia" w:asciiTheme="minorEastAsia" w:hAnsiTheme="minorEastAsia" w:eastAsiaTheme="minorEastAsia"/>
          <w:sz w:val="32"/>
          <w:szCs w:val="32"/>
        </w:rPr>
        <w:t>万元，减少</w:t>
      </w:r>
      <w:r>
        <w:rPr>
          <w:rFonts w:hint="default" w:asciiTheme="minorEastAsia" w:hAnsiTheme="minorEastAsia" w:eastAsiaTheme="minorEastAsia"/>
          <w:sz w:val="32"/>
          <w:szCs w:val="32"/>
        </w:rPr>
        <w:t>4.12</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本年年初结转资金减少。</w:t>
      </w:r>
    </w:p>
    <w:p>
      <w:pPr>
        <w:pStyle w:val="10"/>
        <w:rPr>
          <w:rFonts w:hAnsi="黑体"/>
          <w:b/>
          <w:sz w:val="32"/>
          <w:szCs w:val="32"/>
        </w:rPr>
      </w:pPr>
      <w:r>
        <w:rPr>
          <w:rFonts w:hint="eastAsia" w:hAnsi="黑体"/>
          <w:b/>
          <w:sz w:val="32"/>
          <w:szCs w:val="32"/>
        </w:rPr>
        <w:t>五、一般公共预算财政拨款支出决算情况说明</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default" w:asciiTheme="minorEastAsia" w:hAnsiTheme="minorEastAsia" w:eastAsiaTheme="minorEastAsia"/>
          <w:sz w:val="32"/>
          <w:szCs w:val="32"/>
        </w:rPr>
        <w:t>199.6</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万元，占本年支出合计的</w:t>
      </w:r>
      <w:r>
        <w:rPr>
          <w:rFonts w:hint="default" w:asciiTheme="minorEastAsia" w:hAnsiTheme="minorEastAsia" w:eastAsiaTheme="minorEastAsia"/>
          <w:sz w:val="32"/>
          <w:szCs w:val="32"/>
        </w:rPr>
        <w:t>100</w:t>
      </w:r>
      <w:r>
        <w:rPr>
          <w:rFonts w:hint="eastAsia" w:asciiTheme="minorEastAsia" w:hAnsiTheme="minorEastAsia" w:eastAsiaTheme="minorEastAsia"/>
          <w:sz w:val="32"/>
          <w:szCs w:val="32"/>
        </w:rPr>
        <w:t>%，与上年相比，财政拨款支出减少</w:t>
      </w:r>
      <w:r>
        <w:rPr>
          <w:rFonts w:hint="default" w:asciiTheme="minorEastAsia" w:hAnsiTheme="minorEastAsia" w:eastAsiaTheme="minorEastAsia"/>
          <w:sz w:val="32"/>
          <w:szCs w:val="32"/>
        </w:rPr>
        <w:t>8.58</w:t>
      </w:r>
      <w:r>
        <w:rPr>
          <w:rFonts w:hint="eastAsia" w:asciiTheme="minorEastAsia" w:hAnsiTheme="minorEastAsia" w:eastAsiaTheme="minorEastAsia"/>
          <w:sz w:val="32"/>
          <w:szCs w:val="32"/>
        </w:rPr>
        <w:t>万元，减少</w:t>
      </w:r>
      <w:r>
        <w:rPr>
          <w:rFonts w:hint="default" w:asciiTheme="minorEastAsia" w:hAnsiTheme="minorEastAsia" w:eastAsiaTheme="minorEastAsia"/>
          <w:sz w:val="32"/>
          <w:szCs w:val="32"/>
        </w:rPr>
        <w:t>4.12</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本年年初结转资金减少。</w:t>
      </w:r>
    </w:p>
    <w:p>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0"/>
        <w:ind w:firstLine="640" w:firstLineChars="200"/>
        <w:rPr>
          <w:rFonts w:hint="default"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default" w:asciiTheme="minorEastAsia" w:hAnsiTheme="minorEastAsia" w:eastAsiaTheme="minorEastAsia"/>
          <w:sz w:val="32"/>
          <w:szCs w:val="32"/>
        </w:rPr>
        <w:t>199.6</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万元，主要用于以下方面：一般公共服务（类）支出</w:t>
      </w:r>
      <w:r>
        <w:rPr>
          <w:rFonts w:hint="default" w:asciiTheme="minorEastAsia" w:hAnsiTheme="minorEastAsia" w:eastAsiaTheme="minorEastAsia"/>
          <w:sz w:val="32"/>
          <w:szCs w:val="32"/>
        </w:rPr>
        <w:t>189.59</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94.98</w:t>
      </w:r>
      <w:r>
        <w:rPr>
          <w:rFonts w:hint="eastAsia" w:asciiTheme="minorEastAsia" w:hAnsiTheme="minorEastAsia" w:eastAsiaTheme="minorEastAsia"/>
          <w:sz w:val="32"/>
          <w:szCs w:val="32"/>
        </w:rPr>
        <w:t>%；</w:t>
      </w:r>
      <w:r>
        <w:rPr>
          <w:rFonts w:hint="default" w:asciiTheme="minorEastAsia" w:hAnsiTheme="minorEastAsia" w:eastAsiaTheme="minorEastAsia"/>
          <w:sz w:val="32"/>
          <w:szCs w:val="32"/>
        </w:rPr>
        <w:t>社会保障和就业支出10.01</w:t>
      </w:r>
      <w:r>
        <w:rPr>
          <w:rFonts w:hint="eastAsia" w:asciiTheme="minorEastAsia" w:hAnsiTheme="minorEastAsia" w:eastAsiaTheme="minorEastAsia"/>
          <w:sz w:val="32"/>
          <w:szCs w:val="32"/>
        </w:rPr>
        <w:t>万元，占</w:t>
      </w:r>
      <w:r>
        <w:rPr>
          <w:rFonts w:hint="default" w:asciiTheme="minorEastAsia" w:hAnsiTheme="minorEastAsia" w:eastAsiaTheme="minorEastAsia"/>
          <w:sz w:val="32"/>
          <w:szCs w:val="32"/>
        </w:rPr>
        <w:t>5.02</w:t>
      </w:r>
      <w:r>
        <w:rPr>
          <w:rFonts w:hint="eastAsia" w:asciiTheme="minorEastAsia" w:hAnsiTheme="minorEastAsia" w:eastAsiaTheme="minorEastAsia"/>
          <w:sz w:val="32"/>
          <w:szCs w:val="32"/>
        </w:rPr>
        <w:t>%</w:t>
      </w:r>
      <w:r>
        <w:rPr>
          <w:rFonts w:hint="default" w:asciiTheme="minorEastAsia" w:hAnsiTheme="minorEastAsia" w:eastAsiaTheme="minorEastAsia"/>
          <w:sz w:val="32"/>
          <w:szCs w:val="32"/>
        </w:rPr>
        <w:t>。</w:t>
      </w:r>
    </w:p>
    <w:p>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lang w:val="en-US" w:eastAsia="zh-CN"/>
        </w:rPr>
        <w:t>32.09</w:t>
      </w:r>
      <w:r>
        <w:rPr>
          <w:rFonts w:hint="eastAsia" w:asciiTheme="minorEastAsia" w:hAnsiTheme="minorEastAsia" w:eastAsiaTheme="minorEastAsia"/>
          <w:sz w:val="32"/>
          <w:szCs w:val="32"/>
        </w:rPr>
        <w:t>万元，支出决算数为</w:t>
      </w:r>
      <w:r>
        <w:rPr>
          <w:rFonts w:hint="default" w:asciiTheme="minorEastAsia" w:hAnsiTheme="minorEastAsia" w:eastAsiaTheme="minorEastAsia"/>
          <w:sz w:val="32"/>
          <w:szCs w:val="32"/>
        </w:rPr>
        <w:t>199.6</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622.03</w:t>
      </w:r>
      <w:r>
        <w:rPr>
          <w:rFonts w:hint="eastAsia" w:asciiTheme="minorEastAsia" w:hAnsiTheme="minorEastAsia" w:eastAsiaTheme="minorEastAsia"/>
          <w:sz w:val="32"/>
          <w:szCs w:val="32"/>
        </w:rPr>
        <w:t>%，其中：</w:t>
      </w:r>
    </w:p>
    <w:p>
      <w:pPr>
        <w:pStyle w:val="10"/>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highlight w:val="none"/>
        </w:rPr>
        <w:t>一般公共服务</w:t>
      </w:r>
      <w:r>
        <w:rPr>
          <w:rFonts w:hint="eastAsia" w:asciiTheme="minorEastAsia" w:hAnsiTheme="minorEastAsia" w:eastAsiaTheme="minorEastAsia"/>
          <w:sz w:val="32"/>
          <w:szCs w:val="32"/>
          <w:highlight w:val="none"/>
          <w:lang w:val="en-US" w:eastAsia="zh-CN"/>
        </w:rPr>
        <w:t>支出</w:t>
      </w:r>
      <w:r>
        <w:rPr>
          <w:rFonts w:hint="eastAsia" w:asciiTheme="minorEastAsia" w:hAnsiTheme="minorEastAsia" w:eastAsiaTheme="minorEastAsia"/>
          <w:sz w:val="32"/>
          <w:szCs w:val="32"/>
          <w:highlight w:val="none"/>
        </w:rPr>
        <w:t>（类） 政府办公厅（室）及相关机构事务（款）</w:t>
      </w:r>
      <w:r>
        <w:rPr>
          <w:rFonts w:hint="eastAsia" w:asciiTheme="minorEastAsia" w:hAnsiTheme="minorEastAsia" w:eastAsiaTheme="minorEastAsia"/>
          <w:sz w:val="32"/>
          <w:szCs w:val="32"/>
          <w:highlight w:val="none"/>
          <w:lang w:val="en-US" w:eastAsia="zh-CN"/>
        </w:rPr>
        <w:t>机关服务</w:t>
      </w:r>
      <w:r>
        <w:rPr>
          <w:rFonts w:hint="eastAsia" w:asciiTheme="minorEastAsia" w:hAnsiTheme="minorEastAsia" w:eastAsiaTheme="minorEastAsia"/>
          <w:sz w:val="32"/>
          <w:szCs w:val="32"/>
          <w:highlight w:val="none"/>
        </w:rPr>
        <w:t>（项）。</w:t>
      </w:r>
    </w:p>
    <w:p>
      <w:pPr>
        <w:pStyle w:val="10"/>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32.09</w:t>
      </w:r>
      <w:r>
        <w:rPr>
          <w:rFonts w:hint="eastAsia" w:asciiTheme="minorEastAsia" w:hAnsiTheme="minorEastAsia" w:eastAsiaTheme="minorEastAsia"/>
          <w:sz w:val="32"/>
          <w:szCs w:val="32"/>
        </w:rPr>
        <w:t>万元，支出决算数为</w:t>
      </w:r>
      <w:r>
        <w:rPr>
          <w:rFonts w:hint="default" w:asciiTheme="minorEastAsia" w:hAnsiTheme="minorEastAsia" w:eastAsiaTheme="minorEastAsia"/>
          <w:sz w:val="32"/>
          <w:szCs w:val="32"/>
        </w:rPr>
        <w:t>146.55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456.68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highlight w:val="none"/>
          <w:lang w:val="en-US" w:eastAsia="zh-CN"/>
        </w:rPr>
        <w:t>年初预算将单位非税收入拨款项目计入财政专户管理的非税收入拨款项目非一般公共预算拨款收入，实际支出纳入了一般公共预算支出，造成本年一般公共服务类支出远高于年初预算。</w:t>
      </w:r>
    </w:p>
    <w:p>
      <w:pPr>
        <w:pStyle w:val="10"/>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highlight w:val="none"/>
        </w:rPr>
        <w:t>一般公共服务</w:t>
      </w:r>
      <w:r>
        <w:rPr>
          <w:rFonts w:hint="eastAsia" w:asciiTheme="minorEastAsia" w:hAnsiTheme="minorEastAsia" w:eastAsiaTheme="minorEastAsia"/>
          <w:sz w:val="32"/>
          <w:szCs w:val="32"/>
          <w:highlight w:val="none"/>
          <w:lang w:val="en-US" w:eastAsia="zh-CN"/>
        </w:rPr>
        <w:t>支出</w:t>
      </w:r>
      <w:r>
        <w:rPr>
          <w:rFonts w:hint="eastAsia" w:asciiTheme="minorEastAsia" w:hAnsiTheme="minorEastAsia" w:eastAsiaTheme="minorEastAsia"/>
          <w:sz w:val="32"/>
          <w:szCs w:val="32"/>
          <w:highlight w:val="none"/>
        </w:rPr>
        <w:t>（类）财政事务（款）其他财政事务支出（项）。</w:t>
      </w:r>
    </w:p>
    <w:p>
      <w:pPr>
        <w:pStyle w:val="10"/>
        <w:ind w:firstLine="800" w:firstLineChars="250"/>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rPr>
        <w:t>年初预算为</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highlight w:val="none"/>
        </w:rPr>
        <w:t>决算数大于年初预算数的主要原因是：</w:t>
      </w:r>
      <w:r>
        <w:rPr>
          <w:rFonts w:hint="eastAsia" w:asciiTheme="minorEastAsia" w:hAnsiTheme="minorEastAsia" w:eastAsiaTheme="minorEastAsia"/>
          <w:sz w:val="32"/>
          <w:szCs w:val="32"/>
          <w:highlight w:val="none"/>
          <w:lang w:val="en-US" w:eastAsia="zh-CN"/>
        </w:rPr>
        <w:t>收到资</w:t>
      </w:r>
      <w:r>
        <w:rPr>
          <w:rFonts w:hint="eastAsia" w:asciiTheme="minorEastAsia" w:hAnsiTheme="minorEastAsia" w:eastAsiaTheme="minorEastAsia"/>
          <w:sz w:val="32"/>
          <w:szCs w:val="32"/>
          <w:highlight w:val="none"/>
        </w:rPr>
        <w:t>产管理改革工作补助经费</w:t>
      </w:r>
      <w:r>
        <w:rPr>
          <w:rFonts w:hint="eastAsia" w:asciiTheme="minorEastAsia" w:hAnsiTheme="minorEastAsia" w:eastAsiaTheme="minorEastAsia"/>
          <w:sz w:val="32"/>
          <w:szCs w:val="32"/>
          <w:highlight w:val="none"/>
          <w:lang w:eastAsia="zh-CN"/>
        </w:rPr>
        <w:t>。</w:t>
      </w:r>
    </w:p>
    <w:p>
      <w:pPr>
        <w:pStyle w:val="10"/>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highlight w:val="none"/>
        </w:rPr>
        <w:t>一般公共服务</w:t>
      </w:r>
      <w:r>
        <w:rPr>
          <w:rFonts w:hint="eastAsia" w:asciiTheme="minorEastAsia" w:hAnsiTheme="minorEastAsia" w:eastAsiaTheme="minorEastAsia"/>
          <w:sz w:val="32"/>
          <w:szCs w:val="32"/>
          <w:highlight w:val="none"/>
          <w:lang w:val="en-US" w:eastAsia="zh-CN"/>
        </w:rPr>
        <w:t>支出</w:t>
      </w:r>
      <w:r>
        <w:rPr>
          <w:rFonts w:hint="eastAsia" w:asciiTheme="minorEastAsia" w:hAnsiTheme="minorEastAsia" w:eastAsiaTheme="minorEastAsia"/>
          <w:sz w:val="32"/>
          <w:szCs w:val="32"/>
          <w:highlight w:val="none"/>
        </w:rPr>
        <w:t>（类）其他一般公共服务支出（款）其他一般公共服务支出（项）。</w:t>
      </w:r>
    </w:p>
    <w:p>
      <w:pPr>
        <w:pStyle w:val="10"/>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38.05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highlight w:val="none"/>
        </w:rPr>
        <w:t>决算数大于年初预算数的主要原因是：</w:t>
      </w:r>
      <w:r>
        <w:rPr>
          <w:rFonts w:hint="eastAsia" w:asciiTheme="minorEastAsia" w:hAnsiTheme="minorEastAsia" w:eastAsiaTheme="minorEastAsia"/>
          <w:sz w:val="32"/>
          <w:szCs w:val="32"/>
          <w:highlight w:val="none"/>
          <w:lang w:val="en-US" w:eastAsia="zh-CN"/>
        </w:rPr>
        <w:t>收到会议礼堂租金经费及机关会堂维修经费。</w:t>
      </w:r>
    </w:p>
    <w:p>
      <w:pPr>
        <w:pStyle w:val="10"/>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highlight w:val="none"/>
        </w:rPr>
        <w:t>社会保障和就业支出（类）行政事业单位养老支出（款）其他行政事业单位养老支出（项）。</w:t>
      </w:r>
    </w:p>
    <w:p>
      <w:pPr>
        <w:pStyle w:val="10"/>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default" w:asciiTheme="minorEastAsia" w:hAnsiTheme="minorEastAsia" w:eastAsiaTheme="minorEastAsia"/>
          <w:sz w:val="32"/>
          <w:szCs w:val="32"/>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10.01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highlight w:val="none"/>
        </w:rPr>
        <w:t>决算数大于年初预算数的主要原因是：</w:t>
      </w:r>
      <w:r>
        <w:rPr>
          <w:rFonts w:hint="eastAsia" w:asciiTheme="minorEastAsia" w:hAnsiTheme="minorEastAsia" w:eastAsiaTheme="minorEastAsia"/>
          <w:sz w:val="32"/>
          <w:szCs w:val="32"/>
          <w:highlight w:val="none"/>
          <w:lang w:val="en-US" w:eastAsia="zh-CN"/>
        </w:rPr>
        <w:t>年初无预算，执行中追加退休人员春节一次性生活补助。</w:t>
      </w:r>
    </w:p>
    <w:p>
      <w:pPr>
        <w:pStyle w:val="10"/>
        <w:rPr>
          <w:rFonts w:hAnsi="黑体"/>
          <w:b/>
          <w:sz w:val="32"/>
          <w:szCs w:val="32"/>
        </w:rPr>
      </w:pPr>
      <w:r>
        <w:rPr>
          <w:rFonts w:hint="eastAsia" w:hAnsi="黑体"/>
          <w:b/>
          <w:sz w:val="32"/>
          <w:szCs w:val="32"/>
        </w:rPr>
        <w:t>六、一般公共预算财政拨款基本支出决算情况说明</w:t>
      </w:r>
    </w:p>
    <w:p>
      <w:pPr>
        <w:pStyle w:val="10"/>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w:t>
      </w:r>
      <w:r>
        <w:rPr>
          <w:rFonts w:hint="default" w:asciiTheme="minorEastAsia" w:hAnsiTheme="minorEastAsia" w:eastAsiaTheme="minorEastAsia"/>
          <w:sz w:val="32"/>
          <w:szCs w:val="32"/>
        </w:rPr>
        <w:t>19</w:t>
      </w:r>
      <w:r>
        <w:rPr>
          <w:rFonts w:hint="eastAsia" w:asciiTheme="minorEastAsia" w:hAnsiTheme="minorEastAsia" w:eastAsiaTheme="minorEastAsia"/>
          <w:sz w:val="32"/>
          <w:szCs w:val="32"/>
          <w:lang w:val="en-US" w:eastAsia="zh-CN"/>
        </w:rPr>
        <w:t>4.05</w:t>
      </w:r>
      <w:r>
        <w:rPr>
          <w:rFonts w:hint="eastAsia" w:asciiTheme="minorEastAsia" w:hAnsiTheme="minorEastAsia" w:eastAsiaTheme="minorEastAsia"/>
          <w:sz w:val="32"/>
          <w:szCs w:val="32"/>
        </w:rPr>
        <w:t>万元，其中：人员经费</w:t>
      </w:r>
      <w:r>
        <w:rPr>
          <w:rFonts w:hint="default" w:asciiTheme="minorEastAsia" w:hAnsiTheme="minorEastAsia" w:eastAsiaTheme="minorEastAsia"/>
          <w:sz w:val="32"/>
          <w:szCs w:val="32"/>
        </w:rPr>
        <w:t>14</w:t>
      </w:r>
      <w:r>
        <w:rPr>
          <w:rFonts w:hint="eastAsia" w:asciiTheme="minorEastAsia" w:hAnsiTheme="minorEastAsia" w:eastAsiaTheme="minorEastAsia"/>
          <w:sz w:val="32"/>
          <w:szCs w:val="32"/>
          <w:lang w:val="en-US" w:eastAsia="zh-CN"/>
        </w:rPr>
        <w:t>0.04</w:t>
      </w:r>
      <w:r>
        <w:rPr>
          <w:rFonts w:hint="eastAsia" w:asciiTheme="minorEastAsia" w:hAnsiTheme="minorEastAsia" w:eastAsiaTheme="minorEastAsia"/>
          <w:sz w:val="32"/>
          <w:szCs w:val="32"/>
        </w:rPr>
        <w:t>万元，占基本支出的</w:t>
      </w:r>
      <w:r>
        <w:rPr>
          <w:rFonts w:hint="default" w:asciiTheme="minorEastAsia" w:hAnsiTheme="minorEastAsia" w:eastAsiaTheme="minorEastAsia"/>
          <w:sz w:val="32"/>
          <w:szCs w:val="32"/>
        </w:rPr>
        <w:t>7</w:t>
      </w:r>
      <w:r>
        <w:rPr>
          <w:rFonts w:hint="eastAsia" w:asciiTheme="minorEastAsia" w:hAnsiTheme="minorEastAsia" w:eastAsiaTheme="minorEastAsia"/>
          <w:sz w:val="32"/>
          <w:szCs w:val="32"/>
          <w:lang w:val="en-US" w:eastAsia="zh-CN"/>
        </w:rPr>
        <w:t>2.17</w:t>
      </w:r>
      <w:r>
        <w:rPr>
          <w:rFonts w:hint="eastAsia" w:asciiTheme="minorEastAsia" w:hAnsiTheme="minorEastAsia" w:eastAsiaTheme="minorEastAsia"/>
          <w:sz w:val="32"/>
          <w:szCs w:val="32"/>
        </w:rPr>
        <w:t>%,主要包括基本工资、津贴补贴、奖金、伙食补助费</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绩效工资、机关事业单位基本养老保险缴费、职业年金缴费、职工基本医疗保险缴费、其他社会保障缴费、住房公积金、抚恤金、生活补助、奖励金、他对个人和家庭的补助；</w:t>
      </w:r>
      <w:r>
        <w:rPr>
          <w:rFonts w:hint="eastAsia" w:asciiTheme="minorEastAsia" w:hAnsiTheme="minorEastAsia" w:eastAsiaTheme="minorEastAsia"/>
          <w:sz w:val="32"/>
          <w:szCs w:val="32"/>
        </w:rPr>
        <w:t>公用经费</w:t>
      </w:r>
      <w:r>
        <w:rPr>
          <w:rFonts w:hint="default" w:asciiTheme="minorEastAsia" w:hAnsiTheme="minorEastAsia" w:eastAsiaTheme="minorEastAsia"/>
          <w:sz w:val="32"/>
          <w:szCs w:val="32"/>
        </w:rPr>
        <w:t>5</w:t>
      </w:r>
      <w:r>
        <w:rPr>
          <w:rFonts w:hint="eastAsia" w:asciiTheme="minorEastAsia" w:hAnsiTheme="minorEastAsia" w:eastAsiaTheme="minorEastAsia"/>
          <w:sz w:val="32"/>
          <w:szCs w:val="32"/>
          <w:lang w:val="en-US" w:eastAsia="zh-CN"/>
        </w:rPr>
        <w:t>4.01</w:t>
      </w:r>
      <w:r>
        <w:rPr>
          <w:rFonts w:hint="eastAsia" w:asciiTheme="minorEastAsia" w:hAnsiTheme="minorEastAsia" w:eastAsiaTheme="minorEastAsia"/>
          <w:sz w:val="32"/>
          <w:szCs w:val="32"/>
        </w:rPr>
        <w:t>万元，占基本支出的</w:t>
      </w:r>
      <w:r>
        <w:rPr>
          <w:rFonts w:hint="default"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7.83</w:t>
      </w:r>
      <w:r>
        <w:rPr>
          <w:rFonts w:hint="eastAsia" w:asciiTheme="minorEastAsia" w:hAnsiTheme="minorEastAsia" w:eastAsiaTheme="minorEastAsia"/>
          <w:sz w:val="32"/>
          <w:szCs w:val="32"/>
        </w:rPr>
        <w:t>%，主要包括办公费、咨询费</w:t>
      </w:r>
      <w:r>
        <w:rPr>
          <w:rFonts w:hint="eastAsia" w:asciiTheme="minorEastAsia" w:hAnsiTheme="minorEastAsia" w:eastAsiaTheme="minorEastAsia"/>
          <w:sz w:val="32"/>
          <w:szCs w:val="32"/>
          <w:lang w:val="en-US" w:eastAsia="zh-CN"/>
        </w:rPr>
        <w:t>水费、电费、邮电费、物业管理费、 维修（护）费、劳务费、委托业务费、工会经费、福利费、税金及附加费用、其他商品和服务支出、办公设备购置</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七、一般公共预算财政拨款“三公”经费支出决算情况说明</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ascii="仿宋" w:hAnsi="仿宋" w:eastAsia="仿宋" w:cs="仿宋"/>
          <w:b/>
          <w:bCs/>
          <w:color w:val="auto"/>
          <w:kern w:val="0"/>
          <w:sz w:val="32"/>
          <w:szCs w:val="32"/>
          <w:highlight w:val="none"/>
          <w:u w:val="none"/>
          <w:shd w:val="clear" w:color="auto" w:fill="FFFFFF"/>
          <w:lang w:bidi="ar"/>
        </w:rPr>
      </w:pPr>
      <w:r>
        <w:rPr>
          <w:rFonts w:hint="eastAsia" w:ascii="仿宋" w:hAnsi="仿宋" w:eastAsia="仿宋" w:cs="仿宋"/>
          <w:b/>
          <w:bCs/>
          <w:color w:val="auto"/>
          <w:kern w:val="0"/>
          <w:sz w:val="32"/>
          <w:szCs w:val="32"/>
          <w:highlight w:val="none"/>
          <w:u w:val="none"/>
          <w:shd w:val="clear" w:color="auto" w:fill="FFFFFF"/>
          <w:lang w:bidi="ar"/>
        </w:rPr>
        <w:t>（一）“三公”经费财政拨款支出决算总体情况说明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“三公”经费财政拨款支出预算为0万元，支出决算为   0万元，其中：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color w:val="auto"/>
          <w:sz w:val="32"/>
          <w:szCs w:val="32"/>
          <w:highlight w:val="none"/>
          <w:lang w:eastAsia="zh-CN"/>
        </w:rPr>
      </w:pPr>
      <w:r>
        <w:rPr>
          <w:rFonts w:hint="eastAsia" w:ascii="仿宋" w:hAnsi="仿宋" w:eastAsia="仿宋" w:cs="仿宋"/>
          <w:i w:val="0"/>
          <w:iCs w:val="0"/>
          <w:caps w:val="0"/>
          <w:color w:val="auto"/>
          <w:spacing w:val="0"/>
          <w:sz w:val="32"/>
          <w:szCs w:val="32"/>
          <w:highlight w:val="none"/>
          <w:lang w:val="en-US" w:eastAsia="zh-CN"/>
        </w:rPr>
        <w:t>1、</w:t>
      </w:r>
      <w:r>
        <w:rPr>
          <w:rFonts w:hint="eastAsia" w:ascii="仿宋" w:hAnsi="仿宋" w:eastAsia="仿宋" w:cs="仿宋"/>
          <w:i w:val="0"/>
          <w:iCs w:val="0"/>
          <w:caps w:val="0"/>
          <w:color w:val="auto"/>
          <w:spacing w:val="0"/>
          <w:sz w:val="32"/>
          <w:szCs w:val="32"/>
          <w:highlight w:val="none"/>
        </w:rPr>
        <w:t>因公出国（境）费支出预算为0万元，支出决算为0万元，决算数与年初预算数持平，</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按预算执行，</w:t>
      </w:r>
      <w:r>
        <w:rPr>
          <w:rFonts w:hint="eastAsia" w:ascii="仿宋" w:hAnsi="仿宋" w:eastAsia="仿宋" w:cs="仿宋"/>
          <w:i w:val="0"/>
          <w:iCs w:val="0"/>
          <w:caps w:val="0"/>
          <w:color w:val="auto"/>
          <w:spacing w:val="0"/>
          <w:sz w:val="32"/>
          <w:szCs w:val="32"/>
          <w:highlight w:val="none"/>
        </w:rPr>
        <w:t>与上年数持平</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本年度未安排因公出国（境）。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lang w:val="en-US" w:eastAsia="zh-CN"/>
        </w:rPr>
        <w:t>2、</w:t>
      </w:r>
      <w:r>
        <w:rPr>
          <w:rFonts w:hint="eastAsia" w:ascii="仿宋" w:hAnsi="仿宋" w:eastAsia="仿宋" w:cs="仿宋"/>
          <w:i w:val="0"/>
          <w:iCs w:val="0"/>
          <w:caps w:val="0"/>
          <w:color w:val="auto"/>
          <w:spacing w:val="0"/>
          <w:sz w:val="32"/>
          <w:szCs w:val="32"/>
          <w:highlight w:val="none"/>
        </w:rPr>
        <w:t>公务接待费支出预算0万元，支出决算为0万元，决算数与年初预算数持平，</w:t>
      </w:r>
      <w:r>
        <w:rPr>
          <w:rFonts w:hint="eastAsia" w:ascii="仿宋" w:hAnsi="仿宋" w:eastAsia="仿宋" w:cs="仿宋"/>
          <w:i w:val="0"/>
          <w:iCs w:val="0"/>
          <w:caps w:val="0"/>
          <w:color w:val="auto"/>
          <w:spacing w:val="0"/>
          <w:sz w:val="32"/>
          <w:szCs w:val="32"/>
          <w:highlight w:val="none"/>
          <w:lang w:val="en-US" w:eastAsia="zh-CN"/>
        </w:rPr>
        <w:t>主要原因是</w:t>
      </w:r>
      <w:r>
        <w:rPr>
          <w:rFonts w:hint="eastAsia" w:ascii="仿宋" w:hAnsi="仿宋" w:eastAsia="仿宋" w:cs="仿宋"/>
          <w:color w:val="auto"/>
          <w:sz w:val="32"/>
          <w:szCs w:val="32"/>
          <w:highlight w:val="none"/>
          <w:lang w:eastAsia="zh-CN"/>
        </w:rPr>
        <w:t>按预算执行，</w:t>
      </w:r>
      <w:r>
        <w:rPr>
          <w:rFonts w:hint="eastAsia" w:ascii="仿宋" w:hAnsi="仿宋" w:eastAsia="仿宋" w:cs="仿宋"/>
          <w:i w:val="0"/>
          <w:iCs w:val="0"/>
          <w:caps w:val="0"/>
          <w:color w:val="auto"/>
          <w:spacing w:val="0"/>
          <w:sz w:val="32"/>
          <w:szCs w:val="32"/>
          <w:highlight w:val="none"/>
        </w:rPr>
        <w:t>与上年数持平</w:t>
      </w:r>
      <w:r>
        <w:rPr>
          <w:rFonts w:hint="eastAsia" w:ascii="仿宋" w:hAnsi="仿宋" w:eastAsia="仿宋" w:cs="仿宋"/>
          <w:i w:val="0"/>
          <w:iCs w:val="0"/>
          <w:caps w:val="0"/>
          <w:color w:val="auto"/>
          <w:spacing w:val="0"/>
          <w:sz w:val="32"/>
          <w:szCs w:val="32"/>
          <w:highlight w:val="none"/>
          <w:lang w:val="en-US" w:eastAsia="zh-CN"/>
        </w:rPr>
        <w:t>，主要原因是厉行节约，减少开支</w:t>
      </w:r>
      <w:r>
        <w:rPr>
          <w:rFonts w:hint="eastAsia" w:ascii="仿宋" w:hAnsi="仿宋" w:eastAsia="仿宋" w:cs="仿宋"/>
          <w:i w:val="0"/>
          <w:iCs w:val="0"/>
          <w:caps w:val="0"/>
          <w:color w:val="auto"/>
          <w:spacing w:val="0"/>
          <w:sz w:val="32"/>
          <w:szCs w:val="32"/>
          <w:highlight w:val="none"/>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lang w:val="en-US" w:eastAsia="zh-CN"/>
        </w:rPr>
        <w:t>3、</w:t>
      </w:r>
      <w:r>
        <w:rPr>
          <w:rFonts w:hint="eastAsia" w:ascii="仿宋" w:hAnsi="仿宋" w:eastAsia="仿宋" w:cs="仿宋"/>
          <w:i w:val="0"/>
          <w:iCs w:val="0"/>
          <w:caps w:val="0"/>
          <w:color w:val="auto"/>
          <w:spacing w:val="0"/>
          <w:sz w:val="32"/>
          <w:szCs w:val="32"/>
          <w:highlight w:val="none"/>
        </w:rPr>
        <w:t>公务用车购置费及运行维护费支出预算为0万元，支出决算为0万元，决算数与年初预算数持平</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按预算执行，</w:t>
      </w:r>
      <w:r>
        <w:rPr>
          <w:rFonts w:hint="eastAsia" w:ascii="仿宋" w:hAnsi="仿宋" w:eastAsia="仿宋" w:cs="仿宋"/>
          <w:i w:val="0"/>
          <w:iCs w:val="0"/>
          <w:caps w:val="0"/>
          <w:color w:val="auto"/>
          <w:spacing w:val="0"/>
          <w:sz w:val="32"/>
          <w:szCs w:val="32"/>
          <w:highlight w:val="none"/>
        </w:rPr>
        <w:t>与上年数持平</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i w:val="0"/>
          <w:iCs w:val="0"/>
          <w:caps w:val="0"/>
          <w:color w:val="auto"/>
          <w:spacing w:val="0"/>
          <w:sz w:val="32"/>
          <w:szCs w:val="32"/>
          <w:highlight w:val="none"/>
          <w:lang w:val="en-US" w:eastAsia="zh-CN"/>
        </w:rPr>
        <w:t>主要原因是厉行节约，减少开支</w:t>
      </w:r>
      <w:r>
        <w:rPr>
          <w:rFonts w:hint="eastAsia" w:ascii="仿宋" w:hAnsi="仿宋" w:eastAsia="仿宋" w:cs="仿宋"/>
          <w:i w:val="0"/>
          <w:iCs w:val="0"/>
          <w:caps w:val="0"/>
          <w:color w:val="auto"/>
          <w:spacing w:val="0"/>
          <w:sz w:val="32"/>
          <w:szCs w:val="32"/>
          <w:highlight w:val="none"/>
        </w:rPr>
        <w:t>。</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b/>
          <w:bCs/>
          <w:color w:val="auto"/>
          <w:kern w:val="0"/>
          <w:sz w:val="32"/>
          <w:szCs w:val="32"/>
          <w:highlight w:val="none"/>
          <w:u w:val="none"/>
          <w:shd w:val="clear" w:color="auto" w:fill="FFFFFF"/>
          <w:lang w:eastAsia="zh-CN" w:bidi="ar"/>
        </w:rPr>
      </w:pPr>
      <w:r>
        <w:rPr>
          <w:rFonts w:hint="eastAsia" w:ascii="仿宋" w:hAnsi="仿宋" w:eastAsia="仿宋" w:cs="仿宋"/>
          <w:b/>
          <w:bCs/>
          <w:color w:val="auto"/>
          <w:kern w:val="0"/>
          <w:sz w:val="32"/>
          <w:szCs w:val="32"/>
          <w:highlight w:val="none"/>
          <w:u w:val="none"/>
          <w:shd w:val="clear" w:color="auto" w:fill="FFFFFF"/>
          <w:lang w:bidi="ar"/>
        </w:rPr>
        <w:t>（二）“三公”经费财政拨款支出决算具体情况说明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202</w:t>
      </w:r>
      <w:r>
        <w:rPr>
          <w:rFonts w:hint="eastAsia" w:ascii="仿宋" w:hAnsi="仿宋" w:eastAsia="仿宋" w:cs="仿宋"/>
          <w:i w:val="0"/>
          <w:iCs w:val="0"/>
          <w:caps w:val="0"/>
          <w:color w:val="auto"/>
          <w:spacing w:val="0"/>
          <w:sz w:val="32"/>
          <w:szCs w:val="32"/>
          <w:highlight w:val="none"/>
          <w:shd w:val="clear" w:color="auto" w:fill="FFFFFF"/>
          <w:lang w:val="en-US" w:eastAsia="zh-CN"/>
        </w:rPr>
        <w:t>1</w:t>
      </w:r>
      <w:r>
        <w:rPr>
          <w:rFonts w:hint="eastAsia" w:ascii="仿宋" w:hAnsi="仿宋" w:eastAsia="仿宋" w:cs="仿宋"/>
          <w:i w:val="0"/>
          <w:iCs w:val="0"/>
          <w:caps w:val="0"/>
          <w:color w:val="auto"/>
          <w:spacing w:val="0"/>
          <w:sz w:val="32"/>
          <w:szCs w:val="32"/>
          <w:highlight w:val="none"/>
          <w:shd w:val="clear" w:color="auto" w:fill="FFFFFF"/>
        </w:rPr>
        <w:t>年度“三公”经费财政拨款支出决算中，公务接待费支出决算</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万元，占</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%,因公出国（境）费支出决算</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万元，占</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%,公务用车购置费及运行维护费支出决算</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万元，占</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%。其中：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highlight w:val="none"/>
          <w:shd w:val="clear" w:color="auto" w:fill="FFFFFF"/>
          <w:lang w:val="en-US" w:eastAsia="zh-CN"/>
        </w:rPr>
      </w:pPr>
      <w:r>
        <w:rPr>
          <w:rFonts w:hint="eastAsia" w:ascii="仿宋" w:hAnsi="仿宋" w:eastAsia="仿宋" w:cs="仿宋"/>
          <w:i w:val="0"/>
          <w:iCs w:val="0"/>
          <w:caps w:val="0"/>
          <w:color w:val="auto"/>
          <w:spacing w:val="0"/>
          <w:sz w:val="32"/>
          <w:szCs w:val="32"/>
          <w:highlight w:val="none"/>
          <w:shd w:val="clear" w:color="auto" w:fill="FFFFFF"/>
        </w:rPr>
        <w:t>1、因公出国（</w:t>
      </w:r>
      <w:bookmarkStart w:id="0" w:name="_GoBack"/>
      <w:bookmarkEnd w:id="0"/>
      <w:r>
        <w:rPr>
          <w:rFonts w:hint="eastAsia" w:ascii="仿宋" w:hAnsi="仿宋" w:eastAsia="仿宋" w:cs="仿宋"/>
          <w:i w:val="0"/>
          <w:iCs w:val="0"/>
          <w:caps w:val="0"/>
          <w:color w:val="auto"/>
          <w:spacing w:val="0"/>
          <w:sz w:val="32"/>
          <w:szCs w:val="32"/>
          <w:highlight w:val="none"/>
          <w:shd w:val="clear" w:color="auto" w:fill="FFFFFF"/>
        </w:rPr>
        <w:t>境）费支出决算为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万元，全年安排因公出国（境）团组</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个，累计</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人次</w:t>
      </w:r>
      <w:r>
        <w:rPr>
          <w:rFonts w:hint="eastAsia" w:ascii="仿宋" w:hAnsi="仿宋" w:eastAsia="仿宋" w:cs="仿宋"/>
          <w:i w:val="0"/>
          <w:iCs w:val="0"/>
          <w:caps w:val="0"/>
          <w:color w:val="auto"/>
          <w:spacing w:val="0"/>
          <w:sz w:val="32"/>
          <w:szCs w:val="32"/>
          <w:highlight w:val="none"/>
          <w:shd w:val="clear" w:color="auto"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highlight w:val="none"/>
          <w:shd w:val="clear" w:color="auto" w:fill="FFFFFF"/>
          <w:lang w:eastAsia="zh-CN"/>
        </w:rPr>
      </w:pPr>
      <w:r>
        <w:rPr>
          <w:rFonts w:hint="eastAsia" w:ascii="仿宋" w:hAnsi="仿宋" w:eastAsia="仿宋" w:cs="仿宋"/>
          <w:i w:val="0"/>
          <w:iCs w:val="0"/>
          <w:caps w:val="0"/>
          <w:color w:val="auto"/>
          <w:spacing w:val="0"/>
          <w:sz w:val="32"/>
          <w:szCs w:val="32"/>
          <w:highlight w:val="none"/>
          <w:shd w:val="clear" w:color="auto" w:fill="FFFFFF"/>
        </w:rPr>
        <w:t>2、公务接待费支出决算为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万元，全年共接待来访团组</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个、来宾</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人次</w:t>
      </w:r>
      <w:r>
        <w:rPr>
          <w:rFonts w:hint="eastAsia" w:ascii="仿宋" w:hAnsi="仿宋" w:eastAsia="仿宋" w:cs="仿宋"/>
          <w:i w:val="0"/>
          <w:iCs w:val="0"/>
          <w:caps w:val="0"/>
          <w:color w:val="auto"/>
          <w:spacing w:val="0"/>
          <w:sz w:val="32"/>
          <w:szCs w:val="32"/>
          <w:highlight w:val="none"/>
          <w:shd w:val="clear" w:color="auto"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default" w:ascii="仿宋" w:hAnsi="仿宋" w:eastAsia="仿宋" w:cs="仿宋"/>
          <w:kern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shd w:val="clear" w:color="auto" w:fill="FFFFFF"/>
        </w:rPr>
        <w:t>3、公务用车购置费及运行维护费支出决算为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万元，其中：公务用车购置费</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万元，更新公务用车</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辆。公务用车运行维护费</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万元，截止202</w:t>
      </w:r>
      <w:r>
        <w:rPr>
          <w:rFonts w:hint="eastAsia" w:ascii="仿宋" w:hAnsi="仿宋" w:eastAsia="仿宋" w:cs="仿宋"/>
          <w:i w:val="0"/>
          <w:iCs w:val="0"/>
          <w:caps w:val="0"/>
          <w:color w:val="auto"/>
          <w:spacing w:val="0"/>
          <w:sz w:val="32"/>
          <w:szCs w:val="32"/>
          <w:highlight w:val="none"/>
          <w:shd w:val="clear" w:color="auto" w:fill="FFFFFF"/>
          <w:lang w:val="en-US" w:eastAsia="zh-CN"/>
        </w:rPr>
        <w:t>1</w:t>
      </w:r>
      <w:r>
        <w:rPr>
          <w:rFonts w:hint="eastAsia" w:ascii="仿宋" w:hAnsi="仿宋" w:eastAsia="仿宋" w:cs="仿宋"/>
          <w:i w:val="0"/>
          <w:iCs w:val="0"/>
          <w:caps w:val="0"/>
          <w:color w:val="auto"/>
          <w:spacing w:val="0"/>
          <w:sz w:val="32"/>
          <w:szCs w:val="32"/>
          <w:highlight w:val="none"/>
          <w:shd w:val="clear" w:color="auto" w:fill="FFFFFF"/>
        </w:rPr>
        <w:t>年12月31日，我单位开支财政拨款的公务用车保有量为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辆</w:t>
      </w:r>
      <w:r>
        <w:rPr>
          <w:rFonts w:hint="eastAsia" w:ascii="仿宋" w:hAnsi="仿宋" w:eastAsia="仿宋" w:cs="仿宋"/>
          <w:i w:val="0"/>
          <w:iCs w:val="0"/>
          <w:caps w:val="0"/>
          <w:color w:val="auto"/>
          <w:spacing w:val="0"/>
          <w:sz w:val="32"/>
          <w:szCs w:val="32"/>
          <w:highlight w:val="none"/>
          <w:shd w:val="clear" w:color="auto" w:fill="FFFFFF"/>
          <w:lang w:eastAsia="zh-CN"/>
        </w:rPr>
        <w:t>。</w:t>
      </w:r>
    </w:p>
    <w:p>
      <w:pPr>
        <w:pStyle w:val="10"/>
        <w:rPr>
          <w:rFonts w:hAnsi="黑体"/>
          <w:b/>
          <w:sz w:val="32"/>
          <w:szCs w:val="32"/>
        </w:rPr>
      </w:pPr>
      <w:r>
        <w:rPr>
          <w:rFonts w:hint="eastAsia" w:hAnsi="黑体"/>
          <w:b/>
          <w:sz w:val="32"/>
          <w:szCs w:val="32"/>
        </w:rPr>
        <w:t>八、政府性基金预算收入支出决算情况</w:t>
      </w:r>
    </w:p>
    <w:p>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2021年度本单位无政府性基金收支</w:t>
      </w:r>
      <w:r>
        <w:rPr>
          <w:rFonts w:hint="eastAsia" w:asciiTheme="minorEastAsia" w:hAnsiTheme="minorEastAsia" w:eastAsiaTheme="minorEastAsia"/>
          <w:sz w:val="32"/>
          <w:szCs w:val="32"/>
          <w:lang w:eastAsia="zh-CN"/>
        </w:rPr>
        <w:t>。</w:t>
      </w:r>
    </w:p>
    <w:p>
      <w:pPr>
        <w:pStyle w:val="10"/>
        <w:rPr>
          <w:rFonts w:hint="eastAsia" w:hAnsi="黑体"/>
          <w:b/>
          <w:sz w:val="32"/>
          <w:szCs w:val="32"/>
        </w:rPr>
      </w:pPr>
      <w:r>
        <w:rPr>
          <w:rFonts w:hint="eastAsia" w:hAnsi="黑体"/>
          <w:b/>
          <w:sz w:val="32"/>
          <w:szCs w:val="32"/>
        </w:rPr>
        <w:t>九、国有资本经营预算财政拨款支出决算情况说明</w:t>
      </w:r>
    </w:p>
    <w:p>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本单位无国有资本经营预算财政拨款支出</w:t>
      </w:r>
    </w:p>
    <w:p>
      <w:pPr>
        <w:pStyle w:val="10"/>
        <w:jc w:val="both"/>
        <w:rPr>
          <w:rFonts w:hAnsi="黑体"/>
          <w:b/>
          <w:sz w:val="32"/>
          <w:szCs w:val="32"/>
        </w:rPr>
      </w:pPr>
      <w:r>
        <w:rPr>
          <w:rFonts w:hint="eastAsia" w:hAnsi="黑体"/>
          <w:b/>
          <w:sz w:val="32"/>
          <w:szCs w:val="32"/>
        </w:rPr>
        <w:t>十、机关运行经费支出说明</w:t>
      </w:r>
    </w:p>
    <w:p>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本部门202</w:t>
      </w:r>
      <w:r>
        <w:rPr>
          <w:rFonts w:hint="default" w:asciiTheme="minorEastAsia" w:hAnsiTheme="minorEastAsia" w:eastAsiaTheme="minorEastAsia"/>
          <w:sz w:val="32"/>
          <w:szCs w:val="32"/>
        </w:rPr>
        <w:t>1</w:t>
      </w:r>
      <w:r>
        <w:rPr>
          <w:rFonts w:hint="eastAsia" w:asciiTheme="minorEastAsia" w:hAnsiTheme="minorEastAsia" w:eastAsiaTheme="minorEastAsia"/>
          <w:sz w:val="32"/>
          <w:szCs w:val="32"/>
        </w:rPr>
        <w:t>年度机关运行经费支出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我单位为差额拨款事业单位，不属于</w:t>
      </w:r>
      <w:r>
        <w:rPr>
          <w:rFonts w:hint="eastAsia" w:asciiTheme="minorEastAsia" w:hAnsiTheme="minorEastAsia" w:eastAsiaTheme="minorEastAsia"/>
          <w:sz w:val="32"/>
          <w:szCs w:val="32"/>
        </w:rPr>
        <w:t>行政单位和参照公务员法管理事业单位</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故无</w:t>
      </w:r>
      <w:r>
        <w:rPr>
          <w:rFonts w:hint="eastAsia" w:asciiTheme="minorEastAsia" w:hAnsiTheme="minorEastAsia" w:eastAsiaTheme="minorEastAsia"/>
          <w:sz w:val="32"/>
          <w:szCs w:val="32"/>
        </w:rPr>
        <w:t>机关运行经费</w:t>
      </w:r>
      <w:r>
        <w:rPr>
          <w:rFonts w:hint="eastAsia" w:asciiTheme="minorEastAsia" w:hAnsiTheme="minorEastAsia" w:eastAsiaTheme="minorEastAsia"/>
          <w:sz w:val="32"/>
          <w:szCs w:val="32"/>
          <w:lang w:val="en-US" w:eastAsia="zh-CN"/>
        </w:rPr>
        <w:t>支出</w:t>
      </w:r>
      <w:r>
        <w:rPr>
          <w:rFonts w:hint="eastAsia" w:asciiTheme="minorEastAsia" w:hAnsiTheme="minorEastAsia" w:eastAsiaTheme="minorEastAsia"/>
          <w:sz w:val="32"/>
          <w:szCs w:val="32"/>
          <w:lang w:eastAsia="zh-CN"/>
        </w:rPr>
        <w:t>。</w:t>
      </w:r>
    </w:p>
    <w:p>
      <w:pPr>
        <w:pStyle w:val="10"/>
        <w:rPr>
          <w:rFonts w:hAnsi="黑体"/>
          <w:b/>
          <w:sz w:val="32"/>
          <w:szCs w:val="32"/>
        </w:rPr>
      </w:pPr>
      <w:r>
        <w:rPr>
          <w:rFonts w:hint="eastAsia" w:hAnsi="黑体"/>
          <w:b/>
          <w:sz w:val="32"/>
          <w:szCs w:val="32"/>
        </w:rPr>
        <w:t>十</w:t>
      </w:r>
      <w:r>
        <w:rPr>
          <w:rFonts w:hint="eastAsia" w:hAnsi="黑体"/>
          <w:b/>
          <w:sz w:val="32"/>
          <w:szCs w:val="32"/>
          <w:lang w:eastAsia="zh-CN"/>
        </w:rPr>
        <w:t>一</w:t>
      </w:r>
      <w:r>
        <w:rPr>
          <w:rFonts w:hint="eastAsia" w:hAnsi="黑体"/>
          <w:b/>
          <w:sz w:val="32"/>
          <w:szCs w:val="32"/>
        </w:rPr>
        <w:t>、一般性支出情况说明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未</w:t>
      </w:r>
      <w:r>
        <w:rPr>
          <w:rFonts w:hint="eastAsia" w:asciiTheme="minorEastAsia" w:hAnsiTheme="minorEastAsia" w:eastAsiaTheme="minorEastAsia"/>
          <w:sz w:val="32"/>
          <w:szCs w:val="32"/>
        </w:rPr>
        <w:t>召开会议；开支培训费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未</w:t>
      </w:r>
      <w:r>
        <w:rPr>
          <w:rFonts w:hint="eastAsia" w:asciiTheme="minorEastAsia" w:hAnsiTheme="minorEastAsia" w:eastAsiaTheme="minorEastAsia"/>
          <w:sz w:val="32"/>
          <w:szCs w:val="32"/>
        </w:rPr>
        <w:t>开展培训</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未举办</w:t>
      </w:r>
      <w:r>
        <w:rPr>
          <w:rFonts w:hint="eastAsia" w:asciiTheme="minorEastAsia" w:hAnsiTheme="minorEastAsia" w:eastAsiaTheme="minorEastAsia"/>
          <w:sz w:val="32"/>
          <w:szCs w:val="32"/>
        </w:rPr>
        <w:t>节庆、晚会、论坛、赛事等活动</w:t>
      </w:r>
      <w:r>
        <w:rPr>
          <w:rFonts w:hint="eastAsia" w:asciiTheme="minorEastAsia" w:hAnsiTheme="minorEastAsia" w:eastAsiaTheme="minorEastAsia"/>
          <w:sz w:val="32"/>
          <w:szCs w:val="32"/>
          <w:lang w:eastAsia="zh-CN"/>
        </w:rPr>
        <w:t>。</w:t>
      </w:r>
    </w:p>
    <w:p>
      <w:pPr>
        <w:pStyle w:val="1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、政府采购支出说明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、国有资产占用情况说明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截至2021年12月31日，本单位共有车辆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1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、2021年度预算绩效情况说明</w:t>
      </w:r>
    </w:p>
    <w:p>
      <w:pPr>
        <w:autoSpaceDE w:val="0"/>
        <w:autoSpaceDN w:val="0"/>
        <w:adjustRightInd w:val="0"/>
        <w:ind w:firstLine="640" w:firstLineChars="200"/>
        <w:jc w:val="left"/>
        <w:rPr>
          <w:rFonts w:hint="eastAsia" w:cs="黑体" w:asciiTheme="minorEastAsia" w:hAnsiTheme="minorEastAsia" w:eastAsiaTheme="minorEastAsia"/>
          <w:color w:val="000000"/>
          <w:kern w:val="0"/>
          <w:sz w:val="32"/>
          <w:szCs w:val="32"/>
          <w:lang w:val="en-US" w:eastAsia="zh-CN" w:bidi="ar-SA"/>
        </w:rPr>
      </w:pPr>
      <w:r>
        <w:rPr>
          <w:rFonts w:hint="eastAsia" w:asciiTheme="minorEastAsia" w:hAnsiTheme="minorEastAsia" w:eastAsiaTheme="minorEastAsia"/>
          <w:sz w:val="32"/>
          <w:szCs w:val="32"/>
          <w:lang w:val="en-US" w:eastAsia="zh-CN"/>
        </w:rPr>
        <w:t>本单位</w:t>
      </w:r>
      <w:r>
        <w:rPr>
          <w:rFonts w:hint="eastAsia" w:cs="黑体" w:asciiTheme="minorEastAsia" w:hAnsiTheme="minorEastAsia" w:eastAsiaTheme="minorEastAsia"/>
          <w:color w:val="000000"/>
          <w:kern w:val="0"/>
          <w:sz w:val="32"/>
          <w:szCs w:val="32"/>
          <w:lang w:val="en-US" w:eastAsia="zh-CN" w:bidi="ar-SA"/>
        </w:rPr>
        <w:t>已并入怀化市机关事务管理局，</w:t>
      </w:r>
      <w:r>
        <w:rPr>
          <w:rFonts w:hint="eastAsia" w:asciiTheme="minorEastAsia" w:hAnsiTheme="minorEastAsia"/>
          <w:sz w:val="32"/>
          <w:szCs w:val="32"/>
          <w:lang w:val="en-US" w:eastAsia="zh-CN"/>
        </w:rPr>
        <w:t>纳入</w:t>
      </w:r>
      <w:r>
        <w:rPr>
          <w:rFonts w:hint="eastAsia" w:cs="黑体" w:asciiTheme="minorEastAsia" w:hAnsiTheme="minorEastAsia" w:eastAsiaTheme="minorEastAsia"/>
          <w:color w:val="000000"/>
          <w:kern w:val="0"/>
          <w:sz w:val="32"/>
          <w:szCs w:val="32"/>
          <w:lang w:val="en-US" w:eastAsia="zh-CN" w:bidi="ar-SA"/>
        </w:rPr>
        <w:t>怀化市机关事务管理局</w:t>
      </w:r>
      <w:r>
        <w:rPr>
          <w:rFonts w:hint="eastAsia" w:cs="黑体" w:asciiTheme="minorEastAsia" w:hAnsiTheme="minorEastAsia"/>
          <w:color w:val="000000"/>
          <w:kern w:val="0"/>
          <w:sz w:val="32"/>
          <w:szCs w:val="32"/>
          <w:lang w:val="en-US" w:eastAsia="zh-CN" w:bidi="ar-SA"/>
        </w:rPr>
        <w:t>整体支出绩效</w:t>
      </w:r>
      <w:r>
        <w:rPr>
          <w:rFonts w:hint="eastAsia" w:cs="黑体" w:asciiTheme="minorEastAsia" w:hAnsiTheme="minorEastAsia" w:eastAsiaTheme="minorEastAsia"/>
          <w:color w:val="000000"/>
          <w:kern w:val="0"/>
          <w:sz w:val="32"/>
          <w:szCs w:val="32"/>
          <w:lang w:val="en-US" w:eastAsia="zh-CN" w:bidi="ar-SA"/>
        </w:rPr>
        <w:t>上报。</w:t>
      </w:r>
    </w:p>
    <w:p>
      <w:pPr>
        <w:autoSpaceDE w:val="0"/>
        <w:autoSpaceDN w:val="0"/>
        <w:adjustRightInd w:val="0"/>
        <w:ind w:firstLine="640" w:firstLineChars="200"/>
        <w:jc w:val="left"/>
        <w:rPr>
          <w:rFonts w:hint="eastAsia" w:cs="黑体" w:asciiTheme="minorEastAsia" w:hAnsiTheme="minorEastAsia"/>
          <w:b/>
          <w:color w:val="000000"/>
          <w:kern w:val="0"/>
          <w:sz w:val="32"/>
          <w:szCs w:val="32"/>
        </w:rPr>
      </w:pPr>
    </w:p>
    <w:p>
      <w:pPr>
        <w:autoSpaceDE w:val="0"/>
        <w:autoSpaceDN w:val="0"/>
        <w:adjustRightInd w:val="0"/>
        <w:jc w:val="left"/>
        <w:rPr>
          <w:rFonts w:hint="eastAsia" w:cs="黑体" w:asciiTheme="minorEastAsia" w:hAnsiTheme="minorEastAsia"/>
          <w:b/>
          <w:color w:val="000000"/>
          <w:kern w:val="0"/>
          <w:sz w:val="32"/>
          <w:szCs w:val="32"/>
        </w:rPr>
      </w:pPr>
    </w:p>
    <w:p>
      <w:pPr>
        <w:autoSpaceDE w:val="0"/>
        <w:autoSpaceDN w:val="0"/>
        <w:adjustRightInd w:val="0"/>
        <w:ind w:firstLine="640" w:firstLineChars="200"/>
        <w:jc w:val="left"/>
        <w:rPr>
          <w:rFonts w:hint="eastAsia" w:cs="黑体" w:asciiTheme="minorEastAsia" w:hAnsiTheme="minorEastAsia"/>
          <w:b/>
          <w:color w:val="000000"/>
          <w:kern w:val="0"/>
          <w:sz w:val="32"/>
          <w:szCs w:val="32"/>
        </w:rPr>
      </w:pPr>
    </w:p>
    <w:p>
      <w:pPr>
        <w:autoSpaceDE w:val="0"/>
        <w:autoSpaceDN w:val="0"/>
        <w:adjustRightInd w:val="0"/>
        <w:ind w:firstLine="640" w:firstLineChars="200"/>
        <w:jc w:val="left"/>
        <w:rPr>
          <w:rFonts w:hint="eastAsia" w:cs="黑体" w:asciiTheme="minorEastAsia" w:hAnsiTheme="minorEastAsia"/>
          <w:b/>
          <w:color w:val="000000"/>
          <w:kern w:val="0"/>
          <w:sz w:val="32"/>
          <w:szCs w:val="32"/>
        </w:rPr>
      </w:pPr>
    </w:p>
    <w:p>
      <w:pPr>
        <w:autoSpaceDE w:val="0"/>
        <w:autoSpaceDN w:val="0"/>
        <w:adjustRightInd w:val="0"/>
        <w:ind w:firstLine="640" w:firstLineChars="200"/>
        <w:jc w:val="left"/>
        <w:rPr>
          <w:rFonts w:hint="eastAsia" w:cs="黑体" w:asciiTheme="minorEastAsia" w:hAnsiTheme="minorEastAsia"/>
          <w:b/>
          <w:color w:val="000000"/>
          <w:kern w:val="0"/>
          <w:sz w:val="32"/>
          <w:szCs w:val="32"/>
        </w:rPr>
      </w:pPr>
    </w:p>
    <w:p>
      <w:pPr>
        <w:autoSpaceDE w:val="0"/>
        <w:autoSpaceDN w:val="0"/>
        <w:adjustRightInd w:val="0"/>
        <w:ind w:firstLine="640" w:firstLineChars="200"/>
        <w:jc w:val="left"/>
        <w:rPr>
          <w:rFonts w:hint="eastAsia" w:cs="黑体" w:asciiTheme="minorEastAsia" w:hAnsiTheme="minorEastAsia"/>
          <w:b/>
          <w:color w:val="000000"/>
          <w:kern w:val="0"/>
          <w:sz w:val="32"/>
          <w:szCs w:val="32"/>
        </w:rPr>
      </w:pPr>
    </w:p>
    <w:p>
      <w:pPr>
        <w:autoSpaceDE w:val="0"/>
        <w:autoSpaceDN w:val="0"/>
        <w:adjustRightInd w:val="0"/>
        <w:ind w:firstLine="640" w:firstLineChars="200"/>
        <w:jc w:val="left"/>
        <w:rPr>
          <w:rFonts w:hint="eastAsia" w:cs="黑体" w:asciiTheme="minorEastAsia" w:hAnsiTheme="minorEastAsia"/>
          <w:b/>
          <w:color w:val="000000"/>
          <w:kern w:val="0"/>
          <w:sz w:val="32"/>
          <w:szCs w:val="32"/>
        </w:rPr>
      </w:pPr>
    </w:p>
    <w:p>
      <w:pPr>
        <w:autoSpaceDE w:val="0"/>
        <w:autoSpaceDN w:val="0"/>
        <w:adjustRightInd w:val="0"/>
        <w:ind w:firstLine="640" w:firstLineChars="200"/>
        <w:jc w:val="left"/>
        <w:rPr>
          <w:rFonts w:hint="eastAsia" w:cs="黑体" w:asciiTheme="minorEastAsia" w:hAnsiTheme="minorEastAsia"/>
          <w:b/>
          <w:color w:val="000000"/>
          <w:kern w:val="0"/>
          <w:sz w:val="32"/>
          <w:szCs w:val="32"/>
        </w:rPr>
      </w:pPr>
    </w:p>
    <w:p>
      <w:pPr>
        <w:autoSpaceDE w:val="0"/>
        <w:autoSpaceDN w:val="0"/>
        <w:adjustRightInd w:val="0"/>
        <w:ind w:firstLine="1440" w:firstLineChars="200"/>
        <w:jc w:val="left"/>
        <w:rPr>
          <w:sz w:val="72"/>
          <w:szCs w:val="72"/>
        </w:rPr>
      </w:pPr>
    </w:p>
    <w:p>
      <w:pPr>
        <w:pStyle w:val="10"/>
        <w:jc w:val="both"/>
        <w:rPr>
          <w:sz w:val="72"/>
          <w:szCs w:val="72"/>
        </w:rPr>
      </w:pPr>
    </w:p>
    <w:p>
      <w:pPr>
        <w:pStyle w:val="10"/>
        <w:jc w:val="center"/>
        <w:rPr>
          <w:sz w:val="72"/>
          <w:szCs w:val="72"/>
        </w:rPr>
      </w:pPr>
    </w:p>
    <w:p>
      <w:pPr>
        <w:pStyle w:val="10"/>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b/>
          <w:bCs/>
          <w:color w:val="000000"/>
          <w:kern w:val="0"/>
          <w:sz w:val="32"/>
          <w:szCs w:val="32"/>
          <w:lang w:val="en-US" w:eastAsia="zh-CN" w:bidi="ar-SA"/>
        </w:rPr>
        <w:t>一、机关运行经费：</w:t>
      </w:r>
      <w:r>
        <w:rPr>
          <w:rFonts w:hint="eastAsia" w:cs="黑体" w:asciiTheme="minorEastAsia" w:hAnsiTheme="minorEastAsia" w:eastAsiaTheme="minorEastAsia"/>
          <w:color w:val="000000"/>
          <w:kern w:val="0"/>
          <w:sz w:val="32"/>
          <w:szCs w:val="32"/>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b/>
          <w:bCs/>
          <w:color w:val="000000"/>
          <w:kern w:val="0"/>
          <w:sz w:val="32"/>
          <w:szCs w:val="32"/>
          <w:lang w:val="en-US" w:eastAsia="zh-CN" w:bidi="ar-SA"/>
        </w:rPr>
        <w:t>二、“三公”经费：</w:t>
      </w:r>
      <w:r>
        <w:rPr>
          <w:rFonts w:hint="eastAsia" w:cs="黑体" w:asciiTheme="minorEastAsia" w:hAnsiTheme="minorEastAsia" w:eastAsiaTheme="minorEastAsia"/>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iNzM1NjdlNzliOTRiOTg3MWQ2ZjgwNzI5OGQxNjUifQ=="/>
  </w:docVars>
  <w:rsids>
    <w:rsidRoot w:val="004506F9"/>
    <w:rsid w:val="0002229B"/>
    <w:rsid w:val="000273BD"/>
    <w:rsid w:val="00032561"/>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45E35"/>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0341B"/>
    <w:rsid w:val="00F74360"/>
    <w:rsid w:val="00FB462F"/>
    <w:rsid w:val="00FE16FA"/>
    <w:rsid w:val="00FE328A"/>
    <w:rsid w:val="00FE6269"/>
    <w:rsid w:val="00FF5CD6"/>
    <w:rsid w:val="0A992772"/>
    <w:rsid w:val="16F70437"/>
    <w:rsid w:val="179BD095"/>
    <w:rsid w:val="23623B5A"/>
    <w:rsid w:val="2DFC0528"/>
    <w:rsid w:val="306953D3"/>
    <w:rsid w:val="3793314D"/>
    <w:rsid w:val="37EC1445"/>
    <w:rsid w:val="3F151E96"/>
    <w:rsid w:val="417D23EB"/>
    <w:rsid w:val="43AE5F3B"/>
    <w:rsid w:val="456017C3"/>
    <w:rsid w:val="4931197E"/>
    <w:rsid w:val="50883AAF"/>
    <w:rsid w:val="544E765F"/>
    <w:rsid w:val="54EFC135"/>
    <w:rsid w:val="5D9F428E"/>
    <w:rsid w:val="5F577D10"/>
    <w:rsid w:val="648F6A02"/>
    <w:rsid w:val="6AB0094B"/>
    <w:rsid w:val="71C00421"/>
    <w:rsid w:val="756C0B14"/>
    <w:rsid w:val="92BDA4C5"/>
    <w:rsid w:val="B1FFBC38"/>
    <w:rsid w:val="FBEF24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3090</Words>
  <Characters>3336</Characters>
  <Lines>59</Lines>
  <Paragraphs>16</Paragraphs>
  <TotalTime>0</TotalTime>
  <ScaleCrop>false</ScaleCrop>
  <LinksUpToDate>false</LinksUpToDate>
  <CharactersWithSpaces>3346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2021-10-01T19:41:00Z</dcterms:created>
  <dc:creator>李航 null</dc:creator>
  <cp:lastModifiedBy>LLL</cp:lastModifiedBy>
  <cp:lastPrinted>2022-07-28T04:55:00Z</cp:lastPrinted>
  <dcterms:modified xsi:type="dcterms:W3CDTF">2023-09-06T02:31:51Z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880CAEDCCFFC42C69FFB3BBAC1F88C87</vt:lpwstr>
  </property>
</Properties>
</file>