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6719D">
      <w:pPr>
        <w:pStyle w:val="13"/>
        <w:jc w:val="center"/>
        <w:rPr>
          <w:sz w:val="56"/>
          <w:szCs w:val="56"/>
        </w:rPr>
      </w:pPr>
    </w:p>
    <w:p w14:paraId="46DEBCCA">
      <w:pPr>
        <w:pStyle w:val="13"/>
        <w:jc w:val="center"/>
        <w:rPr>
          <w:sz w:val="56"/>
          <w:szCs w:val="56"/>
        </w:rPr>
      </w:pPr>
    </w:p>
    <w:p w14:paraId="22F60F51">
      <w:pPr>
        <w:pStyle w:val="13"/>
        <w:jc w:val="center"/>
        <w:rPr>
          <w:sz w:val="84"/>
          <w:szCs w:val="84"/>
        </w:rPr>
      </w:pPr>
    </w:p>
    <w:p w14:paraId="08C72630">
      <w:pPr>
        <w:pStyle w:val="13"/>
        <w:jc w:val="center"/>
        <w:rPr>
          <w:sz w:val="84"/>
          <w:szCs w:val="84"/>
        </w:rPr>
      </w:pPr>
    </w:p>
    <w:p w14:paraId="32072FD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B54561F">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怀化市荣军褒扬服务所</w:t>
      </w:r>
    </w:p>
    <w:p w14:paraId="7B6341A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CEFF926">
      <w:pPr>
        <w:pStyle w:val="13"/>
        <w:jc w:val="center"/>
        <w:rPr>
          <w:rFonts w:hint="eastAsia" w:ascii="方正小标宋_GBK" w:hAnsi="方正小标宋_GBK" w:eastAsia="方正小标宋_GBK" w:cs="方正小标宋_GBK"/>
          <w:sz w:val="56"/>
          <w:szCs w:val="56"/>
        </w:rPr>
      </w:pPr>
    </w:p>
    <w:p w14:paraId="4716396F">
      <w:pPr>
        <w:pStyle w:val="13"/>
        <w:jc w:val="center"/>
        <w:rPr>
          <w:sz w:val="56"/>
          <w:szCs w:val="56"/>
        </w:rPr>
      </w:pPr>
    </w:p>
    <w:p w14:paraId="0EE31B2E">
      <w:pPr>
        <w:pStyle w:val="13"/>
        <w:jc w:val="center"/>
        <w:rPr>
          <w:sz w:val="56"/>
          <w:szCs w:val="56"/>
        </w:rPr>
      </w:pPr>
    </w:p>
    <w:p w14:paraId="42CA28BD">
      <w:pPr>
        <w:pStyle w:val="13"/>
        <w:jc w:val="center"/>
        <w:rPr>
          <w:sz w:val="56"/>
          <w:szCs w:val="56"/>
        </w:rPr>
      </w:pPr>
    </w:p>
    <w:p w14:paraId="7A8BB82C">
      <w:pPr>
        <w:pStyle w:val="13"/>
        <w:jc w:val="center"/>
        <w:rPr>
          <w:sz w:val="32"/>
          <w:szCs w:val="32"/>
        </w:rPr>
      </w:pPr>
    </w:p>
    <w:p w14:paraId="2C638E18">
      <w:pPr>
        <w:pStyle w:val="13"/>
        <w:jc w:val="center"/>
        <w:rPr>
          <w:sz w:val="32"/>
          <w:szCs w:val="32"/>
        </w:rPr>
      </w:pPr>
    </w:p>
    <w:p w14:paraId="1723C04C">
      <w:pPr>
        <w:pStyle w:val="13"/>
        <w:jc w:val="center"/>
        <w:rPr>
          <w:sz w:val="32"/>
          <w:szCs w:val="32"/>
        </w:rPr>
      </w:pPr>
    </w:p>
    <w:p w14:paraId="632CEC31">
      <w:pPr>
        <w:pStyle w:val="13"/>
        <w:spacing w:line="500" w:lineRule="exact"/>
        <w:jc w:val="both"/>
        <w:rPr>
          <w:b/>
          <w:sz w:val="36"/>
          <w:szCs w:val="28"/>
        </w:rPr>
      </w:pPr>
    </w:p>
    <w:p w14:paraId="0349C471">
      <w:pPr>
        <w:pStyle w:val="13"/>
        <w:spacing w:line="500" w:lineRule="exact"/>
        <w:jc w:val="center"/>
        <w:rPr>
          <w:b/>
          <w:sz w:val="36"/>
          <w:szCs w:val="28"/>
        </w:rPr>
      </w:pPr>
      <w:r>
        <w:rPr>
          <w:rFonts w:hint="eastAsia"/>
          <w:b/>
          <w:sz w:val="36"/>
          <w:szCs w:val="28"/>
        </w:rPr>
        <w:t>目录</w:t>
      </w:r>
    </w:p>
    <w:p w14:paraId="1D5C1B5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 xml:space="preserve"> </w:t>
      </w:r>
      <w:r>
        <w:rPr>
          <w:rFonts w:hint="eastAsia" w:ascii="黑体" w:hAnsi="黑体" w:eastAsia="黑体" w:cs="黑体"/>
          <w:b w:val="0"/>
          <w:bCs/>
          <w:sz w:val="28"/>
          <w:szCs w:val="28"/>
          <w:lang w:val="en-US" w:eastAsia="zh-CN"/>
        </w:rPr>
        <w:t>怀化市荣军褒扬服务所</w:t>
      </w:r>
      <w:r>
        <w:rPr>
          <w:rFonts w:hint="eastAsia" w:ascii="黑体" w:hAnsi="黑体" w:eastAsia="黑体" w:cs="黑体"/>
          <w:b w:val="0"/>
          <w:bCs/>
          <w:sz w:val="28"/>
          <w:szCs w:val="28"/>
        </w:rPr>
        <w:t>概况</w:t>
      </w:r>
    </w:p>
    <w:p w14:paraId="5BA00EA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4B4407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01C720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D6BCC8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DD4AD8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FB15AD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B24B6F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A45FF7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44D31C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B14C55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F2A970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BCFB8B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C294EC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ACBCCD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3E17D94">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71B3AC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0EA981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D051AC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1B6A8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54B4E4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86F7C1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BE7D8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九、国有资本经营预算财政拨款支出决算情况说明</w:t>
      </w:r>
    </w:p>
    <w:p w14:paraId="6397977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66F317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2B77EC1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sz w:val="28"/>
          <w:szCs w:val="28"/>
        </w:rPr>
        <w:t>二</w:t>
      </w:r>
      <w:r>
        <w:rPr>
          <w:rFonts w:hint="eastAsia" w:ascii="仿宋_GB2312" w:hAnsi="仿宋_GB2312" w:eastAsia="仿宋_GB2312" w:cs="仿宋_GB2312"/>
          <w:color w:val="000000"/>
          <w:kern w:val="0"/>
          <w:sz w:val="28"/>
          <w:szCs w:val="28"/>
        </w:rPr>
        <w:t>、关于政府采购支出说明</w:t>
      </w:r>
    </w:p>
    <w:p w14:paraId="2AACDC3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0FB18F2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2172AC0">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10CE589">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1288E43">
      <w:pPr>
        <w:pStyle w:val="13"/>
        <w:spacing w:line="500" w:lineRule="exact"/>
        <w:rPr>
          <w:rFonts w:hint="eastAsia" w:ascii="黑体" w:hAnsi="黑体" w:eastAsia="黑体" w:cs="黑体"/>
          <w:b w:val="0"/>
          <w:bCs/>
          <w:sz w:val="28"/>
          <w:szCs w:val="28"/>
        </w:rPr>
      </w:pPr>
    </w:p>
    <w:p w14:paraId="73831FF1">
      <w:pPr>
        <w:jc w:val="center"/>
        <w:rPr>
          <w:sz w:val="72"/>
          <w:szCs w:val="72"/>
        </w:rPr>
      </w:pPr>
    </w:p>
    <w:p w14:paraId="143BBB9F">
      <w:pPr>
        <w:jc w:val="both"/>
        <w:rPr>
          <w:sz w:val="72"/>
          <w:szCs w:val="72"/>
        </w:rPr>
      </w:pPr>
    </w:p>
    <w:p w14:paraId="3BE87040">
      <w:pPr>
        <w:jc w:val="center"/>
        <w:rPr>
          <w:sz w:val="72"/>
          <w:szCs w:val="72"/>
        </w:rPr>
      </w:pPr>
    </w:p>
    <w:p w14:paraId="023D01FD">
      <w:pPr>
        <w:rPr>
          <w:rFonts w:hint="eastAsia" w:ascii="方正小标宋_GBK" w:hAnsi="方正小标宋_GBK" w:eastAsia="方正小标宋_GBK" w:cs="方正小标宋_GBK"/>
          <w:sz w:val="72"/>
          <w:szCs w:val="72"/>
        </w:rPr>
      </w:pPr>
    </w:p>
    <w:p w14:paraId="45941FEC">
      <w:pPr>
        <w:pStyle w:val="7"/>
        <w:rPr>
          <w:rFonts w:hint="eastAsia" w:ascii="方正小标宋_GBK" w:hAnsi="方正小标宋_GBK" w:eastAsia="方正小标宋_GBK" w:cs="方正小标宋_GBK"/>
          <w:sz w:val="72"/>
          <w:szCs w:val="72"/>
        </w:rPr>
      </w:pPr>
    </w:p>
    <w:p w14:paraId="16451D00">
      <w:pPr>
        <w:pStyle w:val="3"/>
        <w:rPr>
          <w:rFonts w:hint="eastAsia" w:ascii="方正小标宋_GBK" w:hAnsi="方正小标宋_GBK" w:eastAsia="方正小标宋_GBK" w:cs="方正小标宋_GBK"/>
          <w:sz w:val="72"/>
          <w:szCs w:val="72"/>
        </w:rPr>
      </w:pPr>
    </w:p>
    <w:p w14:paraId="36E109B4">
      <w:pPr>
        <w:rPr>
          <w:rFonts w:hint="eastAsia" w:ascii="方正小标宋_GBK" w:hAnsi="方正小标宋_GBK" w:eastAsia="方正小标宋_GBK" w:cs="方正小标宋_GBK"/>
          <w:sz w:val="72"/>
          <w:szCs w:val="72"/>
        </w:rPr>
      </w:pPr>
    </w:p>
    <w:p w14:paraId="0E7D622C">
      <w:pPr>
        <w:pStyle w:val="7"/>
        <w:rPr>
          <w:rFonts w:hint="eastAsia" w:ascii="方正小标宋_GBK" w:hAnsi="方正小标宋_GBK" w:eastAsia="方正小标宋_GBK" w:cs="方正小标宋_GBK"/>
          <w:sz w:val="72"/>
          <w:szCs w:val="72"/>
        </w:rPr>
      </w:pPr>
    </w:p>
    <w:p w14:paraId="7AAED1C6">
      <w:pPr>
        <w:pStyle w:val="3"/>
        <w:rPr>
          <w:rFonts w:hint="eastAsia" w:ascii="方正小标宋_GBK" w:hAnsi="方正小标宋_GBK" w:eastAsia="方正小标宋_GBK" w:cs="方正小标宋_GBK"/>
          <w:sz w:val="72"/>
          <w:szCs w:val="72"/>
        </w:rPr>
      </w:pPr>
    </w:p>
    <w:p w14:paraId="1E869042">
      <w:pPr>
        <w:rPr>
          <w:rFonts w:hint="eastAsia" w:ascii="方正小标宋_GBK" w:hAnsi="方正小标宋_GBK" w:eastAsia="方正小标宋_GBK" w:cs="方正小标宋_GBK"/>
          <w:sz w:val="72"/>
          <w:szCs w:val="72"/>
        </w:rPr>
      </w:pPr>
    </w:p>
    <w:p w14:paraId="1ED0BEED">
      <w:pPr>
        <w:pStyle w:val="7"/>
        <w:rPr>
          <w:rFonts w:hint="eastAsia" w:ascii="方正小标宋_GBK" w:hAnsi="方正小标宋_GBK" w:eastAsia="方正小标宋_GBK" w:cs="方正小标宋_GBK"/>
          <w:sz w:val="72"/>
          <w:szCs w:val="72"/>
        </w:rPr>
      </w:pPr>
    </w:p>
    <w:p w14:paraId="5B6FE893">
      <w:pPr>
        <w:pStyle w:val="3"/>
        <w:rPr>
          <w:rFonts w:hint="eastAsia" w:ascii="方正小标宋_GBK" w:hAnsi="方正小标宋_GBK" w:eastAsia="方正小标宋_GBK" w:cs="方正小标宋_GBK"/>
          <w:sz w:val="72"/>
          <w:szCs w:val="72"/>
        </w:rPr>
      </w:pPr>
    </w:p>
    <w:p w14:paraId="2C451E69">
      <w:pPr>
        <w:rPr>
          <w:rFonts w:hint="eastAsia" w:ascii="方正小标宋_GBK" w:hAnsi="方正小标宋_GBK" w:eastAsia="方正小标宋_GBK" w:cs="方正小标宋_GBK"/>
          <w:sz w:val="72"/>
          <w:szCs w:val="72"/>
        </w:rPr>
      </w:pPr>
    </w:p>
    <w:p w14:paraId="32F7CED1">
      <w:pPr>
        <w:pStyle w:val="7"/>
        <w:rPr>
          <w:rFonts w:hint="eastAsia" w:ascii="方正小标宋_GBK" w:hAnsi="方正小标宋_GBK" w:eastAsia="方正小标宋_GBK" w:cs="方正小标宋_GBK"/>
          <w:sz w:val="72"/>
          <w:szCs w:val="72"/>
        </w:rPr>
      </w:pPr>
    </w:p>
    <w:p w14:paraId="6314F9BA">
      <w:pPr>
        <w:pStyle w:val="3"/>
        <w:rPr>
          <w:rFonts w:hint="eastAsia" w:ascii="方正小标宋_GBK" w:hAnsi="方正小标宋_GBK" w:eastAsia="方正小标宋_GBK" w:cs="方正小标宋_GBK"/>
          <w:sz w:val="72"/>
          <w:szCs w:val="72"/>
        </w:rPr>
      </w:pPr>
    </w:p>
    <w:p w14:paraId="29225EDB">
      <w:pPr>
        <w:pStyle w:val="7"/>
        <w:rPr>
          <w:rFonts w:hint="eastAsia" w:ascii="方正小标宋_GBK" w:hAnsi="方正小标宋_GBK" w:eastAsia="方正小标宋_GBK" w:cs="方正小标宋_GBK"/>
          <w:sz w:val="72"/>
          <w:szCs w:val="72"/>
        </w:rPr>
      </w:pPr>
    </w:p>
    <w:p w14:paraId="49B849B4">
      <w:pPr>
        <w:pStyle w:val="3"/>
        <w:rPr>
          <w:rFonts w:hint="eastAsia"/>
        </w:rPr>
      </w:pPr>
    </w:p>
    <w:p w14:paraId="5032007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第一部分</w:t>
      </w:r>
    </w:p>
    <w:p w14:paraId="2B677D3E">
      <w:pPr>
        <w:pStyle w:val="13"/>
        <w:jc w:val="center"/>
        <w:rPr>
          <w:rFonts w:hint="eastAsia" w:ascii="方正小标宋_GBK" w:hAnsi="方正小标宋_GBK" w:eastAsia="方正小标宋_GBK" w:cs="方正小标宋_GBK"/>
          <w:sz w:val="84"/>
          <w:szCs w:val="84"/>
        </w:rPr>
      </w:pPr>
    </w:p>
    <w:p w14:paraId="05F2982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怀化市荣军褒扬服务所</w:t>
      </w:r>
      <w:r>
        <w:rPr>
          <w:rFonts w:hint="eastAsia" w:ascii="方正小标宋_GBK" w:hAnsi="方正小标宋_GBK" w:eastAsia="方正小标宋_GBK" w:cs="方正小标宋_GBK"/>
          <w:sz w:val="84"/>
          <w:szCs w:val="84"/>
        </w:rPr>
        <w:t>概况</w:t>
      </w:r>
    </w:p>
    <w:p w14:paraId="5B3C0AF2">
      <w:pPr>
        <w:jc w:val="center"/>
        <w:rPr>
          <w:rFonts w:hint="eastAsia" w:ascii="方正小标宋_GBK" w:hAnsi="方正小标宋_GBK" w:eastAsia="方正小标宋_GBK" w:cs="方正小标宋_GBK"/>
          <w:sz w:val="72"/>
          <w:szCs w:val="72"/>
        </w:rPr>
      </w:pPr>
    </w:p>
    <w:p w14:paraId="3F2DB989">
      <w:pPr>
        <w:jc w:val="center"/>
        <w:rPr>
          <w:rFonts w:hint="eastAsia" w:ascii="方正小标宋_GBK" w:hAnsi="方正小标宋_GBK" w:eastAsia="方正小标宋_GBK" w:cs="方正小标宋_GBK"/>
          <w:sz w:val="72"/>
          <w:szCs w:val="72"/>
        </w:rPr>
      </w:pPr>
    </w:p>
    <w:p w14:paraId="586AA760">
      <w:pPr>
        <w:jc w:val="center"/>
        <w:rPr>
          <w:sz w:val="72"/>
          <w:szCs w:val="72"/>
        </w:rPr>
      </w:pPr>
    </w:p>
    <w:p w14:paraId="2F97D3FF">
      <w:pPr>
        <w:jc w:val="center"/>
        <w:rPr>
          <w:sz w:val="72"/>
          <w:szCs w:val="72"/>
        </w:rPr>
      </w:pPr>
    </w:p>
    <w:p w14:paraId="4D651E16">
      <w:pPr>
        <w:jc w:val="center"/>
        <w:rPr>
          <w:sz w:val="72"/>
          <w:szCs w:val="72"/>
        </w:rPr>
      </w:pPr>
    </w:p>
    <w:p w14:paraId="23961759">
      <w:pPr>
        <w:pStyle w:val="14"/>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0C0A221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（一）为机关提供支持保障的职能</w:t>
      </w:r>
    </w:p>
    <w:p w14:paraId="58417EE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1、服务国防和军队建设，集中供养孤老和生活不能自理的抚恤优待对象，并对其实行特殊保障。</w:t>
      </w:r>
    </w:p>
    <w:p w14:paraId="104B614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2、纪念先烈，教育人民，烈士纪念建筑物建设和环境美化，烈士骨灰保存，烈士遗物和革命史料陈列，革命史料搜集编写，烈士文物档案建立与文物保管。</w:t>
      </w:r>
    </w:p>
    <w:p w14:paraId="1BFC4D5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3、规划、建设、管理、维护好军人公墓。</w:t>
      </w:r>
    </w:p>
    <w:p w14:paraId="11F5677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（二）面向社会提供公益服务的职能</w:t>
      </w:r>
    </w:p>
    <w:p w14:paraId="7F81ED6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1、利用空余床位为其他抚恤优待对象提供优惠优待服务，组织接待精神文明共建活动。</w:t>
      </w:r>
    </w:p>
    <w:p w14:paraId="4C33931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2、组织接待革命烈士纪念活动及开展褒扬相关的社会服务。</w:t>
      </w:r>
    </w:p>
    <w:p w14:paraId="19FE731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3、组织接待对军人墓地的相关悼念祭奠活动。</w:t>
      </w:r>
    </w:p>
    <w:p w14:paraId="464C85D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val="en-US" w:eastAsia="zh-CN"/>
        </w:rPr>
        <w:t>（三）完成怀化市退役军人事务局交办的其他任务。</w:t>
      </w:r>
    </w:p>
    <w:p w14:paraId="5C1E212C">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1504FE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怀化市荣军褒扬服务所</w:t>
      </w:r>
      <w:r>
        <w:rPr>
          <w:rFonts w:hint="eastAsia" w:ascii="Times New Roman" w:hAnsi="Times New Roman" w:eastAsia="仿宋_GB2312" w:cs="仿宋_GB2312"/>
          <w:bCs/>
          <w:kern w:val="0"/>
          <w:sz w:val="32"/>
          <w:szCs w:val="32"/>
        </w:rPr>
        <w:t>内设机构包括：</w:t>
      </w:r>
      <w:r>
        <w:rPr>
          <w:rFonts w:hint="default" w:eastAsia="仿宋_GB2312" w:cs="Times New Roman"/>
          <w:sz w:val="32"/>
          <w:szCs w:val="32"/>
          <w:lang w:val="en-US" w:eastAsia="zh-CN"/>
        </w:rPr>
        <w:t>办公室、财务室、护理部、后勤部。</w:t>
      </w:r>
    </w:p>
    <w:p w14:paraId="0D6FED0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怀化市荣军褒扬服务所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怀化市荣军褒扬服务所。</w:t>
      </w:r>
    </w:p>
    <w:p w14:paraId="34C04459">
      <w:pPr>
        <w:jc w:val="both"/>
        <w:rPr>
          <w:rFonts w:ascii="黑体" w:hAnsi="黑体" w:eastAsia="黑体"/>
          <w:sz w:val="28"/>
          <w:szCs w:val="28"/>
        </w:rPr>
      </w:pPr>
    </w:p>
    <w:p w14:paraId="04E3180A">
      <w:pPr>
        <w:jc w:val="center"/>
        <w:rPr>
          <w:rFonts w:ascii="黑体" w:hAnsi="黑体" w:eastAsia="黑体"/>
          <w:sz w:val="28"/>
          <w:szCs w:val="28"/>
        </w:rPr>
      </w:pPr>
    </w:p>
    <w:p w14:paraId="20F9FBBF">
      <w:pPr>
        <w:jc w:val="center"/>
        <w:rPr>
          <w:rFonts w:ascii="黑体" w:hAnsi="黑体" w:eastAsia="黑体"/>
          <w:sz w:val="28"/>
          <w:szCs w:val="28"/>
        </w:rPr>
      </w:pPr>
    </w:p>
    <w:p w14:paraId="20EB049A">
      <w:pPr>
        <w:jc w:val="center"/>
        <w:rPr>
          <w:rFonts w:ascii="黑体" w:hAnsi="黑体" w:eastAsia="黑体"/>
          <w:sz w:val="28"/>
          <w:szCs w:val="28"/>
        </w:rPr>
      </w:pPr>
    </w:p>
    <w:p w14:paraId="241CBC4C">
      <w:pPr>
        <w:jc w:val="center"/>
        <w:rPr>
          <w:sz w:val="72"/>
          <w:szCs w:val="72"/>
        </w:rPr>
      </w:pPr>
    </w:p>
    <w:p w14:paraId="2CA49B8F">
      <w:pPr>
        <w:jc w:val="center"/>
        <w:rPr>
          <w:sz w:val="72"/>
          <w:szCs w:val="72"/>
        </w:rPr>
      </w:pPr>
    </w:p>
    <w:p w14:paraId="47D2BCB1">
      <w:pPr>
        <w:jc w:val="center"/>
        <w:rPr>
          <w:sz w:val="72"/>
          <w:szCs w:val="72"/>
        </w:rPr>
      </w:pPr>
    </w:p>
    <w:p w14:paraId="19DECA51">
      <w:pPr>
        <w:jc w:val="center"/>
        <w:rPr>
          <w:sz w:val="72"/>
          <w:szCs w:val="72"/>
        </w:rPr>
      </w:pPr>
    </w:p>
    <w:p w14:paraId="395C009F">
      <w:pPr>
        <w:pStyle w:val="13"/>
        <w:jc w:val="center"/>
        <w:rPr>
          <w:rFonts w:hint="eastAsia" w:ascii="方正小标宋_GBK" w:hAnsi="方正小标宋_GBK" w:eastAsia="方正小标宋_GBK" w:cs="方正小标宋_GBK"/>
          <w:sz w:val="84"/>
          <w:szCs w:val="84"/>
        </w:rPr>
      </w:pPr>
    </w:p>
    <w:p w14:paraId="0C6FA04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7689C92">
      <w:pPr>
        <w:pStyle w:val="13"/>
        <w:jc w:val="center"/>
        <w:rPr>
          <w:rFonts w:hint="eastAsia" w:ascii="方正小标宋_GBK" w:hAnsi="方正小标宋_GBK" w:eastAsia="方正小标宋_GBK" w:cs="方正小标宋_GBK"/>
          <w:sz w:val="84"/>
          <w:szCs w:val="84"/>
        </w:rPr>
      </w:pPr>
    </w:p>
    <w:p w14:paraId="3F48A8E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6D15607">
      <w:pPr>
        <w:jc w:val="center"/>
        <w:rPr>
          <w:sz w:val="72"/>
          <w:szCs w:val="72"/>
        </w:rPr>
      </w:pPr>
    </w:p>
    <w:p w14:paraId="6753DBCB">
      <w:pPr>
        <w:pStyle w:val="7"/>
        <w:ind w:firstLine="4320" w:firstLineChars="600"/>
        <w:rPr>
          <w:rFonts w:hint="eastAsia" w:eastAsiaTheme="minorEastAsia"/>
          <w:lang w:val="en-US" w:eastAsia="zh-CN"/>
        </w:rPr>
      </w:pPr>
      <w:r>
        <w:rPr>
          <w:rFonts w:hint="eastAsia"/>
          <w:sz w:val="72"/>
          <w:szCs w:val="72"/>
          <w:lang w:val="en-US" w:eastAsia="zh-CN"/>
        </w:rPr>
        <w:t>见附件</w:t>
      </w:r>
    </w:p>
    <w:p w14:paraId="525F3417">
      <w:pPr>
        <w:jc w:val="center"/>
        <w:rPr>
          <w:sz w:val="72"/>
          <w:szCs w:val="72"/>
        </w:rPr>
      </w:pPr>
    </w:p>
    <w:p w14:paraId="1B77E653">
      <w:pPr>
        <w:jc w:val="center"/>
        <w:rPr>
          <w:sz w:val="72"/>
          <w:szCs w:val="72"/>
        </w:rPr>
      </w:pPr>
    </w:p>
    <w:p w14:paraId="3560B614">
      <w:pPr>
        <w:jc w:val="center"/>
        <w:rPr>
          <w:sz w:val="72"/>
          <w:szCs w:val="72"/>
        </w:rPr>
      </w:pPr>
    </w:p>
    <w:p w14:paraId="1F2A070F">
      <w:pPr>
        <w:jc w:val="center"/>
        <w:rPr>
          <w:sz w:val="72"/>
          <w:szCs w:val="72"/>
        </w:rPr>
      </w:pPr>
    </w:p>
    <w:p w14:paraId="04DCED6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6EBED642">
      <w:pPr>
        <w:pStyle w:val="13"/>
        <w:rPr>
          <w:sz w:val="72"/>
          <w:szCs w:val="72"/>
        </w:rPr>
      </w:pPr>
    </w:p>
    <w:p w14:paraId="6FD7100F">
      <w:pPr>
        <w:pStyle w:val="13"/>
        <w:rPr>
          <w:sz w:val="72"/>
          <w:szCs w:val="72"/>
        </w:rPr>
      </w:pPr>
    </w:p>
    <w:p w14:paraId="34EF4EFB">
      <w:pPr>
        <w:pStyle w:val="13"/>
        <w:jc w:val="both"/>
        <w:rPr>
          <w:sz w:val="72"/>
          <w:szCs w:val="72"/>
        </w:rPr>
      </w:pPr>
    </w:p>
    <w:p w14:paraId="58F2ABBB">
      <w:pPr>
        <w:pStyle w:val="13"/>
        <w:jc w:val="both"/>
        <w:rPr>
          <w:sz w:val="72"/>
          <w:szCs w:val="72"/>
        </w:rPr>
      </w:pPr>
    </w:p>
    <w:p w14:paraId="08A2D19A">
      <w:pPr>
        <w:pStyle w:val="13"/>
        <w:jc w:val="center"/>
        <w:rPr>
          <w:rFonts w:hint="eastAsia" w:ascii="方正小标宋_GBK" w:hAnsi="方正小标宋_GBK" w:eastAsia="方正小标宋_GBK" w:cs="方正小标宋_GBK"/>
          <w:sz w:val="72"/>
          <w:szCs w:val="72"/>
        </w:rPr>
      </w:pPr>
    </w:p>
    <w:p w14:paraId="01A120B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CA28B71">
      <w:pPr>
        <w:pStyle w:val="13"/>
        <w:jc w:val="center"/>
        <w:rPr>
          <w:rFonts w:hint="eastAsia" w:ascii="方正小标宋_GBK" w:hAnsi="方正小标宋_GBK" w:eastAsia="方正小标宋_GBK" w:cs="方正小标宋_GBK"/>
          <w:sz w:val="70"/>
          <w:szCs w:val="70"/>
        </w:rPr>
      </w:pPr>
    </w:p>
    <w:p w14:paraId="34EB65C2">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2481E73">
      <w:pPr>
        <w:pStyle w:val="13"/>
        <w:jc w:val="center"/>
        <w:rPr>
          <w:rFonts w:hint="eastAsia" w:ascii="方正小标宋_GBK" w:hAnsi="方正小标宋_GBK" w:eastAsia="方正小标宋_GBK" w:cs="方正小标宋_GBK"/>
          <w:sz w:val="70"/>
          <w:szCs w:val="70"/>
        </w:rPr>
      </w:pPr>
    </w:p>
    <w:p w14:paraId="7EEE2AE1">
      <w:pPr>
        <w:pStyle w:val="13"/>
        <w:jc w:val="center"/>
        <w:rPr>
          <w:rFonts w:hint="eastAsia" w:ascii="方正小标宋_GBK" w:hAnsi="方正小标宋_GBK" w:eastAsia="方正小标宋_GBK" w:cs="方正小标宋_GBK"/>
          <w:sz w:val="70"/>
          <w:szCs w:val="70"/>
        </w:rPr>
      </w:pPr>
    </w:p>
    <w:p w14:paraId="44111EFD">
      <w:pPr>
        <w:pStyle w:val="13"/>
        <w:jc w:val="center"/>
        <w:rPr>
          <w:rFonts w:hint="eastAsia" w:ascii="方正小标宋_GBK" w:hAnsi="方正小标宋_GBK" w:eastAsia="方正小标宋_GBK" w:cs="方正小标宋_GBK"/>
          <w:sz w:val="70"/>
          <w:szCs w:val="70"/>
        </w:rPr>
      </w:pPr>
    </w:p>
    <w:p w14:paraId="5DEDDCD3">
      <w:pPr>
        <w:pStyle w:val="13"/>
        <w:jc w:val="center"/>
        <w:rPr>
          <w:rFonts w:hint="eastAsia" w:ascii="方正小标宋_GBK" w:hAnsi="方正小标宋_GBK" w:eastAsia="方正小标宋_GBK" w:cs="方正小标宋_GBK"/>
          <w:sz w:val="70"/>
          <w:szCs w:val="70"/>
        </w:rPr>
      </w:pPr>
    </w:p>
    <w:p w14:paraId="26FC4A6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AB19F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E161E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年度收、支总计346.74万元。</w:t>
      </w:r>
      <w:r>
        <w:rPr>
          <w:rFonts w:hint="eastAsia" w:ascii="Times New Roman" w:hAnsi="Times New Roman" w:eastAsia="仿宋_GB2312"/>
          <w:sz w:val="32"/>
          <w:szCs w:val="32"/>
          <w:lang w:val="en-US" w:eastAsia="zh-CN"/>
        </w:rPr>
        <w:t>无上年数据，2023年为合并的新单位。</w:t>
      </w:r>
    </w:p>
    <w:p w14:paraId="33FF328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EB515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年度收入合计346.74万元，其中：财政拨款收入333.81万元，占</w:t>
      </w:r>
      <w:r>
        <w:rPr>
          <w:rFonts w:hint="eastAsia" w:ascii="Times New Roman" w:hAnsi="Times New Roman" w:eastAsia="仿宋_GB2312"/>
          <w:sz w:val="32"/>
          <w:szCs w:val="32"/>
          <w:lang w:val="en-US" w:eastAsia="zh-CN"/>
        </w:rPr>
        <w:t>96.27</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%；其他收入12.93万元，占</w:t>
      </w:r>
      <w:r>
        <w:rPr>
          <w:rFonts w:hint="eastAsia" w:ascii="Times New Roman" w:hAnsi="Times New Roman" w:eastAsia="仿宋_GB2312"/>
          <w:sz w:val="32"/>
          <w:szCs w:val="32"/>
          <w:lang w:val="en-US" w:eastAsia="zh-CN"/>
        </w:rPr>
        <w:t>3.73</w:t>
      </w:r>
      <w:r>
        <w:rPr>
          <w:rFonts w:hint="eastAsia" w:ascii="Times New Roman" w:hAnsi="Times New Roman" w:eastAsia="仿宋_GB2312"/>
          <w:sz w:val="32"/>
          <w:szCs w:val="32"/>
        </w:rPr>
        <w:t>%。</w:t>
      </w:r>
    </w:p>
    <w:p w14:paraId="7254A9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144D06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年度支出合计346.74万元，其中：基本支出174.25万元，占</w:t>
      </w:r>
      <w:r>
        <w:rPr>
          <w:rFonts w:hint="eastAsia" w:ascii="Times New Roman" w:hAnsi="Times New Roman" w:eastAsia="仿宋_GB2312"/>
          <w:sz w:val="32"/>
          <w:szCs w:val="32"/>
          <w:lang w:val="en-US" w:eastAsia="zh-CN"/>
        </w:rPr>
        <w:t>50.25</w:t>
      </w:r>
      <w:r>
        <w:rPr>
          <w:rFonts w:hint="eastAsia" w:ascii="Times New Roman" w:hAnsi="Times New Roman" w:eastAsia="仿宋_GB2312"/>
          <w:sz w:val="32"/>
          <w:szCs w:val="32"/>
        </w:rPr>
        <w:t>%；项目支出172.49万元，占</w:t>
      </w:r>
      <w:r>
        <w:rPr>
          <w:rFonts w:hint="eastAsia" w:ascii="Times New Roman" w:hAnsi="Times New Roman" w:eastAsia="仿宋_GB2312"/>
          <w:sz w:val="32"/>
          <w:szCs w:val="32"/>
          <w:lang w:val="en-US" w:eastAsia="zh-CN"/>
        </w:rPr>
        <w:t>49.75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E92F3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0CA76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年度财政拨款收、支总计333.81万元，</w:t>
      </w:r>
      <w:r>
        <w:rPr>
          <w:rFonts w:hint="eastAsia" w:ascii="Times New Roman" w:hAnsi="Times New Roman" w:eastAsia="仿宋_GB2312"/>
          <w:sz w:val="32"/>
          <w:szCs w:val="32"/>
          <w:lang w:val="en-US" w:eastAsia="zh-CN"/>
        </w:rPr>
        <w:t>无上年数据。</w:t>
      </w:r>
    </w:p>
    <w:p w14:paraId="3B49FE2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DBF8A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06582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年度财政拨款支出333.81万元，占本年支出合计的</w:t>
      </w:r>
      <w:r>
        <w:rPr>
          <w:rFonts w:hint="eastAsia" w:ascii="Times New Roman" w:hAnsi="Times New Roman" w:eastAsia="仿宋_GB2312"/>
          <w:sz w:val="32"/>
          <w:szCs w:val="32"/>
          <w:lang w:val="en-US" w:eastAsia="zh-CN"/>
        </w:rPr>
        <w:t>96.27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无上年数据。</w:t>
      </w:r>
    </w:p>
    <w:p w14:paraId="37BBF96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7B6DD79">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年度财政拨款支出333.81万元，主要用于以下方面：社会保障和就业（类）支出327.59万元，占</w:t>
      </w:r>
      <w:r>
        <w:rPr>
          <w:rFonts w:hint="eastAsia" w:ascii="Times New Roman" w:hAnsi="Times New Roman" w:eastAsia="仿宋_GB2312"/>
          <w:sz w:val="32"/>
          <w:szCs w:val="32"/>
          <w:lang w:val="en-US" w:eastAsia="zh-CN"/>
        </w:rPr>
        <w:t>98.14</w:t>
      </w:r>
      <w:r>
        <w:rPr>
          <w:rFonts w:hint="eastAsia" w:ascii="Times New Roman" w:hAnsi="Times New Roman" w:eastAsia="仿宋_GB2312"/>
          <w:sz w:val="32"/>
          <w:szCs w:val="32"/>
        </w:rPr>
        <w:t>%；卫生健康（类）支出6.22万元，占</w:t>
      </w:r>
      <w:r>
        <w:rPr>
          <w:rFonts w:hint="eastAsia" w:ascii="Times New Roman" w:hAnsi="Times New Roman" w:eastAsia="仿宋_GB2312"/>
          <w:sz w:val="32"/>
          <w:szCs w:val="32"/>
          <w:lang w:val="en-US" w:eastAsia="zh-CN"/>
        </w:rPr>
        <w:t>1.86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E1BDF3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70F164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年度财政拨款支出年初预算数为269.89万元，支出决算数为333.81万元，完成年初预算的</w:t>
      </w:r>
      <w:r>
        <w:rPr>
          <w:rFonts w:hint="eastAsia" w:ascii="Times New Roman" w:hAnsi="Times New Roman" w:eastAsia="仿宋_GB2312"/>
          <w:sz w:val="32"/>
          <w:szCs w:val="32"/>
          <w:lang w:val="en-US" w:eastAsia="zh-CN"/>
        </w:rPr>
        <w:t>123.68</w:t>
      </w:r>
      <w:r>
        <w:rPr>
          <w:rFonts w:hint="eastAsia" w:ascii="Times New Roman" w:hAnsi="Times New Roman" w:eastAsia="仿宋_GB2312"/>
          <w:sz w:val="32"/>
          <w:szCs w:val="32"/>
        </w:rPr>
        <w:t>%，其中：</w:t>
      </w:r>
    </w:p>
    <w:p w14:paraId="799261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1、社会保障和就业支出（类）民政管理事务（款）行政运行（项）。</w:t>
      </w:r>
    </w:p>
    <w:p w14:paraId="4BFA26F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年初预算为130.2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万元，支出决算为113.4万元，完成年初预算的</w:t>
      </w:r>
      <w:r>
        <w:rPr>
          <w:rFonts w:hint="eastAsia" w:ascii="Times New Roman" w:hAnsi="Times New Roman" w:eastAsia="仿宋_GB2312"/>
          <w:sz w:val="32"/>
          <w:szCs w:val="32"/>
          <w:lang w:val="en-US" w:eastAsia="zh-CN"/>
        </w:rPr>
        <w:t>87.06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公用经费压减。</w:t>
      </w:r>
    </w:p>
    <w:p w14:paraId="3EC8BF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2、社会保障和就业支出（类）行政事业单位养老支出（款）事业单位离退休（项）。</w:t>
      </w:r>
    </w:p>
    <w:p w14:paraId="49CB0BE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年初预算为17.15万元，支出决算为0.65万元，完成年初预算的</w:t>
      </w:r>
      <w:r>
        <w:rPr>
          <w:rFonts w:hint="eastAsia" w:ascii="Times New Roman" w:hAnsi="Times New Roman" w:eastAsia="仿宋_GB2312"/>
          <w:sz w:val="32"/>
          <w:szCs w:val="32"/>
          <w:lang w:val="en-US" w:eastAsia="zh-CN"/>
        </w:rPr>
        <w:t>3.79</w:t>
      </w:r>
      <w:r>
        <w:rPr>
          <w:rFonts w:hint="eastAsia" w:ascii="Times New Roman" w:hAnsi="Times New Roman" w:eastAsia="仿宋_GB2312"/>
          <w:sz w:val="32"/>
          <w:szCs w:val="32"/>
        </w:rPr>
        <w:t>%，决算数小于年初预算</w:t>
      </w:r>
      <w:r>
        <w:rPr>
          <w:rFonts w:hint="eastAsia" w:ascii="Times New Roman" w:hAnsi="Times New Roman" w:eastAsia="仿宋_GB2312"/>
          <w:sz w:val="32"/>
          <w:szCs w:val="32"/>
          <w:highlight w:val="none"/>
        </w:rPr>
        <w:t>数的主要原因是：</w:t>
      </w:r>
      <w:r>
        <w:rPr>
          <w:rFonts w:hint="eastAsia" w:ascii="Times New Roman" w:hAnsi="Times New Roman" w:eastAsia="仿宋_GB2312"/>
          <w:sz w:val="32"/>
          <w:szCs w:val="32"/>
          <w:highlight w:val="none"/>
          <w:lang w:val="en-US" w:eastAsia="zh-CN"/>
        </w:rPr>
        <w:t>根据</w:t>
      </w:r>
      <w:r>
        <w:rPr>
          <w:rFonts w:hint="eastAsia" w:ascii="Times New Roman" w:hAnsi="Times New Roman" w:eastAsia="仿宋_GB2312"/>
          <w:sz w:val="32"/>
          <w:szCs w:val="32"/>
          <w:lang w:val="en-US" w:eastAsia="zh-CN"/>
        </w:rPr>
        <w:t>实际情况，调整年初预算。</w:t>
      </w:r>
    </w:p>
    <w:p w14:paraId="70FE1D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、社会保障和就业支出（类）行政事业单位养老支出（款）机关事业单位基本养老保险缴费支出（项）。</w:t>
      </w:r>
    </w:p>
    <w:p w14:paraId="607CEE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rPr>
        <w:t>年初预算为15.79万元，支出决算为12.44万元，完成年初预算的</w:t>
      </w:r>
      <w:r>
        <w:rPr>
          <w:rFonts w:hint="eastAsia" w:ascii="Times New Roman" w:hAnsi="Times New Roman" w:eastAsia="仿宋_GB2312"/>
          <w:sz w:val="32"/>
          <w:szCs w:val="32"/>
          <w:lang w:val="en-US" w:eastAsia="zh-CN"/>
        </w:rPr>
        <w:t>78.78</w:t>
      </w:r>
      <w:r>
        <w:rPr>
          <w:rFonts w:hint="eastAsia" w:ascii="Times New Roman" w:hAnsi="Times New Roman" w:eastAsia="仿宋_GB2312"/>
          <w:sz w:val="32"/>
          <w:szCs w:val="32"/>
        </w:rPr>
        <w:t>%，决算数小于年初预算数</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根据</w:t>
      </w:r>
      <w:r>
        <w:rPr>
          <w:rFonts w:hint="eastAsia" w:ascii="Times New Roman" w:hAnsi="Times New Roman" w:eastAsia="仿宋_GB2312"/>
          <w:sz w:val="32"/>
          <w:szCs w:val="32"/>
          <w:lang w:val="en-US" w:eastAsia="zh-CN"/>
        </w:rPr>
        <w:t>实际情况，调整年初预算。</w:t>
      </w:r>
    </w:p>
    <w:p w14:paraId="556434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、社会保障和就业支出（类）行政事业单位养老支出（款）其他行政事业单位养老支出（项）。</w:t>
      </w:r>
    </w:p>
    <w:p w14:paraId="3B5600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万元，支出决算为15.61万元，由于预算数为0，无法计算百分比，决算数大于年初预算数的主要原因是：</w:t>
      </w:r>
      <w:r>
        <w:rPr>
          <w:rFonts w:hint="eastAsia" w:ascii="Times New Roman" w:hAnsi="Times New Roman" w:eastAsia="仿宋_GB2312"/>
          <w:sz w:val="32"/>
          <w:szCs w:val="32"/>
          <w:highlight w:val="none"/>
          <w:lang w:val="en-US" w:eastAsia="zh-CN"/>
        </w:rPr>
        <w:t>财政统筹保障</w:t>
      </w:r>
      <w:r>
        <w:rPr>
          <w:rFonts w:hint="eastAsia" w:ascii="Times New Roman" w:hAnsi="Times New Roman" w:eastAsia="仿宋_GB2312"/>
          <w:sz w:val="32"/>
          <w:szCs w:val="32"/>
          <w:highlight w:val="none"/>
        </w:rPr>
        <w:t>离退休人员春节一次性生活补助</w:t>
      </w:r>
      <w:r>
        <w:rPr>
          <w:rFonts w:hint="eastAsia" w:ascii="Times New Roman" w:hAnsi="Times New Roman" w:eastAsia="仿宋_GB2312"/>
          <w:sz w:val="32"/>
          <w:szCs w:val="32"/>
          <w:highlight w:val="none"/>
          <w:lang w:val="en-US" w:eastAsia="zh-CN"/>
        </w:rPr>
        <w:t>未纳入年初预算。</w:t>
      </w:r>
    </w:p>
    <w:p w14:paraId="455D88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、社会保障和就业支出（类）抚恤（款）光荣院（项）。</w:t>
      </w:r>
    </w:p>
    <w:p w14:paraId="13C214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万元，支出决算为28.29万元，由于预算数为0，无法计算百分比，决算数大于年初预算数的主要原因是：</w:t>
      </w:r>
      <w:r>
        <w:rPr>
          <w:rFonts w:hint="eastAsia" w:ascii="Times New Roman" w:hAnsi="Times New Roman" w:eastAsia="仿宋_GB2312"/>
          <w:sz w:val="32"/>
          <w:szCs w:val="32"/>
          <w:lang w:val="en-US" w:eastAsia="zh-CN"/>
        </w:rPr>
        <w:t>为结转的</w:t>
      </w:r>
      <w:r>
        <w:rPr>
          <w:rFonts w:hint="eastAsia" w:ascii="Times New Roman" w:hAnsi="Times New Roman" w:eastAsia="仿宋_GB2312"/>
          <w:sz w:val="32"/>
          <w:szCs w:val="32"/>
        </w:rPr>
        <w:t>光荣院日常维修维护费</w:t>
      </w:r>
      <w:r>
        <w:rPr>
          <w:rFonts w:hint="eastAsia" w:ascii="Times New Roman" w:hAnsi="Times New Roman" w:eastAsia="仿宋_GB2312"/>
          <w:sz w:val="32"/>
          <w:szCs w:val="32"/>
          <w:lang w:val="en-US" w:eastAsia="zh-CN"/>
        </w:rPr>
        <w:t>用。</w:t>
      </w:r>
    </w:p>
    <w:p w14:paraId="71259C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、社会保障和就业支出（类）抚恤（款）其他优抚支出（项）。</w:t>
      </w:r>
    </w:p>
    <w:p w14:paraId="049F34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万元，支出决算为32.46</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元，由于预算数为0，无法计算百分比，决算数大于年初预算数的主要原因是：</w:t>
      </w:r>
      <w:r>
        <w:rPr>
          <w:rFonts w:hint="eastAsia" w:ascii="Times New Roman" w:hAnsi="Times New Roman" w:eastAsia="仿宋_GB2312"/>
          <w:sz w:val="32"/>
          <w:szCs w:val="32"/>
          <w:lang w:val="en-US" w:eastAsia="zh-CN"/>
        </w:rPr>
        <w:t>为结转的</w:t>
      </w:r>
      <w:r>
        <w:rPr>
          <w:rFonts w:hint="eastAsia" w:ascii="Times New Roman" w:hAnsi="Times New Roman" w:eastAsia="仿宋_GB2312"/>
          <w:sz w:val="32"/>
          <w:szCs w:val="32"/>
        </w:rPr>
        <w:t>光荣院日常维修维护费</w:t>
      </w:r>
      <w:r>
        <w:rPr>
          <w:rFonts w:hint="eastAsia" w:ascii="Times New Roman" w:hAnsi="Times New Roman" w:eastAsia="仿宋_GB2312"/>
          <w:sz w:val="32"/>
          <w:szCs w:val="32"/>
          <w:lang w:val="en-US" w:eastAsia="zh-CN"/>
        </w:rPr>
        <w:t>和烈士陵园管理所提质改造费用。</w:t>
      </w:r>
    </w:p>
    <w:p w14:paraId="4FDA03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、社会保障和就业支出（类）退役安置（款）其他退役安置支出（项）。</w:t>
      </w:r>
    </w:p>
    <w:p w14:paraId="58943F5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万元，支出决算为11万元，由于预算数为0，无法计算百分比，决算数大于年初预算数的主要原因是：</w:t>
      </w:r>
      <w:r>
        <w:rPr>
          <w:rFonts w:hint="eastAsia" w:ascii="Times New Roman" w:hAnsi="Times New Roman" w:eastAsia="仿宋_GB2312"/>
          <w:sz w:val="32"/>
          <w:szCs w:val="32"/>
          <w:lang w:val="en-US" w:eastAsia="zh-CN"/>
        </w:rPr>
        <w:t>本年度发放在职人员基础绩效奖金未纳入年初预算。</w:t>
      </w:r>
    </w:p>
    <w:p w14:paraId="7BB3448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、社会保障和就业支出（类）退役军人管理事务（款）其他退役军人事务管理支出（项）。</w:t>
      </w:r>
    </w:p>
    <w:p w14:paraId="2126EA3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万元，支出决算为102.39万元，完成年初预算的</w:t>
      </w:r>
      <w:r>
        <w:rPr>
          <w:rFonts w:hint="eastAsia" w:ascii="Times New Roman" w:hAnsi="Times New Roman" w:eastAsia="仿宋_GB2312"/>
          <w:sz w:val="32"/>
          <w:szCs w:val="32"/>
          <w:lang w:val="en-US" w:eastAsia="zh-CN"/>
        </w:rPr>
        <w:t>102.39</w:t>
      </w:r>
      <w:r>
        <w:rPr>
          <w:rFonts w:hint="eastAsia" w:ascii="Times New Roman" w:hAnsi="Times New Roman" w:eastAsia="仿宋_GB2312"/>
          <w:sz w:val="32"/>
          <w:szCs w:val="32"/>
        </w:rPr>
        <w:t>%，决算数大于年初预算数</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根据</w:t>
      </w:r>
      <w:r>
        <w:rPr>
          <w:rFonts w:hint="eastAsia" w:ascii="Times New Roman" w:hAnsi="Times New Roman" w:eastAsia="仿宋_GB2312"/>
          <w:sz w:val="32"/>
          <w:szCs w:val="32"/>
          <w:lang w:val="en-US" w:eastAsia="zh-CN"/>
        </w:rPr>
        <w:t>实际情况，调整年初预算。</w:t>
      </w:r>
    </w:p>
    <w:p w14:paraId="347973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、社会保障和就业支出（类）其他社会保障和就业支出（款）其他社会保障和就业支出（项）。</w:t>
      </w:r>
    </w:p>
    <w:p w14:paraId="4FA4DD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万元，支出决算为11.36万元，由于预算数为0，无法计算百分比，决算数大于年初预算数的主要原因是：</w:t>
      </w:r>
      <w:r>
        <w:rPr>
          <w:rFonts w:hint="eastAsia" w:ascii="Times New Roman" w:hAnsi="Times New Roman" w:eastAsia="仿宋_GB2312"/>
          <w:sz w:val="32"/>
          <w:szCs w:val="32"/>
          <w:lang w:val="en-US" w:eastAsia="zh-CN"/>
        </w:rPr>
        <w:t>追加预算，人员经费公用经费增加。</w:t>
      </w:r>
    </w:p>
    <w:p w14:paraId="0440AD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、卫生健康支出（类）行政事业单位医疗（款）行政单位医疗（项）。</w:t>
      </w:r>
    </w:p>
    <w:p w14:paraId="015123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万元，支出决算为6.22万元，由于预算数为0，无法计算百分比，决算数大于年初预算数的主要原因是：</w:t>
      </w:r>
      <w:r>
        <w:rPr>
          <w:rFonts w:hint="eastAsia" w:ascii="Times New Roman" w:hAnsi="Times New Roman" w:eastAsia="仿宋_GB2312"/>
          <w:sz w:val="32"/>
          <w:szCs w:val="32"/>
          <w:highlight w:val="none"/>
          <w:lang w:val="en-US" w:eastAsia="zh-CN"/>
        </w:rPr>
        <w:t>预决算下达的功能口径不一致。</w:t>
      </w:r>
    </w:p>
    <w:p w14:paraId="2D13E4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621D6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年度财政拨款基本支出161.32万元，其中：</w:t>
      </w:r>
    </w:p>
    <w:p w14:paraId="6F0F31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151.79万元，占基本支出的</w:t>
      </w:r>
      <w:r>
        <w:rPr>
          <w:rFonts w:hint="eastAsia" w:ascii="Times New Roman" w:hAnsi="Times New Roman" w:eastAsia="仿宋_GB2312"/>
          <w:sz w:val="32"/>
          <w:szCs w:val="32"/>
          <w:lang w:val="en-US" w:eastAsia="zh-CN"/>
        </w:rPr>
        <w:t>94.09</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、绩效工资、机关事业单位基本养老保险缴费、职工基本医疗保险缴费、其他社会保障缴费、生活补助</w:t>
      </w:r>
      <w:r>
        <w:rPr>
          <w:rFonts w:hint="eastAsia" w:ascii="Times New Roman" w:hAnsi="Times New Roman" w:eastAsia="仿宋_GB2312"/>
          <w:sz w:val="32"/>
          <w:szCs w:val="32"/>
          <w:lang w:val="en-US" w:eastAsia="zh-CN"/>
        </w:rPr>
        <w:t>和</w:t>
      </w:r>
      <w:r>
        <w:rPr>
          <w:rFonts w:hint="eastAsia" w:ascii="Times New Roman" w:hAnsi="Times New Roman" w:eastAsia="仿宋_GB2312"/>
          <w:sz w:val="32"/>
          <w:szCs w:val="32"/>
          <w:lang w:eastAsia="zh-CN"/>
        </w:rPr>
        <w:t>其他对个人和家庭的补助。</w:t>
      </w:r>
    </w:p>
    <w:p w14:paraId="458CD6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rPr>
        <w:t>9.53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5.91</w:t>
      </w:r>
      <w:r>
        <w:rPr>
          <w:rFonts w:hint="eastAsia" w:ascii="Times New Roman" w:hAnsi="Times New Roman" w:eastAsia="仿宋_GB2312"/>
          <w:sz w:val="32"/>
          <w:szCs w:val="32"/>
        </w:rPr>
        <w:t>%，主要包括工会经费</w:t>
      </w:r>
      <w:r>
        <w:rPr>
          <w:rFonts w:hint="eastAsia" w:ascii="Times New Roman" w:hAnsi="Times New Roman" w:eastAsia="仿宋_GB2312"/>
          <w:sz w:val="32"/>
          <w:szCs w:val="32"/>
          <w:lang w:eastAsia="zh-CN"/>
        </w:rPr>
        <w:t>、福利费</w:t>
      </w:r>
      <w:r>
        <w:rPr>
          <w:rFonts w:hint="eastAsia" w:ascii="Times New Roman" w:hAnsi="Times New Roman" w:eastAsia="仿宋_GB2312"/>
          <w:sz w:val="32"/>
          <w:szCs w:val="32"/>
          <w:lang w:val="en-US" w:eastAsia="zh-CN"/>
        </w:rPr>
        <w:t>和其他商品和服务支出</w:t>
      </w:r>
      <w:r>
        <w:rPr>
          <w:rFonts w:hint="eastAsia" w:ascii="Times New Roman" w:hAnsi="Times New Roman" w:eastAsia="仿宋_GB2312"/>
          <w:sz w:val="32"/>
          <w:szCs w:val="32"/>
        </w:rPr>
        <w:t>。</w:t>
      </w:r>
    </w:p>
    <w:p w14:paraId="7438A30D">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316B5A4B">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4A4F7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w:t>
      </w:r>
      <w:r>
        <w:rPr>
          <w:rFonts w:hint="eastAsia" w:ascii="Times New Roman" w:hAnsi="Times New Roman" w:eastAsia="仿宋_GB2312"/>
          <w:sz w:val="32"/>
          <w:szCs w:val="32"/>
          <w:highlight w:val="none"/>
        </w:rPr>
        <w:t>为</w:t>
      </w: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，支出决算为1.64万元，完成预算的</w:t>
      </w:r>
      <w:r>
        <w:rPr>
          <w:rFonts w:hint="eastAsia" w:ascii="Times New Roman" w:hAnsi="Times New Roman" w:eastAsia="仿宋_GB2312"/>
          <w:sz w:val="32"/>
          <w:szCs w:val="32"/>
          <w:lang w:val="en-US" w:eastAsia="zh-CN"/>
        </w:rPr>
        <w:t>23.43</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于预算数的主要原因是本单位厉行节俭，严控“三公”经费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上年</w:t>
      </w:r>
      <w:r>
        <w:rPr>
          <w:rFonts w:hint="eastAsia" w:ascii="Times New Roman" w:hAnsi="Times New Roman" w:eastAsia="仿宋_GB2312"/>
          <w:sz w:val="32"/>
          <w:szCs w:val="32"/>
          <w:lang w:val="en-US" w:eastAsia="zh-CN"/>
        </w:rPr>
        <w:t>数据</w:t>
      </w:r>
      <w:r>
        <w:rPr>
          <w:rFonts w:hint="eastAsia" w:ascii="Times New Roman" w:hAnsi="Times New Roman" w:eastAsia="仿宋_GB2312"/>
          <w:sz w:val="32"/>
          <w:szCs w:val="32"/>
        </w:rPr>
        <w:t>。其中：</w:t>
      </w:r>
    </w:p>
    <w:p w14:paraId="1FAFBD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hint="eastAsia" w:ascii="仿宋" w:hAnsi="仿宋" w:eastAsia="仿宋" w:cs="仿宋"/>
          <w:i w:val="0"/>
          <w:iCs w:val="0"/>
          <w:caps w:val="0"/>
          <w:color w:val="000000"/>
          <w:spacing w:val="0"/>
          <w:sz w:val="32"/>
          <w:szCs w:val="32"/>
          <w:shd w:val="clear" w:fill="FFFFFF"/>
        </w:rPr>
        <w:t>因公出国（境）费支出</w:t>
      </w:r>
      <w:r>
        <w:rPr>
          <w:rFonts w:hint="eastAsia" w:ascii="Times New Roman" w:hAnsi="Times New Roman" w:eastAsia="仿宋_GB2312"/>
          <w:sz w:val="32"/>
          <w:szCs w:val="32"/>
        </w:rPr>
        <w:t>，</w:t>
      </w:r>
      <w:r>
        <w:rPr>
          <w:rFonts w:hint="eastAsia" w:ascii="仿宋_GB2312" w:hAnsi="仿宋" w:eastAsia="仿宋_GB2312" w:cs="仿宋"/>
          <w:color w:val="000000"/>
          <w:sz w:val="32"/>
          <w:szCs w:val="32"/>
          <w:lang w:val="en-US" w:eastAsia="zh-CN"/>
        </w:rPr>
        <w:t>无上年数据。</w:t>
      </w:r>
    </w:p>
    <w:p w14:paraId="342AE6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%，决算数小于预算数的主要原因是本单位厉行节俭，严控“三公”经费，</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上年</w:t>
      </w:r>
      <w:r>
        <w:rPr>
          <w:rFonts w:hint="eastAsia" w:ascii="Times New Roman" w:hAnsi="Times New Roman" w:eastAsia="仿宋_GB2312"/>
          <w:sz w:val="32"/>
          <w:szCs w:val="32"/>
          <w:lang w:val="en-US" w:eastAsia="zh-CN"/>
        </w:rPr>
        <w:t>数据</w:t>
      </w:r>
      <w:r>
        <w:rPr>
          <w:rFonts w:hint="eastAsia" w:ascii="Times New Roman" w:hAnsi="Times New Roman" w:eastAsia="仿宋_GB2312"/>
          <w:sz w:val="32"/>
          <w:szCs w:val="32"/>
        </w:rPr>
        <w:t>。</w:t>
      </w:r>
    </w:p>
    <w:p w14:paraId="6D15AB9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预算数的主要原因是本单位厉行节俭，严控“三公”经费，</w:t>
      </w:r>
      <w:r>
        <w:rPr>
          <w:rFonts w:hint="eastAsia" w:ascii="仿宋_GB2312" w:hAnsi="仿宋" w:eastAsia="仿宋_GB2312" w:cs="仿宋"/>
          <w:color w:val="000000"/>
          <w:sz w:val="32"/>
          <w:szCs w:val="32"/>
          <w:lang w:val="en-US" w:eastAsia="zh-CN"/>
        </w:rPr>
        <w:t>无上年数据</w:t>
      </w:r>
      <w:r>
        <w:rPr>
          <w:rFonts w:hint="eastAsia" w:ascii="Times New Roman" w:hAnsi="Times New Roman" w:eastAsia="仿宋_GB2312"/>
          <w:sz w:val="32"/>
          <w:szCs w:val="32"/>
        </w:rPr>
        <w:t>。</w:t>
      </w:r>
    </w:p>
    <w:p w14:paraId="7AE3AE6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万元，支出决算为1.64万元，完成预算的</w:t>
      </w:r>
      <w:r>
        <w:rPr>
          <w:rFonts w:hint="eastAsia" w:ascii="Times New Roman" w:hAnsi="Times New Roman" w:eastAsia="仿宋_GB2312"/>
          <w:sz w:val="32"/>
          <w:szCs w:val="32"/>
          <w:lang w:val="en-US" w:eastAsia="zh-CN"/>
        </w:rPr>
        <w:t>27.33</w:t>
      </w:r>
      <w:r>
        <w:rPr>
          <w:rFonts w:hint="eastAsia" w:ascii="Times New Roman" w:hAnsi="Times New Roman" w:eastAsia="仿宋_GB2312"/>
          <w:sz w:val="32"/>
          <w:szCs w:val="32"/>
        </w:rPr>
        <w:t>%，决算数小于预算数的主要原因是本单位厉行节俭，严控“三公”经费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上年</w:t>
      </w:r>
      <w:r>
        <w:rPr>
          <w:rFonts w:hint="eastAsia" w:ascii="Times New Roman" w:hAnsi="Times New Roman" w:eastAsia="仿宋_GB2312"/>
          <w:sz w:val="32"/>
          <w:szCs w:val="32"/>
          <w:lang w:val="en-US" w:eastAsia="zh-CN"/>
        </w:rPr>
        <w:t>数据</w:t>
      </w:r>
      <w:r>
        <w:rPr>
          <w:rFonts w:hint="eastAsia" w:ascii="Times New Roman" w:hAnsi="Times New Roman" w:eastAsia="仿宋_GB2312"/>
          <w:sz w:val="32"/>
          <w:szCs w:val="32"/>
        </w:rPr>
        <w:t>。</w:t>
      </w:r>
    </w:p>
    <w:p w14:paraId="40255B6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D09A21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5CC8A9B6">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B6020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4ACE3FB2">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怀化市荣军褒扬服务所</w:t>
      </w:r>
      <w:r>
        <w:rPr>
          <w:rFonts w:hint="eastAsia" w:ascii="Times New Roman" w:hAnsi="Times New Roman" w:eastAsia="仿宋_GB2312"/>
          <w:sz w:val="32"/>
          <w:szCs w:val="32"/>
        </w:rPr>
        <w:t>更新公务用</w:t>
      </w:r>
      <w:r>
        <w:rPr>
          <w:rFonts w:hint="eastAsia" w:ascii="Times New Roman" w:hAnsi="Times New Roman" w:eastAsia="仿宋_GB2312"/>
          <w:sz w:val="32"/>
          <w:szCs w:val="32"/>
          <w:highlight w:val="none"/>
        </w:rPr>
        <w:t>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万元，主要是</w:t>
      </w:r>
      <w:r>
        <w:rPr>
          <w:rFonts w:hint="eastAsia" w:ascii="Times New Roman" w:hAnsi="Times New Roman" w:eastAsia="仿宋_GB2312"/>
          <w:sz w:val="32"/>
          <w:szCs w:val="32"/>
          <w:highlight w:val="none"/>
          <w:lang w:val="en-US" w:eastAsia="zh-CN"/>
        </w:rPr>
        <w:t>车辆保险、车辆维修检查</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6C74A0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8C5D8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本单位无政府性基金收支。</w:t>
      </w:r>
    </w:p>
    <w:p w14:paraId="792A8B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九、国有资本经营预算财政拨款支出决算情况说明</w:t>
      </w:r>
    </w:p>
    <w:p w14:paraId="6B1D6B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Times New Roman" w:hAnsi="Times New Roman" w:eastAsia="仿宋_GB2312"/>
          <w:sz w:val="32"/>
          <w:szCs w:val="32"/>
          <w:lang w:val="en-US" w:eastAsia="zh-CN"/>
        </w:rPr>
        <w:t>本单位无国有资本经营预算财政拨款支出。</w:t>
      </w:r>
    </w:p>
    <w:p w14:paraId="7ECB06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46CA7F50">
      <w:pPr>
        <w:pStyle w:val="8"/>
        <w:keepNext w:val="0"/>
        <w:keepLines w:val="0"/>
        <w:pageBreakBefore w:val="0"/>
        <w:widowControl/>
        <w:suppressLineNumbers w:val="0"/>
        <w:kinsoku/>
        <w:wordWrap/>
        <w:overflowPunct/>
        <w:topLinePunct w:val="0"/>
        <w:bidi w:val="0"/>
        <w:snapToGrid/>
        <w:spacing w:before="0" w:beforeAutospacing="0" w:afterAutospacing="0"/>
        <w:ind w:left="0" w:firstLine="640" w:firstLineChars="200"/>
        <w:jc w:val="left"/>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本单位属于事业单位，故没有机关运行经费支出。</w:t>
      </w:r>
    </w:p>
    <w:p w14:paraId="604A75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2EBD92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，用于开展</w:t>
      </w:r>
      <w:r>
        <w:rPr>
          <w:rFonts w:hint="eastAsia" w:ascii="Times New Roman" w:hAnsi="Times New Roman" w:eastAsia="仿宋_GB2312"/>
          <w:sz w:val="32"/>
          <w:szCs w:val="32"/>
          <w:highlight w:val="none"/>
          <w:lang w:val="en-US" w:eastAsia="zh-CN"/>
        </w:rPr>
        <w:t>事业单位工作人员</w:t>
      </w:r>
      <w:r>
        <w:rPr>
          <w:rFonts w:hint="eastAsia" w:ascii="Times New Roman" w:hAnsi="Times New Roman" w:eastAsia="仿宋_GB2312"/>
          <w:sz w:val="32"/>
          <w:szCs w:val="32"/>
          <w:highlight w:val="none"/>
        </w:rPr>
        <w:t>培训，</w:t>
      </w:r>
      <w:bookmarkStart w:id="0" w:name="_GoBack"/>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rPr>
        <w:t>内</w:t>
      </w:r>
      <w:bookmarkEnd w:id="0"/>
      <w:r>
        <w:rPr>
          <w:rFonts w:hint="eastAsia" w:ascii="Times New Roman" w:hAnsi="Times New Roman" w:eastAsia="仿宋_GB2312"/>
          <w:sz w:val="32"/>
          <w:szCs w:val="32"/>
          <w:highlight w:val="none"/>
        </w:rPr>
        <w:t>容为学习相关专业知识</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14:paraId="4133AC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1FDFCE7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69.57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29.59</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39.98</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69.57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69.57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266772E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2DB1F8B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ascii="仿宋" w:hAnsi="仿宋" w:eastAsia="仿宋"/>
          <w:color w:val="000000" w:themeColor="text1"/>
          <w:sz w:val="32"/>
          <w:szCs w:val="32"/>
          <w14:textFill>
            <w14:solidFill>
              <w14:schemeClr w14:val="tx1"/>
            </w14:solidFill>
          </w14:textFill>
        </w:rPr>
        <w:t>日常业务用车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5B06B4E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7CFC42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77CE3E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2023年年初，本单位按照要求完成了怀化市财政局2023年度预算绩效目标审核工作。</w:t>
      </w:r>
    </w:p>
    <w:p w14:paraId="5815CD8D">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2023年10月，根据《怀化市财政局关于开展2023年度市级预算支出绩效运行监控工作的通知》（怀财绩〔2023〕120号）要求，本单位对2023年</w:t>
      </w:r>
      <w:r>
        <w:rPr>
          <w:rFonts w:hint="eastAsia" w:ascii="Times New Roman" w:hAnsi="Times New Roman" w:eastAsia="仿宋_GB2312" w:cs="黑体"/>
          <w:color w:val="auto"/>
          <w:kern w:val="0"/>
          <w:sz w:val="32"/>
          <w:szCs w:val="32"/>
          <w:lang w:val="en-US" w:eastAsia="zh-CN" w:bidi="ar-SA"/>
        </w:rPr>
        <w:t>1-6月份财政支出绩效目标运行情况进行监控分析，按要求填报《项目支出绩效运行监控表》并上传至预算绩效系统，编写市级预算支出绩效运行监控报告，对绩效监控中发现的绩效目标执行偏差和管理漏洞，及时采取有针对性的措施予以纠正，不断改进和加强预算绩效管理。</w:t>
      </w:r>
    </w:p>
    <w:p w14:paraId="43B4491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sz w:val="32"/>
          <w:szCs w:val="32"/>
          <w:highlight w:val="none"/>
          <w:lang w:eastAsia="zh-CN"/>
        </w:rPr>
      </w:pPr>
      <w:r>
        <w:rPr>
          <w:rFonts w:hint="eastAsia" w:ascii="Times New Roman" w:hAnsi="Times New Roman" w:eastAsia="仿宋_GB2312"/>
          <w:color w:val="auto"/>
          <w:sz w:val="32"/>
          <w:szCs w:val="32"/>
          <w:lang w:eastAsia="zh-CN"/>
        </w:rPr>
        <w:t>2024年</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月，根据《中共中央 国务院关于全面实施预算绩效管理的意见》（中发〔2018〕34号）、《中共湖南省委办公厅 湖南省人民政府办公厅关于全面实施预算绩效管理的实施意见》（湘办发〔2019〕10号）有关规定，按照《怀化市财政局关于开展2023年度预算支出绩效自评工作的通知》（怀财绩〔2024〕46号）</w:t>
      </w:r>
      <w:r>
        <w:rPr>
          <w:rFonts w:hint="eastAsia" w:ascii="Times New Roman" w:hAnsi="Times New Roman" w:eastAsia="仿宋_GB2312"/>
          <w:color w:val="auto"/>
          <w:sz w:val="32"/>
          <w:szCs w:val="32"/>
          <w:lang w:val="en-US" w:eastAsia="zh-CN"/>
        </w:rPr>
        <w:t>要求，本单位认真开展绩效自评工作</w:t>
      </w:r>
      <w:r>
        <w:rPr>
          <w:rFonts w:hint="eastAsia" w:ascii="Times New Roman" w:hAnsi="Times New Roman" w:eastAsia="仿宋_GB2312"/>
          <w:color w:val="auto"/>
          <w:sz w:val="32"/>
          <w:szCs w:val="32"/>
          <w:lang w:eastAsia="zh-CN"/>
        </w:rPr>
        <w:t>，对2023年整体支出</w:t>
      </w:r>
      <w:r>
        <w:rPr>
          <w:rFonts w:hint="eastAsia" w:ascii="Times New Roman" w:hAnsi="Times New Roman" w:eastAsia="仿宋_GB2312"/>
          <w:color w:val="auto"/>
          <w:sz w:val="32"/>
          <w:szCs w:val="32"/>
          <w:lang w:val="en-US" w:eastAsia="zh-CN"/>
        </w:rPr>
        <w:t>和项目支出</w:t>
      </w:r>
      <w:r>
        <w:rPr>
          <w:rFonts w:hint="eastAsia" w:ascii="Times New Roman" w:hAnsi="Times New Roman" w:eastAsia="仿宋_GB2312"/>
          <w:color w:val="auto"/>
          <w:sz w:val="32"/>
          <w:szCs w:val="32"/>
          <w:lang w:eastAsia="zh-CN"/>
        </w:rPr>
        <w:t>实施了预算绩效自评。</w:t>
      </w:r>
    </w:p>
    <w:p w14:paraId="255ACCA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428787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本</w:t>
      </w:r>
      <w:r>
        <w:rPr>
          <w:rFonts w:hint="eastAsia" w:ascii="Times New Roman" w:hAnsi="Times New Roman" w:eastAsia="仿宋_GB2312"/>
          <w:sz w:val="32"/>
          <w:szCs w:val="32"/>
        </w:rPr>
        <w:t>单位</w:t>
      </w:r>
      <w:r>
        <w:rPr>
          <w:rFonts w:hint="eastAsia" w:ascii="Times New Roman" w:hAnsi="Times New Roman" w:eastAsia="仿宋_GB2312"/>
          <w:sz w:val="32"/>
          <w:szCs w:val="32"/>
          <w:lang w:val="en-US" w:eastAsia="zh-CN"/>
        </w:rPr>
        <w:t>加强</w:t>
      </w:r>
      <w:r>
        <w:rPr>
          <w:rFonts w:hint="eastAsia" w:ascii="Times New Roman" w:hAnsi="Times New Roman" w:eastAsia="仿宋_GB2312"/>
          <w:sz w:val="32"/>
          <w:szCs w:val="32"/>
        </w:rPr>
        <w:t>预算绩效管理工作，实现预算部门绩效管理的全覆盖。通过设定年度绩效目标</w:t>
      </w:r>
      <w:r>
        <w:rPr>
          <w:rFonts w:hint="eastAsia" w:ascii="Times New Roman" w:hAnsi="Times New Roman" w:eastAsia="仿宋_GB2312"/>
          <w:sz w:val="32"/>
          <w:szCs w:val="32"/>
          <w:lang w:val="en-US" w:eastAsia="zh-CN"/>
        </w:rPr>
        <w:t>内容</w:t>
      </w:r>
      <w:r>
        <w:rPr>
          <w:rFonts w:hint="eastAsia" w:ascii="Times New Roman" w:hAnsi="Times New Roman" w:eastAsia="仿宋_GB2312"/>
          <w:sz w:val="32"/>
          <w:szCs w:val="32"/>
        </w:rPr>
        <w:t>，形成</w:t>
      </w:r>
      <w:r>
        <w:rPr>
          <w:rFonts w:hint="eastAsia" w:ascii="Times New Roman" w:hAnsi="Times New Roman" w:eastAsia="仿宋_GB2312"/>
          <w:sz w:val="32"/>
          <w:szCs w:val="32"/>
          <w:lang w:val="en-US" w:eastAsia="zh-CN"/>
        </w:rPr>
        <w:t>了</w:t>
      </w:r>
      <w:r>
        <w:rPr>
          <w:rFonts w:hint="eastAsia" w:ascii="Times New Roman" w:hAnsi="Times New Roman" w:eastAsia="仿宋_GB2312"/>
          <w:sz w:val="32"/>
          <w:szCs w:val="32"/>
        </w:rPr>
        <w:t>以绩效为目标、以结果为导向的绩效</w:t>
      </w:r>
      <w:r>
        <w:rPr>
          <w:rFonts w:hint="eastAsia" w:ascii="Times New Roman" w:hAnsi="Times New Roman" w:eastAsia="仿宋_GB2312"/>
          <w:sz w:val="32"/>
          <w:szCs w:val="32"/>
          <w:lang w:val="en-US" w:eastAsia="zh-CN"/>
        </w:rPr>
        <w:t>管理模式</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2023年本</w:t>
      </w:r>
      <w:r>
        <w:rPr>
          <w:rFonts w:hint="eastAsia" w:ascii="Times New Roman" w:hAnsi="Times New Roman" w:eastAsia="仿宋_GB2312"/>
          <w:sz w:val="32"/>
          <w:szCs w:val="32"/>
        </w:rPr>
        <w:t>单位根据要求积极开展了预算部门绩效自评工作，对部门整体支出绩效做出了客观评价并形成了部门整体绩效</w:t>
      </w:r>
      <w:r>
        <w:rPr>
          <w:rFonts w:hint="eastAsia" w:ascii="Times New Roman" w:hAnsi="Times New Roman" w:eastAsia="仿宋_GB2312"/>
          <w:sz w:val="32"/>
          <w:szCs w:val="32"/>
          <w:lang w:val="en-US" w:eastAsia="zh-CN"/>
        </w:rPr>
        <w:t>自评</w:t>
      </w:r>
      <w:r>
        <w:rPr>
          <w:rFonts w:hint="eastAsia" w:ascii="Times New Roman" w:hAnsi="Times New Roman" w:eastAsia="仿宋_GB2312"/>
          <w:sz w:val="32"/>
          <w:szCs w:val="32"/>
        </w:rPr>
        <w:t>报告，并予以公开，详见附件。</w:t>
      </w:r>
    </w:p>
    <w:p w14:paraId="7DD8302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0E9D87AB">
      <w:pPr>
        <w:pStyle w:val="13"/>
        <w:ind w:firstLine="640" w:firstLineChars="200"/>
        <w:jc w:val="both"/>
        <w:rPr>
          <w:sz w:val="72"/>
          <w:szCs w:val="72"/>
        </w:rPr>
      </w:pPr>
      <w:r>
        <w:rPr>
          <w:rFonts w:hint="eastAsia" w:ascii="Times New Roman" w:hAnsi="Times New Roman" w:eastAsia="仿宋_GB2312" w:cs="黑体"/>
          <w:color w:val="auto"/>
          <w:kern w:val="0"/>
          <w:sz w:val="32"/>
          <w:szCs w:val="32"/>
          <w:lang w:val="en-US" w:eastAsia="zh-CN" w:bidi="ar-SA"/>
        </w:rPr>
        <w:t>无</w:t>
      </w:r>
    </w:p>
    <w:p w14:paraId="7A425E03">
      <w:pPr>
        <w:pStyle w:val="13"/>
        <w:jc w:val="both"/>
        <w:rPr>
          <w:sz w:val="72"/>
          <w:szCs w:val="72"/>
        </w:rPr>
      </w:pPr>
    </w:p>
    <w:p w14:paraId="6318236C">
      <w:pPr>
        <w:pStyle w:val="13"/>
        <w:jc w:val="both"/>
        <w:rPr>
          <w:sz w:val="72"/>
          <w:szCs w:val="72"/>
        </w:rPr>
      </w:pPr>
    </w:p>
    <w:p w14:paraId="13CD16C4">
      <w:pPr>
        <w:pStyle w:val="13"/>
        <w:jc w:val="both"/>
        <w:rPr>
          <w:rFonts w:hint="eastAsia" w:ascii="方正小标宋_GBK" w:hAnsi="方正小标宋_GBK" w:eastAsia="方正小标宋_GBK" w:cs="方正小标宋_GBK"/>
          <w:sz w:val="72"/>
          <w:szCs w:val="72"/>
        </w:rPr>
      </w:pPr>
    </w:p>
    <w:p w14:paraId="775ED1CC">
      <w:pPr>
        <w:pStyle w:val="13"/>
        <w:jc w:val="center"/>
        <w:rPr>
          <w:rFonts w:hint="eastAsia" w:ascii="方正小标宋_GBK" w:hAnsi="方正小标宋_GBK" w:eastAsia="方正小标宋_GBK" w:cs="方正小标宋_GBK"/>
          <w:sz w:val="72"/>
          <w:szCs w:val="72"/>
        </w:rPr>
      </w:pPr>
    </w:p>
    <w:p w14:paraId="5314030E">
      <w:pPr>
        <w:pStyle w:val="13"/>
        <w:jc w:val="center"/>
        <w:rPr>
          <w:rFonts w:hint="eastAsia" w:ascii="方正小标宋_GBK" w:hAnsi="方正小标宋_GBK" w:eastAsia="方正小标宋_GBK" w:cs="方正小标宋_GBK"/>
          <w:sz w:val="72"/>
          <w:szCs w:val="72"/>
        </w:rPr>
      </w:pPr>
    </w:p>
    <w:p w14:paraId="43BAA2D0">
      <w:pPr>
        <w:pStyle w:val="13"/>
        <w:jc w:val="center"/>
        <w:rPr>
          <w:rFonts w:hint="eastAsia" w:ascii="方正小标宋_GBK" w:hAnsi="方正小标宋_GBK" w:eastAsia="方正小标宋_GBK" w:cs="方正小标宋_GBK"/>
          <w:sz w:val="72"/>
          <w:szCs w:val="72"/>
        </w:rPr>
      </w:pPr>
    </w:p>
    <w:p w14:paraId="0927408E">
      <w:pPr>
        <w:pStyle w:val="13"/>
        <w:jc w:val="center"/>
        <w:rPr>
          <w:rFonts w:hint="eastAsia" w:ascii="方正小标宋_GBK" w:hAnsi="方正小标宋_GBK" w:eastAsia="方正小标宋_GBK" w:cs="方正小标宋_GBK"/>
          <w:sz w:val="72"/>
          <w:szCs w:val="72"/>
        </w:rPr>
      </w:pPr>
    </w:p>
    <w:p w14:paraId="722C5A2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585E822">
      <w:pPr>
        <w:jc w:val="center"/>
        <w:rPr>
          <w:rFonts w:hint="eastAsia" w:ascii="方正小标宋_GBK" w:hAnsi="方正小标宋_GBK" w:eastAsia="方正小标宋_GBK" w:cs="方正小标宋_GBK"/>
          <w:color w:val="000000"/>
          <w:kern w:val="0"/>
          <w:sz w:val="70"/>
          <w:szCs w:val="70"/>
        </w:rPr>
      </w:pPr>
    </w:p>
    <w:p w14:paraId="0721A32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564067F">
      <w:pPr>
        <w:pStyle w:val="7"/>
        <w:rPr>
          <w:rFonts w:hint="eastAsia" w:ascii="方正小标宋_GBK" w:hAnsi="方正小标宋_GBK" w:eastAsia="方正小标宋_GBK" w:cs="方正小标宋_GBK"/>
          <w:color w:val="000000"/>
          <w:kern w:val="0"/>
          <w:sz w:val="70"/>
          <w:szCs w:val="70"/>
        </w:rPr>
      </w:pPr>
    </w:p>
    <w:p w14:paraId="35D837A6">
      <w:pPr>
        <w:pStyle w:val="3"/>
        <w:rPr>
          <w:rFonts w:hint="eastAsia" w:ascii="方正小标宋_GBK" w:hAnsi="方正小标宋_GBK" w:eastAsia="方正小标宋_GBK" w:cs="方正小标宋_GBK"/>
          <w:color w:val="000000"/>
          <w:kern w:val="0"/>
          <w:sz w:val="70"/>
          <w:szCs w:val="70"/>
        </w:rPr>
      </w:pPr>
    </w:p>
    <w:p w14:paraId="23BA5EEC">
      <w:pPr>
        <w:rPr>
          <w:rFonts w:hint="eastAsia" w:ascii="方正小标宋_GBK" w:hAnsi="方正小标宋_GBK" w:eastAsia="方正小标宋_GBK" w:cs="方正小标宋_GBK"/>
          <w:color w:val="000000"/>
          <w:kern w:val="0"/>
          <w:sz w:val="70"/>
          <w:szCs w:val="70"/>
        </w:rPr>
      </w:pPr>
    </w:p>
    <w:p w14:paraId="272C951D">
      <w:pPr>
        <w:pStyle w:val="7"/>
        <w:rPr>
          <w:rFonts w:hint="eastAsia"/>
        </w:rPr>
      </w:pPr>
    </w:p>
    <w:p w14:paraId="1B6F4DA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5D423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54E109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仿宋" w:hAnsi="仿宋" w:eastAsia="仿宋"/>
          <w:sz w:val="32"/>
          <w:szCs w:val="32"/>
        </w:rPr>
      </w:pPr>
      <w:r>
        <w:rPr>
          <w:rFonts w:hint="eastAsia"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1FC91C3">
      <w:pPr>
        <w:pStyle w:val="13"/>
        <w:jc w:val="center"/>
        <w:rPr>
          <w:sz w:val="72"/>
          <w:szCs w:val="72"/>
        </w:rPr>
      </w:pPr>
    </w:p>
    <w:p w14:paraId="00609FA5">
      <w:pPr>
        <w:pStyle w:val="13"/>
        <w:jc w:val="center"/>
        <w:rPr>
          <w:sz w:val="72"/>
          <w:szCs w:val="72"/>
        </w:rPr>
      </w:pPr>
    </w:p>
    <w:p w14:paraId="70A74F25">
      <w:pPr>
        <w:pStyle w:val="13"/>
        <w:jc w:val="center"/>
        <w:rPr>
          <w:sz w:val="72"/>
          <w:szCs w:val="72"/>
        </w:rPr>
      </w:pPr>
    </w:p>
    <w:p w14:paraId="3BBDA55C">
      <w:pPr>
        <w:pStyle w:val="13"/>
        <w:jc w:val="center"/>
        <w:rPr>
          <w:sz w:val="72"/>
          <w:szCs w:val="72"/>
        </w:rPr>
      </w:pPr>
    </w:p>
    <w:p w14:paraId="542942C8">
      <w:pPr>
        <w:pStyle w:val="13"/>
        <w:jc w:val="center"/>
        <w:rPr>
          <w:sz w:val="72"/>
          <w:szCs w:val="72"/>
        </w:rPr>
      </w:pPr>
    </w:p>
    <w:p w14:paraId="78C55DF9">
      <w:pPr>
        <w:pStyle w:val="13"/>
        <w:jc w:val="center"/>
        <w:rPr>
          <w:sz w:val="72"/>
          <w:szCs w:val="72"/>
        </w:rPr>
      </w:pPr>
    </w:p>
    <w:p w14:paraId="12A15E48">
      <w:pPr>
        <w:pStyle w:val="13"/>
        <w:jc w:val="center"/>
        <w:rPr>
          <w:sz w:val="72"/>
          <w:szCs w:val="72"/>
        </w:rPr>
      </w:pPr>
    </w:p>
    <w:p w14:paraId="1BAF86AC">
      <w:pPr>
        <w:pStyle w:val="13"/>
        <w:jc w:val="center"/>
        <w:rPr>
          <w:sz w:val="72"/>
          <w:szCs w:val="72"/>
        </w:rPr>
      </w:pPr>
    </w:p>
    <w:p w14:paraId="0433C2C4">
      <w:pPr>
        <w:rPr>
          <w:sz w:val="72"/>
          <w:szCs w:val="72"/>
        </w:rPr>
      </w:pPr>
      <w:r>
        <w:rPr>
          <w:sz w:val="72"/>
          <w:szCs w:val="72"/>
        </w:rPr>
        <w:br w:type="page"/>
      </w:r>
    </w:p>
    <w:p w14:paraId="3D3505AA">
      <w:pPr>
        <w:pStyle w:val="13"/>
        <w:jc w:val="center"/>
        <w:rPr>
          <w:rFonts w:hint="eastAsia" w:ascii="方正小标宋_GBK" w:hAnsi="方正小标宋_GBK" w:eastAsia="方正小标宋_GBK" w:cs="方正小标宋_GBK"/>
          <w:sz w:val="72"/>
          <w:szCs w:val="72"/>
        </w:rPr>
      </w:pPr>
    </w:p>
    <w:p w14:paraId="50A88ECC">
      <w:pPr>
        <w:pStyle w:val="13"/>
        <w:jc w:val="both"/>
        <w:rPr>
          <w:rFonts w:hint="eastAsia" w:ascii="方正小标宋_GBK" w:hAnsi="方正小标宋_GBK" w:eastAsia="方正小标宋_GBK" w:cs="方正小标宋_GBK"/>
          <w:sz w:val="72"/>
          <w:szCs w:val="72"/>
        </w:rPr>
      </w:pPr>
    </w:p>
    <w:p w14:paraId="38CFEA55">
      <w:pPr>
        <w:pStyle w:val="13"/>
        <w:jc w:val="center"/>
        <w:rPr>
          <w:rFonts w:hint="eastAsia" w:ascii="方正小标宋_GBK" w:hAnsi="方正小标宋_GBK" w:eastAsia="方正小标宋_GBK" w:cs="方正小标宋_GBK"/>
          <w:sz w:val="72"/>
          <w:szCs w:val="72"/>
        </w:rPr>
      </w:pPr>
    </w:p>
    <w:p w14:paraId="4470F39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F7EB0C0">
      <w:pPr>
        <w:pStyle w:val="13"/>
        <w:jc w:val="center"/>
        <w:rPr>
          <w:rFonts w:hint="eastAsia" w:ascii="方正小标宋_GBK" w:hAnsi="方正小标宋_GBK" w:eastAsia="方正小标宋_GBK" w:cs="方正小标宋_GBK"/>
          <w:sz w:val="70"/>
          <w:szCs w:val="70"/>
        </w:rPr>
      </w:pPr>
    </w:p>
    <w:p w14:paraId="29C35B0C">
      <w:pPr>
        <w:pStyle w:val="13"/>
        <w:jc w:val="center"/>
        <w:rPr>
          <w:rFonts w:hint="eastAsia" w:ascii="方正小标宋_GBK" w:hAnsi="方正小标宋_GBK" w:eastAsia="方正小标宋_GBK" w:cs="方正小标宋_GBK"/>
          <w:sz w:val="70"/>
          <w:szCs w:val="70"/>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0D92C6E">
      <w:pPr>
        <w:pStyle w:val="13"/>
        <w:jc w:val="center"/>
        <w:rPr>
          <w:rFonts w:hint="eastAsia" w:ascii="方正小标宋_GBK" w:hAnsi="方正小标宋_GBK" w:eastAsia="方正小标宋_GBK" w:cs="方正小标宋_GBK"/>
          <w:sz w:val="70"/>
          <w:szCs w:val="70"/>
          <w:lang w:eastAsia="zh-CN"/>
        </w:rPr>
      </w:pPr>
    </w:p>
    <w:p w14:paraId="5A4AF1DC">
      <w:pPr>
        <w:pStyle w:val="13"/>
        <w:jc w:val="center"/>
        <w:rPr>
          <w:rFonts w:hint="eastAsia" w:ascii="方正小标宋_GBK" w:hAnsi="方正小标宋_GBK" w:eastAsia="方正小标宋_GBK" w:cs="方正小标宋_GBK"/>
          <w:sz w:val="70"/>
          <w:szCs w:val="70"/>
          <w:lang w:eastAsia="zh-CN"/>
        </w:rPr>
      </w:pPr>
    </w:p>
    <w:p w14:paraId="163F36A1">
      <w:pPr>
        <w:rPr>
          <w:sz w:val="72"/>
          <w:szCs w:val="72"/>
        </w:rPr>
      </w:pPr>
      <w:r>
        <w:rPr>
          <w:sz w:val="72"/>
          <w:szCs w:val="72"/>
        </w:rPr>
        <w:br w:type="page"/>
      </w:r>
    </w:p>
    <w:p w14:paraId="46A7FC88">
      <w:pPr>
        <w:pStyle w:val="13"/>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p w14:paraId="4DDCA18D">
      <w:pPr>
        <w:pStyle w:val="13"/>
        <w:jc w:val="center"/>
        <w:rPr>
          <w:sz w:val="72"/>
          <w:szCs w:val="72"/>
        </w:rPr>
      </w:pPr>
    </w:p>
    <w:p w14:paraId="2F35052B">
      <w:pPr>
        <w:pStyle w:val="13"/>
        <w:jc w:val="center"/>
        <w:rPr>
          <w:sz w:val="72"/>
          <w:szCs w:val="72"/>
        </w:rPr>
      </w:pPr>
    </w:p>
    <w:p w14:paraId="5C1B597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191F7"/>
    <w:multiLevelType w:val="singleLevel"/>
    <w:tmpl w:val="D84191F7"/>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wYTI3MGMzMjY2ZjgyNjI0YTJmYjU0MTAyNWQyOW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D3BD8"/>
    <w:rsid w:val="00F74360"/>
    <w:rsid w:val="00FB462F"/>
    <w:rsid w:val="00FE16FA"/>
    <w:rsid w:val="00FE328A"/>
    <w:rsid w:val="00FE6269"/>
    <w:rsid w:val="00FF5CD6"/>
    <w:rsid w:val="010A6538"/>
    <w:rsid w:val="012F41F1"/>
    <w:rsid w:val="014F219D"/>
    <w:rsid w:val="01B841E6"/>
    <w:rsid w:val="0236335D"/>
    <w:rsid w:val="02A66735"/>
    <w:rsid w:val="02C60B85"/>
    <w:rsid w:val="02CD3CC1"/>
    <w:rsid w:val="02F8709B"/>
    <w:rsid w:val="03082F4B"/>
    <w:rsid w:val="03BE360A"/>
    <w:rsid w:val="043D4E77"/>
    <w:rsid w:val="04894502"/>
    <w:rsid w:val="0518283D"/>
    <w:rsid w:val="067F1777"/>
    <w:rsid w:val="068F128E"/>
    <w:rsid w:val="069845E6"/>
    <w:rsid w:val="06AC1E40"/>
    <w:rsid w:val="06F757B1"/>
    <w:rsid w:val="072B545A"/>
    <w:rsid w:val="080F08D8"/>
    <w:rsid w:val="082C148A"/>
    <w:rsid w:val="083B0D1C"/>
    <w:rsid w:val="08E7581F"/>
    <w:rsid w:val="094B5940"/>
    <w:rsid w:val="09641454"/>
    <w:rsid w:val="096C0D33"/>
    <w:rsid w:val="0A187F18"/>
    <w:rsid w:val="0A2C5771"/>
    <w:rsid w:val="0AFD710E"/>
    <w:rsid w:val="0B776EC0"/>
    <w:rsid w:val="0C217ABB"/>
    <w:rsid w:val="0C782EF0"/>
    <w:rsid w:val="0CD30126"/>
    <w:rsid w:val="0D0C236C"/>
    <w:rsid w:val="0D162709"/>
    <w:rsid w:val="0DA97E77"/>
    <w:rsid w:val="0DCE6B40"/>
    <w:rsid w:val="0E56100F"/>
    <w:rsid w:val="0EB2020F"/>
    <w:rsid w:val="0F362BEE"/>
    <w:rsid w:val="0F452E31"/>
    <w:rsid w:val="0F603529"/>
    <w:rsid w:val="0FB87AA7"/>
    <w:rsid w:val="106903F1"/>
    <w:rsid w:val="11365128"/>
    <w:rsid w:val="114B6AD1"/>
    <w:rsid w:val="11847C41"/>
    <w:rsid w:val="11AB1672"/>
    <w:rsid w:val="12850115"/>
    <w:rsid w:val="12883761"/>
    <w:rsid w:val="12CF1390"/>
    <w:rsid w:val="13386F35"/>
    <w:rsid w:val="13807F2B"/>
    <w:rsid w:val="13C94031"/>
    <w:rsid w:val="13F76DF0"/>
    <w:rsid w:val="14445DAD"/>
    <w:rsid w:val="14B20F69"/>
    <w:rsid w:val="159B7C4F"/>
    <w:rsid w:val="15F86E50"/>
    <w:rsid w:val="16785E3E"/>
    <w:rsid w:val="16BE1E47"/>
    <w:rsid w:val="16CC2C9E"/>
    <w:rsid w:val="1743234C"/>
    <w:rsid w:val="185D11EC"/>
    <w:rsid w:val="18B828C6"/>
    <w:rsid w:val="1AA70EB7"/>
    <w:rsid w:val="1B267A14"/>
    <w:rsid w:val="1B291859"/>
    <w:rsid w:val="1BAB04C0"/>
    <w:rsid w:val="1C2564C4"/>
    <w:rsid w:val="1C6012AB"/>
    <w:rsid w:val="1D97DEFF"/>
    <w:rsid w:val="1DFF72E5"/>
    <w:rsid w:val="1E601A36"/>
    <w:rsid w:val="1E7E1EBC"/>
    <w:rsid w:val="1EAE454F"/>
    <w:rsid w:val="1EFC6F07"/>
    <w:rsid w:val="1F7122A0"/>
    <w:rsid w:val="1FE65F6B"/>
    <w:rsid w:val="1FF561AE"/>
    <w:rsid w:val="203C2CA3"/>
    <w:rsid w:val="20592BE1"/>
    <w:rsid w:val="20655974"/>
    <w:rsid w:val="21151544"/>
    <w:rsid w:val="21701F90"/>
    <w:rsid w:val="21D73DBD"/>
    <w:rsid w:val="21E62252"/>
    <w:rsid w:val="226A2E83"/>
    <w:rsid w:val="226E2973"/>
    <w:rsid w:val="22A46395"/>
    <w:rsid w:val="22E20C6B"/>
    <w:rsid w:val="23652F67"/>
    <w:rsid w:val="23EB7FF4"/>
    <w:rsid w:val="2468050F"/>
    <w:rsid w:val="25F969F8"/>
    <w:rsid w:val="263712CE"/>
    <w:rsid w:val="26D94133"/>
    <w:rsid w:val="26F31699"/>
    <w:rsid w:val="2725381D"/>
    <w:rsid w:val="281F64BE"/>
    <w:rsid w:val="282F4953"/>
    <w:rsid w:val="28697739"/>
    <w:rsid w:val="286D7229"/>
    <w:rsid w:val="287700A8"/>
    <w:rsid w:val="2903193C"/>
    <w:rsid w:val="2A461AE0"/>
    <w:rsid w:val="2B2160A9"/>
    <w:rsid w:val="2B406E77"/>
    <w:rsid w:val="2C7E7C57"/>
    <w:rsid w:val="2D173C07"/>
    <w:rsid w:val="2D83129D"/>
    <w:rsid w:val="2D986AF6"/>
    <w:rsid w:val="2DA13854"/>
    <w:rsid w:val="2E0E6DB8"/>
    <w:rsid w:val="2E6352D0"/>
    <w:rsid w:val="2EAC037F"/>
    <w:rsid w:val="2F77098D"/>
    <w:rsid w:val="2F8F217B"/>
    <w:rsid w:val="2FDF85B8"/>
    <w:rsid w:val="2FF67B04"/>
    <w:rsid w:val="2FFFEE04"/>
    <w:rsid w:val="30006BD5"/>
    <w:rsid w:val="300A1801"/>
    <w:rsid w:val="301663F8"/>
    <w:rsid w:val="30536D05"/>
    <w:rsid w:val="31BB1005"/>
    <w:rsid w:val="31CA1248"/>
    <w:rsid w:val="32687E84"/>
    <w:rsid w:val="32882663"/>
    <w:rsid w:val="329A43D4"/>
    <w:rsid w:val="32E7407C"/>
    <w:rsid w:val="32EB76C8"/>
    <w:rsid w:val="334A69DD"/>
    <w:rsid w:val="33664659"/>
    <w:rsid w:val="33B65F28"/>
    <w:rsid w:val="33BE302F"/>
    <w:rsid w:val="34AF2977"/>
    <w:rsid w:val="34DF85B0"/>
    <w:rsid w:val="350B4052"/>
    <w:rsid w:val="353A66E5"/>
    <w:rsid w:val="364C2B74"/>
    <w:rsid w:val="36B545FC"/>
    <w:rsid w:val="36CA3A99"/>
    <w:rsid w:val="370B6F70"/>
    <w:rsid w:val="375A2296"/>
    <w:rsid w:val="383117BB"/>
    <w:rsid w:val="383A66EE"/>
    <w:rsid w:val="38C904AC"/>
    <w:rsid w:val="390E4110"/>
    <w:rsid w:val="393873DF"/>
    <w:rsid w:val="397B1DF6"/>
    <w:rsid w:val="39FE4185"/>
    <w:rsid w:val="3A71449F"/>
    <w:rsid w:val="3B8C6C79"/>
    <w:rsid w:val="3B8F36BC"/>
    <w:rsid w:val="3C5502A8"/>
    <w:rsid w:val="3CA8487C"/>
    <w:rsid w:val="3D17730C"/>
    <w:rsid w:val="3F6820A1"/>
    <w:rsid w:val="3F8A0269"/>
    <w:rsid w:val="3FC574F3"/>
    <w:rsid w:val="3FD61700"/>
    <w:rsid w:val="40EF4827"/>
    <w:rsid w:val="41FD4D22"/>
    <w:rsid w:val="42446DF5"/>
    <w:rsid w:val="4255690C"/>
    <w:rsid w:val="43713C1A"/>
    <w:rsid w:val="43C024AB"/>
    <w:rsid w:val="442E38B9"/>
    <w:rsid w:val="44354C47"/>
    <w:rsid w:val="44FA4FE8"/>
    <w:rsid w:val="45356EC9"/>
    <w:rsid w:val="454F1D39"/>
    <w:rsid w:val="461A4D3A"/>
    <w:rsid w:val="478D4D9A"/>
    <w:rsid w:val="47D26C51"/>
    <w:rsid w:val="488B0409"/>
    <w:rsid w:val="48E72288"/>
    <w:rsid w:val="491FF225"/>
    <w:rsid w:val="494B6CBB"/>
    <w:rsid w:val="4A4060F4"/>
    <w:rsid w:val="4B0215FB"/>
    <w:rsid w:val="4D0B0C3B"/>
    <w:rsid w:val="4D714816"/>
    <w:rsid w:val="4F204746"/>
    <w:rsid w:val="4F337FD5"/>
    <w:rsid w:val="4F813436"/>
    <w:rsid w:val="4FFD214C"/>
    <w:rsid w:val="507B5A4E"/>
    <w:rsid w:val="50CA6717"/>
    <w:rsid w:val="50D92DFE"/>
    <w:rsid w:val="50EA500B"/>
    <w:rsid w:val="512B4801"/>
    <w:rsid w:val="51E70F6D"/>
    <w:rsid w:val="52927709"/>
    <w:rsid w:val="52AA6800"/>
    <w:rsid w:val="52EC506B"/>
    <w:rsid w:val="537F5EDF"/>
    <w:rsid w:val="53E916FA"/>
    <w:rsid w:val="53F561A1"/>
    <w:rsid w:val="54705828"/>
    <w:rsid w:val="54A3042B"/>
    <w:rsid w:val="54E83610"/>
    <w:rsid w:val="55083301"/>
    <w:rsid w:val="5520724E"/>
    <w:rsid w:val="552D3719"/>
    <w:rsid w:val="555E1B24"/>
    <w:rsid w:val="55B654BC"/>
    <w:rsid w:val="56430BF0"/>
    <w:rsid w:val="5692056C"/>
    <w:rsid w:val="570F1328"/>
    <w:rsid w:val="572C6A63"/>
    <w:rsid w:val="5777D4F5"/>
    <w:rsid w:val="579B0E0D"/>
    <w:rsid w:val="58043DEC"/>
    <w:rsid w:val="58733B38"/>
    <w:rsid w:val="587A4EC7"/>
    <w:rsid w:val="58C148A4"/>
    <w:rsid w:val="59513E7A"/>
    <w:rsid w:val="59DD8326"/>
    <w:rsid w:val="5C20079F"/>
    <w:rsid w:val="5C4750C0"/>
    <w:rsid w:val="5CB3249B"/>
    <w:rsid w:val="5D30024A"/>
    <w:rsid w:val="5D3513BC"/>
    <w:rsid w:val="5D4E247E"/>
    <w:rsid w:val="5D6D6DA8"/>
    <w:rsid w:val="5DB16C4A"/>
    <w:rsid w:val="5DCD1B02"/>
    <w:rsid w:val="5DEF592A"/>
    <w:rsid w:val="5E2C6C63"/>
    <w:rsid w:val="5ED2780B"/>
    <w:rsid w:val="5F9068B8"/>
    <w:rsid w:val="5FC6BB1E"/>
    <w:rsid w:val="5FF720F1"/>
    <w:rsid w:val="601E438A"/>
    <w:rsid w:val="60460749"/>
    <w:rsid w:val="61907509"/>
    <w:rsid w:val="61B50D1E"/>
    <w:rsid w:val="61BD5D78"/>
    <w:rsid w:val="625978FB"/>
    <w:rsid w:val="62E0001C"/>
    <w:rsid w:val="63422A85"/>
    <w:rsid w:val="6522491C"/>
    <w:rsid w:val="65476131"/>
    <w:rsid w:val="65DC0355"/>
    <w:rsid w:val="67380427"/>
    <w:rsid w:val="6786745C"/>
    <w:rsid w:val="67FF5C0B"/>
    <w:rsid w:val="6828049B"/>
    <w:rsid w:val="683A55DA"/>
    <w:rsid w:val="68776D2D"/>
    <w:rsid w:val="6894168D"/>
    <w:rsid w:val="68BD3F8B"/>
    <w:rsid w:val="6933534A"/>
    <w:rsid w:val="695E7EED"/>
    <w:rsid w:val="69967687"/>
    <w:rsid w:val="699911C9"/>
    <w:rsid w:val="69E22AF3"/>
    <w:rsid w:val="6A276531"/>
    <w:rsid w:val="6C5B4EBE"/>
    <w:rsid w:val="6C661592"/>
    <w:rsid w:val="6D2F0B61"/>
    <w:rsid w:val="6E0972D1"/>
    <w:rsid w:val="6E82642B"/>
    <w:rsid w:val="6E9F2B3A"/>
    <w:rsid w:val="6EB20ABF"/>
    <w:rsid w:val="6EFA06B8"/>
    <w:rsid w:val="6EFC0924"/>
    <w:rsid w:val="6F011A46"/>
    <w:rsid w:val="6F327C6E"/>
    <w:rsid w:val="6FB74722"/>
    <w:rsid w:val="6FEF8B7E"/>
    <w:rsid w:val="71A6591B"/>
    <w:rsid w:val="71C31235"/>
    <w:rsid w:val="72D37256"/>
    <w:rsid w:val="737D59BA"/>
    <w:rsid w:val="73B61051"/>
    <w:rsid w:val="74493C73"/>
    <w:rsid w:val="74980757"/>
    <w:rsid w:val="74C57072"/>
    <w:rsid w:val="75CC2E8E"/>
    <w:rsid w:val="75DC0B17"/>
    <w:rsid w:val="765544B9"/>
    <w:rsid w:val="7783749C"/>
    <w:rsid w:val="7791148D"/>
    <w:rsid w:val="77A92C7B"/>
    <w:rsid w:val="77C37683"/>
    <w:rsid w:val="786646C8"/>
    <w:rsid w:val="78C05F62"/>
    <w:rsid w:val="79022643"/>
    <w:rsid w:val="797C23F5"/>
    <w:rsid w:val="79FF515B"/>
    <w:rsid w:val="7A084D50"/>
    <w:rsid w:val="7BC77B74"/>
    <w:rsid w:val="7C46246B"/>
    <w:rsid w:val="7C5C02BC"/>
    <w:rsid w:val="7C9C0BE9"/>
    <w:rsid w:val="7D0F3580"/>
    <w:rsid w:val="7E6D4A02"/>
    <w:rsid w:val="7E843AFA"/>
    <w:rsid w:val="7E9E1962"/>
    <w:rsid w:val="7E9F11B4"/>
    <w:rsid w:val="7EA146AC"/>
    <w:rsid w:val="7EFC5D86"/>
    <w:rsid w:val="7F37EC1E"/>
    <w:rsid w:val="7F46533A"/>
    <w:rsid w:val="7F79795D"/>
    <w:rsid w:val="7F7DCD9D"/>
    <w:rsid w:val="7F862F7E"/>
    <w:rsid w:val="7F970A6F"/>
    <w:rsid w:val="7FA501CC"/>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4723</Words>
  <Characters>5116</Characters>
  <Lines>63</Lines>
  <Paragraphs>18</Paragraphs>
  <TotalTime>1</TotalTime>
  <ScaleCrop>false</ScaleCrop>
  <LinksUpToDate>false</LinksUpToDate>
  <CharactersWithSpaces>5124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岔不桗</cp:lastModifiedBy>
  <cp:lastPrinted>2024-08-08T10:20:00Z</cp:lastPrinted>
  <dcterms:modified xsi:type="dcterms:W3CDTF">2024-09-24T01:02:31Z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6AB6E638A3854D8ABFD45BE08ACB2872_12</vt:lpwstr>
  </property>
</Properties>
</file>