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9F59">
      <w:pPr>
        <w:pStyle w:val="13"/>
        <w:jc w:val="center"/>
        <w:rPr>
          <w:sz w:val="56"/>
          <w:szCs w:val="56"/>
        </w:rPr>
      </w:pPr>
    </w:p>
    <w:p w14:paraId="1B64EF75">
      <w:pPr>
        <w:pStyle w:val="13"/>
        <w:jc w:val="center"/>
        <w:rPr>
          <w:sz w:val="56"/>
          <w:szCs w:val="56"/>
        </w:rPr>
      </w:pPr>
    </w:p>
    <w:p w14:paraId="574F43D0">
      <w:pPr>
        <w:pStyle w:val="13"/>
        <w:jc w:val="center"/>
        <w:rPr>
          <w:sz w:val="84"/>
          <w:szCs w:val="84"/>
        </w:rPr>
      </w:pPr>
    </w:p>
    <w:p w14:paraId="0D8FD9C5">
      <w:pPr>
        <w:pStyle w:val="13"/>
        <w:jc w:val="center"/>
        <w:rPr>
          <w:sz w:val="84"/>
          <w:szCs w:val="84"/>
        </w:rPr>
      </w:pPr>
    </w:p>
    <w:p w14:paraId="24D67A8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4898D7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怀化市退役军人事务局（本级）部门决算</w:t>
      </w:r>
    </w:p>
    <w:p w14:paraId="025A481F">
      <w:pPr>
        <w:pStyle w:val="13"/>
        <w:jc w:val="center"/>
        <w:rPr>
          <w:rFonts w:hint="eastAsia" w:ascii="方正小标宋_GBK" w:hAnsi="方正小标宋_GBK" w:eastAsia="方正小标宋_GBK" w:cs="方正小标宋_GBK"/>
          <w:sz w:val="56"/>
          <w:szCs w:val="56"/>
        </w:rPr>
      </w:pPr>
    </w:p>
    <w:p w14:paraId="18BFB4F2">
      <w:pPr>
        <w:pStyle w:val="13"/>
        <w:jc w:val="center"/>
        <w:rPr>
          <w:sz w:val="56"/>
          <w:szCs w:val="56"/>
        </w:rPr>
      </w:pPr>
    </w:p>
    <w:p w14:paraId="7E3276CF">
      <w:pPr>
        <w:pStyle w:val="13"/>
        <w:jc w:val="center"/>
        <w:rPr>
          <w:sz w:val="56"/>
          <w:szCs w:val="56"/>
        </w:rPr>
      </w:pPr>
    </w:p>
    <w:p w14:paraId="7A0A872E">
      <w:pPr>
        <w:pStyle w:val="13"/>
        <w:jc w:val="center"/>
        <w:rPr>
          <w:sz w:val="56"/>
          <w:szCs w:val="56"/>
        </w:rPr>
      </w:pPr>
    </w:p>
    <w:p w14:paraId="5FD6EAEA">
      <w:pPr>
        <w:pStyle w:val="13"/>
        <w:jc w:val="center"/>
        <w:rPr>
          <w:sz w:val="32"/>
          <w:szCs w:val="32"/>
        </w:rPr>
      </w:pPr>
    </w:p>
    <w:p w14:paraId="4BB3ED6D">
      <w:pPr>
        <w:pStyle w:val="13"/>
        <w:jc w:val="center"/>
        <w:rPr>
          <w:sz w:val="32"/>
          <w:szCs w:val="32"/>
        </w:rPr>
      </w:pPr>
    </w:p>
    <w:p w14:paraId="12692262">
      <w:pPr>
        <w:pStyle w:val="13"/>
        <w:jc w:val="center"/>
        <w:rPr>
          <w:sz w:val="32"/>
          <w:szCs w:val="32"/>
        </w:rPr>
      </w:pPr>
    </w:p>
    <w:p w14:paraId="4ECFF53B">
      <w:pPr>
        <w:pStyle w:val="13"/>
        <w:spacing w:line="500" w:lineRule="exact"/>
        <w:jc w:val="both"/>
        <w:rPr>
          <w:b/>
          <w:sz w:val="36"/>
          <w:szCs w:val="28"/>
        </w:rPr>
      </w:pPr>
      <w:bookmarkStart w:id="0" w:name="_GoBack"/>
      <w:bookmarkEnd w:id="0"/>
    </w:p>
    <w:p w14:paraId="308E7E1B">
      <w:pPr>
        <w:pStyle w:val="13"/>
        <w:spacing w:line="500" w:lineRule="exact"/>
        <w:jc w:val="center"/>
        <w:rPr>
          <w:b/>
          <w:sz w:val="36"/>
          <w:szCs w:val="28"/>
        </w:rPr>
      </w:pPr>
      <w:r>
        <w:rPr>
          <w:rFonts w:hint="eastAsia"/>
          <w:b/>
          <w:sz w:val="36"/>
          <w:szCs w:val="28"/>
        </w:rPr>
        <w:t>目录</w:t>
      </w:r>
    </w:p>
    <w:p w14:paraId="5D64EBC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怀化市退役军人事务局（本级）概况</w:t>
      </w:r>
    </w:p>
    <w:p w14:paraId="6EC5F91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63A76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C72E8D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E8577F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466FF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127928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7540FC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72131D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63825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340A34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41551A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A053D5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EC1A580">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66977E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12F808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EFDA0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A1D187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45E68A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C1C19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54F99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9A50A1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95576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lang w:eastAsia="zh-CN"/>
        </w:rPr>
        <w:t>国有资本经营预算财政拨款收入支出决算情况</w:t>
      </w:r>
    </w:p>
    <w:p w14:paraId="1AE038B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A5042A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FA9C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02A10B7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2DD87A8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767F283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FFFD4B1">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24AE66E6">
      <w:pPr>
        <w:pStyle w:val="13"/>
        <w:spacing w:line="500" w:lineRule="exact"/>
        <w:rPr>
          <w:rFonts w:hint="eastAsia" w:ascii="黑体" w:hAnsi="黑体" w:eastAsia="黑体" w:cs="黑体"/>
          <w:b w:val="0"/>
          <w:bCs/>
          <w:sz w:val="28"/>
          <w:szCs w:val="28"/>
        </w:rPr>
      </w:pPr>
    </w:p>
    <w:p w14:paraId="2D1D2CC3">
      <w:pPr>
        <w:jc w:val="center"/>
        <w:rPr>
          <w:sz w:val="72"/>
          <w:szCs w:val="72"/>
        </w:rPr>
      </w:pPr>
    </w:p>
    <w:p w14:paraId="7B4FA91E">
      <w:pPr>
        <w:jc w:val="center"/>
        <w:rPr>
          <w:sz w:val="72"/>
          <w:szCs w:val="72"/>
        </w:rPr>
      </w:pPr>
    </w:p>
    <w:p w14:paraId="7F832503">
      <w:pPr>
        <w:jc w:val="center"/>
        <w:rPr>
          <w:sz w:val="72"/>
          <w:szCs w:val="72"/>
        </w:rPr>
      </w:pPr>
    </w:p>
    <w:p w14:paraId="4C6DA1A3">
      <w:pPr>
        <w:rPr>
          <w:sz w:val="72"/>
          <w:szCs w:val="72"/>
        </w:rPr>
      </w:pPr>
      <w:r>
        <w:rPr>
          <w:sz w:val="72"/>
          <w:szCs w:val="72"/>
        </w:rPr>
        <w:br w:type="page"/>
      </w:r>
    </w:p>
    <w:p w14:paraId="236173AF">
      <w:pPr>
        <w:pStyle w:val="2"/>
      </w:pPr>
    </w:p>
    <w:p w14:paraId="27F44F9D">
      <w:pPr>
        <w:rPr>
          <w:rFonts w:hint="eastAsia" w:ascii="方正小标宋_GBK" w:hAnsi="方正小标宋_GBK" w:eastAsia="方正小标宋_GBK" w:cs="方正小标宋_GBK"/>
          <w:sz w:val="72"/>
          <w:szCs w:val="72"/>
        </w:rPr>
      </w:pPr>
    </w:p>
    <w:p w14:paraId="5F9B955E">
      <w:pPr>
        <w:pStyle w:val="13"/>
        <w:jc w:val="center"/>
        <w:rPr>
          <w:rFonts w:hint="eastAsia" w:ascii="方正小标宋_GBK" w:hAnsi="方正小标宋_GBK" w:eastAsia="方正小标宋_GBK" w:cs="方正小标宋_GBK"/>
          <w:sz w:val="84"/>
          <w:szCs w:val="84"/>
        </w:rPr>
      </w:pPr>
    </w:p>
    <w:p w14:paraId="1B4FDD9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4B08DCB">
      <w:pPr>
        <w:pStyle w:val="13"/>
        <w:jc w:val="center"/>
        <w:rPr>
          <w:rFonts w:hint="eastAsia" w:ascii="方正小标宋_GBK" w:hAnsi="方正小标宋_GBK" w:eastAsia="方正小标宋_GBK" w:cs="方正小标宋_GBK"/>
          <w:sz w:val="84"/>
          <w:szCs w:val="84"/>
        </w:rPr>
      </w:pPr>
    </w:p>
    <w:p w14:paraId="6DB4BDE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怀化市退役军人事务局（本级）概况</w:t>
      </w:r>
    </w:p>
    <w:p w14:paraId="5ADAF186">
      <w:pPr>
        <w:jc w:val="center"/>
        <w:rPr>
          <w:rFonts w:hint="eastAsia" w:ascii="方正小标宋_GBK" w:hAnsi="方正小标宋_GBK" w:eastAsia="方正小标宋_GBK" w:cs="方正小标宋_GBK"/>
          <w:sz w:val="72"/>
          <w:szCs w:val="72"/>
        </w:rPr>
      </w:pPr>
    </w:p>
    <w:p w14:paraId="27F3F75B">
      <w:pPr>
        <w:jc w:val="center"/>
        <w:rPr>
          <w:rFonts w:hint="eastAsia" w:ascii="方正小标宋_GBK" w:hAnsi="方正小标宋_GBK" w:eastAsia="方正小标宋_GBK" w:cs="方正小标宋_GBK"/>
          <w:sz w:val="72"/>
          <w:szCs w:val="72"/>
        </w:rPr>
      </w:pPr>
    </w:p>
    <w:p w14:paraId="4FDBF85F">
      <w:pPr>
        <w:jc w:val="center"/>
        <w:rPr>
          <w:sz w:val="72"/>
          <w:szCs w:val="72"/>
        </w:rPr>
      </w:pPr>
    </w:p>
    <w:p w14:paraId="3E69AC82">
      <w:pPr>
        <w:jc w:val="center"/>
        <w:rPr>
          <w:sz w:val="72"/>
          <w:szCs w:val="72"/>
        </w:rPr>
      </w:pPr>
    </w:p>
    <w:p w14:paraId="1E1801F4">
      <w:pPr>
        <w:rPr>
          <w:sz w:val="72"/>
          <w:szCs w:val="72"/>
        </w:rPr>
      </w:pPr>
      <w:r>
        <w:rPr>
          <w:sz w:val="72"/>
          <w:szCs w:val="72"/>
        </w:rPr>
        <w:br w:type="page"/>
      </w:r>
    </w:p>
    <w:p w14:paraId="00F38707">
      <w:pPr>
        <w:pStyle w:val="2"/>
      </w:pPr>
    </w:p>
    <w:p w14:paraId="02DBB04E">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6B2F363">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1、贯彻执行党和国家关于退役军人思想政治、管理保障和安置优抚等工作政策法规，拟定全市退役军人发展规划和政策，并组织实施；褒扬彰显退役军人为党、国家和人民牺牲奉献的精神风范和价值导向。</w:t>
      </w:r>
    </w:p>
    <w:p w14:paraId="6E7F9410">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（二）负责全市军队转业干部、复原干部、离退休干部、退役士兵和无军籍退休退职职工的移交安置工作和自主择业、就业退役军人服务管理工作。</w:t>
      </w:r>
    </w:p>
    <w:p w14:paraId="7723FEF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（三）组织指导全市退役军人教育培训工作，协调扶持退役军人和随军随调家属就业创业。</w:t>
      </w:r>
    </w:p>
    <w:p w14:paraId="30F60D13">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（四）贯彻落实国家关于退役军人的特殊保障政策，会同有关部门制定相关政策，并组织实施。</w:t>
      </w:r>
    </w:p>
    <w:p w14:paraId="2498CCD8">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（五）组织协调落实全市移交地方的离休退休军人、符合条件的其他退役军人和无军籍退休退职职工的住房保障工作，以及退役军人医疗保障、社会保险等待遇保障工作。</w:t>
      </w:r>
    </w:p>
    <w:p w14:paraId="064EE59B">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组织指导全市伤病残退役军人服务管理和抚恤工作，贯彻落实有关退役军人医疗、疗养、养老等机构的规划政策并指导实施。承担全市不适宜继续服役的伤病残军人相关工作。组织指导全市军供服务保障工作。</w:t>
      </w:r>
    </w:p>
    <w:p w14:paraId="62EEACBC">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（七）组织指导全市拥军优属工作。负责全市现役军人、退役军人、军队文职人员和军属优待、抚恤等工作；贯彻执行国家关于国民党抗战老兵等有关人员优待政策并指导实施。</w:t>
      </w:r>
    </w:p>
    <w:p w14:paraId="4FB6E60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八）负责全市烈士及退役军人荣誉奖励、军人公墓管理维护、纪念活动等工作，依法承担英雄烈士保护相关工作，审核拟列入全市重点保护单位的烈士纪念建筑物名录，总结表彰和宣扬退役军人、退役军人工作单位和个人先进典型事迹。</w:t>
      </w:r>
    </w:p>
    <w:p w14:paraId="6D57EE0E">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（九）指导并监督检查关于退役军人相关法律法规和政策措施的落实；开展全市退役军人权益维护和有关人员的帮扶援助工作。</w:t>
      </w:r>
    </w:p>
    <w:p w14:paraId="0DC82007">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（十）完成市委、市政府交办的其他任务。</w:t>
      </w:r>
    </w:p>
    <w:p w14:paraId="7AE8A87D">
      <w:pPr>
        <w:widowControl/>
        <w:spacing w:line="60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十一）职能转变。市退役军人事务局应加强退役军人思想政治工作和服务保障体系建设，建立健全集中统一、职责清晰的退役军人管理保障体制，协调各方力量更好为军人军属服务，维护军人军属合法权益，让军人成为全社会尊崇的职业，褒扬彰显退役军人为党、国家和人民牺牲奉献的精神风范和价值导向，更好的为增强部队战斗力和凝聚力做好组织保障。</w:t>
      </w:r>
    </w:p>
    <w:p w14:paraId="0BA04E31">
      <w:pPr>
        <w:widowControl/>
        <w:spacing w:line="600" w:lineRule="exact"/>
        <w:rPr>
          <w:rFonts w:hint="eastAsia" w:ascii="Times New Roman" w:hAnsi="Times New Roman" w:eastAsia="仿宋_GB2312" w:cs="仿宋_GB2312"/>
          <w:sz w:val="32"/>
          <w:szCs w:val="32"/>
        </w:rPr>
      </w:pPr>
    </w:p>
    <w:p w14:paraId="2E3BE7B0">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5746B82">
      <w:pPr>
        <w:jc w:val="lef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退役军人事务局是一级预算单位，内设机构包括：办公室、思想政治和权益维护科（政策法规科）、规划财务科、移交安置科、就业创业和军休管理科、拥军优抚科、机关党委（人事科）；下设</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个二级单位：怀化市军队离退休干部休养所、怀化市军用饮食供应站、</w:t>
      </w:r>
      <w:r>
        <w:rPr>
          <w:rFonts w:hint="eastAsia" w:ascii="Times New Roman" w:hAnsi="Times New Roman" w:eastAsia="仿宋_GB2312" w:cs="仿宋_GB2312"/>
          <w:bCs/>
          <w:kern w:val="0"/>
          <w:sz w:val="32"/>
          <w:szCs w:val="32"/>
          <w:lang w:val="en-US" w:eastAsia="zh-CN"/>
        </w:rPr>
        <w:t>怀化市荣军褒扬服务所</w:t>
      </w:r>
      <w:r>
        <w:rPr>
          <w:rFonts w:hint="eastAsia" w:ascii="Times New Roman" w:hAnsi="Times New Roman" w:eastAsia="仿宋_GB2312" w:cs="仿宋_GB2312"/>
          <w:bCs/>
          <w:kern w:val="0"/>
          <w:sz w:val="32"/>
          <w:szCs w:val="32"/>
        </w:rPr>
        <w:t>。</w:t>
      </w:r>
    </w:p>
    <w:p w14:paraId="5CC407C1">
      <w:pPr>
        <w:jc w:val="left"/>
        <w:rPr>
          <w:rFonts w:ascii="仿宋_GB2312" w:eastAsia="仿宋_GB2312" w:hAnsiTheme="minorEastAsia"/>
          <w:sz w:val="28"/>
          <w:szCs w:val="32"/>
        </w:rPr>
      </w:pPr>
      <w:r>
        <w:rPr>
          <w:rFonts w:hint="eastAsia" w:ascii="Times New Roman" w:hAnsi="Times New Roman" w:eastAsia="仿宋_GB2312" w:cs="仿宋_GB2312"/>
          <w:bCs/>
          <w:kern w:val="0"/>
          <w:sz w:val="32"/>
          <w:szCs w:val="32"/>
        </w:rPr>
        <w:t>（二）决算单位构成。怀化市退役军人事务局2022年部门决算公开单位构成包括：怀化市退役军人事务局本级。</w:t>
      </w:r>
    </w:p>
    <w:p w14:paraId="2DE2FA3F">
      <w:pPr>
        <w:jc w:val="center"/>
        <w:rPr>
          <w:rFonts w:ascii="黑体" w:hAnsi="黑体" w:eastAsia="黑体"/>
          <w:sz w:val="28"/>
          <w:szCs w:val="28"/>
        </w:rPr>
      </w:pPr>
    </w:p>
    <w:p w14:paraId="412484D3">
      <w:pPr>
        <w:jc w:val="center"/>
        <w:rPr>
          <w:rFonts w:ascii="黑体" w:hAnsi="黑体" w:eastAsia="黑体"/>
          <w:sz w:val="28"/>
          <w:szCs w:val="28"/>
        </w:rPr>
      </w:pPr>
    </w:p>
    <w:p w14:paraId="734ACC7B">
      <w:pPr>
        <w:jc w:val="center"/>
        <w:rPr>
          <w:rFonts w:ascii="黑体" w:hAnsi="黑体" w:eastAsia="黑体"/>
          <w:sz w:val="28"/>
          <w:szCs w:val="28"/>
        </w:rPr>
      </w:pPr>
    </w:p>
    <w:p w14:paraId="6B24622C">
      <w:pPr>
        <w:jc w:val="center"/>
        <w:rPr>
          <w:rFonts w:ascii="黑体" w:hAnsi="黑体" w:eastAsia="黑体"/>
          <w:sz w:val="28"/>
          <w:szCs w:val="28"/>
        </w:rPr>
      </w:pPr>
    </w:p>
    <w:p w14:paraId="7460FD49">
      <w:pPr>
        <w:jc w:val="center"/>
        <w:rPr>
          <w:sz w:val="72"/>
          <w:szCs w:val="72"/>
        </w:rPr>
      </w:pPr>
    </w:p>
    <w:p w14:paraId="38CC71F0">
      <w:pPr>
        <w:pStyle w:val="13"/>
        <w:jc w:val="center"/>
        <w:rPr>
          <w:rFonts w:hint="eastAsia" w:ascii="方正小标宋_GBK" w:hAnsi="方正小标宋_GBK" w:eastAsia="方正小标宋_GBK" w:cs="方正小标宋_GBK"/>
          <w:sz w:val="84"/>
          <w:szCs w:val="84"/>
        </w:rPr>
      </w:pPr>
    </w:p>
    <w:p w14:paraId="6A52370F">
      <w:pPr>
        <w:pStyle w:val="13"/>
        <w:jc w:val="center"/>
        <w:rPr>
          <w:rFonts w:hint="eastAsia" w:ascii="方正小标宋_GBK" w:hAnsi="方正小标宋_GBK" w:eastAsia="方正小标宋_GBK" w:cs="方正小标宋_GBK"/>
          <w:sz w:val="84"/>
          <w:szCs w:val="84"/>
        </w:rPr>
      </w:pPr>
    </w:p>
    <w:p w14:paraId="5F386E7B">
      <w:pPr>
        <w:pStyle w:val="13"/>
        <w:jc w:val="center"/>
        <w:rPr>
          <w:rFonts w:hint="eastAsia" w:ascii="方正小标宋_GBK" w:hAnsi="方正小标宋_GBK" w:eastAsia="方正小标宋_GBK" w:cs="方正小标宋_GBK"/>
          <w:sz w:val="84"/>
          <w:szCs w:val="84"/>
        </w:rPr>
      </w:pPr>
    </w:p>
    <w:p w14:paraId="5A667BA3">
      <w:pPr>
        <w:pStyle w:val="13"/>
        <w:jc w:val="center"/>
        <w:rPr>
          <w:rFonts w:hint="eastAsia" w:ascii="方正小标宋_GBK" w:hAnsi="方正小标宋_GBK" w:eastAsia="方正小标宋_GBK" w:cs="方正小标宋_GBK"/>
          <w:sz w:val="84"/>
          <w:szCs w:val="84"/>
        </w:rPr>
      </w:pPr>
    </w:p>
    <w:p w14:paraId="36972D4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118026A">
      <w:pPr>
        <w:pStyle w:val="13"/>
        <w:jc w:val="center"/>
        <w:rPr>
          <w:rFonts w:hint="eastAsia" w:ascii="方正小标宋_GBK" w:hAnsi="方正小标宋_GBK" w:eastAsia="方正小标宋_GBK" w:cs="方正小标宋_GBK"/>
          <w:sz w:val="84"/>
          <w:szCs w:val="84"/>
        </w:rPr>
      </w:pPr>
    </w:p>
    <w:p w14:paraId="45C9940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CF5B75E">
      <w:pPr>
        <w:jc w:val="center"/>
        <w:rPr>
          <w:sz w:val="72"/>
          <w:szCs w:val="72"/>
        </w:rPr>
      </w:pPr>
    </w:p>
    <w:p w14:paraId="1E2CDCAE">
      <w:pPr>
        <w:jc w:val="center"/>
        <w:rPr>
          <w:sz w:val="72"/>
          <w:szCs w:val="72"/>
        </w:rPr>
      </w:pPr>
    </w:p>
    <w:p w14:paraId="1145C9B9">
      <w:pPr>
        <w:jc w:val="center"/>
        <w:rPr>
          <w:rFonts w:hint="default" w:eastAsiaTheme="minorEastAsia"/>
          <w:sz w:val="52"/>
          <w:szCs w:val="52"/>
          <w:lang w:val="en-US" w:eastAsia="zh-CN"/>
        </w:rPr>
      </w:pPr>
      <w:r>
        <w:rPr>
          <w:rFonts w:hint="eastAsia"/>
          <w:sz w:val="52"/>
          <w:szCs w:val="52"/>
          <w:lang w:eastAsia="zh-CN"/>
        </w:rPr>
        <w:t>（</w:t>
      </w:r>
      <w:r>
        <w:rPr>
          <w:rFonts w:hint="eastAsia"/>
          <w:sz w:val="52"/>
          <w:szCs w:val="52"/>
          <w:lang w:val="en-US" w:eastAsia="zh-CN"/>
        </w:rPr>
        <w:t>见附件）</w:t>
      </w:r>
    </w:p>
    <w:p w14:paraId="0D105450">
      <w:pPr>
        <w:jc w:val="center"/>
        <w:rPr>
          <w:sz w:val="72"/>
          <w:szCs w:val="72"/>
        </w:rPr>
      </w:pPr>
    </w:p>
    <w:p w14:paraId="655C52AD">
      <w:pPr>
        <w:jc w:val="center"/>
        <w:rPr>
          <w:sz w:val="72"/>
          <w:szCs w:val="72"/>
        </w:rPr>
      </w:pPr>
    </w:p>
    <w:p w14:paraId="134046C4">
      <w:pPr>
        <w:jc w:val="center"/>
        <w:rPr>
          <w:sz w:val="72"/>
          <w:szCs w:val="72"/>
        </w:rPr>
      </w:pPr>
    </w:p>
    <w:p w14:paraId="13148409">
      <w:pPr>
        <w:widowControl/>
        <w:jc w:val="both"/>
        <w:rPr>
          <w:sz w:val="72"/>
          <w:szCs w:val="72"/>
        </w:rPr>
        <w:sectPr>
          <w:pgSz w:w="11906" w:h="16838"/>
          <w:pgMar w:top="720" w:right="720" w:bottom="720" w:left="720" w:header="851" w:footer="992" w:gutter="0"/>
          <w:cols w:space="425" w:num="1"/>
          <w:docGrid w:type="lines" w:linePitch="312" w:charSpace="0"/>
        </w:sectPr>
      </w:pPr>
    </w:p>
    <w:p w14:paraId="290111DB">
      <w:pPr>
        <w:pStyle w:val="13"/>
        <w:jc w:val="center"/>
        <w:rPr>
          <w:sz w:val="72"/>
          <w:szCs w:val="72"/>
        </w:rPr>
      </w:pPr>
    </w:p>
    <w:p w14:paraId="28A23BA1">
      <w:pPr>
        <w:pStyle w:val="13"/>
        <w:jc w:val="center"/>
        <w:rPr>
          <w:sz w:val="72"/>
          <w:szCs w:val="72"/>
        </w:rPr>
      </w:pPr>
    </w:p>
    <w:p w14:paraId="067EBA7F">
      <w:pPr>
        <w:pStyle w:val="13"/>
        <w:jc w:val="center"/>
        <w:rPr>
          <w:sz w:val="72"/>
          <w:szCs w:val="72"/>
        </w:rPr>
      </w:pPr>
    </w:p>
    <w:p w14:paraId="00B0C6B0">
      <w:pPr>
        <w:pStyle w:val="13"/>
        <w:jc w:val="center"/>
        <w:rPr>
          <w:rFonts w:hint="eastAsia" w:ascii="方正小标宋_GBK" w:hAnsi="方正小标宋_GBK" w:eastAsia="方正小标宋_GBK" w:cs="方正小标宋_GBK"/>
          <w:sz w:val="72"/>
          <w:szCs w:val="72"/>
        </w:rPr>
      </w:pPr>
    </w:p>
    <w:p w14:paraId="739B0C7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A298B3C">
      <w:pPr>
        <w:pStyle w:val="13"/>
        <w:jc w:val="center"/>
        <w:rPr>
          <w:rFonts w:hint="eastAsia" w:ascii="方正小标宋_GBK" w:hAnsi="方正小标宋_GBK" w:eastAsia="方正小标宋_GBK" w:cs="方正小标宋_GBK"/>
          <w:sz w:val="70"/>
          <w:szCs w:val="70"/>
        </w:rPr>
      </w:pPr>
    </w:p>
    <w:p w14:paraId="351A674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704FA654">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E32D3D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D7F43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46.68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2.52</w:t>
      </w:r>
      <w:r>
        <w:rPr>
          <w:rFonts w:hint="eastAsia" w:ascii="Times New Roman" w:hAnsi="Times New Roman" w:eastAsia="仿宋_GB2312"/>
          <w:sz w:val="32"/>
          <w:szCs w:val="32"/>
        </w:rPr>
        <w:t>%，主要是因</w:t>
      </w:r>
      <w:r>
        <w:rPr>
          <w:rFonts w:hint="eastAsia" w:ascii="Times New Roman" w:hAnsi="Times New Roman" w:eastAsia="仿宋_GB2312"/>
          <w:sz w:val="32"/>
          <w:szCs w:val="32"/>
          <w:lang w:val="en-US" w:eastAsia="zh-CN"/>
        </w:rPr>
        <w:t>为工作业务增加，新增两个专项项目。</w:t>
      </w:r>
    </w:p>
    <w:p w14:paraId="0BFAC65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8E83DA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14:paraId="457F75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FF02E7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489.29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25.81</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1406.61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74.19</w:t>
      </w:r>
      <w:r>
        <w:rPr>
          <w:rFonts w:hint="eastAsia" w:ascii="Times New Roman" w:hAnsi="Times New Roman" w:eastAsia="仿宋_GB2312"/>
          <w:sz w:val="32"/>
          <w:szCs w:val="32"/>
        </w:rPr>
        <w:t>%。</w:t>
      </w:r>
    </w:p>
    <w:p w14:paraId="6E5DBF3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5DD70BF">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55.68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2.52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工作业务增加，新增两个专项项目。</w:t>
      </w:r>
    </w:p>
    <w:p w14:paraId="15C050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038CB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FC1D8E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46.68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3.02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工作业务增加，新增两个专项项目。</w:t>
      </w:r>
    </w:p>
    <w:p w14:paraId="1FE823D7">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16802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万元，主要用于以下方面：社会保障和就业支出1875.64万元，占</w:t>
      </w:r>
      <w:r>
        <w:rPr>
          <w:rFonts w:hint="eastAsia" w:ascii="Times New Roman" w:hAnsi="Times New Roman" w:eastAsia="仿宋_GB2312"/>
          <w:sz w:val="32"/>
          <w:szCs w:val="32"/>
          <w:lang w:val="en-US" w:eastAsia="zh-CN"/>
        </w:rPr>
        <w:t>98.93</w:t>
      </w:r>
      <w:r>
        <w:rPr>
          <w:rFonts w:hint="eastAsia" w:ascii="Times New Roman" w:hAnsi="Times New Roman" w:eastAsia="仿宋_GB2312"/>
          <w:sz w:val="32"/>
          <w:szCs w:val="32"/>
        </w:rPr>
        <w:t>%；卫生健康支出20.26万元，占</w:t>
      </w:r>
      <w:r>
        <w:rPr>
          <w:rFonts w:hint="eastAsia" w:ascii="Times New Roman" w:hAnsi="Times New Roman" w:eastAsia="仿宋_GB2312"/>
          <w:sz w:val="32"/>
          <w:szCs w:val="32"/>
          <w:lang w:val="en-US" w:eastAsia="zh-CN"/>
        </w:rPr>
        <w:t>1.07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39116F7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4D691D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heme="minorEastAsia" w:hAnsiTheme="minorEastAsia" w:eastAsiaTheme="minorEastAsia" w:cstheme="minorEastAsia"/>
          <w:sz w:val="32"/>
          <w:szCs w:val="32"/>
          <w:lang w:val="en-US" w:eastAsia="zh-CN"/>
        </w:rPr>
        <w:t>1680.76</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1895.91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112.80</w:t>
      </w:r>
      <w:r>
        <w:rPr>
          <w:rFonts w:hint="eastAsia" w:ascii="Times New Roman" w:hAnsi="Times New Roman" w:eastAsia="仿宋_GB2312"/>
          <w:sz w:val="32"/>
          <w:szCs w:val="32"/>
        </w:rPr>
        <w:t>%，其中：</w:t>
      </w:r>
    </w:p>
    <w:p w14:paraId="473BE00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1、社会保障和就业支出（类）行政事业单位养老支出（款）机关事业单位基本养老保险缴费支出（项）。</w:t>
      </w:r>
    </w:p>
    <w:p w14:paraId="5A3C02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49.02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40.52</w:t>
      </w:r>
      <w:r>
        <w:rPr>
          <w:rFonts w:hint="eastAsia" w:ascii="Times New Roman" w:hAnsi="Times New Roman" w:eastAsia="仿宋_GB2312"/>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82.66</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不超预算正常运行</w:t>
      </w:r>
      <w:r>
        <w:rPr>
          <w:rFonts w:hint="eastAsia" w:ascii="Times New Roman" w:hAnsi="Times New Roman" w:eastAsia="仿宋_GB2312"/>
          <w:sz w:val="32"/>
          <w:szCs w:val="32"/>
        </w:rPr>
        <w:t>。</w:t>
      </w:r>
    </w:p>
    <w:p w14:paraId="12E5180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val="en-US" w:eastAsia="zh-CN"/>
        </w:rPr>
        <w:t>就业补助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其他就业补助支出</w:t>
      </w:r>
      <w:r>
        <w:rPr>
          <w:rFonts w:hint="eastAsia" w:ascii="Times New Roman" w:hAnsi="Times New Roman" w:eastAsia="仿宋_GB2312"/>
          <w:sz w:val="32"/>
          <w:szCs w:val="32"/>
        </w:rPr>
        <w:t>（项）。</w:t>
      </w:r>
    </w:p>
    <w:p w14:paraId="1738FBA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60.50</w:t>
      </w:r>
      <w:r>
        <w:rPr>
          <w:rFonts w:hint="eastAsia" w:ascii="Times New Roman" w:hAnsi="Times New Roman" w:eastAsia="仿宋_GB2312"/>
          <w:sz w:val="32"/>
          <w:szCs w:val="32"/>
        </w:rPr>
        <w:t>万元</w:t>
      </w:r>
      <w:r>
        <w:rPr>
          <w:rFonts w:hint="eastAsia" w:ascii="Times New Roman" w:hAnsi="Times New Roman" w:eastAsia="仿宋_GB2312"/>
          <w:sz w:val="32"/>
          <w:szCs w:val="32"/>
        </w:rPr>
        <w:t>，完成年初预算的122.41%，决算数大于年初预算数的主要原因是：</w:t>
      </w:r>
      <w:r>
        <w:rPr>
          <w:rFonts w:hint="eastAsia" w:ascii="Times New Roman" w:hAnsi="Times New Roman" w:eastAsia="仿宋_GB2312"/>
          <w:sz w:val="32"/>
          <w:szCs w:val="32"/>
          <w:lang w:val="en-US" w:eastAsia="zh-CN"/>
        </w:rPr>
        <w:t>年中追加预算项目</w:t>
      </w:r>
      <w:r>
        <w:rPr>
          <w:rFonts w:hint="eastAsia" w:ascii="Times New Roman" w:hAnsi="Times New Roman" w:eastAsia="仿宋_GB2312"/>
          <w:sz w:val="32"/>
          <w:szCs w:val="32"/>
        </w:rPr>
        <w:t>。</w:t>
      </w:r>
    </w:p>
    <w:p w14:paraId="46D5046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、社会保障和就业支出（类）退役安置（款）</w:t>
      </w:r>
      <w:r>
        <w:rPr>
          <w:rFonts w:hint="eastAsia" w:ascii="Times New Roman" w:hAnsi="Times New Roman" w:eastAsia="仿宋_GB2312"/>
          <w:sz w:val="32"/>
          <w:szCs w:val="32"/>
          <w:lang w:val="en-US" w:eastAsia="zh-CN"/>
        </w:rPr>
        <w:t>涉密（项）</w:t>
      </w:r>
      <w:r>
        <w:rPr>
          <w:rFonts w:hint="eastAsia" w:ascii="Times New Roman" w:hAnsi="Times New Roman" w:eastAsia="仿宋_GB2312"/>
          <w:sz w:val="32"/>
          <w:szCs w:val="32"/>
        </w:rPr>
        <w:t>。</w:t>
      </w:r>
    </w:p>
    <w:p w14:paraId="4934D7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524</w:t>
      </w:r>
      <w:r>
        <w:rPr>
          <w:rFonts w:hint="eastAsia" w:ascii="Times New Roman" w:hAnsi="Times New Roman" w:eastAsia="仿宋_GB2312"/>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757.23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144.51</w:t>
      </w:r>
      <w:r>
        <w:rPr>
          <w:rFonts w:hint="eastAsia" w:ascii="Times New Roman" w:hAnsi="Times New Roman" w:eastAsia="仿宋_GB2312"/>
          <w:sz w:val="32"/>
          <w:szCs w:val="32"/>
        </w:rPr>
        <w:t>%，决算数大于年初预算数的主要原因是：部分资金为中央直达资金，</w:t>
      </w:r>
      <w:r>
        <w:rPr>
          <w:rFonts w:hint="eastAsia" w:ascii="Times New Roman" w:hAnsi="Times New Roman" w:eastAsia="仿宋_GB2312"/>
          <w:sz w:val="32"/>
          <w:szCs w:val="32"/>
          <w:lang w:val="en-US" w:eastAsia="zh-CN"/>
        </w:rPr>
        <w:t>纳入决算，未在年初市财政预算内</w:t>
      </w:r>
      <w:r>
        <w:rPr>
          <w:rFonts w:hint="eastAsia" w:ascii="Times New Roman" w:hAnsi="Times New Roman" w:eastAsia="仿宋_GB2312"/>
          <w:sz w:val="32"/>
          <w:szCs w:val="32"/>
        </w:rPr>
        <w:t>。</w:t>
      </w:r>
    </w:p>
    <w:p w14:paraId="37082B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、社会保障和就业支出（类）退役军人管理事务（款）行政运行（项）。</w:t>
      </w:r>
    </w:p>
    <w:p w14:paraId="5224DE2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460.13</w:t>
      </w:r>
      <w:r>
        <w:rPr>
          <w:rFonts w:hint="eastAsia" w:ascii="Times New Roman" w:hAnsi="Times New Roman" w:eastAsia="仿宋_GB2312"/>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389.41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84.63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不超预算正常运行</w:t>
      </w:r>
      <w:r>
        <w:rPr>
          <w:rFonts w:hint="eastAsia" w:ascii="Times New Roman" w:hAnsi="Times New Roman" w:eastAsia="仿宋_GB2312"/>
          <w:sz w:val="32"/>
          <w:szCs w:val="32"/>
        </w:rPr>
        <w:t>。</w:t>
      </w:r>
    </w:p>
    <w:p w14:paraId="3AC1C71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、社会保障和就业支出（类）退役军人管理事务（款）拥军优属（项）。</w:t>
      </w:r>
    </w:p>
    <w:p w14:paraId="1290FCE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140</w:t>
      </w:r>
      <w:r>
        <w:rPr>
          <w:rFonts w:hint="eastAsia" w:ascii="Times New Roman" w:hAnsi="Times New Roman" w:eastAsia="仿宋_GB2312"/>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121.65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86.89</w:t>
      </w:r>
      <w:r>
        <w:rPr>
          <w:rFonts w:hint="eastAsia" w:ascii="Times New Roman" w:hAnsi="Times New Roman" w:eastAsia="仿宋_GB2312"/>
          <w:sz w:val="32"/>
          <w:szCs w:val="32"/>
        </w:rPr>
        <w:t>%，决算数小于年初预算数的主要原因是：不超预算地基本完成当年双拥“两节”慰问及驻怀部队随军家属生活补贴工作。</w:t>
      </w:r>
    </w:p>
    <w:p w14:paraId="03FFB5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、社会保障和就业支出（类）退役军人管理事务（款）其他退役军人事务管理支出（项）。</w:t>
      </w:r>
    </w:p>
    <w:p w14:paraId="2ABF6B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487.13</w:t>
      </w:r>
      <w:r>
        <w:rPr>
          <w:rFonts w:hint="eastAsia" w:ascii="Times New Roman" w:hAnsi="Times New Roman" w:eastAsia="仿宋_GB2312"/>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506.34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103.94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年中追加对武陵支队的双拥慰问等</w:t>
      </w:r>
      <w:r>
        <w:rPr>
          <w:rFonts w:hint="eastAsia" w:ascii="Times New Roman" w:hAnsi="Times New Roman" w:eastAsia="仿宋_GB2312"/>
          <w:sz w:val="32"/>
          <w:szCs w:val="32"/>
        </w:rPr>
        <w:t>。</w:t>
      </w:r>
    </w:p>
    <w:p w14:paraId="342391A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、卫生健康支出（类）行政事业单位医疗（款）行政单位医疗（项）。</w:t>
      </w:r>
    </w:p>
    <w:p w14:paraId="0918E3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20.48</w:t>
      </w:r>
      <w:r>
        <w:rPr>
          <w:rFonts w:hint="eastAsia" w:ascii="Times New Roman" w:hAnsi="Times New Roman" w:eastAsia="仿宋_GB2312"/>
          <w:sz w:val="32"/>
          <w:szCs w:val="32"/>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20.26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98.93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不超预算正常范围</w:t>
      </w:r>
      <w:r>
        <w:rPr>
          <w:rFonts w:hint="eastAsia" w:ascii="Times New Roman" w:hAnsi="Times New Roman" w:eastAsia="仿宋_GB2312"/>
          <w:sz w:val="32"/>
          <w:szCs w:val="32"/>
        </w:rPr>
        <w:t>。</w:t>
      </w:r>
    </w:p>
    <w:p w14:paraId="3DA59BA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48C27D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489.29</w:t>
      </w:r>
      <w:r>
        <w:rPr>
          <w:rFonts w:hint="eastAsia" w:ascii="Times New Roman" w:hAnsi="Times New Roman" w:eastAsia="仿宋_GB2312"/>
          <w:sz w:val="32"/>
          <w:szCs w:val="32"/>
        </w:rPr>
        <w:t>万元，其中：</w:t>
      </w:r>
    </w:p>
    <w:p w14:paraId="7BFDDE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447.82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91.52</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155.90万元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94.68万元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111.18万元</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val="en-US" w:eastAsia="zh-CN"/>
        </w:rPr>
        <w:t>40.52万元、 职工基本医疗保险缴费36.91万元、其他社会保障缴费8.61万元</w:t>
      </w:r>
      <w:r>
        <w:rPr>
          <w:rFonts w:hint="eastAsia" w:ascii="Times New Roman" w:hAnsi="Times New Roman" w:eastAsia="仿宋_GB2312"/>
          <w:sz w:val="32"/>
          <w:szCs w:val="32"/>
          <w:lang w:eastAsia="zh-CN"/>
        </w:rPr>
        <w:t>。</w:t>
      </w:r>
    </w:p>
    <w:p w14:paraId="0E31344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41.48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8.48</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1.16万元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电费6.2万元、邮电费0.06万元、差旅费1.36万元、公务接待费0.21万元、福利费12.83万元、公务用车运行维护费0.41万元、其他交通费用16.04万元、其他商品和服务支出3.22万元</w:t>
      </w:r>
      <w:r>
        <w:rPr>
          <w:rFonts w:hint="eastAsia" w:ascii="Times New Roman" w:hAnsi="Times New Roman" w:eastAsia="仿宋_GB2312"/>
          <w:sz w:val="32"/>
          <w:szCs w:val="32"/>
        </w:rPr>
        <w:t>。</w:t>
      </w:r>
    </w:p>
    <w:p w14:paraId="53EF40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449EB5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0B5A5C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91.78</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0.53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8.20</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。其中：</w:t>
      </w:r>
    </w:p>
    <w:p w14:paraId="4E3BAD0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0EB7EF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 xml:space="preserve">1.35 </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89.40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0.16</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10.60</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w:t>
      </w:r>
    </w:p>
    <w:p w14:paraId="25EA583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5D231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92.53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0.37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7.47</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厉行节约，严控三公经费</w:t>
      </w:r>
      <w:r>
        <w:rPr>
          <w:rFonts w:hint="eastAsia" w:ascii="Times New Roman" w:hAnsi="Times New Roman" w:eastAsia="仿宋_GB2312"/>
          <w:sz w:val="32"/>
          <w:szCs w:val="32"/>
        </w:rPr>
        <w:t>。</w:t>
      </w:r>
    </w:p>
    <w:p w14:paraId="1FA127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C21E0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22.78</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77.22</w:t>
      </w:r>
      <w:r>
        <w:rPr>
          <w:rFonts w:hint="eastAsia" w:ascii="Times New Roman" w:hAnsi="Times New Roman" w:eastAsia="仿宋_GB2312"/>
          <w:sz w:val="32"/>
          <w:szCs w:val="32"/>
        </w:rPr>
        <w:t>%。其中：</w:t>
      </w:r>
    </w:p>
    <w:p w14:paraId="511E8EF2">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1078F8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139</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退役军人事务考察、学习、交流</w:t>
      </w:r>
      <w:r>
        <w:rPr>
          <w:rFonts w:hint="eastAsia" w:ascii="Times New Roman" w:hAnsi="Times New Roman" w:eastAsia="仿宋_GB2312"/>
          <w:sz w:val="32"/>
          <w:szCs w:val="32"/>
        </w:rPr>
        <w:t>发生的接待支出。</w:t>
      </w:r>
    </w:p>
    <w:p w14:paraId="7CFFA2D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4.58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本级</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4.58</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油费、保险费、</w:t>
      </w:r>
      <w:r>
        <w:rPr>
          <w:rFonts w:hint="eastAsia" w:ascii="Times New Roman" w:hAnsi="Times New Roman" w:eastAsia="仿宋_GB2312"/>
          <w:sz w:val="32"/>
          <w:szCs w:val="32"/>
          <w:lang w:eastAsia="zh-CN"/>
        </w:rPr>
        <w:t>过路费</w:t>
      </w:r>
      <w:r>
        <w:rPr>
          <w:rFonts w:hint="eastAsia" w:ascii="Times New Roman" w:hAnsi="Times New Roman" w:eastAsia="仿宋_GB2312"/>
          <w:sz w:val="32"/>
          <w:szCs w:val="32"/>
          <w:lang w:val="en-US" w:eastAsia="zh-CN"/>
        </w:rPr>
        <w:t>等支出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0E8BB2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9D632E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年度本单位无政府性基金收支。</w:t>
      </w:r>
    </w:p>
    <w:p w14:paraId="641E89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九、国有资本经营预算收入支出决算情况</w:t>
      </w:r>
    </w:p>
    <w:p w14:paraId="21D7546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lang w:val="en-US" w:eastAsia="zh-CN"/>
        </w:rPr>
        <w:t>2022 年度本单位无国有资本经营预算财政拨款支出。</w:t>
      </w:r>
    </w:p>
    <w:p w14:paraId="27B19E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14:paraId="4756CA2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41.48</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9.52</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18.67</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不能超预算支出公用经费及例行节约、严控支出</w:t>
      </w:r>
      <w:r>
        <w:rPr>
          <w:rFonts w:hint="eastAsia" w:ascii="Times New Roman" w:hAnsi="Times New Roman" w:eastAsia="仿宋_GB2312"/>
          <w:sz w:val="32"/>
          <w:szCs w:val="32"/>
        </w:rPr>
        <w:t>。</w:t>
      </w:r>
    </w:p>
    <w:p w14:paraId="4939975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770207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FFAF83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5CE1B11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111.07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111.07</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111.07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111.07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17B21F3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4733D3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其他用车</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lang w:eastAsia="zh-CN"/>
        </w:rPr>
        <w:t>退役军人事务工作用车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319F07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4B0D67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58DC1EC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lang w:eastAsia="zh-CN"/>
        </w:rPr>
        <w:t>年本单位加强预算绩效管理工作，实现预算部门绩效管理的全覆盖。通过设定年度绩效目标内容，形成了以绩效为目标、以结果为导向的绩效管理模式。本单位根据要求积极开展了预算部门绩效自评工作，对部门整体支出绩效做出了客观评价并形成了部门整体绩效自评报告，并予以公开，详见附件。</w:t>
      </w:r>
    </w:p>
    <w:p w14:paraId="1D064F0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15406C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见附件。</w:t>
      </w:r>
    </w:p>
    <w:p w14:paraId="648E43F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8912A4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w:t>
      </w:r>
    </w:p>
    <w:p w14:paraId="47C67FE6">
      <w:pPr>
        <w:pStyle w:val="13"/>
        <w:jc w:val="both"/>
        <w:rPr>
          <w:sz w:val="72"/>
          <w:szCs w:val="72"/>
        </w:rPr>
      </w:pPr>
    </w:p>
    <w:p w14:paraId="17F2A84C">
      <w:pPr>
        <w:pStyle w:val="13"/>
        <w:jc w:val="center"/>
        <w:rPr>
          <w:sz w:val="72"/>
          <w:szCs w:val="72"/>
        </w:rPr>
      </w:pPr>
    </w:p>
    <w:p w14:paraId="48AD3AAE">
      <w:pPr>
        <w:pStyle w:val="13"/>
        <w:jc w:val="center"/>
        <w:rPr>
          <w:sz w:val="72"/>
          <w:szCs w:val="72"/>
        </w:rPr>
      </w:pPr>
    </w:p>
    <w:p w14:paraId="5BF8DAFC">
      <w:pPr>
        <w:pStyle w:val="13"/>
        <w:jc w:val="both"/>
        <w:rPr>
          <w:rFonts w:hint="eastAsia" w:ascii="方正小标宋_GBK" w:hAnsi="方正小标宋_GBK" w:eastAsia="方正小标宋_GBK" w:cs="方正小标宋_GBK"/>
          <w:sz w:val="72"/>
          <w:szCs w:val="72"/>
        </w:rPr>
      </w:pPr>
    </w:p>
    <w:p w14:paraId="64E98991">
      <w:pPr>
        <w:pStyle w:val="13"/>
        <w:jc w:val="center"/>
        <w:rPr>
          <w:rFonts w:hint="eastAsia" w:ascii="方正小标宋_GBK" w:hAnsi="方正小标宋_GBK" w:eastAsia="方正小标宋_GBK" w:cs="方正小标宋_GBK"/>
          <w:sz w:val="72"/>
          <w:szCs w:val="72"/>
        </w:rPr>
      </w:pPr>
    </w:p>
    <w:p w14:paraId="6DB6E69A">
      <w:pPr>
        <w:pStyle w:val="13"/>
        <w:jc w:val="center"/>
        <w:rPr>
          <w:rFonts w:hint="eastAsia" w:ascii="方正小标宋_GBK" w:hAnsi="方正小标宋_GBK" w:eastAsia="方正小标宋_GBK" w:cs="方正小标宋_GBK"/>
          <w:sz w:val="72"/>
          <w:szCs w:val="72"/>
        </w:rPr>
      </w:pPr>
    </w:p>
    <w:p w14:paraId="6A962AB3">
      <w:pPr>
        <w:pStyle w:val="13"/>
        <w:jc w:val="center"/>
        <w:rPr>
          <w:rFonts w:hint="eastAsia" w:ascii="方正小标宋_GBK" w:hAnsi="方正小标宋_GBK" w:eastAsia="方正小标宋_GBK" w:cs="方正小标宋_GBK"/>
          <w:sz w:val="72"/>
          <w:szCs w:val="72"/>
        </w:rPr>
      </w:pPr>
    </w:p>
    <w:p w14:paraId="19F265D3">
      <w:pPr>
        <w:pStyle w:val="13"/>
        <w:jc w:val="center"/>
        <w:rPr>
          <w:rFonts w:hint="eastAsia" w:ascii="方正小标宋_GBK" w:hAnsi="方正小标宋_GBK" w:eastAsia="方正小标宋_GBK" w:cs="方正小标宋_GBK"/>
          <w:sz w:val="72"/>
          <w:szCs w:val="72"/>
        </w:rPr>
      </w:pPr>
    </w:p>
    <w:p w14:paraId="714988E8">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1C8466A">
      <w:pPr>
        <w:jc w:val="center"/>
        <w:rPr>
          <w:rFonts w:hint="eastAsia" w:ascii="方正小标宋_GBK" w:hAnsi="方正小标宋_GBK" w:eastAsia="方正小标宋_GBK" w:cs="方正小标宋_GBK"/>
          <w:color w:val="000000"/>
          <w:kern w:val="0"/>
          <w:sz w:val="70"/>
          <w:szCs w:val="70"/>
        </w:rPr>
      </w:pPr>
    </w:p>
    <w:p w14:paraId="4BD0F29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C4FB2C9">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BFFD446">
      <w:pPr>
        <w:widowControl/>
        <w:jc w:val="left"/>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w:t>
      </w:r>
      <w:r>
        <w:rPr>
          <w:rFonts w:hint="eastAsia" w:ascii="仿宋" w:hAnsi="仿宋" w:eastAsia="仿宋" w:cs="仿宋"/>
          <w:i w:val="0"/>
          <w:caps w:val="0"/>
          <w:color w:val="000000"/>
          <w:spacing w:val="0"/>
          <w:sz w:val="32"/>
          <w:szCs w:val="32"/>
          <w:lang w:eastAsia="zh-CN"/>
        </w:rPr>
        <w:t>商品和服务</w:t>
      </w:r>
      <w:r>
        <w:rPr>
          <w:rFonts w:hint="eastAsia" w:ascii="仿宋" w:hAnsi="仿宋" w:eastAsia="仿宋" w:cs="仿宋"/>
          <w:i w:val="0"/>
          <w:caps w:val="0"/>
          <w:color w:val="000000"/>
          <w:spacing w:val="0"/>
          <w:sz w:val="32"/>
          <w:szCs w:val="32"/>
        </w:rPr>
        <w:t>支出。</w:t>
      </w:r>
    </w:p>
    <w:p w14:paraId="1FFD478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5ED6E46">
      <w:pPr>
        <w:pStyle w:val="13"/>
        <w:jc w:val="center"/>
        <w:rPr>
          <w:sz w:val="72"/>
          <w:szCs w:val="72"/>
        </w:rPr>
      </w:pPr>
    </w:p>
    <w:p w14:paraId="309067A9">
      <w:pPr>
        <w:pStyle w:val="13"/>
        <w:jc w:val="center"/>
        <w:rPr>
          <w:sz w:val="72"/>
          <w:szCs w:val="72"/>
        </w:rPr>
      </w:pPr>
    </w:p>
    <w:p w14:paraId="62F9E1EB">
      <w:pPr>
        <w:pStyle w:val="13"/>
        <w:jc w:val="center"/>
        <w:rPr>
          <w:sz w:val="72"/>
          <w:szCs w:val="72"/>
        </w:rPr>
      </w:pPr>
    </w:p>
    <w:p w14:paraId="0ED2931C">
      <w:pPr>
        <w:pStyle w:val="13"/>
        <w:jc w:val="center"/>
        <w:rPr>
          <w:sz w:val="72"/>
          <w:szCs w:val="72"/>
        </w:rPr>
      </w:pPr>
    </w:p>
    <w:p w14:paraId="5EFE4271">
      <w:pPr>
        <w:pStyle w:val="13"/>
        <w:jc w:val="center"/>
        <w:rPr>
          <w:sz w:val="72"/>
          <w:szCs w:val="72"/>
        </w:rPr>
      </w:pPr>
    </w:p>
    <w:p w14:paraId="364EFB4E">
      <w:pPr>
        <w:pStyle w:val="13"/>
        <w:jc w:val="center"/>
        <w:rPr>
          <w:sz w:val="72"/>
          <w:szCs w:val="72"/>
        </w:rPr>
      </w:pPr>
    </w:p>
    <w:p w14:paraId="45316A8B">
      <w:pPr>
        <w:pStyle w:val="13"/>
        <w:jc w:val="center"/>
        <w:rPr>
          <w:sz w:val="72"/>
          <w:szCs w:val="72"/>
        </w:rPr>
      </w:pPr>
    </w:p>
    <w:p w14:paraId="28AB6E74">
      <w:pPr>
        <w:pStyle w:val="13"/>
        <w:jc w:val="center"/>
        <w:rPr>
          <w:sz w:val="72"/>
          <w:szCs w:val="72"/>
        </w:rPr>
      </w:pPr>
    </w:p>
    <w:p w14:paraId="0D852925">
      <w:pPr>
        <w:rPr>
          <w:sz w:val="72"/>
          <w:szCs w:val="72"/>
        </w:rPr>
      </w:pPr>
      <w:r>
        <w:rPr>
          <w:sz w:val="72"/>
          <w:szCs w:val="72"/>
        </w:rPr>
        <w:br w:type="page"/>
      </w:r>
    </w:p>
    <w:p w14:paraId="6EAA3C1C">
      <w:pPr>
        <w:pStyle w:val="13"/>
        <w:jc w:val="center"/>
        <w:rPr>
          <w:rFonts w:hint="eastAsia" w:ascii="方正小标宋_GBK" w:hAnsi="方正小标宋_GBK" w:eastAsia="方正小标宋_GBK" w:cs="方正小标宋_GBK"/>
          <w:sz w:val="72"/>
          <w:szCs w:val="72"/>
        </w:rPr>
      </w:pPr>
    </w:p>
    <w:p w14:paraId="5FFFB56B">
      <w:pPr>
        <w:pStyle w:val="13"/>
        <w:jc w:val="center"/>
        <w:rPr>
          <w:rFonts w:hint="eastAsia" w:ascii="方正小标宋_GBK" w:hAnsi="方正小标宋_GBK" w:eastAsia="方正小标宋_GBK" w:cs="方正小标宋_GBK"/>
          <w:sz w:val="72"/>
          <w:szCs w:val="72"/>
        </w:rPr>
      </w:pPr>
    </w:p>
    <w:p w14:paraId="467A5AC4">
      <w:pPr>
        <w:pStyle w:val="13"/>
        <w:jc w:val="center"/>
        <w:rPr>
          <w:rFonts w:hint="eastAsia" w:ascii="方正小标宋_GBK" w:hAnsi="方正小标宋_GBK" w:eastAsia="方正小标宋_GBK" w:cs="方正小标宋_GBK"/>
          <w:sz w:val="72"/>
          <w:szCs w:val="72"/>
        </w:rPr>
      </w:pPr>
    </w:p>
    <w:p w14:paraId="04B6893C">
      <w:pPr>
        <w:pStyle w:val="13"/>
        <w:jc w:val="center"/>
        <w:rPr>
          <w:rFonts w:hint="eastAsia" w:ascii="方正小标宋_GBK" w:hAnsi="方正小标宋_GBK" w:eastAsia="方正小标宋_GBK" w:cs="方正小标宋_GBK"/>
          <w:sz w:val="72"/>
          <w:szCs w:val="72"/>
        </w:rPr>
      </w:pPr>
    </w:p>
    <w:p w14:paraId="2F7A2BFF">
      <w:pPr>
        <w:pStyle w:val="13"/>
        <w:jc w:val="center"/>
        <w:rPr>
          <w:rFonts w:hint="eastAsia" w:ascii="方正小标宋_GBK" w:hAnsi="方正小标宋_GBK" w:eastAsia="方正小标宋_GBK" w:cs="方正小标宋_GBK"/>
          <w:sz w:val="72"/>
          <w:szCs w:val="72"/>
        </w:rPr>
      </w:pPr>
    </w:p>
    <w:p w14:paraId="1AB2264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44A2938">
      <w:pPr>
        <w:pStyle w:val="13"/>
        <w:jc w:val="center"/>
        <w:rPr>
          <w:rFonts w:hint="eastAsia" w:ascii="方正小标宋_GBK" w:hAnsi="方正小标宋_GBK" w:eastAsia="方正小标宋_GBK" w:cs="方正小标宋_GBK"/>
          <w:sz w:val="70"/>
          <w:szCs w:val="70"/>
        </w:rPr>
      </w:pPr>
    </w:p>
    <w:p w14:paraId="617DB95B">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B20169C">
      <w:pPr>
        <w:rPr>
          <w:rFonts w:hint="eastAsia" w:ascii="Times New Roman" w:hAnsi="Times New Roman" w:eastAsia="仿宋_GB2312"/>
          <w:sz w:val="32"/>
          <w:szCs w:val="32"/>
          <w:lang w:val="en-US" w:eastAsia="zh-CN"/>
        </w:rPr>
      </w:pPr>
    </w:p>
    <w:p w14:paraId="4A383D9A">
      <w:pPr>
        <w:pStyle w:val="13"/>
        <w:jc w:val="center"/>
        <w:rPr>
          <w:sz w:val="72"/>
          <w:szCs w:val="72"/>
        </w:rPr>
      </w:pPr>
    </w:p>
    <w:p w14:paraId="2A672355">
      <w:pPr>
        <w:pStyle w:val="13"/>
        <w:jc w:val="center"/>
        <w:rPr>
          <w:sz w:val="72"/>
          <w:szCs w:val="72"/>
        </w:rPr>
      </w:pPr>
    </w:p>
    <w:p w14:paraId="2E324AC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E2D4C9-9781-4EA9-9984-22AF3E4D4A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C453998-2D4D-44C9-916D-E5C1BB9411CB}"/>
  </w:font>
  <w:font w:name="仿宋_GB2312">
    <w:altName w:val="仿宋"/>
    <w:panose1 w:val="02010609030101010101"/>
    <w:charset w:val="86"/>
    <w:family w:val="modern"/>
    <w:pitch w:val="default"/>
    <w:sig w:usb0="00000000" w:usb1="00000000" w:usb2="00000000" w:usb3="00000000" w:csb0="00040000" w:csb1="00000000"/>
    <w:embedRegular r:id="rId3" w:fontKey="{8DC18902-7116-4DA5-9833-6E08FA3A40C1}"/>
  </w:font>
  <w:font w:name="楷体">
    <w:panose1 w:val="02010609060101010101"/>
    <w:charset w:val="86"/>
    <w:family w:val="auto"/>
    <w:pitch w:val="default"/>
    <w:sig w:usb0="800002BF" w:usb1="38CF7CFA" w:usb2="00000016" w:usb3="00000000" w:csb0="00040001" w:csb1="00000000"/>
    <w:embedRegular r:id="rId4" w:fontKey="{4D8CE13F-D6E8-4A53-968C-8FE9A2DB00DE}"/>
  </w:font>
  <w:font w:name="仿宋">
    <w:panose1 w:val="02010609060101010101"/>
    <w:charset w:val="86"/>
    <w:family w:val="auto"/>
    <w:pitch w:val="default"/>
    <w:sig w:usb0="800002BF" w:usb1="38CF7CFA" w:usb2="00000016" w:usb3="00000000" w:csb0="00040001" w:csb1="00000000"/>
    <w:embedRegular r:id="rId5" w:fontKey="{309E58FC-4EAB-40E3-8CBF-AC2110EAB26B}"/>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YzUzY2ViOGVmODRlNGQyMDNlYzI4ODA5YTI5NW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3C470CF2"/>
    <w:rsid w:val="491FF225"/>
    <w:rsid w:val="4FE538A4"/>
    <w:rsid w:val="4FFD214C"/>
    <w:rsid w:val="55CF3B3D"/>
    <w:rsid w:val="5777D4F5"/>
    <w:rsid w:val="59DD8326"/>
    <w:rsid w:val="5DEF592A"/>
    <w:rsid w:val="5F8B10DD"/>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semiHidden/>
    <w:unhideWhenUsed/>
    <w:qFormat/>
    <w:uiPriority w:val="99"/>
    <w:pPr>
      <w:widowControl w:val="0"/>
      <w:spacing w:before="0" w:beforeAutospacing="1" w:after="0" w:afterAutospacing="1"/>
      <w:ind w:left="0" w:right="0"/>
      <w:jc w:val="left"/>
    </w:pPr>
    <w:rPr>
      <w:rFonts w:asciiTheme="minorHAnsi" w:hAnsiTheme="minorHAnsi" w:eastAsiaTheme="minorEastAsia" w:cstheme="minorBidi"/>
      <w:kern w:val="0"/>
      <w:sz w:val="24"/>
      <w:szCs w:val="22"/>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NormalIndent"/>
    <w:qFormat/>
    <w:uiPriority w:val="0"/>
    <w:pPr>
      <w:widowControl w:val="0"/>
      <w:ind w:firstLine="420"/>
      <w:jc w:val="both"/>
      <w:textAlignment w:val="baseline"/>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4851</Words>
  <Characters>5289</Characters>
  <Lines>63</Lines>
  <Paragraphs>18</Paragraphs>
  <TotalTime>2</TotalTime>
  <ScaleCrop>false</ScaleCrop>
  <LinksUpToDate>false</LinksUpToDate>
  <CharactersWithSpaces>5312</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WPS_1608525663</cp:lastModifiedBy>
  <cp:lastPrinted>2024-08-08T10:20:00Z</cp:lastPrinted>
  <dcterms:modified xsi:type="dcterms:W3CDTF">2024-09-25T08:13:20Z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905DFB265E864797A84CF71097A864C1_12</vt:lpwstr>
  </property>
</Properties>
</file>