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6BF34">
      <w:pPr>
        <w:pStyle w:val="13"/>
        <w:shd w:val="clear"/>
        <w:jc w:val="center"/>
        <w:rPr>
          <w:sz w:val="56"/>
          <w:szCs w:val="56"/>
        </w:rPr>
      </w:pPr>
    </w:p>
    <w:p w14:paraId="206CF7DB">
      <w:pPr>
        <w:pStyle w:val="13"/>
        <w:shd w:val="clear"/>
        <w:jc w:val="center"/>
        <w:rPr>
          <w:sz w:val="84"/>
          <w:szCs w:val="84"/>
        </w:rPr>
      </w:pPr>
    </w:p>
    <w:p w14:paraId="3B9E1EE8">
      <w:pPr>
        <w:pStyle w:val="13"/>
        <w:shd w:val="clear"/>
        <w:jc w:val="center"/>
        <w:rPr>
          <w:sz w:val="84"/>
          <w:szCs w:val="84"/>
        </w:rPr>
      </w:pPr>
    </w:p>
    <w:p w14:paraId="2922EDFF">
      <w:pPr>
        <w:pStyle w:val="13"/>
        <w:shd w:val="clear"/>
        <w:jc w:val="center"/>
        <w:outlineLvl w:val="0"/>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2022年度</w:t>
      </w:r>
    </w:p>
    <w:p w14:paraId="3A7506B3">
      <w:pPr>
        <w:pStyle w:val="13"/>
        <w:shd w:val="clear"/>
        <w:ind w:left="2940" w:hanging="2520" w:hangingChars="350"/>
        <w:outlineLvl w:val="0"/>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72"/>
          <w:szCs w:val="72"/>
        </w:rPr>
        <w:t>怀化市医疗保障事务中心 部门决算</w:t>
      </w:r>
    </w:p>
    <w:p w14:paraId="0FA6B825">
      <w:pPr>
        <w:pStyle w:val="13"/>
        <w:shd w:val="clear"/>
        <w:jc w:val="center"/>
        <w:rPr>
          <w:rFonts w:ascii="方正小标宋_GBK" w:hAnsi="方正小标宋_GBK" w:eastAsia="方正小标宋_GBK" w:cs="方正小标宋_GBK"/>
          <w:sz w:val="56"/>
          <w:szCs w:val="56"/>
        </w:rPr>
      </w:pPr>
    </w:p>
    <w:p w14:paraId="00CEB80E">
      <w:pPr>
        <w:pStyle w:val="13"/>
        <w:shd w:val="clear"/>
        <w:jc w:val="center"/>
        <w:rPr>
          <w:sz w:val="56"/>
          <w:szCs w:val="56"/>
        </w:rPr>
      </w:pPr>
    </w:p>
    <w:p w14:paraId="5B8D3BAC">
      <w:pPr>
        <w:pStyle w:val="13"/>
        <w:shd w:val="clear"/>
        <w:jc w:val="center"/>
        <w:rPr>
          <w:sz w:val="56"/>
          <w:szCs w:val="56"/>
        </w:rPr>
      </w:pPr>
    </w:p>
    <w:p w14:paraId="1425FCFC">
      <w:pPr>
        <w:pStyle w:val="13"/>
        <w:shd w:val="clear"/>
        <w:jc w:val="center"/>
        <w:rPr>
          <w:sz w:val="56"/>
          <w:szCs w:val="56"/>
        </w:rPr>
      </w:pPr>
    </w:p>
    <w:p w14:paraId="72A1FD5D">
      <w:pPr>
        <w:pStyle w:val="13"/>
        <w:shd w:val="clear"/>
        <w:jc w:val="center"/>
        <w:rPr>
          <w:sz w:val="56"/>
          <w:szCs w:val="56"/>
        </w:rPr>
      </w:pPr>
    </w:p>
    <w:p w14:paraId="079A5007">
      <w:pPr>
        <w:pStyle w:val="13"/>
        <w:shd w:val="clear"/>
        <w:jc w:val="center"/>
        <w:rPr>
          <w:sz w:val="32"/>
          <w:szCs w:val="32"/>
        </w:rPr>
      </w:pPr>
    </w:p>
    <w:p w14:paraId="67D5117B">
      <w:pPr>
        <w:pStyle w:val="13"/>
        <w:shd w:val="clear"/>
        <w:jc w:val="center"/>
        <w:rPr>
          <w:sz w:val="32"/>
          <w:szCs w:val="32"/>
        </w:rPr>
      </w:pPr>
    </w:p>
    <w:p w14:paraId="64851768">
      <w:pPr>
        <w:pStyle w:val="13"/>
        <w:shd w:val="clear"/>
        <w:spacing w:line="500" w:lineRule="exact"/>
        <w:jc w:val="both"/>
        <w:rPr>
          <w:b/>
          <w:sz w:val="36"/>
          <w:szCs w:val="28"/>
        </w:rPr>
      </w:pPr>
    </w:p>
    <w:p w14:paraId="20FC8642">
      <w:pPr>
        <w:pStyle w:val="13"/>
        <w:shd w:val="clear"/>
        <w:spacing w:line="500" w:lineRule="exact"/>
        <w:jc w:val="center"/>
        <w:rPr>
          <w:rFonts w:hint="eastAsia" w:ascii="黑体" w:hAnsi="黑体" w:eastAsia="黑体" w:cs="黑体"/>
          <w:b w:val="0"/>
          <w:bCs/>
          <w:color w:val="auto"/>
          <w:sz w:val="44"/>
          <w:szCs w:val="44"/>
          <w:highlight w:val="none"/>
        </w:rPr>
      </w:pPr>
      <w:r>
        <w:rPr>
          <w:rFonts w:hint="eastAsia" w:ascii="黑体" w:hAnsi="黑体" w:eastAsia="黑体" w:cs="黑体"/>
          <w:b w:val="0"/>
          <w:bCs/>
          <w:color w:val="auto"/>
          <w:sz w:val="44"/>
          <w:szCs w:val="44"/>
          <w:highlight w:val="none"/>
        </w:rPr>
        <w:t>目</w:t>
      </w:r>
      <w:r>
        <w:rPr>
          <w:rFonts w:hint="eastAsia" w:ascii="黑体" w:hAnsi="黑体" w:eastAsia="黑体" w:cs="黑体"/>
          <w:b w:val="0"/>
          <w:bCs/>
          <w:color w:val="auto"/>
          <w:sz w:val="44"/>
          <w:szCs w:val="44"/>
          <w:highlight w:val="none"/>
          <w:lang w:val="en-US" w:eastAsia="zh-CN"/>
        </w:rPr>
        <w:t xml:space="preserve"> </w:t>
      </w:r>
      <w:r>
        <w:rPr>
          <w:rFonts w:hint="eastAsia" w:ascii="黑体" w:hAnsi="黑体" w:eastAsia="黑体" w:cs="黑体"/>
          <w:b w:val="0"/>
          <w:bCs/>
          <w:color w:val="auto"/>
          <w:sz w:val="44"/>
          <w:szCs w:val="44"/>
          <w:highlight w:val="none"/>
        </w:rPr>
        <w:t>录</w:t>
      </w:r>
    </w:p>
    <w:p w14:paraId="137E325D">
      <w:pPr>
        <w:pStyle w:val="13"/>
        <w:shd w:val="clear"/>
        <w:spacing w:line="500" w:lineRule="exact"/>
        <w:rPr>
          <w:rFonts w:hint="eastAsia" w:ascii="黑体" w:hAnsi="黑体" w:eastAsia="黑体" w:cs="黑体"/>
          <w:b w:val="0"/>
          <w:bCs/>
          <w:color w:val="auto"/>
          <w:sz w:val="28"/>
          <w:szCs w:val="28"/>
          <w:highlight w:val="none"/>
        </w:rPr>
      </w:pPr>
    </w:p>
    <w:p w14:paraId="01B69692">
      <w:pPr>
        <w:pStyle w:val="13"/>
        <w:keepNext w:val="0"/>
        <w:keepLines w:val="0"/>
        <w:pageBreakBefore w:val="0"/>
        <w:widowControl w:val="0"/>
        <w:shd w:val="clear"/>
        <w:kinsoku/>
        <w:wordWrap/>
        <w:overflowPunct/>
        <w:topLinePunct w:val="0"/>
        <w:bidi w:val="0"/>
        <w:snapToGrid/>
        <w:spacing w:line="600" w:lineRule="exact"/>
        <w:textAlignment w:val="auto"/>
        <w:rPr>
          <w:rFonts w:hAnsi="黑体"/>
          <w:bCs/>
          <w:sz w:val="32"/>
          <w:szCs w:val="32"/>
        </w:rPr>
      </w:pPr>
      <w:r>
        <w:rPr>
          <w:rFonts w:hint="eastAsia" w:hAnsi="黑体"/>
          <w:bCs/>
          <w:sz w:val="32"/>
          <w:szCs w:val="32"/>
        </w:rPr>
        <w:t>第一部分怀化市医疗保障事务中心概况</w:t>
      </w:r>
    </w:p>
    <w:p w14:paraId="7BA84FF0">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一、部门职责</w:t>
      </w:r>
    </w:p>
    <w:p w14:paraId="0A086778">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39E2B7CD">
      <w:pPr>
        <w:pStyle w:val="13"/>
        <w:keepNext w:val="0"/>
        <w:keepLines w:val="0"/>
        <w:pageBreakBefore w:val="0"/>
        <w:widowControl w:val="0"/>
        <w:shd w:val="clear"/>
        <w:kinsoku/>
        <w:wordWrap/>
        <w:overflowPunct/>
        <w:topLinePunct w:val="0"/>
        <w:bidi w:val="0"/>
        <w:snapToGrid/>
        <w:spacing w:line="600" w:lineRule="exact"/>
        <w:textAlignment w:val="auto"/>
        <w:rPr>
          <w:rFonts w:hAnsi="黑体"/>
          <w:bCs/>
          <w:sz w:val="32"/>
          <w:szCs w:val="32"/>
        </w:rPr>
      </w:pPr>
      <w:r>
        <w:rPr>
          <w:rFonts w:hint="eastAsia" w:hAnsi="黑体"/>
          <w:bCs/>
          <w:sz w:val="32"/>
          <w:szCs w:val="32"/>
        </w:rPr>
        <w:t>第二部分 部门决算表</w:t>
      </w:r>
    </w:p>
    <w:p w14:paraId="5C7E7894">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5CAA222C">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5311D474">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646EC179">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0278DD3B">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五、一般公共预算财政拨款支出决算表</w:t>
      </w:r>
    </w:p>
    <w:p w14:paraId="4B440C3F">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六、一般公共预算财政拨款基本支出决算明细表</w:t>
      </w:r>
    </w:p>
    <w:p w14:paraId="0FEE31F7">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七、政府性基金预算财政拨款收入支出决算表</w:t>
      </w:r>
    </w:p>
    <w:p w14:paraId="1F6B2D24">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八、国有资本经营预算财政拨款支出决算表</w:t>
      </w:r>
    </w:p>
    <w:p w14:paraId="43A1053E">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九、财政拨款“三公”经费支出决算表</w:t>
      </w:r>
    </w:p>
    <w:p w14:paraId="158F6D00">
      <w:pPr>
        <w:pStyle w:val="13"/>
        <w:keepNext w:val="0"/>
        <w:keepLines w:val="0"/>
        <w:pageBreakBefore w:val="0"/>
        <w:widowControl w:val="0"/>
        <w:shd w:val="clear"/>
        <w:kinsoku/>
        <w:wordWrap/>
        <w:overflowPunct/>
        <w:topLinePunct w:val="0"/>
        <w:bidi w:val="0"/>
        <w:snapToGrid/>
        <w:spacing w:line="600" w:lineRule="exact"/>
        <w:textAlignment w:val="auto"/>
        <w:rPr>
          <w:rFonts w:hAnsi="黑体"/>
          <w:bCs/>
          <w:sz w:val="32"/>
          <w:szCs w:val="32"/>
        </w:rPr>
      </w:pPr>
      <w:r>
        <w:rPr>
          <w:rFonts w:hint="eastAsia" w:hAnsi="黑体"/>
          <w:bCs/>
          <w:sz w:val="32"/>
          <w:szCs w:val="32"/>
        </w:rPr>
        <w:t>第三部分 部门决算情况说明</w:t>
      </w:r>
    </w:p>
    <w:p w14:paraId="1AA1AC1C">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2992A306">
      <w:pPr>
        <w:keepNext w:val="0"/>
        <w:keepLines w:val="0"/>
        <w:pageBreakBefore w:val="0"/>
        <w:widowControl w:val="0"/>
        <w:shd w:val="clear"/>
        <w:kinsoku/>
        <w:wordWrap/>
        <w:overflowPunct/>
        <w:topLinePunct w:val="0"/>
        <w:bidi w:val="0"/>
        <w:snapToGrid/>
        <w:spacing w:line="600" w:lineRule="exact"/>
        <w:ind w:firstLine="800" w:firstLineChars="25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32FEE053">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三、支出决算情况说明</w:t>
      </w:r>
    </w:p>
    <w:p w14:paraId="5703B339">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四、财政拨款收入支出决算总体情况说明</w:t>
      </w:r>
    </w:p>
    <w:p w14:paraId="0D6C79FE">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五、一般公共预算财政拨款支出决算情况说明</w:t>
      </w:r>
    </w:p>
    <w:p w14:paraId="3A76F371">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六、一般公共预算财政拨款基本支出决算情况说明</w:t>
      </w:r>
    </w:p>
    <w:p w14:paraId="6E3A8B20">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七、一般公共预算财政拨款三公经费支出决算情况说明</w:t>
      </w:r>
    </w:p>
    <w:p w14:paraId="09CED9E6">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八、政府性基金预算收入支出决算情况</w:t>
      </w:r>
    </w:p>
    <w:p w14:paraId="3A225A89">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rPr>
      </w:pPr>
      <w:r>
        <w:rPr>
          <w:rFonts w:hint="eastAsia" w:hAnsi="黑体"/>
          <w:color w:val="3D3D3D"/>
          <w:sz w:val="32"/>
          <w:szCs w:val="32"/>
        </w:rPr>
        <w:t>九</w:t>
      </w:r>
      <w:r>
        <w:rPr>
          <w:rFonts w:hint="eastAsia" w:ascii="仿宋_GB2312" w:hAnsi="仿宋_GB2312" w:eastAsia="仿宋_GB2312" w:cs="仿宋_GB2312"/>
          <w:color w:val="000000"/>
          <w:kern w:val="0"/>
          <w:sz w:val="32"/>
          <w:szCs w:val="32"/>
        </w:rPr>
        <w:t>、国有资本经营预算财政拨款支出决算情况说明</w:t>
      </w:r>
    </w:p>
    <w:p w14:paraId="3FB1F057">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十、关于机关运行经费支出说明</w:t>
      </w:r>
    </w:p>
    <w:p w14:paraId="3AA951CD">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十一、一般性支出情况说明</w:t>
      </w:r>
    </w:p>
    <w:p w14:paraId="06859CA9">
      <w:pPr>
        <w:keepNext w:val="0"/>
        <w:keepLines w:val="0"/>
        <w:pageBreakBefore w:val="0"/>
        <w:widowControl w:val="0"/>
        <w:shd w:val="clear"/>
        <w:kinsoku/>
        <w:wordWrap/>
        <w:overflowPunct/>
        <w:topLinePunct w:val="0"/>
        <w:autoSpaceDE w:val="0"/>
        <w:autoSpaceDN w:val="0"/>
        <w:bidi w:val="0"/>
        <w:adjustRightInd w:val="0"/>
        <w:snapToGrid/>
        <w:spacing w:line="600" w:lineRule="exact"/>
        <w:ind w:firstLine="800" w:firstLineChars="25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十二、关于政府采购支出说明</w:t>
      </w:r>
    </w:p>
    <w:p w14:paraId="1B63126D">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十三、关于国有资产占用情况说明</w:t>
      </w:r>
    </w:p>
    <w:p w14:paraId="7B3B5FE3">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十四、关于预算绩效情况的说明</w:t>
      </w:r>
    </w:p>
    <w:p w14:paraId="4EE9CA49">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hAnsi="黑体"/>
          <w:bCs/>
          <w:sz w:val="32"/>
          <w:szCs w:val="32"/>
        </w:rPr>
      </w:pPr>
      <w:r>
        <w:rPr>
          <w:rFonts w:hint="eastAsia" w:hAnsi="黑体"/>
          <w:bCs/>
          <w:sz w:val="32"/>
          <w:szCs w:val="32"/>
        </w:rPr>
        <w:t>第四部分</w:t>
      </w:r>
      <w:r>
        <w:rPr>
          <w:rFonts w:hint="eastAsia" w:hAnsi="黑体"/>
          <w:bCs/>
          <w:sz w:val="32"/>
          <w:szCs w:val="32"/>
          <w:lang w:val="en-US" w:eastAsia="zh-CN"/>
        </w:rPr>
        <w:t xml:space="preserve"> </w:t>
      </w:r>
      <w:r>
        <w:rPr>
          <w:rFonts w:hint="eastAsia" w:hAnsi="黑体"/>
          <w:bCs/>
          <w:sz w:val="32"/>
          <w:szCs w:val="32"/>
        </w:rPr>
        <w:t>名词解释</w:t>
      </w:r>
    </w:p>
    <w:p w14:paraId="27748942">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hAnsi="黑体"/>
          <w:bCs/>
          <w:sz w:val="32"/>
          <w:szCs w:val="32"/>
        </w:rPr>
      </w:pPr>
      <w:r>
        <w:rPr>
          <w:rFonts w:hint="eastAsia" w:hAnsi="黑体"/>
          <w:bCs/>
          <w:sz w:val="32"/>
          <w:szCs w:val="32"/>
        </w:rPr>
        <w:t>第五部分</w:t>
      </w:r>
      <w:r>
        <w:rPr>
          <w:rFonts w:hint="eastAsia" w:hAnsi="黑体"/>
          <w:bCs/>
          <w:sz w:val="32"/>
          <w:szCs w:val="32"/>
          <w:lang w:val="en-US" w:eastAsia="zh-CN"/>
        </w:rPr>
        <w:t xml:space="preserve"> </w:t>
      </w:r>
      <w:r>
        <w:rPr>
          <w:rFonts w:hint="eastAsia" w:hAnsi="黑体"/>
          <w:bCs/>
          <w:sz w:val="32"/>
          <w:szCs w:val="32"/>
        </w:rPr>
        <w:t>附件</w:t>
      </w:r>
    </w:p>
    <w:p w14:paraId="08B7BF32">
      <w:pPr>
        <w:shd w:val="clear"/>
        <w:jc w:val="both"/>
        <w:rPr>
          <w:sz w:val="72"/>
          <w:szCs w:val="72"/>
        </w:rPr>
      </w:pPr>
    </w:p>
    <w:p w14:paraId="4D92BCEA">
      <w:pPr>
        <w:pStyle w:val="13"/>
        <w:shd w:val="clear"/>
        <w:tabs>
          <w:tab w:val="left" w:pos="5715"/>
        </w:tabs>
        <w:spacing w:line="500" w:lineRule="exact"/>
        <w:ind w:firstLine="700" w:firstLineChars="250"/>
        <w:rPr>
          <w:rFonts w:ascii="仿宋_GB2312" w:hAnsi="仿宋_GB2312" w:eastAsia="仿宋_GB2312" w:cs="仿宋_GB2312"/>
          <w:sz w:val="28"/>
          <w:szCs w:val="28"/>
        </w:rPr>
      </w:pPr>
    </w:p>
    <w:p w14:paraId="7A3EB463">
      <w:pPr>
        <w:shd w:val="clear"/>
        <w:rPr>
          <w:sz w:val="72"/>
          <w:szCs w:val="72"/>
        </w:rPr>
      </w:pPr>
      <w:r>
        <w:rPr>
          <w:sz w:val="72"/>
          <w:szCs w:val="72"/>
        </w:rPr>
        <w:br w:type="page"/>
      </w:r>
    </w:p>
    <w:p w14:paraId="3DD1A70F">
      <w:pPr>
        <w:pStyle w:val="13"/>
        <w:shd w:val="clear"/>
        <w:jc w:val="center"/>
        <w:rPr>
          <w:rFonts w:hint="eastAsia" w:ascii="方正小标宋_GBK" w:hAnsi="方正小标宋_GBK" w:eastAsia="方正小标宋_GBK" w:cs="方正小标宋_GBK"/>
          <w:color w:val="auto"/>
          <w:sz w:val="84"/>
          <w:szCs w:val="84"/>
          <w:highlight w:val="none"/>
        </w:rPr>
      </w:pPr>
    </w:p>
    <w:p w14:paraId="6348F1F0">
      <w:pPr>
        <w:pStyle w:val="13"/>
        <w:shd w:val="clear"/>
        <w:jc w:val="center"/>
        <w:rPr>
          <w:rFonts w:hint="eastAsia" w:ascii="方正小标宋_GBK" w:hAnsi="方正小标宋_GBK" w:eastAsia="方正小标宋_GBK" w:cs="方正小标宋_GBK"/>
          <w:color w:val="auto"/>
          <w:sz w:val="84"/>
          <w:szCs w:val="84"/>
          <w:highlight w:val="none"/>
        </w:rPr>
      </w:pPr>
    </w:p>
    <w:p w14:paraId="02E9817D">
      <w:pPr>
        <w:pStyle w:val="13"/>
        <w:shd w:val="clear"/>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 xml:space="preserve">第一部分 </w:t>
      </w:r>
    </w:p>
    <w:p w14:paraId="6A357A98">
      <w:pPr>
        <w:pStyle w:val="13"/>
        <w:shd w:val="clear"/>
        <w:jc w:val="center"/>
        <w:rPr>
          <w:rFonts w:hint="eastAsia" w:ascii="方正小标宋_GBK" w:hAnsi="方正小标宋_GBK" w:eastAsia="方正小标宋_GBK" w:cs="方正小标宋_GBK"/>
          <w:color w:val="auto"/>
          <w:sz w:val="84"/>
          <w:szCs w:val="84"/>
          <w:highlight w:val="none"/>
          <w:lang w:eastAsia="zh-CN"/>
        </w:rPr>
      </w:pPr>
    </w:p>
    <w:p w14:paraId="30C00F3D">
      <w:pPr>
        <w:pStyle w:val="13"/>
        <w:shd w:val="clear"/>
        <w:jc w:val="center"/>
        <w:rPr>
          <w:rFonts w:hint="eastAsia" w:ascii="方正小标宋_GBK" w:hAnsi="方正小标宋_GBK" w:eastAsia="方正小标宋_GBK" w:cs="方正小标宋_GBK"/>
          <w:color w:val="auto"/>
          <w:sz w:val="72"/>
          <w:szCs w:val="72"/>
          <w:highlight w:val="none"/>
          <w:lang w:eastAsia="zh-CN"/>
        </w:rPr>
      </w:pPr>
      <w:r>
        <w:rPr>
          <w:rFonts w:hint="eastAsia" w:ascii="方正小标宋_GBK" w:hAnsi="方正小标宋_GBK" w:eastAsia="方正小标宋_GBK" w:cs="方正小标宋_GBK"/>
          <w:color w:val="auto"/>
          <w:sz w:val="72"/>
          <w:szCs w:val="72"/>
          <w:highlight w:val="none"/>
          <w:lang w:eastAsia="zh-CN"/>
        </w:rPr>
        <w:t>怀化市医疗保障局</w:t>
      </w:r>
    </w:p>
    <w:p w14:paraId="63F0B6F6">
      <w:pPr>
        <w:pStyle w:val="13"/>
        <w:shd w:val="clear"/>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概</w:t>
      </w:r>
      <w:r>
        <w:rPr>
          <w:rFonts w:hint="eastAsia" w:ascii="方正小标宋_GBK" w:hAnsi="方正小标宋_GBK" w:eastAsia="方正小标宋_GBK" w:cs="方正小标宋_GBK"/>
          <w:color w:val="auto"/>
          <w:sz w:val="72"/>
          <w:szCs w:val="72"/>
          <w:highlight w:val="none"/>
          <w:lang w:val="en-US" w:eastAsia="zh-CN"/>
        </w:rPr>
        <w:t xml:space="preserve"> </w:t>
      </w:r>
      <w:r>
        <w:rPr>
          <w:rFonts w:hint="eastAsia" w:ascii="方正小标宋_GBK" w:hAnsi="方正小标宋_GBK" w:eastAsia="方正小标宋_GBK" w:cs="方正小标宋_GBK"/>
          <w:color w:val="auto"/>
          <w:sz w:val="72"/>
          <w:szCs w:val="72"/>
          <w:highlight w:val="none"/>
        </w:rPr>
        <w:t>况</w:t>
      </w:r>
    </w:p>
    <w:p w14:paraId="78E3C1B1">
      <w:pPr>
        <w:shd w:val="clear"/>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br w:type="page"/>
      </w:r>
    </w:p>
    <w:p w14:paraId="3B8CE8E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sz w:val="32"/>
          <w:szCs w:val="32"/>
        </w:rPr>
      </w:pPr>
      <w:r>
        <w:rPr>
          <w:rFonts w:hint="default"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14:paraId="4A0C4BE9">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（1）负责中心的日常运转以及党建、干部人事、文秘内勤、综合治理、对外宣传、后勤服务等工作</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负责市直参保单位健康管理有关工作；负责市直单位的参保登记，及时采集、比对参保人员基本信息；开展参保政策组织动员和宣传；建立部门间信息定期比对共享机制和数据动态管理机制；承担跨省、跨市和市内异地医疗保障关系转移接续；负责业务统计报表工作；负责市本级医药机构准入评估工作；负责组织落实中心扶贫点的脱贫攻坚工作。</w:t>
      </w:r>
    </w:p>
    <w:p w14:paraId="0C6FFA12">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（2）负责编制市直参保单位职责范围内的保障经办事务的财务报表及基金预决算；负责市直协议医疗机构、协议零售药店的医疗费用审定及支付工作；负责医疗保险基金</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费</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的内部审计和分析工作。负责部门经费预决算及财务管理、财务报表、劳动工资统计报表工作。</w:t>
      </w:r>
    </w:p>
    <w:p w14:paraId="13CFCDC5">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3）主要负责市本级医疗保险、生育保险、大病医疗互助、医疗救助、特殊病种、特殊药品待遇经办服务工作，负责市直单位公务员医疗补助的经办服务工作；协助有关部门拟订基本医疗保险、生育保险药品目录、诊疗项目录、医疗服务设施标准目录并组织</w:t>
      </w:r>
      <w:r>
        <w:rPr>
          <w:rFonts w:hint="eastAsia" w:ascii="Times New Roman" w:hAnsi="Times New Roman" w:eastAsia="仿宋_GB2312"/>
          <w:color w:val="auto"/>
          <w:kern w:val="0"/>
          <w:sz w:val="32"/>
          <w:szCs w:val="32"/>
          <w:highlight w:val="none"/>
          <w:lang w:eastAsia="zh-CN"/>
        </w:rPr>
        <w:t>实</w:t>
      </w:r>
      <w:r>
        <w:rPr>
          <w:rFonts w:hint="eastAsia" w:ascii="Times New Roman" w:hAnsi="Times New Roman" w:eastAsia="仿宋_GB2312"/>
          <w:color w:val="auto"/>
          <w:kern w:val="0"/>
          <w:sz w:val="32"/>
          <w:szCs w:val="32"/>
          <w:highlight w:val="none"/>
        </w:rPr>
        <w:t>施；负责市本级离休干部医疗保障待遇费用的经办服务工作协助有关部门拟订离休干部医疗保险药品目录、诊疗项目目录、医疗服务设施标准目录并组织实施</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负责医保扶贫有关业务经办工作。</w:t>
      </w:r>
    </w:p>
    <w:p w14:paraId="4B5DEF7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4）主要负责跨省和市内医疗保障异地就医经办事务；协助拟订跨省和市内异地就医管理办法和结算政策；落实异地就医风险调节基金和待遇支付；承担异地基本医疗、大病保险、医疗救助等医疗保险“一站式”经办结算服务工作；负责城乡居民大病保险工作；负责新冠肺炎结算、统计等工作。</w:t>
      </w:r>
    </w:p>
    <w:p w14:paraId="12FAD5B0">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5）主要负责参与、配合医药招标采购方案和招标采购目录制定；协调、配合医药招标采购平台建设；监督医疗机构医药采购和中标药品、医用耗材配送行为；参与医保药品价格谈判工作，负责市本级医疗服务项目和医疗服务设施价格的成本核算和评估；制定医药价格及医保管理服务技术标准规范；监测医药价格和信息发布；开展市本级医药价格监测工作。</w:t>
      </w:r>
    </w:p>
    <w:p w14:paraId="0BD5AFF9">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6）主要负责拟订市直参保单位基本医疗保险协议管理医疗机构、零售药店的服务协议及费用结算办法；拟订市直参保单位生育保险协议管理医疗机构的服务协议及费用结算办法；拟订离休干部医疗保险协议管理医疗机构的服务协议及费用结算办法；指导市直协议医疗机构、协议零售药店服务协议签订及履行，并对协议医疗机构、协议零售药店进行监督管理测评。</w:t>
      </w:r>
    </w:p>
    <w:p w14:paraId="2983F428">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7）负责对市直参保单位职责范围内的医疗保险、生育保险、大病医疗互助、特殊病种、特殊药品、公务员医疗补助、离退休干部医疗保障、医疗救助费用等审核工作；负责审计、稽核个人账户资金、统筹基金的运营情况</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组织拟订各项业务工作规程、规范及管理制度，并进行协调和督查</w:t>
      </w:r>
      <w:r>
        <w:rPr>
          <w:rFonts w:hint="eastAsia" w:ascii="Times New Roman" w:hAnsi="Times New Roman" w:eastAsia="仿宋_GB2312"/>
          <w:color w:val="auto"/>
          <w:kern w:val="0"/>
          <w:sz w:val="32"/>
          <w:szCs w:val="32"/>
          <w:highlight w:val="none"/>
          <w:lang w:eastAsia="zh-CN"/>
        </w:rPr>
        <w:t>；</w:t>
      </w:r>
      <w:r>
        <w:rPr>
          <w:rFonts w:hint="eastAsia" w:ascii="Times New Roman" w:hAnsi="Times New Roman" w:eastAsia="仿宋_GB2312"/>
          <w:color w:val="auto"/>
          <w:kern w:val="0"/>
          <w:sz w:val="32"/>
          <w:szCs w:val="32"/>
          <w:highlight w:val="none"/>
        </w:rPr>
        <w:t>开展医疗保障经办机构内控管理和风险防控；负责市本级特殊病种的门诊评审工作。</w:t>
      </w:r>
    </w:p>
    <w:p w14:paraId="35D10425">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（8）完成市委、市政府交办的其他事宜。</w:t>
      </w:r>
    </w:p>
    <w:p w14:paraId="57FA7947">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4836F355">
      <w:pPr>
        <w:keepNext w:val="0"/>
        <w:keepLines w:val="0"/>
        <w:pageBreakBefore w:val="0"/>
        <w:widowControl w:val="0"/>
        <w:shd w:val="clea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olor w:val="auto"/>
          <w:kern w:val="0"/>
          <w:sz w:val="32"/>
          <w:szCs w:val="32"/>
          <w:highlight w:val="none"/>
        </w:rPr>
      </w:pPr>
      <w:r>
        <w:rPr>
          <w:rFonts w:hint="eastAsia" w:ascii="楷体_GB2312" w:hAnsi="楷体_GB2312" w:eastAsia="楷体_GB2312" w:cs="楷体_GB2312"/>
          <w:b/>
          <w:bCs/>
          <w:color w:val="auto"/>
          <w:kern w:val="0"/>
          <w:sz w:val="32"/>
          <w:szCs w:val="32"/>
          <w:highlight w:val="none"/>
        </w:rPr>
        <w:t>（一）内设机构设置。</w:t>
      </w:r>
      <w:r>
        <w:rPr>
          <w:rFonts w:hint="eastAsia" w:ascii="Times New Roman" w:hAnsi="Times New Roman" w:eastAsia="仿宋_GB2312"/>
          <w:color w:val="auto"/>
          <w:kern w:val="0"/>
          <w:sz w:val="32"/>
          <w:szCs w:val="32"/>
          <w:highlight w:val="none"/>
        </w:rPr>
        <w:t>怀化市医疗保障事务中心内设机构包括：综合部、财务审核部、待遇保障服务部、异地结算和稽核事务部、医药招采事务部、协议管理价格检测部。</w:t>
      </w:r>
    </w:p>
    <w:p w14:paraId="458C0230">
      <w:pPr>
        <w:keepNext w:val="0"/>
        <w:keepLines w:val="0"/>
        <w:pageBreakBefore w:val="0"/>
        <w:widowControl w:val="0"/>
        <w:shd w:val="clea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olor w:val="auto"/>
          <w:kern w:val="0"/>
          <w:sz w:val="32"/>
          <w:szCs w:val="32"/>
          <w:highlight w:val="none"/>
        </w:rPr>
      </w:pPr>
      <w:r>
        <w:rPr>
          <w:rFonts w:hint="eastAsia" w:ascii="楷体_GB2312" w:hAnsi="楷体_GB2312" w:eastAsia="楷体_GB2312" w:cs="楷体_GB2312"/>
          <w:b/>
          <w:bCs/>
          <w:color w:val="auto"/>
          <w:kern w:val="0"/>
          <w:sz w:val="32"/>
          <w:szCs w:val="32"/>
          <w:highlight w:val="none"/>
        </w:rPr>
        <w:t>（二）决算单位构成。</w:t>
      </w:r>
      <w:r>
        <w:rPr>
          <w:rFonts w:hint="eastAsia" w:ascii="Times New Roman" w:hAnsi="Times New Roman" w:eastAsia="仿宋_GB2312"/>
          <w:color w:val="auto"/>
          <w:kern w:val="0"/>
          <w:sz w:val="32"/>
          <w:szCs w:val="32"/>
          <w:highlight w:val="none"/>
        </w:rPr>
        <w:t>怀化市医疗保障事务中心2022年部门决算汇总公开单位构成包括：怀化市医疗保障事务中心本级。</w:t>
      </w:r>
    </w:p>
    <w:p w14:paraId="38367EC9">
      <w:pP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br w:type="page"/>
      </w:r>
    </w:p>
    <w:p w14:paraId="6C446D7E">
      <w:pPr>
        <w:pStyle w:val="13"/>
        <w:shd w:val="clear"/>
        <w:jc w:val="center"/>
        <w:rPr>
          <w:rFonts w:hint="eastAsia" w:ascii="方正小标宋_GBK" w:hAnsi="方正小标宋_GBK" w:eastAsia="方正小标宋_GBK" w:cs="方正小标宋_GBK"/>
          <w:color w:val="auto"/>
          <w:sz w:val="84"/>
          <w:szCs w:val="84"/>
          <w:highlight w:val="none"/>
        </w:rPr>
      </w:pPr>
    </w:p>
    <w:p w14:paraId="58BAA72F">
      <w:pPr>
        <w:pStyle w:val="13"/>
        <w:shd w:val="clear"/>
        <w:jc w:val="center"/>
        <w:rPr>
          <w:rFonts w:hint="eastAsia" w:ascii="方正小标宋_GBK" w:hAnsi="方正小标宋_GBK" w:eastAsia="方正小标宋_GBK" w:cs="方正小标宋_GBK"/>
          <w:color w:val="auto"/>
          <w:sz w:val="84"/>
          <w:szCs w:val="84"/>
          <w:highlight w:val="none"/>
        </w:rPr>
      </w:pPr>
    </w:p>
    <w:p w14:paraId="30B6D683">
      <w:pPr>
        <w:pStyle w:val="13"/>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68BFE226">
      <w:pPr>
        <w:pStyle w:val="13"/>
        <w:shd w:val="clear"/>
        <w:jc w:val="center"/>
        <w:rPr>
          <w:rFonts w:hint="eastAsia" w:ascii="方正小标宋_GBK" w:hAnsi="方正小标宋_GBK" w:eastAsia="方正小标宋_GBK" w:cs="方正小标宋_GBK"/>
          <w:color w:val="auto"/>
          <w:sz w:val="84"/>
          <w:szCs w:val="84"/>
          <w:highlight w:val="none"/>
        </w:rPr>
      </w:pPr>
    </w:p>
    <w:p w14:paraId="04764E33">
      <w:pPr>
        <w:pStyle w:val="13"/>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1CBFAC0E">
      <w:pPr>
        <w:shd w:val="clear"/>
        <w:jc w:val="center"/>
        <w:rPr>
          <w:color w:val="auto"/>
          <w:sz w:val="72"/>
          <w:szCs w:val="72"/>
          <w:highlight w:val="none"/>
        </w:rPr>
      </w:pPr>
    </w:p>
    <w:p w14:paraId="1BD901E2">
      <w:pPr>
        <w:shd w:val="clear"/>
        <w:jc w:val="center"/>
        <w:rPr>
          <w:color w:val="auto"/>
          <w:sz w:val="72"/>
          <w:szCs w:val="72"/>
          <w:highlight w:val="none"/>
        </w:rPr>
      </w:pPr>
    </w:p>
    <w:p w14:paraId="0FEE9A16">
      <w:pPr>
        <w:shd w:val="clear"/>
        <w:jc w:val="center"/>
        <w:rPr>
          <w:color w:val="auto"/>
          <w:sz w:val="72"/>
          <w:szCs w:val="72"/>
          <w:highlight w:val="none"/>
        </w:rPr>
      </w:pPr>
    </w:p>
    <w:p w14:paraId="1BFE46A3">
      <w:pPr>
        <w:rPr>
          <w:rFonts w:asciiTheme="minorEastAsia" w:hAnsiTheme="minorEastAsia"/>
          <w:sz w:val="32"/>
          <w:szCs w:val="32"/>
        </w:rPr>
      </w:pPr>
    </w:p>
    <w:p w14:paraId="5AC1950A">
      <w:pPr>
        <w:rPr>
          <w:rFonts w:asciiTheme="minorEastAsia" w:hAnsiTheme="minorEastAsia"/>
          <w:sz w:val="32"/>
          <w:szCs w:val="32"/>
        </w:rPr>
      </w:pPr>
      <w:r>
        <w:rPr>
          <w:rFonts w:asciiTheme="minorEastAsia" w:hAnsiTheme="minorEastAsia"/>
          <w:sz w:val="32"/>
          <w:szCs w:val="32"/>
        </w:rPr>
        <w:br w:type="page"/>
      </w:r>
    </w:p>
    <w:p w14:paraId="60A39565">
      <w:pPr>
        <w:pStyle w:val="13"/>
        <w:shd w:val="clear"/>
        <w:rPr>
          <w:color w:val="auto"/>
          <w:sz w:val="72"/>
          <w:szCs w:val="72"/>
          <w:highlight w:val="none"/>
        </w:rPr>
      </w:pPr>
    </w:p>
    <w:p w14:paraId="09110FF3">
      <w:pPr>
        <w:pStyle w:val="13"/>
        <w:shd w:val="clear"/>
        <w:jc w:val="both"/>
        <w:rPr>
          <w:rFonts w:hint="eastAsia" w:ascii="方正小标宋_GBK" w:hAnsi="方正小标宋_GBK" w:eastAsia="方正小标宋_GBK" w:cs="方正小标宋_GBK"/>
          <w:color w:val="auto"/>
          <w:sz w:val="72"/>
          <w:szCs w:val="72"/>
          <w:highlight w:val="none"/>
        </w:rPr>
      </w:pPr>
    </w:p>
    <w:p w14:paraId="1EA91B3F">
      <w:pPr>
        <w:pStyle w:val="13"/>
        <w:shd w:val="clear"/>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2AF31DCA">
      <w:pPr>
        <w:pStyle w:val="13"/>
        <w:shd w:val="clear"/>
        <w:jc w:val="center"/>
        <w:rPr>
          <w:rFonts w:hint="eastAsia" w:ascii="方正小标宋_GBK" w:hAnsi="方正小标宋_GBK" w:eastAsia="方正小标宋_GBK" w:cs="方正小标宋_GBK"/>
          <w:color w:val="auto"/>
          <w:sz w:val="70"/>
          <w:szCs w:val="70"/>
          <w:highlight w:val="none"/>
        </w:rPr>
      </w:pPr>
    </w:p>
    <w:p w14:paraId="77C2F0E8">
      <w:pPr>
        <w:pStyle w:val="13"/>
        <w:shd w:val="clear"/>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w:t>
      </w:r>
    </w:p>
    <w:p w14:paraId="19E9E606">
      <w:pPr>
        <w:pStyle w:val="13"/>
        <w:shd w:val="clear"/>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情况说明</w:t>
      </w:r>
    </w:p>
    <w:p w14:paraId="3AB7C147">
      <w:pPr>
        <w:widowControl/>
        <w:shd w:val="clear"/>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48ACD59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一、收入支出决算总体情况说明</w:t>
      </w:r>
    </w:p>
    <w:p w14:paraId="223508E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2022年度收、支总计</w:t>
      </w:r>
      <w:r>
        <w:rPr>
          <w:rFonts w:hint="eastAsia" w:ascii="Times New Roman" w:hAnsi="Times New Roman" w:eastAsia="仿宋_GB2312"/>
          <w:i w:val="0"/>
          <w:iCs w:val="0"/>
          <w:spacing w:val="0"/>
          <w:sz w:val="32"/>
          <w:szCs w:val="32"/>
          <w:lang w:val="en-US" w:eastAsia="zh-CN"/>
        </w:rPr>
        <w:t>均为</w:t>
      </w:r>
      <w:r>
        <w:rPr>
          <w:rFonts w:hint="eastAsia" w:ascii="Times New Roman" w:hAnsi="Times New Roman" w:eastAsia="仿宋_GB2312"/>
          <w:i w:val="0"/>
          <w:iCs w:val="0"/>
          <w:spacing w:val="0"/>
          <w:sz w:val="32"/>
          <w:szCs w:val="32"/>
        </w:rPr>
        <w:t>553.29。与上年相比，增加66.58万元，增长13.68%，主要是因为单位下半年新增7名公职人员。</w:t>
      </w:r>
    </w:p>
    <w:p w14:paraId="2DA3C42F">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二、收入决算情况说明</w:t>
      </w:r>
    </w:p>
    <w:p w14:paraId="651CB5B1">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lang w:eastAsia="zh-CN"/>
        </w:rPr>
      </w:pPr>
      <w:r>
        <w:rPr>
          <w:rFonts w:hint="eastAsia" w:ascii="Times New Roman" w:hAnsi="Times New Roman" w:eastAsia="仿宋_GB2312"/>
          <w:i w:val="0"/>
          <w:iCs w:val="0"/>
          <w:spacing w:val="0"/>
          <w:sz w:val="32"/>
          <w:szCs w:val="32"/>
        </w:rPr>
        <w:t>2022年度收入合计553.29万元，其中：财政拨款收入553.29万元，占100%</w:t>
      </w:r>
      <w:r>
        <w:rPr>
          <w:rFonts w:hint="eastAsia" w:ascii="Times New Roman" w:hAnsi="Times New Roman" w:eastAsia="仿宋_GB2312"/>
          <w:i w:val="0"/>
          <w:iCs w:val="0"/>
          <w:spacing w:val="0"/>
          <w:sz w:val="32"/>
          <w:szCs w:val="32"/>
          <w:lang w:eastAsia="zh-CN"/>
        </w:rPr>
        <w:t>。</w:t>
      </w:r>
    </w:p>
    <w:p w14:paraId="064728A4">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三、支出决算情况说明</w:t>
      </w:r>
    </w:p>
    <w:p w14:paraId="23603457">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yellow"/>
        </w:rPr>
      </w:pPr>
      <w:r>
        <w:rPr>
          <w:rFonts w:hint="eastAsia" w:ascii="Times New Roman" w:hAnsi="Times New Roman" w:eastAsia="仿宋_GB2312"/>
          <w:i w:val="0"/>
          <w:iCs w:val="0"/>
          <w:spacing w:val="0"/>
          <w:sz w:val="32"/>
          <w:szCs w:val="32"/>
        </w:rPr>
        <w:t>2022年度支出合计553.29万元，其中：基本支出401.29万元，占72.53%；项目支出152万元，占27.47%</w:t>
      </w:r>
      <w:r>
        <w:rPr>
          <w:rFonts w:hint="eastAsia" w:ascii="Times New Roman" w:hAnsi="Times New Roman" w:eastAsia="仿宋_GB2312"/>
          <w:i w:val="0"/>
          <w:iCs w:val="0"/>
          <w:spacing w:val="0"/>
          <w:sz w:val="32"/>
          <w:szCs w:val="32"/>
          <w:highlight w:val="none"/>
        </w:rPr>
        <w:t>。</w:t>
      </w:r>
    </w:p>
    <w:p w14:paraId="7124F94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四、财政拨款收入支出决算总体情况说明</w:t>
      </w:r>
    </w:p>
    <w:p w14:paraId="5B6FB79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2022年度财政拨款收、支总计</w:t>
      </w:r>
      <w:r>
        <w:rPr>
          <w:rFonts w:hint="eastAsia" w:ascii="Times New Roman" w:hAnsi="Times New Roman" w:eastAsia="仿宋_GB2312"/>
          <w:i w:val="0"/>
          <w:iCs w:val="0"/>
          <w:spacing w:val="0"/>
          <w:sz w:val="32"/>
          <w:szCs w:val="32"/>
          <w:lang w:val="en-US" w:eastAsia="zh-CN"/>
        </w:rPr>
        <w:t>均为</w:t>
      </w:r>
      <w:r>
        <w:rPr>
          <w:rFonts w:hint="eastAsia" w:ascii="Times New Roman" w:hAnsi="Times New Roman" w:eastAsia="仿宋_GB2312"/>
          <w:i w:val="0"/>
          <w:iCs w:val="0"/>
          <w:spacing w:val="0"/>
          <w:sz w:val="32"/>
          <w:szCs w:val="32"/>
        </w:rPr>
        <w:t>553.29万元，与上年相比，增加66.58万元</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增长13.68%，主要是因为单位下半年新增7名公职人员。</w:t>
      </w:r>
    </w:p>
    <w:p w14:paraId="0CF35B5D">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五、一般公共预算财政拨款支出决算情况说明</w:t>
      </w:r>
    </w:p>
    <w:p w14:paraId="26E0808D">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（一）财政拨款支出决算总体情况</w:t>
      </w:r>
    </w:p>
    <w:p w14:paraId="1074D3B9">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2022年度财政拨款支出553.29万元，占本年支出合计的100%，与上年相比，财政拨款支出增加66.58万元，增长13.68%，主要是因为单位下半年新增7名公职人员。</w:t>
      </w:r>
    </w:p>
    <w:p w14:paraId="78D0C8E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（二）财政拨款支出决算结构情况</w:t>
      </w:r>
    </w:p>
    <w:p w14:paraId="406B303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2022年度财政拨款支出553.29万元，主要用于以下方面：社会保障和就业支出（类）支出290.22万元，占52.45%；卫生健康支出（类）支出263.08万元，占47.55%。</w:t>
      </w:r>
    </w:p>
    <w:p w14:paraId="2E76D755">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（三）财政拨款支出决算具体情况</w:t>
      </w:r>
    </w:p>
    <w:p w14:paraId="6BF9DA07">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2022年度财政拨款支出年初预算数为553.29万元，支出决算数为553.29万元，完成年初预算的100%，其中：</w:t>
      </w:r>
    </w:p>
    <w:p w14:paraId="055B29AF">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1、社会保障和就业支出（类208）人力资源和社会保障管理事务（款20801）行政运行（项2080101）。</w:t>
      </w:r>
    </w:p>
    <w:p w14:paraId="64562AA8">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i w:val="0"/>
          <w:iCs w:val="0"/>
          <w:spacing w:val="0"/>
          <w:sz w:val="32"/>
          <w:szCs w:val="32"/>
          <w:lang w:val="en-US" w:eastAsia="zh-CN"/>
        </w:rPr>
      </w:pPr>
      <w:r>
        <w:rPr>
          <w:rFonts w:hint="eastAsia" w:ascii="Times New Roman" w:hAnsi="Times New Roman" w:eastAsia="仿宋_GB2312"/>
          <w:i w:val="0"/>
          <w:iCs w:val="0"/>
          <w:spacing w:val="0"/>
          <w:sz w:val="32"/>
          <w:szCs w:val="32"/>
        </w:rPr>
        <w:t>年初预算为199.16万元，支出决算为199.16万元，完成年初预算的100%</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决算数</w:t>
      </w:r>
      <w:r>
        <w:rPr>
          <w:rFonts w:hint="eastAsia" w:ascii="Times New Roman" w:hAnsi="Times New Roman" w:eastAsia="仿宋_GB2312"/>
          <w:i w:val="0"/>
          <w:iCs w:val="0"/>
          <w:spacing w:val="0"/>
          <w:sz w:val="32"/>
          <w:szCs w:val="32"/>
          <w:lang w:val="en-US" w:eastAsia="zh-CN"/>
        </w:rPr>
        <w:t>等于</w:t>
      </w:r>
      <w:r>
        <w:rPr>
          <w:rFonts w:hint="eastAsia" w:ascii="Times New Roman" w:hAnsi="Times New Roman" w:eastAsia="仿宋_GB2312"/>
          <w:i w:val="0"/>
          <w:iCs w:val="0"/>
          <w:spacing w:val="0"/>
          <w:sz w:val="32"/>
          <w:szCs w:val="32"/>
        </w:rPr>
        <w:t>年初预算数</w:t>
      </w:r>
      <w:r>
        <w:rPr>
          <w:rFonts w:hint="eastAsia" w:ascii="Times New Roman" w:hAnsi="Times New Roman" w:eastAsia="仿宋_GB2312"/>
          <w:i w:val="0"/>
          <w:iCs w:val="0"/>
          <w:spacing w:val="0"/>
          <w:sz w:val="32"/>
          <w:szCs w:val="32"/>
          <w:lang w:val="en-US" w:eastAsia="zh-CN"/>
        </w:rPr>
        <w:t>的主要原因：按预算执行。</w:t>
      </w:r>
    </w:p>
    <w:p w14:paraId="35FF0507">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2、社会保障和就业支出（类208）人力资源和社会保障管理事务（款20801）</w:t>
      </w:r>
      <w:r>
        <w:rPr>
          <w:rFonts w:hint="eastAsia" w:ascii="Times New Roman" w:hAnsi="Times New Roman" w:eastAsia="仿宋_GB2312"/>
          <w:i w:val="0"/>
          <w:iCs w:val="0"/>
          <w:spacing w:val="0"/>
          <w:sz w:val="32"/>
          <w:szCs w:val="32"/>
          <w:lang w:val="en-US" w:eastAsia="zh-CN"/>
        </w:rPr>
        <w:t>社会保险业务管理事务</w:t>
      </w:r>
      <w:r>
        <w:rPr>
          <w:rFonts w:hint="eastAsia" w:ascii="Times New Roman" w:hAnsi="Times New Roman" w:eastAsia="仿宋_GB2312"/>
          <w:i w:val="0"/>
          <w:iCs w:val="0"/>
          <w:spacing w:val="0"/>
          <w:sz w:val="32"/>
          <w:szCs w:val="32"/>
        </w:rPr>
        <w:t>（项2080107）。</w:t>
      </w:r>
    </w:p>
    <w:p w14:paraId="7773954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lang w:val="en-US" w:eastAsia="zh-CN"/>
        </w:rPr>
      </w:pPr>
      <w:r>
        <w:rPr>
          <w:rFonts w:hint="eastAsia" w:ascii="Times New Roman" w:hAnsi="Times New Roman" w:eastAsia="仿宋_GB2312"/>
          <w:i w:val="0"/>
          <w:iCs w:val="0"/>
          <w:spacing w:val="0"/>
          <w:sz w:val="32"/>
          <w:szCs w:val="32"/>
        </w:rPr>
        <w:t>年初预算为50.4万元，支出决算为50.4万元，完成年初预算的100%</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决算数</w:t>
      </w:r>
      <w:r>
        <w:rPr>
          <w:rFonts w:hint="eastAsia" w:ascii="Times New Roman" w:hAnsi="Times New Roman" w:eastAsia="仿宋_GB2312"/>
          <w:i w:val="0"/>
          <w:iCs w:val="0"/>
          <w:spacing w:val="0"/>
          <w:sz w:val="32"/>
          <w:szCs w:val="32"/>
          <w:lang w:val="en-US" w:eastAsia="zh-CN"/>
        </w:rPr>
        <w:t>等于</w:t>
      </w:r>
      <w:r>
        <w:rPr>
          <w:rFonts w:hint="eastAsia" w:ascii="Times New Roman" w:hAnsi="Times New Roman" w:eastAsia="仿宋_GB2312"/>
          <w:i w:val="0"/>
          <w:iCs w:val="0"/>
          <w:spacing w:val="0"/>
          <w:sz w:val="32"/>
          <w:szCs w:val="32"/>
        </w:rPr>
        <w:t>年初预算数</w:t>
      </w:r>
      <w:r>
        <w:rPr>
          <w:rFonts w:hint="eastAsia" w:ascii="Times New Roman" w:hAnsi="Times New Roman" w:eastAsia="仿宋_GB2312"/>
          <w:i w:val="0"/>
          <w:iCs w:val="0"/>
          <w:spacing w:val="0"/>
          <w:sz w:val="32"/>
          <w:szCs w:val="32"/>
          <w:lang w:val="en-US" w:eastAsia="zh-CN"/>
        </w:rPr>
        <w:t>的主要原因：按预算执行。</w:t>
      </w:r>
    </w:p>
    <w:p w14:paraId="29C8901E">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3、社会保障和就业支出（类208）行政事业单位养老支出（款20805）</w:t>
      </w:r>
      <w:r>
        <w:rPr>
          <w:rFonts w:hint="eastAsia" w:ascii="Times New Roman" w:hAnsi="Times New Roman" w:eastAsia="仿宋_GB2312"/>
          <w:i w:val="0"/>
          <w:iCs w:val="0"/>
          <w:spacing w:val="0"/>
          <w:sz w:val="32"/>
          <w:szCs w:val="32"/>
          <w:lang w:val="en-US" w:eastAsia="zh-CN"/>
        </w:rPr>
        <w:t>事业单位离退休</w:t>
      </w:r>
      <w:r>
        <w:rPr>
          <w:rFonts w:hint="eastAsia" w:ascii="Times New Roman" w:hAnsi="Times New Roman" w:eastAsia="仿宋_GB2312"/>
          <w:i w:val="0"/>
          <w:iCs w:val="0"/>
          <w:spacing w:val="0"/>
          <w:sz w:val="32"/>
          <w:szCs w:val="32"/>
        </w:rPr>
        <w:t>（项2080502）。</w:t>
      </w:r>
    </w:p>
    <w:p w14:paraId="18041E2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lang w:val="en-US" w:eastAsia="zh-CN"/>
        </w:rPr>
      </w:pPr>
      <w:r>
        <w:rPr>
          <w:rFonts w:hint="eastAsia" w:ascii="Times New Roman" w:hAnsi="Times New Roman" w:eastAsia="仿宋_GB2312"/>
          <w:i w:val="0"/>
          <w:iCs w:val="0"/>
          <w:spacing w:val="0"/>
          <w:sz w:val="32"/>
          <w:szCs w:val="32"/>
        </w:rPr>
        <w:t>年初预算为11.63万元，支出决算为11.63万元，完成年初预算的100%</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决算数</w:t>
      </w:r>
      <w:r>
        <w:rPr>
          <w:rFonts w:hint="eastAsia" w:ascii="Times New Roman" w:hAnsi="Times New Roman" w:eastAsia="仿宋_GB2312"/>
          <w:i w:val="0"/>
          <w:iCs w:val="0"/>
          <w:spacing w:val="0"/>
          <w:sz w:val="32"/>
          <w:szCs w:val="32"/>
          <w:lang w:val="en-US" w:eastAsia="zh-CN"/>
        </w:rPr>
        <w:t>等于</w:t>
      </w:r>
      <w:r>
        <w:rPr>
          <w:rFonts w:hint="eastAsia" w:ascii="Times New Roman" w:hAnsi="Times New Roman" w:eastAsia="仿宋_GB2312"/>
          <w:i w:val="0"/>
          <w:iCs w:val="0"/>
          <w:spacing w:val="0"/>
          <w:sz w:val="32"/>
          <w:szCs w:val="32"/>
        </w:rPr>
        <w:t>年初预算数</w:t>
      </w:r>
      <w:r>
        <w:rPr>
          <w:rFonts w:hint="eastAsia" w:ascii="Times New Roman" w:hAnsi="Times New Roman" w:eastAsia="仿宋_GB2312"/>
          <w:i w:val="0"/>
          <w:iCs w:val="0"/>
          <w:spacing w:val="0"/>
          <w:sz w:val="32"/>
          <w:szCs w:val="32"/>
          <w:lang w:val="en-US" w:eastAsia="zh-CN"/>
        </w:rPr>
        <w:t>的主要原因：按预算执行。</w:t>
      </w:r>
    </w:p>
    <w:p w14:paraId="42752922">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rPr>
        <w:t>4、社会保障和就业支出（类208）行政事业单位养老支出（款20805）机关事业单位基本养老保险缴费支出（项2080505）。</w:t>
      </w:r>
    </w:p>
    <w:p w14:paraId="0B8BBDF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val="en-US" w:eastAsia="zh-CN"/>
        </w:rPr>
      </w:pPr>
      <w:r>
        <w:rPr>
          <w:rFonts w:hint="eastAsia" w:ascii="Times New Roman" w:hAnsi="Times New Roman" w:eastAsia="仿宋_GB2312"/>
          <w:i w:val="0"/>
          <w:iCs w:val="0"/>
          <w:spacing w:val="0"/>
          <w:sz w:val="32"/>
          <w:szCs w:val="32"/>
          <w:highlight w:val="none"/>
        </w:rPr>
        <w:t>年初预算为29.03万元，支出决算为29.03万元，完成年初预算的100%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决算数</w:t>
      </w:r>
      <w:r>
        <w:rPr>
          <w:rFonts w:hint="eastAsia" w:ascii="Times New Roman" w:hAnsi="Times New Roman" w:eastAsia="仿宋_GB2312"/>
          <w:i w:val="0"/>
          <w:iCs w:val="0"/>
          <w:spacing w:val="0"/>
          <w:sz w:val="32"/>
          <w:szCs w:val="32"/>
          <w:highlight w:val="none"/>
          <w:lang w:val="en-US" w:eastAsia="zh-CN"/>
        </w:rPr>
        <w:t>等于</w:t>
      </w:r>
      <w:r>
        <w:rPr>
          <w:rFonts w:hint="eastAsia" w:ascii="Times New Roman" w:hAnsi="Times New Roman" w:eastAsia="仿宋_GB2312"/>
          <w:i w:val="0"/>
          <w:iCs w:val="0"/>
          <w:spacing w:val="0"/>
          <w:sz w:val="32"/>
          <w:szCs w:val="32"/>
          <w:highlight w:val="none"/>
        </w:rPr>
        <w:t>年初预算数</w:t>
      </w:r>
      <w:r>
        <w:rPr>
          <w:rFonts w:hint="eastAsia" w:ascii="Times New Roman" w:hAnsi="Times New Roman" w:eastAsia="仿宋_GB2312"/>
          <w:i w:val="0"/>
          <w:iCs w:val="0"/>
          <w:spacing w:val="0"/>
          <w:sz w:val="32"/>
          <w:szCs w:val="32"/>
          <w:highlight w:val="none"/>
          <w:lang w:val="en-US" w:eastAsia="zh-CN"/>
        </w:rPr>
        <w:t>的主要原因：按预算执行。</w:t>
      </w:r>
    </w:p>
    <w:p w14:paraId="5FB6B412">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5、卫生健康支出（类210）行政事业单位医疗（款21011）行政单位医疗（项2101101）。</w:t>
      </w:r>
    </w:p>
    <w:p w14:paraId="1A750D71">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val="en-US" w:eastAsia="zh-CN"/>
        </w:rPr>
      </w:pPr>
      <w:r>
        <w:rPr>
          <w:rFonts w:hint="eastAsia" w:ascii="Times New Roman" w:hAnsi="Times New Roman" w:eastAsia="仿宋_GB2312"/>
          <w:i w:val="0"/>
          <w:iCs w:val="0"/>
          <w:spacing w:val="0"/>
          <w:sz w:val="32"/>
          <w:szCs w:val="32"/>
          <w:highlight w:val="none"/>
        </w:rPr>
        <w:t>年初预算为14.56万元，支出决算为14.56万元，完成年初预算的100%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决算数</w:t>
      </w:r>
      <w:r>
        <w:rPr>
          <w:rFonts w:hint="eastAsia" w:ascii="Times New Roman" w:hAnsi="Times New Roman" w:eastAsia="仿宋_GB2312"/>
          <w:i w:val="0"/>
          <w:iCs w:val="0"/>
          <w:spacing w:val="0"/>
          <w:sz w:val="32"/>
          <w:szCs w:val="32"/>
          <w:highlight w:val="none"/>
          <w:lang w:val="en-US" w:eastAsia="zh-CN"/>
        </w:rPr>
        <w:t>等于</w:t>
      </w:r>
      <w:r>
        <w:rPr>
          <w:rFonts w:hint="eastAsia" w:ascii="Times New Roman" w:hAnsi="Times New Roman" w:eastAsia="仿宋_GB2312"/>
          <w:i w:val="0"/>
          <w:iCs w:val="0"/>
          <w:spacing w:val="0"/>
          <w:sz w:val="32"/>
          <w:szCs w:val="32"/>
          <w:highlight w:val="none"/>
        </w:rPr>
        <w:t>年初预算数</w:t>
      </w:r>
      <w:r>
        <w:rPr>
          <w:rFonts w:hint="eastAsia" w:ascii="Times New Roman" w:hAnsi="Times New Roman" w:eastAsia="仿宋_GB2312"/>
          <w:i w:val="0"/>
          <w:iCs w:val="0"/>
          <w:spacing w:val="0"/>
          <w:sz w:val="32"/>
          <w:szCs w:val="32"/>
          <w:highlight w:val="none"/>
          <w:lang w:val="en-US" w:eastAsia="zh-CN"/>
        </w:rPr>
        <w:t>的主要原因：按预算执行。</w:t>
      </w:r>
    </w:p>
    <w:p w14:paraId="07D0BE58">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6、卫生健康支出（类210）医疗保障管理事务（款21015）行政运行（项2101501）。</w:t>
      </w:r>
    </w:p>
    <w:p w14:paraId="57745A0D">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val="en-US" w:eastAsia="zh-CN"/>
        </w:rPr>
      </w:pPr>
      <w:r>
        <w:rPr>
          <w:rFonts w:hint="eastAsia" w:ascii="Times New Roman" w:hAnsi="Times New Roman" w:eastAsia="仿宋_GB2312"/>
          <w:i w:val="0"/>
          <w:iCs w:val="0"/>
          <w:spacing w:val="0"/>
          <w:sz w:val="32"/>
          <w:szCs w:val="32"/>
          <w:highlight w:val="none"/>
        </w:rPr>
        <w:t>年初预算为20.18万元，支出决算为20.18万元，完成年初预算的100%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决算数</w:t>
      </w:r>
      <w:r>
        <w:rPr>
          <w:rFonts w:hint="eastAsia" w:ascii="Times New Roman" w:hAnsi="Times New Roman" w:eastAsia="仿宋_GB2312"/>
          <w:i w:val="0"/>
          <w:iCs w:val="0"/>
          <w:spacing w:val="0"/>
          <w:sz w:val="32"/>
          <w:szCs w:val="32"/>
          <w:highlight w:val="none"/>
          <w:lang w:val="en-US" w:eastAsia="zh-CN"/>
        </w:rPr>
        <w:t>等于</w:t>
      </w:r>
      <w:r>
        <w:rPr>
          <w:rFonts w:hint="eastAsia" w:ascii="Times New Roman" w:hAnsi="Times New Roman" w:eastAsia="仿宋_GB2312"/>
          <w:i w:val="0"/>
          <w:iCs w:val="0"/>
          <w:spacing w:val="0"/>
          <w:sz w:val="32"/>
          <w:szCs w:val="32"/>
          <w:highlight w:val="none"/>
        </w:rPr>
        <w:t>年初预算数</w:t>
      </w:r>
      <w:r>
        <w:rPr>
          <w:rFonts w:hint="eastAsia" w:ascii="Times New Roman" w:hAnsi="Times New Roman" w:eastAsia="仿宋_GB2312"/>
          <w:i w:val="0"/>
          <w:iCs w:val="0"/>
          <w:spacing w:val="0"/>
          <w:sz w:val="32"/>
          <w:szCs w:val="32"/>
          <w:highlight w:val="none"/>
          <w:lang w:val="en-US" w:eastAsia="zh-CN"/>
        </w:rPr>
        <w:t>的主要原因：按预算执行。</w:t>
      </w:r>
    </w:p>
    <w:p w14:paraId="0B5FB06D">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7、卫生健康支出（类210）医疗保障管理事务（款21015）事业运行（项2101550）。</w:t>
      </w:r>
    </w:p>
    <w:p w14:paraId="37E8232A">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val="en-US" w:eastAsia="zh-CN"/>
        </w:rPr>
      </w:pPr>
      <w:r>
        <w:rPr>
          <w:rFonts w:hint="eastAsia" w:ascii="Times New Roman" w:hAnsi="Times New Roman" w:eastAsia="仿宋_GB2312"/>
          <w:i w:val="0"/>
          <w:iCs w:val="0"/>
          <w:spacing w:val="0"/>
          <w:sz w:val="32"/>
          <w:szCs w:val="32"/>
          <w:highlight w:val="none"/>
        </w:rPr>
        <w:t>年初预算为0.05万元，支出决算为0.05万元，完成年初预算的100%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决算数</w:t>
      </w:r>
      <w:r>
        <w:rPr>
          <w:rFonts w:hint="eastAsia" w:ascii="Times New Roman" w:hAnsi="Times New Roman" w:eastAsia="仿宋_GB2312"/>
          <w:i w:val="0"/>
          <w:iCs w:val="0"/>
          <w:spacing w:val="0"/>
          <w:sz w:val="32"/>
          <w:szCs w:val="32"/>
          <w:highlight w:val="none"/>
          <w:lang w:val="en-US" w:eastAsia="zh-CN"/>
        </w:rPr>
        <w:t>等于</w:t>
      </w:r>
      <w:r>
        <w:rPr>
          <w:rFonts w:hint="eastAsia" w:ascii="Times New Roman" w:hAnsi="Times New Roman" w:eastAsia="仿宋_GB2312"/>
          <w:i w:val="0"/>
          <w:iCs w:val="0"/>
          <w:spacing w:val="0"/>
          <w:sz w:val="32"/>
          <w:szCs w:val="32"/>
          <w:highlight w:val="none"/>
        </w:rPr>
        <w:t>年初预算数</w:t>
      </w:r>
      <w:r>
        <w:rPr>
          <w:rFonts w:hint="eastAsia" w:ascii="Times New Roman" w:hAnsi="Times New Roman" w:eastAsia="仿宋_GB2312"/>
          <w:i w:val="0"/>
          <w:iCs w:val="0"/>
          <w:spacing w:val="0"/>
          <w:sz w:val="32"/>
          <w:szCs w:val="32"/>
          <w:highlight w:val="none"/>
          <w:lang w:val="en-US" w:eastAsia="zh-CN"/>
        </w:rPr>
        <w:t>的主要原因：按预算执行。</w:t>
      </w:r>
    </w:p>
    <w:p w14:paraId="56203155">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8、卫生健康支出（类210）医疗保障管理事务（款21015）其他医疗保障管理事务支出（项2101599）。</w:t>
      </w:r>
    </w:p>
    <w:p w14:paraId="3334579A">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val="en-US" w:eastAsia="zh-CN"/>
        </w:rPr>
      </w:pPr>
      <w:r>
        <w:rPr>
          <w:rFonts w:hint="eastAsia" w:ascii="Times New Roman" w:hAnsi="Times New Roman" w:eastAsia="仿宋_GB2312"/>
          <w:i w:val="0"/>
          <w:iCs w:val="0"/>
          <w:spacing w:val="0"/>
          <w:sz w:val="32"/>
          <w:szCs w:val="32"/>
          <w:highlight w:val="none"/>
        </w:rPr>
        <w:t>年初预算为228.28万元，支出决算为228.28万元，完成年初预算的100%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决算数</w:t>
      </w:r>
      <w:r>
        <w:rPr>
          <w:rFonts w:hint="eastAsia" w:ascii="Times New Roman" w:hAnsi="Times New Roman" w:eastAsia="仿宋_GB2312"/>
          <w:i w:val="0"/>
          <w:iCs w:val="0"/>
          <w:spacing w:val="0"/>
          <w:sz w:val="32"/>
          <w:szCs w:val="32"/>
          <w:highlight w:val="none"/>
          <w:lang w:val="en-US" w:eastAsia="zh-CN"/>
        </w:rPr>
        <w:t>等于</w:t>
      </w:r>
      <w:r>
        <w:rPr>
          <w:rFonts w:hint="eastAsia" w:ascii="Times New Roman" w:hAnsi="Times New Roman" w:eastAsia="仿宋_GB2312"/>
          <w:i w:val="0"/>
          <w:iCs w:val="0"/>
          <w:spacing w:val="0"/>
          <w:sz w:val="32"/>
          <w:szCs w:val="32"/>
          <w:highlight w:val="none"/>
        </w:rPr>
        <w:t>年初预算数</w:t>
      </w:r>
      <w:r>
        <w:rPr>
          <w:rFonts w:hint="eastAsia" w:ascii="Times New Roman" w:hAnsi="Times New Roman" w:eastAsia="仿宋_GB2312"/>
          <w:i w:val="0"/>
          <w:iCs w:val="0"/>
          <w:spacing w:val="0"/>
          <w:sz w:val="32"/>
          <w:szCs w:val="32"/>
          <w:highlight w:val="none"/>
          <w:lang w:val="en-US" w:eastAsia="zh-CN"/>
        </w:rPr>
        <w:t>的主要原因：按预算执行。</w:t>
      </w:r>
    </w:p>
    <w:p w14:paraId="195142EF">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六、一般公共预算财政拨款基本支出决算情况说明</w:t>
      </w:r>
    </w:p>
    <w:p w14:paraId="35ECCAB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2022年度财政拨款基本支出401.29万元，其中：</w:t>
      </w:r>
    </w:p>
    <w:p w14:paraId="5B53B480">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3"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b/>
          <w:bCs/>
          <w:i w:val="0"/>
          <w:iCs w:val="0"/>
          <w:spacing w:val="0"/>
          <w:sz w:val="32"/>
          <w:szCs w:val="32"/>
          <w:highlight w:val="none"/>
        </w:rPr>
        <w:t>人员经费</w:t>
      </w:r>
      <w:r>
        <w:rPr>
          <w:rFonts w:hint="eastAsia" w:ascii="Times New Roman" w:hAnsi="Times New Roman" w:eastAsia="仿宋_GB2312"/>
          <w:i w:val="0"/>
          <w:iCs w:val="0"/>
          <w:spacing w:val="0"/>
          <w:sz w:val="32"/>
          <w:szCs w:val="32"/>
          <w:highlight w:val="none"/>
        </w:rPr>
        <w:t>359.23万元，占基本支出的89.52%</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主要包括基本工资、津贴补贴、奖金、伙食补助费、绩效工资、机关事业单位基本养老保险缴费、职工基本医疗保险缴费、其他社会保障缴费、其他工资福利支出、生活补助、其他对个人和家庭的补助。</w:t>
      </w:r>
    </w:p>
    <w:p w14:paraId="7E85B448">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3" w:firstLineChars="200"/>
        <w:jc w:val="both"/>
        <w:textAlignment w:val="auto"/>
        <w:outlineLvl w:val="9"/>
        <w:rPr>
          <w:rFonts w:ascii="Times New Roman" w:hAnsi="Times New Roman" w:eastAsia="仿宋_GB2312"/>
          <w:b/>
          <w:i w:val="0"/>
          <w:iCs w:val="0"/>
          <w:spacing w:val="0"/>
          <w:sz w:val="32"/>
          <w:szCs w:val="32"/>
          <w:highlight w:val="none"/>
        </w:rPr>
      </w:pPr>
      <w:r>
        <w:rPr>
          <w:rFonts w:hint="eastAsia" w:ascii="Times New Roman" w:hAnsi="Times New Roman" w:eastAsia="仿宋_GB2312"/>
          <w:b/>
          <w:bCs/>
          <w:i w:val="0"/>
          <w:iCs w:val="0"/>
          <w:spacing w:val="0"/>
          <w:sz w:val="32"/>
          <w:szCs w:val="32"/>
          <w:highlight w:val="none"/>
        </w:rPr>
        <w:t>公用经费</w:t>
      </w:r>
      <w:r>
        <w:rPr>
          <w:rFonts w:hint="eastAsia" w:ascii="Times New Roman" w:hAnsi="Times New Roman" w:eastAsia="仿宋_GB2312"/>
          <w:i w:val="0"/>
          <w:iCs w:val="0"/>
          <w:spacing w:val="0"/>
          <w:sz w:val="32"/>
          <w:szCs w:val="32"/>
          <w:highlight w:val="none"/>
        </w:rPr>
        <w:t>42.07万元，占基本支出的10.48%，主要包括办公费、电费、邮电费、物业管理费、差旅费、工会经费、其他交通费用。</w:t>
      </w:r>
    </w:p>
    <w:p w14:paraId="3DEDF0D8">
      <w:pPr>
        <w:pStyle w:val="13"/>
        <w:keepNext w:val="0"/>
        <w:keepLines w:val="0"/>
        <w:pageBreakBefore w:val="0"/>
        <w:widowControl w:val="0"/>
        <w:numPr>
          <w:ilvl w:val="0"/>
          <w:numId w:val="1"/>
        </w:numPr>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财政拨款三公经费支出决算情况说明</w:t>
      </w:r>
    </w:p>
    <w:p w14:paraId="4F8EB075">
      <w:pPr>
        <w:pStyle w:val="13"/>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（一）“三公”经费财政拨款支出决算总体情况说明</w:t>
      </w:r>
    </w:p>
    <w:p w14:paraId="6C5F2D7A">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“三公”经费财政拨款支出预算为3.72万元，支出决算为3.72万元，完成预算的100%，落实</w:t>
      </w:r>
      <w:r>
        <w:rPr>
          <w:rFonts w:hint="eastAsia" w:ascii="Times New Roman" w:hAnsi="Times New Roman" w:eastAsia="仿宋_GB2312"/>
          <w:i w:val="0"/>
          <w:iCs w:val="0"/>
          <w:spacing w:val="0"/>
          <w:sz w:val="32"/>
          <w:szCs w:val="32"/>
          <w:highlight w:val="none"/>
          <w:lang w:eastAsia="zh-CN"/>
        </w:rPr>
        <w:t>了</w:t>
      </w:r>
      <w:r>
        <w:rPr>
          <w:rFonts w:hint="eastAsia" w:ascii="Times New Roman" w:hAnsi="Times New Roman" w:eastAsia="仿宋_GB2312"/>
          <w:i w:val="0"/>
          <w:iCs w:val="0"/>
          <w:spacing w:val="0"/>
          <w:sz w:val="32"/>
          <w:szCs w:val="32"/>
          <w:highlight w:val="none"/>
        </w:rPr>
        <w:t>过“紧日子”要求，严格执行开支标准</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lang w:val="en-US" w:eastAsia="zh-CN"/>
        </w:rPr>
        <w:t>厉行节约</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增加1.59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增长74.82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i w:val="0"/>
          <w:iCs w:val="0"/>
          <w:spacing w:val="0"/>
          <w:sz w:val="32"/>
          <w:szCs w:val="32"/>
          <w:highlight w:val="none"/>
        </w:rPr>
        <w:t>增长的主要原因是</w:t>
      </w:r>
      <w:r>
        <w:rPr>
          <w:rFonts w:hint="eastAsia" w:ascii="Times New Roman" w:hAnsi="Times New Roman" w:eastAsia="仿宋_GB2312" w:cs="Times New Roman"/>
          <w:i w:val="0"/>
          <w:iCs w:val="0"/>
          <w:spacing w:val="0"/>
          <w:sz w:val="32"/>
          <w:szCs w:val="32"/>
          <w:highlight w:val="none"/>
        </w:rPr>
        <w:t>市级统筹之后，加大了基金监管力度，省各项检查增多，公务接待任务增加</w:t>
      </w:r>
      <w:r>
        <w:rPr>
          <w:rFonts w:hint="eastAsia" w:ascii="Times New Roman" w:hAnsi="Times New Roman" w:eastAsia="仿宋_GB2312" w:cs="Times New Roman"/>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其中：</w:t>
      </w:r>
    </w:p>
    <w:p w14:paraId="6A4A4B59">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10AB0952">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cs="Times New Roman"/>
          <w:i w:val="0"/>
          <w:iCs w:val="0"/>
          <w:spacing w:val="0"/>
          <w:sz w:val="32"/>
          <w:szCs w:val="32"/>
          <w:highlight w:val="none"/>
        </w:rPr>
      </w:pPr>
      <w:r>
        <w:rPr>
          <w:rFonts w:hint="eastAsia" w:ascii="Times New Roman" w:hAnsi="Times New Roman" w:eastAsia="仿宋_GB2312"/>
          <w:i w:val="0"/>
          <w:iCs w:val="0"/>
          <w:spacing w:val="0"/>
          <w:sz w:val="32"/>
          <w:szCs w:val="32"/>
          <w:highlight w:val="none"/>
        </w:rPr>
        <w:t>公务接待费支出预算为3.72万元，支出决算为3.72万元，完成预算的100%，决算数持平预算数的主要原因是严格按照预算管理，与上年相比增加1.59万元，增长74.82%</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增长的主要原因是</w:t>
      </w:r>
      <w:r>
        <w:rPr>
          <w:rFonts w:hint="eastAsia" w:ascii="Times New Roman" w:hAnsi="Times New Roman" w:eastAsia="仿宋_GB2312" w:cs="Times New Roman"/>
          <w:i w:val="0"/>
          <w:iCs w:val="0"/>
          <w:spacing w:val="0"/>
          <w:sz w:val="32"/>
          <w:szCs w:val="32"/>
          <w:highlight w:val="none"/>
        </w:rPr>
        <w:t>市级统筹之后，加大了基金监管力度，省各项检查增多，公务接待任务增加。</w:t>
      </w:r>
    </w:p>
    <w:p w14:paraId="6882384C">
      <w:pPr>
        <w:pStyle w:val="13"/>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62426F3">
      <w:pPr>
        <w:pStyle w:val="13"/>
        <w:spacing w:line="60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用车运行维护费支出预算为0万元，支出决算为0万元，预算决算金额均为0万元，无法计算完成百分比，主要原因是未使用公务用车运行维护费，与上年相比持平均为0万元，无法计算完成百分比，主要原因是未使用公务用车运行维护费。</w:t>
      </w:r>
    </w:p>
    <w:p w14:paraId="4CD1CB3F">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（二）“三公”经费财政拨款支出决算具体情况说明</w:t>
      </w:r>
    </w:p>
    <w:p w14:paraId="33D0CE70">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2022年度“三公”经费财政拨款支出决算中，公务接待费支出决算3.72万元，占100%</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因公出国（境）费支出决算0万元</w:t>
      </w:r>
      <w:r>
        <w:rPr>
          <w:rFonts w:hint="eastAsia" w:ascii="Times New Roman" w:hAnsi="Times New Roman" w:eastAsia="仿宋_GB2312"/>
          <w:i w:val="0"/>
          <w:iCs w:val="0"/>
          <w:spacing w:val="0"/>
          <w:sz w:val="32"/>
          <w:szCs w:val="32"/>
          <w:highlight w:val="none"/>
          <w:lang w:eastAsia="zh-CN"/>
        </w:rPr>
        <w:t>，</w:t>
      </w:r>
      <w:r>
        <w:rPr>
          <w:rFonts w:hint="eastAsia" w:ascii="Times New Roman" w:hAnsi="Times New Roman" w:eastAsia="仿宋_GB2312"/>
          <w:i w:val="0"/>
          <w:iCs w:val="0"/>
          <w:spacing w:val="0"/>
          <w:sz w:val="32"/>
          <w:szCs w:val="32"/>
          <w:highlight w:val="none"/>
        </w:rPr>
        <w:t>公务用车购置费及运行维护费支出决算0万元。其中：</w:t>
      </w:r>
    </w:p>
    <w:p w14:paraId="25216515">
      <w:pPr>
        <w:pStyle w:val="3"/>
        <w:tabs>
          <w:tab w:val="left" w:pos="3864"/>
          <w:tab w:val="left" w:pos="6248"/>
          <w:tab w:val="left" w:pos="7386"/>
        </w:tabs>
        <w:overflowPunct w:val="0"/>
        <w:spacing w:before="1" w:line="360" w:lineRule="auto"/>
        <w:ind w:right="420" w:firstLine="640" w:firstLineChars="200"/>
        <w:rPr>
          <w:rFonts w:hint="eastAsia" w:ascii="Times New Roman" w:hAnsi="Times New Roman" w:eastAsia="仿宋_GB2312" w:cs="黑体"/>
          <w:i w:val="0"/>
          <w:iCs w:val="0"/>
          <w:color w:val="000000"/>
          <w:spacing w:val="0"/>
          <w:kern w:val="0"/>
          <w:sz w:val="32"/>
          <w:szCs w:val="32"/>
          <w:highlight w:val="none"/>
          <w:lang w:val="en-US" w:eastAsia="zh-CN" w:bidi="ar-SA"/>
        </w:rPr>
      </w:pPr>
      <w:r>
        <w:rPr>
          <w:rFonts w:hint="eastAsia" w:ascii="Times New Roman" w:hAnsi="Times New Roman" w:eastAsia="仿宋_GB2312"/>
          <w:i w:val="0"/>
          <w:iCs w:val="0"/>
          <w:spacing w:val="0"/>
          <w:sz w:val="32"/>
          <w:szCs w:val="32"/>
          <w:highlight w:val="none"/>
        </w:rPr>
        <w:t>1、因公出国（境）费支出决算为0万元，全年安排因公出国（境）团组0个，累计0人次</w:t>
      </w:r>
      <w:r>
        <w:rPr>
          <w:rFonts w:hint="eastAsia" w:ascii="Times New Roman" w:hAnsi="Times New Roman" w:eastAsia="仿宋_GB2312" w:cs="楷体"/>
          <w:b/>
          <w:bCs/>
          <w:i w:val="0"/>
          <w:iCs w:val="0"/>
          <w:color w:val="auto"/>
          <w:spacing w:val="0"/>
          <w:sz w:val="32"/>
          <w:szCs w:val="32"/>
          <w:highlight w:val="none"/>
        </w:rPr>
        <w:t>。</w:t>
      </w:r>
      <w:r>
        <w:rPr>
          <w:rFonts w:hint="eastAsia" w:ascii="Times New Roman" w:hAnsi="Times New Roman" w:eastAsia="仿宋_GB2312" w:cs="黑体"/>
          <w:i w:val="0"/>
          <w:iCs w:val="0"/>
          <w:color w:val="000000"/>
          <w:spacing w:val="0"/>
          <w:kern w:val="0"/>
          <w:sz w:val="32"/>
          <w:szCs w:val="32"/>
          <w:highlight w:val="none"/>
          <w:lang w:val="en-US" w:eastAsia="zh-CN" w:bidi="ar-SA"/>
        </w:rPr>
        <w:t>主要是</w:t>
      </w:r>
      <w:bookmarkStart w:id="0" w:name="THERR_YGCGJFY_ZYYY"/>
      <w:r>
        <w:rPr>
          <w:rFonts w:hint="eastAsia" w:ascii="Times New Roman" w:hAnsi="Times New Roman" w:eastAsia="仿宋_GB2312" w:cs="黑体"/>
          <w:i w:val="0"/>
          <w:iCs w:val="0"/>
          <w:color w:val="000000"/>
          <w:spacing w:val="0"/>
          <w:kern w:val="0"/>
          <w:sz w:val="32"/>
          <w:szCs w:val="32"/>
          <w:highlight w:val="none"/>
          <w:lang w:val="en-US" w:eastAsia="zh-CN" w:bidi="ar-SA"/>
        </w:rPr>
        <w:t>2022年我单位没有因公出国（境）费支出</w:t>
      </w:r>
      <w:bookmarkEnd w:id="0"/>
      <w:bookmarkStart w:id="1" w:name="END_THERR_YGCGJFY_AMT"/>
      <w:bookmarkEnd w:id="1"/>
      <w:r>
        <w:rPr>
          <w:rFonts w:hint="eastAsia" w:ascii="Times New Roman" w:hAnsi="Times New Roman" w:eastAsia="仿宋_GB2312" w:cs="黑体"/>
          <w:i w:val="0"/>
          <w:iCs w:val="0"/>
          <w:color w:val="000000"/>
          <w:spacing w:val="0"/>
          <w:kern w:val="0"/>
          <w:sz w:val="32"/>
          <w:szCs w:val="32"/>
          <w:highlight w:val="none"/>
          <w:lang w:val="en-US" w:eastAsia="zh-CN" w:bidi="ar-SA"/>
        </w:rPr>
        <w:t>。</w:t>
      </w:r>
    </w:p>
    <w:p w14:paraId="20F952B8">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2、公务接待费支出决算为3.72万元，全年共接待来访团组30个、来宾280人/次主要是</w:t>
      </w:r>
      <w:r>
        <w:rPr>
          <w:rFonts w:hint="eastAsia" w:ascii="Times New Roman" w:hAnsi="Times New Roman" w:eastAsia="仿宋_GB2312" w:cs="Times New Roman"/>
          <w:i w:val="0"/>
          <w:iCs w:val="0"/>
          <w:spacing w:val="0"/>
          <w:sz w:val="32"/>
          <w:szCs w:val="32"/>
          <w:highlight w:val="none"/>
        </w:rPr>
        <w:t>加大了基金监管力度，各种交叉检查增多</w:t>
      </w:r>
      <w:r>
        <w:rPr>
          <w:rFonts w:hint="eastAsia" w:ascii="Times New Roman" w:hAnsi="Times New Roman" w:eastAsia="仿宋_GB2312"/>
          <w:i w:val="0"/>
          <w:iCs w:val="0"/>
          <w:spacing w:val="0"/>
          <w:sz w:val="32"/>
          <w:szCs w:val="32"/>
          <w:highlight w:val="none"/>
        </w:rPr>
        <w:t>发生的接待支出。</w:t>
      </w:r>
    </w:p>
    <w:p w14:paraId="70BC42B8">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cs="楷体"/>
          <w:b/>
          <w:bCs/>
          <w:i w:val="0"/>
          <w:iCs w:val="0"/>
          <w:spacing w:val="0"/>
          <w:kern w:val="0"/>
          <w:sz w:val="32"/>
          <w:szCs w:val="32"/>
          <w:highlight w:val="none"/>
        </w:rPr>
      </w:pPr>
      <w:r>
        <w:rPr>
          <w:rFonts w:hint="eastAsia" w:ascii="Times New Roman" w:hAnsi="Times New Roman" w:eastAsia="仿宋_GB2312"/>
          <w:i w:val="0"/>
          <w:iCs w:val="0"/>
          <w:spacing w:val="0"/>
          <w:sz w:val="32"/>
          <w:szCs w:val="32"/>
          <w:highlight w:val="none"/>
        </w:rPr>
        <w:t>3、公务用车购置费及运行维护费支出决算为0万元，其中：公务用车购置费0万元，怀化市医疗保障事务中心</w:t>
      </w:r>
      <w:r>
        <w:rPr>
          <w:rFonts w:hint="eastAsia" w:ascii="Times New Roman" w:hAnsi="Times New Roman" w:eastAsia="仿宋_GB2312"/>
          <w:i w:val="0"/>
          <w:iCs w:val="0"/>
          <w:spacing w:val="0"/>
          <w:sz w:val="32"/>
          <w:szCs w:val="32"/>
          <w:highlight w:val="none"/>
          <w:lang w:val="en-US" w:eastAsia="zh-CN"/>
        </w:rPr>
        <w:t>更新</w:t>
      </w:r>
      <w:bookmarkStart w:id="2" w:name="_GoBack"/>
      <w:bookmarkEnd w:id="2"/>
      <w:r>
        <w:rPr>
          <w:rFonts w:hint="eastAsia" w:ascii="Times New Roman" w:hAnsi="Times New Roman" w:eastAsia="仿宋_GB2312"/>
          <w:i w:val="0"/>
          <w:iCs w:val="0"/>
          <w:spacing w:val="0"/>
          <w:sz w:val="32"/>
          <w:szCs w:val="32"/>
          <w:highlight w:val="none"/>
        </w:rPr>
        <w:t>公务用车0辆</w:t>
      </w:r>
      <w:r>
        <w:rPr>
          <w:rFonts w:hint="eastAsia" w:ascii="Times New Roman" w:hAnsi="Times New Roman" w:eastAsia="仿宋_GB2312"/>
          <w:i w:val="0"/>
          <w:iCs w:val="0"/>
          <w:color w:val="000000" w:themeColor="text1"/>
          <w:spacing w:val="0"/>
          <w:sz w:val="32"/>
          <w:szCs w:val="32"/>
          <w:highlight w:val="none"/>
          <w14:textFill>
            <w14:solidFill>
              <w14:schemeClr w14:val="tx1"/>
            </w14:solidFill>
          </w14:textFill>
        </w:rPr>
        <w:t>。</w:t>
      </w:r>
      <w:r>
        <w:rPr>
          <w:rFonts w:hint="eastAsia" w:ascii="Times New Roman" w:hAnsi="Times New Roman" w:eastAsia="仿宋_GB2312"/>
          <w:i w:val="0"/>
          <w:iCs w:val="0"/>
          <w:spacing w:val="0"/>
          <w:sz w:val="32"/>
          <w:szCs w:val="32"/>
          <w:highlight w:val="none"/>
        </w:rPr>
        <w:t>公务用车运行维护费0万元，</w:t>
      </w:r>
      <w:r>
        <w:rPr>
          <w:rFonts w:hint="eastAsia" w:ascii="Times New Roman" w:hAnsi="Times New Roman" w:eastAsia="仿宋_GB2312"/>
          <w:i w:val="0"/>
          <w:iCs w:val="0"/>
          <w:spacing w:val="0"/>
          <w:sz w:val="32"/>
          <w:szCs w:val="32"/>
          <w:highlight w:val="none"/>
          <w:lang w:val="en-US" w:eastAsia="zh-CN"/>
        </w:rPr>
        <w:t>主要是无公务用车购置及维护费支出，</w:t>
      </w:r>
      <w:r>
        <w:rPr>
          <w:rFonts w:hint="eastAsia" w:ascii="Times New Roman" w:hAnsi="Times New Roman" w:eastAsia="仿宋_GB2312"/>
          <w:i w:val="0"/>
          <w:iCs w:val="0"/>
          <w:spacing w:val="0"/>
          <w:sz w:val="32"/>
          <w:szCs w:val="32"/>
          <w:highlight w:val="none"/>
          <w:lang w:eastAsia="zh-CN"/>
        </w:rPr>
        <w:t>截至2022年</w:t>
      </w:r>
      <w:r>
        <w:rPr>
          <w:rFonts w:hint="eastAsia" w:ascii="Times New Roman" w:hAnsi="Times New Roman" w:eastAsia="仿宋_GB2312"/>
          <w:i w:val="0"/>
          <w:iCs w:val="0"/>
          <w:spacing w:val="0"/>
          <w:sz w:val="32"/>
          <w:szCs w:val="32"/>
          <w:highlight w:val="none"/>
        </w:rPr>
        <w:t>12月31日，我单位开支财政拨款的公务用车保有量为0辆。</w:t>
      </w:r>
    </w:p>
    <w:p w14:paraId="4FAB69A7">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八、政府性基金预算收入支出决算情况</w:t>
      </w:r>
    </w:p>
    <w:p w14:paraId="089A7EE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2022年度本单位无政府性基金收支。</w:t>
      </w:r>
    </w:p>
    <w:p w14:paraId="7AD30FC1">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九、国有资本经营预算财政拨款支出决算情况说明</w:t>
      </w:r>
    </w:p>
    <w:p w14:paraId="1D813B7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2022年度本单位无国有资本经营预算财政拨款支出。</w:t>
      </w:r>
    </w:p>
    <w:p w14:paraId="18D1D89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十、关于机关运行经费支出说明</w:t>
      </w:r>
    </w:p>
    <w:p w14:paraId="270133D5">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本部门2022年度机关运行经费支出42.07万元，比年初预算数增加10.57 万元，增长33.56%。主要原因是：2022年新增7名公职人员。</w:t>
      </w:r>
    </w:p>
    <w:p w14:paraId="27654D0A">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十一、一般性支出情况说明</w:t>
      </w:r>
    </w:p>
    <w:p w14:paraId="1713564D">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2022年本部门开支会议费6.19万元，用于召开全市医疗保障经办机构“优服务、建体系、强管理”现场交流会议，人数89人，内容为全市医疗保障经办机构“优服务、建体系、强管理”现场交流；开支培训费2.33万元，用于开展全市医保经办培训，人数35人，内容为切实加强部门业务对接，全面推进业务落地；</w:t>
      </w:r>
    </w:p>
    <w:p w14:paraId="58D23B7E">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lang w:eastAsia="zh-CN"/>
        </w:rPr>
      </w:pPr>
      <w:r>
        <w:rPr>
          <w:rFonts w:hint="eastAsia" w:ascii="Times New Roman" w:hAnsi="Times New Roman" w:eastAsia="仿宋_GB2312"/>
          <w:i w:val="0"/>
          <w:iCs w:val="0"/>
          <w:spacing w:val="0"/>
          <w:sz w:val="32"/>
          <w:szCs w:val="32"/>
          <w:highlight w:val="none"/>
        </w:rPr>
        <w:t>2022年本部门开支培训费0.55万元，用于开展全市医疗保障事务中心财务培训，人数35人，内容为更好规范财务工作流程，进行全市医保中心财务新系统培训</w:t>
      </w:r>
      <w:r>
        <w:rPr>
          <w:rFonts w:hint="eastAsia" w:ascii="Times New Roman" w:hAnsi="Times New Roman" w:eastAsia="仿宋_GB2312"/>
          <w:i w:val="0"/>
          <w:iCs w:val="0"/>
          <w:spacing w:val="0"/>
          <w:sz w:val="32"/>
          <w:szCs w:val="32"/>
          <w:highlight w:val="none"/>
          <w:lang w:eastAsia="zh-CN"/>
        </w:rPr>
        <w:t>。</w:t>
      </w:r>
    </w:p>
    <w:p w14:paraId="6F8C22F0">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楷体"/>
          <w:b/>
          <w:bCs/>
          <w:i w:val="0"/>
          <w:iCs w:val="0"/>
          <w:color w:val="auto"/>
          <w:spacing w:val="0"/>
          <w:sz w:val="32"/>
          <w:szCs w:val="32"/>
          <w:highlight w:val="none"/>
          <w:lang w:eastAsia="zh-CN"/>
        </w:rPr>
      </w:pPr>
      <w:r>
        <w:rPr>
          <w:rFonts w:hint="eastAsia" w:ascii="Times New Roman" w:hAnsi="Times New Roman" w:eastAsia="仿宋_GB2312"/>
          <w:i w:val="0"/>
          <w:iCs w:val="0"/>
          <w:spacing w:val="0"/>
          <w:sz w:val="32"/>
          <w:szCs w:val="32"/>
          <w:highlight w:val="none"/>
        </w:rPr>
        <w:t>2022年本部门</w:t>
      </w:r>
      <w:r>
        <w:rPr>
          <w:rFonts w:hint="eastAsia" w:ascii="Times New Roman" w:hAnsi="Times New Roman" w:eastAsia="仿宋_GB2312"/>
          <w:i w:val="0"/>
          <w:iCs w:val="0"/>
          <w:spacing w:val="0"/>
          <w:sz w:val="32"/>
          <w:szCs w:val="32"/>
          <w:highlight w:val="none"/>
          <w:lang w:val="en-US" w:eastAsia="zh-CN"/>
        </w:rPr>
        <w:t>没有</w:t>
      </w:r>
      <w:r>
        <w:rPr>
          <w:rFonts w:hint="eastAsia" w:ascii="Times New Roman" w:hAnsi="Times New Roman" w:eastAsia="仿宋_GB2312"/>
          <w:i w:val="0"/>
          <w:iCs w:val="0"/>
          <w:spacing w:val="0"/>
          <w:sz w:val="32"/>
          <w:szCs w:val="32"/>
          <w:highlight w:val="none"/>
        </w:rPr>
        <w:t>举办0次节庆、晚会、论坛、赛事活动</w:t>
      </w:r>
      <w:r>
        <w:rPr>
          <w:rFonts w:hint="eastAsia" w:ascii="Times New Roman" w:hAnsi="Times New Roman" w:eastAsia="仿宋_GB2312"/>
          <w:i w:val="0"/>
          <w:iCs w:val="0"/>
          <w:spacing w:val="0"/>
          <w:sz w:val="32"/>
          <w:szCs w:val="32"/>
          <w:highlight w:val="none"/>
          <w:lang w:eastAsia="zh-CN"/>
        </w:rPr>
        <w:t>。</w:t>
      </w:r>
    </w:p>
    <w:p w14:paraId="4CAB9A98">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十二、关于政府采购支出说明</w:t>
      </w:r>
    </w:p>
    <w:p w14:paraId="254A40F0">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本部门2022年度政府采购支出总额0万元，其中：政府采购货物支出9.6 万元、政府采购工程支出0万元、政府采购服务支出0万元。授予中小企业合同金额9.6万元，占政府采购支出总额的100%，其中：授予小微企业合同金额9.6万元，占政府采购支出总额的100%。货物采购授予中小企业合同金额占货物支出金额的100%</w:t>
      </w:r>
      <w:r>
        <w:rPr>
          <w:rFonts w:hint="eastAsia" w:ascii="Times New Roman" w:hAnsi="Times New Roman" w:eastAsia="仿宋_GB2312"/>
          <w:i w:val="0"/>
          <w:iCs w:val="0"/>
          <w:spacing w:val="0"/>
          <w:sz w:val="32"/>
          <w:szCs w:val="32"/>
          <w:highlight w:val="none"/>
          <w:lang w:eastAsia="zh-CN"/>
        </w:rPr>
        <w:t>；</w:t>
      </w:r>
      <w:r>
        <w:rPr>
          <w:rFonts w:hint="eastAsia" w:ascii="仿宋_GB2312" w:hAnsi="仿宋_GB2312" w:eastAsia="仿宋_GB2312"/>
          <w:sz w:val="32"/>
          <w:szCs w:val="32"/>
          <w:highlight w:val="none"/>
        </w:rPr>
        <w:t>由于工程支出金额为0万元，无法计算工程采购授予中小企业合同金额占工程支出金额的百分比</w:t>
      </w:r>
      <w:r>
        <w:rPr>
          <w:rFonts w:hint="eastAsia" w:ascii="仿宋_GB2312" w:hAnsi="仿宋_GB2312" w:eastAsia="仿宋_GB2312"/>
          <w:sz w:val="32"/>
          <w:szCs w:val="32"/>
          <w:highlight w:val="none"/>
          <w:lang w:eastAsia="zh-CN"/>
        </w:rPr>
        <w:t>；</w:t>
      </w:r>
      <w:r>
        <w:rPr>
          <w:rFonts w:hint="eastAsia" w:ascii="Times New Roman" w:hAnsi="Times New Roman" w:eastAsia="仿宋_GB2312"/>
          <w:i w:val="0"/>
          <w:iCs w:val="0"/>
          <w:spacing w:val="0"/>
          <w:sz w:val="32"/>
          <w:szCs w:val="32"/>
          <w:highlight w:val="none"/>
        </w:rPr>
        <w:t>由于服务支出金额为0万元，无法计算服务采购授予中小企业合同金额占服务支出金额的百分比。</w:t>
      </w:r>
    </w:p>
    <w:p w14:paraId="652F9C2E">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十三、关于国有资产占用情况说明</w:t>
      </w:r>
    </w:p>
    <w:p w14:paraId="144326E3">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截至2022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12A979AC">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十四、关于2022年度预算绩效情况的说明</w:t>
      </w:r>
    </w:p>
    <w:p w14:paraId="34F005E1">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highlight w:val="none"/>
        </w:rPr>
      </w:pPr>
      <w:r>
        <w:rPr>
          <w:rFonts w:hint="eastAsia" w:ascii="Times New Roman" w:hAnsi="Times New Roman" w:eastAsia="仿宋_GB2312"/>
          <w:i w:val="0"/>
          <w:iCs w:val="0"/>
          <w:spacing w:val="0"/>
          <w:sz w:val="32"/>
          <w:szCs w:val="32"/>
          <w:highlight w:val="none"/>
        </w:rPr>
        <w:t>（一）部门整体支出绩效情况</w:t>
      </w:r>
    </w:p>
    <w:p w14:paraId="396373A1">
      <w:pPr>
        <w:pStyle w:val="8"/>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ascii="Times New Roman" w:hAnsi="Times New Roman" w:eastAsia="仿宋_GB2312" w:cs="黑体"/>
          <w:i w:val="0"/>
          <w:iCs w:val="0"/>
          <w:color w:val="000000"/>
          <w:spacing w:val="0"/>
          <w:sz w:val="32"/>
          <w:szCs w:val="32"/>
        </w:rPr>
      </w:pPr>
      <w:r>
        <w:rPr>
          <w:rFonts w:hint="eastAsia" w:ascii="Times New Roman" w:hAnsi="Times New Roman" w:eastAsia="仿宋_GB2312" w:cs="黑体"/>
          <w:i w:val="0"/>
          <w:iCs w:val="0"/>
          <w:color w:val="000000"/>
          <w:spacing w:val="0"/>
          <w:sz w:val="32"/>
          <w:szCs w:val="32"/>
        </w:rPr>
        <w:t>根据预算绩效管理要求，我中心组织对2022</w:t>
      </w:r>
      <w:r>
        <w:rPr>
          <w:rFonts w:ascii="Times New Roman" w:hAnsi="Times New Roman" w:eastAsia="仿宋_GB2312" w:cs="黑体"/>
          <w:i w:val="0"/>
          <w:iCs w:val="0"/>
          <w:color w:val="000000"/>
          <w:spacing w:val="0"/>
          <w:sz w:val="32"/>
          <w:szCs w:val="32"/>
        </w:rPr>
        <w:t xml:space="preserve"> </w:t>
      </w:r>
      <w:r>
        <w:rPr>
          <w:rFonts w:hint="eastAsia" w:ascii="Times New Roman" w:hAnsi="Times New Roman" w:eastAsia="仿宋_GB2312" w:cs="黑体"/>
          <w:i w:val="0"/>
          <w:iCs w:val="0"/>
          <w:color w:val="000000"/>
          <w:spacing w:val="0"/>
          <w:sz w:val="32"/>
          <w:szCs w:val="32"/>
        </w:rPr>
        <w:t>年度一般公共预算支出全面开展绩效自评，其中基本支出401.29万元，项目支出152万元，占一般公共预算支出总额的100</w:t>
      </w:r>
      <w:r>
        <w:rPr>
          <w:rFonts w:ascii="Times New Roman" w:hAnsi="Times New Roman" w:eastAsia="仿宋_GB2312" w:cs="黑体"/>
          <w:i w:val="0"/>
          <w:iCs w:val="0"/>
          <w:color w:val="000000"/>
          <w:spacing w:val="0"/>
          <w:sz w:val="32"/>
          <w:szCs w:val="32"/>
        </w:rPr>
        <w:t>%</w:t>
      </w:r>
      <w:r>
        <w:rPr>
          <w:rFonts w:hint="eastAsia" w:ascii="Times New Roman" w:hAnsi="Times New Roman" w:eastAsia="仿宋_GB2312" w:cs="黑体"/>
          <w:i w:val="0"/>
          <w:iCs w:val="0"/>
          <w:color w:val="000000"/>
          <w:spacing w:val="0"/>
          <w:sz w:val="32"/>
          <w:szCs w:val="32"/>
        </w:rPr>
        <w:t>。</w:t>
      </w:r>
    </w:p>
    <w:p w14:paraId="0A5F1CB8">
      <w:pPr>
        <w:pStyle w:val="8"/>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ascii="Times New Roman" w:hAnsi="Times New Roman" w:eastAsia="仿宋_GB2312" w:cs="黑体"/>
          <w:i w:val="0"/>
          <w:iCs w:val="0"/>
          <w:color w:val="000000"/>
          <w:spacing w:val="0"/>
          <w:sz w:val="32"/>
          <w:szCs w:val="32"/>
        </w:rPr>
      </w:pPr>
      <w:r>
        <w:rPr>
          <w:rFonts w:ascii="Times New Roman" w:hAnsi="Times New Roman" w:eastAsia="仿宋_GB2312" w:cs="黑体"/>
          <w:i w:val="0"/>
          <w:iCs w:val="0"/>
          <w:color w:val="000000"/>
          <w:spacing w:val="0"/>
          <w:sz w:val="32"/>
          <w:szCs w:val="32"/>
        </w:rPr>
        <w:t>我</w:t>
      </w:r>
      <w:r>
        <w:rPr>
          <w:rFonts w:hint="eastAsia" w:ascii="Times New Roman" w:hAnsi="Times New Roman" w:eastAsia="仿宋_GB2312" w:cs="黑体"/>
          <w:i w:val="0"/>
          <w:iCs w:val="0"/>
          <w:color w:val="000000"/>
          <w:spacing w:val="0"/>
          <w:sz w:val="32"/>
          <w:szCs w:val="32"/>
        </w:rPr>
        <w:t>中心</w:t>
      </w:r>
      <w:r>
        <w:rPr>
          <w:rFonts w:ascii="Times New Roman" w:hAnsi="Times New Roman" w:eastAsia="仿宋_GB2312" w:cs="黑体"/>
          <w:i w:val="0"/>
          <w:iCs w:val="0"/>
          <w:color w:val="000000"/>
          <w:spacing w:val="0"/>
          <w:sz w:val="32"/>
          <w:szCs w:val="32"/>
        </w:rPr>
        <w:t>积极组织实施了</w:t>
      </w:r>
      <w:r>
        <w:rPr>
          <w:rFonts w:hint="eastAsia" w:ascii="Times New Roman" w:hAnsi="Times New Roman" w:eastAsia="仿宋_GB2312" w:cs="黑体"/>
          <w:i w:val="0"/>
          <w:iCs w:val="0"/>
          <w:color w:val="000000"/>
          <w:spacing w:val="0"/>
          <w:sz w:val="32"/>
          <w:szCs w:val="32"/>
        </w:rPr>
        <w:t>2022</w:t>
      </w:r>
      <w:r>
        <w:rPr>
          <w:rFonts w:ascii="Times New Roman" w:hAnsi="Times New Roman" w:eastAsia="仿宋_GB2312" w:cs="黑体"/>
          <w:i w:val="0"/>
          <w:iCs w:val="0"/>
          <w:color w:val="000000"/>
          <w:spacing w:val="0"/>
          <w:sz w:val="32"/>
          <w:szCs w:val="32"/>
        </w:rPr>
        <w:t>年度专项资金管理，建立了专项资金和项目管理制度，规范了实施程序，较好地完成了</w:t>
      </w:r>
      <w:r>
        <w:rPr>
          <w:rFonts w:hint="eastAsia" w:ascii="Times New Roman" w:hAnsi="Times New Roman" w:eastAsia="仿宋_GB2312" w:cs="黑体"/>
          <w:i w:val="0"/>
          <w:iCs w:val="0"/>
          <w:color w:val="000000"/>
          <w:spacing w:val="0"/>
          <w:sz w:val="32"/>
          <w:szCs w:val="32"/>
        </w:rPr>
        <w:t>2022</w:t>
      </w:r>
      <w:r>
        <w:rPr>
          <w:rFonts w:ascii="Times New Roman" w:hAnsi="Times New Roman" w:eastAsia="仿宋_GB2312" w:cs="黑体"/>
          <w:i w:val="0"/>
          <w:iCs w:val="0"/>
          <w:color w:val="000000"/>
          <w:spacing w:val="0"/>
          <w:sz w:val="32"/>
          <w:szCs w:val="32"/>
        </w:rPr>
        <w:t>年度工作目标，但仍存在</w:t>
      </w:r>
      <w:r>
        <w:rPr>
          <w:rFonts w:hint="eastAsia" w:ascii="Times New Roman" w:hAnsi="Times New Roman" w:eastAsia="仿宋_GB2312" w:cs="黑体"/>
          <w:i w:val="0"/>
          <w:iCs w:val="0"/>
          <w:color w:val="000000"/>
          <w:spacing w:val="0"/>
          <w:sz w:val="32"/>
          <w:szCs w:val="32"/>
        </w:rPr>
        <w:t>绩效目标不够细化、量化；预算调整率偏高</w:t>
      </w:r>
      <w:r>
        <w:rPr>
          <w:rFonts w:ascii="Times New Roman" w:hAnsi="Times New Roman" w:eastAsia="仿宋_GB2312" w:cs="黑体"/>
          <w:i w:val="0"/>
          <w:iCs w:val="0"/>
          <w:color w:val="000000"/>
          <w:spacing w:val="0"/>
          <w:sz w:val="32"/>
          <w:szCs w:val="32"/>
        </w:rPr>
        <w:t>等问题。根据《部门整体支出绩效评价指标表》，20</w:t>
      </w:r>
      <w:r>
        <w:rPr>
          <w:rFonts w:hint="eastAsia" w:ascii="Times New Roman" w:hAnsi="Times New Roman" w:eastAsia="仿宋_GB2312" w:cs="黑体"/>
          <w:i w:val="0"/>
          <w:iCs w:val="0"/>
          <w:color w:val="000000"/>
          <w:spacing w:val="0"/>
          <w:sz w:val="32"/>
          <w:szCs w:val="32"/>
        </w:rPr>
        <w:t>22</w:t>
      </w:r>
      <w:r>
        <w:rPr>
          <w:rFonts w:ascii="Times New Roman" w:hAnsi="Times New Roman" w:eastAsia="仿宋_GB2312" w:cs="黑体"/>
          <w:i w:val="0"/>
          <w:iCs w:val="0"/>
          <w:color w:val="000000"/>
          <w:spacing w:val="0"/>
          <w:sz w:val="32"/>
          <w:szCs w:val="32"/>
        </w:rPr>
        <w:t>年度部门整体绩效自评综合评分为</w:t>
      </w:r>
      <w:r>
        <w:rPr>
          <w:rFonts w:hint="eastAsia" w:ascii="Times New Roman" w:hAnsi="Times New Roman" w:eastAsia="仿宋_GB2312" w:cs="黑体"/>
          <w:i w:val="0"/>
          <w:iCs w:val="0"/>
          <w:color w:val="000000"/>
          <w:spacing w:val="0"/>
          <w:sz w:val="32"/>
          <w:szCs w:val="32"/>
        </w:rPr>
        <w:t>97</w:t>
      </w:r>
      <w:r>
        <w:rPr>
          <w:rFonts w:ascii="Times New Roman" w:hAnsi="Times New Roman" w:eastAsia="仿宋_GB2312" w:cs="黑体"/>
          <w:i w:val="0"/>
          <w:iCs w:val="0"/>
          <w:color w:val="000000"/>
          <w:spacing w:val="0"/>
          <w:sz w:val="32"/>
          <w:szCs w:val="32"/>
        </w:rPr>
        <w:t>分，评价等级为“</w:t>
      </w:r>
      <w:r>
        <w:rPr>
          <w:rFonts w:hint="eastAsia" w:ascii="Times New Roman" w:hAnsi="Times New Roman" w:eastAsia="仿宋_GB2312" w:cs="黑体"/>
          <w:i w:val="0"/>
          <w:iCs w:val="0"/>
          <w:color w:val="000000"/>
          <w:spacing w:val="0"/>
          <w:sz w:val="32"/>
          <w:szCs w:val="32"/>
        </w:rPr>
        <w:t>优</w:t>
      </w:r>
      <w:r>
        <w:rPr>
          <w:rFonts w:ascii="Times New Roman" w:hAnsi="Times New Roman" w:eastAsia="仿宋_GB2312" w:cs="黑体"/>
          <w:i w:val="0"/>
          <w:iCs w:val="0"/>
          <w:color w:val="000000"/>
          <w:spacing w:val="0"/>
          <w:sz w:val="32"/>
          <w:szCs w:val="32"/>
        </w:rPr>
        <w:t>”。</w:t>
      </w:r>
    </w:p>
    <w:p w14:paraId="09FE5126">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（二）部门决算中项目绩效自评结果。</w:t>
      </w:r>
    </w:p>
    <w:p w14:paraId="1D86D8DB">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1、大病互助保险管理经费</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w:t>
      </w:r>
      <w:r>
        <w:rPr>
          <w:rFonts w:hint="eastAsia" w:ascii="Times New Roman" w:hAnsi="Times New Roman" w:eastAsia="仿宋_GB2312"/>
          <w:i w:val="0"/>
          <w:iCs w:val="0"/>
          <w:color w:val="3D3D3D"/>
          <w:spacing w:val="0"/>
          <w:sz w:val="32"/>
          <w:szCs w:val="32"/>
          <w:shd w:val="clear" w:color="auto" w:fill="FFFFFF"/>
        </w:rPr>
        <w:t>财政拨款收入</w:t>
      </w:r>
      <w:r>
        <w:rPr>
          <w:rFonts w:hint="eastAsia" w:ascii="Times New Roman" w:hAnsi="Times New Roman" w:eastAsia="仿宋_GB2312"/>
          <w:i w:val="0"/>
          <w:iCs w:val="0"/>
          <w:spacing w:val="0"/>
          <w:sz w:val="32"/>
          <w:szCs w:val="32"/>
        </w:rPr>
        <w:t>15.00万元，支出15.00万元，执行率为100.00%。</w:t>
      </w:r>
      <w:r>
        <w:rPr>
          <w:rFonts w:hint="eastAsia" w:ascii="Times New Roman" w:hAnsi="Times New Roman" w:eastAsia="仿宋_GB2312" w:cs="仿宋"/>
          <w:i w:val="0"/>
          <w:iCs w:val="0"/>
          <w:spacing w:val="0"/>
          <w:sz w:val="32"/>
          <w:szCs w:val="32"/>
        </w:rPr>
        <w:t>年度目标：</w:t>
      </w:r>
      <w:r>
        <w:rPr>
          <w:rFonts w:hint="eastAsia" w:ascii="Times New Roman" w:hAnsi="Times New Roman" w:eastAsia="仿宋_GB2312"/>
          <w:i w:val="0"/>
          <w:iCs w:val="0"/>
          <w:spacing w:val="0"/>
          <w:sz w:val="32"/>
          <w:szCs w:val="32"/>
        </w:rPr>
        <w:t>做好重特大疾病医疗保障，全面落实《怀化市城乡居民大病保险实施细则》。</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i w:val="0"/>
          <w:iCs w:val="0"/>
          <w:spacing w:val="0"/>
          <w:sz w:val="32"/>
          <w:szCs w:val="32"/>
        </w:rPr>
        <w:t>2022年应保尽保为应收净收打下坚实的基础，大病互助收入1552万元，大病互助支出1874万元。其中做好了跨省异地就医直接结算工作，作为参保地，全市发生跨省异地大病支付725.24万元；作为就医地全市发生跨省异地就医大病支付76.85万元。作为参保地，全市发生省内异地就医大病支付6497.17万元；作为就医地全市发生省内异地就医大病支付695.13万元。</w:t>
      </w:r>
    </w:p>
    <w:p w14:paraId="271A302E">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2、医疗服务与保障能力提升</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。财政拨款收入50.00万元，支出50.00万元，执行率为100.00%。</w:t>
      </w:r>
      <w:r>
        <w:rPr>
          <w:rFonts w:hint="eastAsia" w:ascii="Times New Roman" w:hAnsi="Times New Roman" w:eastAsia="仿宋_GB2312" w:cs="仿宋"/>
          <w:i w:val="0"/>
          <w:iCs w:val="0"/>
          <w:spacing w:val="0"/>
          <w:sz w:val="32"/>
          <w:szCs w:val="32"/>
        </w:rPr>
        <w:t>年度目标：</w:t>
      </w:r>
      <w:r>
        <w:rPr>
          <w:rFonts w:hint="eastAsia" w:ascii="Times New Roman" w:hAnsi="Times New Roman" w:eastAsia="仿宋_GB2312"/>
          <w:i w:val="0"/>
          <w:iCs w:val="0"/>
          <w:spacing w:val="0"/>
          <w:sz w:val="32"/>
          <w:szCs w:val="32"/>
        </w:rPr>
        <w:t>有效提升综合监管、宣传引导、经办服务、信息化建设等医疗保障服务能力。</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i w:val="0"/>
          <w:iCs w:val="0"/>
          <w:spacing w:val="0"/>
          <w:sz w:val="32"/>
          <w:szCs w:val="32"/>
        </w:rPr>
        <w:t>一是基金监管全覆盖。制定实施基金监管、全覆盖等方案，启动基金监管信息化建设，聘请第三方对医保基金使用进行大数据分析服务。二是宣传工作卓有成效。信息报送“连天线”，及时总结归纳工作中的巧方法、好经验，多层级报送高质量信息；日常宣传“接地气”，在浏阳日报开设“医保惠民零距离”政策专栏，利用政府门户网及宣传折页对医保业务政策进行宣传。三是强力提升经办服务体系。高层级调度，怀化市委市政府高度重视，分别召开专题会议进行研究；严格执行28项操作规范，不断提高办理效率，在“首问负责”“一次性告知”“限时办结”“同岗替代”“信息公开”“责任追究”等方面统一制度，做到医保政务服务事项线上线下办理同源同质，实现经办事项全市“无差别受理、同标准办理”，并严格落实线上线下“好差评”，实行政务服务大厅医保窗口“无差别全科受理”，推行服务事项“网上办”，实现所有医保“最多跑一次”。四是全市积极推进“前台统一受理、后台分类办理、统一窗口出件”综合柜员经办模式，实现市域内医保经办窗口业务通办；并加强经办人员礼仪培训，要求其严格落实医保经办机构服务用语示例要求，全面规范服务行为。本年窗口从业人员好评率达100%。</w:t>
      </w:r>
    </w:p>
    <w:p w14:paraId="3279ABD0">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3、医保信息系统维护</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。财政拨款收入12.00万元，支出12.00万元，执行率为100.00%。</w:t>
      </w:r>
      <w:r>
        <w:rPr>
          <w:rFonts w:hint="eastAsia" w:ascii="Times New Roman" w:hAnsi="Times New Roman" w:eastAsia="仿宋_GB2312" w:cs="仿宋"/>
          <w:i w:val="0"/>
          <w:iCs w:val="0"/>
          <w:spacing w:val="0"/>
          <w:sz w:val="32"/>
          <w:szCs w:val="32"/>
        </w:rPr>
        <w:t>年度目标：</w:t>
      </w:r>
      <w:r>
        <w:rPr>
          <w:rFonts w:hint="eastAsia" w:ascii="Times New Roman" w:hAnsi="Times New Roman" w:eastAsia="仿宋_GB2312"/>
          <w:i w:val="0"/>
          <w:iCs w:val="0"/>
          <w:spacing w:val="0"/>
          <w:sz w:val="32"/>
          <w:szCs w:val="32"/>
        </w:rPr>
        <w:t>加强医疗保险基金智能监管、加强医院药店协议单位的监管</w:t>
      </w:r>
      <w:r>
        <w:rPr>
          <w:rFonts w:ascii="Times New Roman" w:hAnsi="Times New Roman" w:eastAsia="仿宋_GB2312"/>
          <w:i w:val="0"/>
          <w:iCs w:val="0"/>
          <w:spacing w:val="0"/>
          <w:sz w:val="32"/>
          <w:szCs w:val="32"/>
        </w:rPr>
        <w:t>，建立本地区医疗服务价格动态调整监测和评估数据库、做好医疗服务价格调整监测评估工作。</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i w:val="0"/>
          <w:iCs w:val="0"/>
          <w:spacing w:val="0"/>
          <w:sz w:val="32"/>
          <w:szCs w:val="32"/>
        </w:rPr>
        <w:t>一是按时完成国家、省、市医保部门下达的医保目录维护工作，在维护过程中，发现问题时，不等不靠，积极请示主管部门，及时完成“医保目录”的更新维护工作。二是根据我省异地就医接口改造要求，按照接口标准进行改造，同时下发两定机构接口改造的通知，协调省异地中心与我市的两定机构顺利完成网络连接工作，目前网络运行平稳。</w:t>
      </w:r>
    </w:p>
    <w:p w14:paraId="34E7D9C2">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4、医保市级统筹奖补</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。财政拨款收入15.00万元，支出15.00万元，执行率为100.00%。</w:t>
      </w:r>
      <w:r>
        <w:rPr>
          <w:rFonts w:hint="eastAsia" w:ascii="Times New Roman" w:hAnsi="Times New Roman" w:eastAsia="仿宋_GB2312" w:cs="仿宋"/>
          <w:i w:val="0"/>
          <w:iCs w:val="0"/>
          <w:spacing w:val="0"/>
          <w:sz w:val="32"/>
          <w:szCs w:val="32"/>
        </w:rPr>
        <w:t>年度目标：</w:t>
      </w:r>
      <w:r>
        <w:rPr>
          <w:rFonts w:hint="eastAsia" w:ascii="Times New Roman" w:hAnsi="Times New Roman" w:eastAsia="仿宋_GB2312"/>
          <w:i w:val="0"/>
          <w:iCs w:val="0"/>
          <w:spacing w:val="0"/>
          <w:sz w:val="32"/>
          <w:szCs w:val="32"/>
        </w:rPr>
        <w:t>解决本市基本医疗保险历史遗留问题和推动实施市级统筹工作，围绕政策制定开展调研、会议和培训相关工作。</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i w:val="0"/>
          <w:iCs w:val="0"/>
          <w:spacing w:val="0"/>
          <w:sz w:val="32"/>
          <w:szCs w:val="32"/>
        </w:rPr>
        <w:t>一是保障民生基本需求，助力基金扩面征缴工作。有效地保障了城乡非职工医疗保险公民的基本医疗需求，维护社会公平稳定，保障了民生医疗基本需求。二是优化筹资待遇机制，增强基金可持续性。2022年度，城乡居民基本医疗保险省级补助资金继续发挥在基金筹资、待遇方面的</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压舱石</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作用，统筹层次进一步提高，统筹质量得到提升，筹资水平进一步提高，待遇水平巩固在较高水准。三是改造业务经办流程，增强便民惠民意识。2022年，我们继续做好城乡居民医疗保险便民工作，合理简化经办程序，做好宣传，下沉服务，便捷医保经办手续，打通医保服务群众的</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最后一公里</w:t>
      </w:r>
      <w:r>
        <w:rPr>
          <w:rFonts w:hint="eastAsia" w:ascii="Times New Roman" w:hAnsi="Times New Roman" w:eastAsia="仿宋_GB2312"/>
          <w:i w:val="0"/>
          <w:iCs w:val="0"/>
          <w:spacing w:val="0"/>
          <w:sz w:val="32"/>
          <w:szCs w:val="32"/>
          <w:lang w:eastAsia="zh-CN"/>
        </w:rPr>
        <w:t>”</w:t>
      </w:r>
      <w:r>
        <w:rPr>
          <w:rFonts w:hint="eastAsia" w:ascii="Times New Roman" w:hAnsi="Times New Roman" w:eastAsia="仿宋_GB2312"/>
          <w:i w:val="0"/>
          <w:iCs w:val="0"/>
          <w:spacing w:val="0"/>
          <w:sz w:val="32"/>
          <w:szCs w:val="32"/>
        </w:rPr>
        <w:t>。满意度调查结果显示，居民对于医保的便捷程度满意度较高。四是推动医保精细化管理，落实精准扶贫</w:t>
      </w:r>
      <w:r>
        <w:rPr>
          <w:rFonts w:hint="eastAsia" w:ascii="Times New Roman" w:hAnsi="Times New Roman" w:eastAsia="仿宋_GB2312"/>
          <w:i w:val="0"/>
          <w:iCs w:val="0"/>
          <w:spacing w:val="0"/>
          <w:sz w:val="32"/>
          <w:szCs w:val="32"/>
          <w:lang w:eastAsia="zh-CN"/>
        </w:rPr>
        <w:t>政策</w:t>
      </w:r>
      <w:r>
        <w:rPr>
          <w:rFonts w:hint="eastAsia" w:ascii="Times New Roman" w:hAnsi="Times New Roman" w:eastAsia="仿宋_GB2312"/>
          <w:i w:val="0"/>
          <w:iCs w:val="0"/>
          <w:spacing w:val="0"/>
          <w:sz w:val="32"/>
          <w:szCs w:val="32"/>
        </w:rPr>
        <w:t>。把医保扶贫纳入重要的工作范畴，实现精准扶贫人员全覆盖。困难群众因病致贫、因病返贫、因贫弃医问题得到了较大程度</w:t>
      </w:r>
      <w:r>
        <w:rPr>
          <w:rFonts w:hint="eastAsia" w:ascii="Times New Roman" w:hAnsi="Times New Roman" w:eastAsia="仿宋_GB2312"/>
          <w:i w:val="0"/>
          <w:iCs w:val="0"/>
          <w:spacing w:val="0"/>
          <w:sz w:val="32"/>
          <w:szCs w:val="32"/>
          <w:lang w:eastAsia="zh-CN"/>
        </w:rPr>
        <w:t>地</w:t>
      </w:r>
      <w:r>
        <w:rPr>
          <w:rFonts w:hint="eastAsia" w:ascii="Times New Roman" w:hAnsi="Times New Roman" w:eastAsia="仿宋_GB2312"/>
          <w:i w:val="0"/>
          <w:iCs w:val="0"/>
          <w:spacing w:val="0"/>
          <w:sz w:val="32"/>
          <w:szCs w:val="32"/>
        </w:rPr>
        <w:t>解决。五是加强医疗保障基金监管，坚决打击欺诈骗保行为。</w:t>
      </w:r>
    </w:p>
    <w:p w14:paraId="1A259BD3">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5、医疗生育保险基金参保登记、医保关系转移、医保待遇支付等工作经费</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。财政拨款收入48.00万元，支出48.00万元，执行率为100.00%。</w:t>
      </w:r>
      <w:r>
        <w:rPr>
          <w:rFonts w:hint="eastAsia" w:ascii="Times New Roman" w:hAnsi="Times New Roman" w:eastAsia="仿宋_GB2312" w:cs="仿宋"/>
          <w:i w:val="0"/>
          <w:iCs w:val="0"/>
          <w:spacing w:val="0"/>
          <w:sz w:val="32"/>
          <w:szCs w:val="32"/>
        </w:rPr>
        <w:t>年度目标：</w:t>
      </w:r>
      <w:r>
        <w:rPr>
          <w:rFonts w:ascii="Times New Roman" w:hAnsi="Times New Roman" w:eastAsia="仿宋_GB2312"/>
          <w:i w:val="0"/>
          <w:iCs w:val="0"/>
          <w:color w:val="000000"/>
          <w:spacing w:val="0"/>
          <w:sz w:val="32"/>
          <w:szCs w:val="32"/>
          <w:shd w:val="clear" w:color="auto" w:fill="FFFFFF"/>
        </w:rPr>
        <w:t>严格贯彻落实医保法律法规和政策，维护医保基金安全。坚持“以收定支、收支平衡、略有结余”的原则，严格编制和执行医保基金预算。及时足额发放各项医保待遇，保障参保人权益。</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cs="仿宋"/>
          <w:i w:val="0"/>
          <w:iCs w:val="0"/>
          <w:spacing w:val="0"/>
          <w:sz w:val="32"/>
          <w:szCs w:val="32"/>
          <w:lang w:eastAsia="zh-CN"/>
        </w:rPr>
        <w:t>截至12月</w:t>
      </w:r>
      <w:r>
        <w:rPr>
          <w:rFonts w:hint="eastAsia" w:ascii="Times New Roman" w:hAnsi="Times New Roman" w:eastAsia="仿宋_GB2312"/>
          <w:i w:val="0"/>
          <w:iCs w:val="0"/>
          <w:spacing w:val="0"/>
          <w:sz w:val="32"/>
          <w:szCs w:val="32"/>
        </w:rPr>
        <w:t>，住院后台报账 659次，发生医疗费用 692.75万元，其中统筹基金支付395.86万元，大病支付10.56万元，公务员补助支付0.81万元；门特报账 546人次，医疗总费用202.68 万元，其中统筹基金支付146.28 万元；特药报账336人次，医疗总费用230.04 万元，大病支付 254.48万元；门诊报账1070人次，医疗总费用570.80万元，支付个人账户151.43万元。定点医院结算420次，统筹基金支出18740.17万元，大病互助支出1611.57 万元，个人账户支出 2440.55万元；定点门诊结算0次，个人账户支出0万元；协议零售药店结算2863次，个人账户支出7015.00万元。根据“一件事一次办”工作方案的要求，我们延长了部分特殊门诊待遇时限，共有56522人次办理享受特殊门诊，支付待遇2475.17万元；特殊药品报账336人次，支付待遇154.48万元。</w:t>
      </w:r>
    </w:p>
    <w:p w14:paraId="2872A7B5">
      <w:pPr>
        <w:pStyle w:val="20"/>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6、</w:t>
      </w:r>
      <w:r>
        <w:rPr>
          <w:rFonts w:hint="eastAsia" w:ascii="Times New Roman" w:hAnsi="Times New Roman" w:eastAsia="仿宋_GB2312"/>
          <w:i w:val="0"/>
          <w:iCs w:val="0"/>
          <w:spacing w:val="0"/>
          <w:sz w:val="32"/>
          <w:szCs w:val="32"/>
          <w:lang w:eastAsia="zh-CN"/>
        </w:rPr>
        <w:t>离休老干部和</w:t>
      </w:r>
      <w:r>
        <w:rPr>
          <w:rFonts w:hint="eastAsia" w:ascii="Times New Roman" w:hAnsi="Times New Roman" w:eastAsia="仿宋_GB2312"/>
          <w:i w:val="0"/>
          <w:iCs w:val="0"/>
          <w:spacing w:val="0"/>
          <w:sz w:val="32"/>
          <w:szCs w:val="32"/>
        </w:rPr>
        <w:t>公务员医疗管理工作经费</w:t>
      </w:r>
      <w:r>
        <w:rPr>
          <w:rFonts w:hint="eastAsia" w:ascii="Times New Roman" w:hAnsi="Times New Roman" w:eastAsia="仿宋_GB2312"/>
          <w:i w:val="0"/>
          <w:iCs w:val="0"/>
          <w:color w:val="3D3D3D"/>
          <w:spacing w:val="0"/>
          <w:sz w:val="32"/>
          <w:szCs w:val="32"/>
          <w:shd w:val="clear" w:color="auto" w:fill="FFFFFF"/>
        </w:rPr>
        <w:t>项目绩效自评综述：根据年初设定的绩效目标，项目绩效自评得分为97分</w:t>
      </w:r>
      <w:r>
        <w:rPr>
          <w:rFonts w:hint="eastAsia" w:ascii="Times New Roman" w:hAnsi="Times New Roman" w:eastAsia="仿宋_GB2312"/>
          <w:i w:val="0"/>
          <w:iCs w:val="0"/>
          <w:spacing w:val="0"/>
          <w:sz w:val="32"/>
          <w:szCs w:val="32"/>
        </w:rPr>
        <w:t>。财政拨款收入12.00万元，支出12.00万元，执行率为100.00%。</w:t>
      </w:r>
      <w:r>
        <w:rPr>
          <w:rFonts w:hint="eastAsia" w:ascii="Times New Roman" w:hAnsi="Times New Roman" w:eastAsia="仿宋_GB2312" w:cs="仿宋"/>
          <w:i w:val="0"/>
          <w:iCs w:val="0"/>
          <w:spacing w:val="0"/>
          <w:sz w:val="32"/>
          <w:szCs w:val="32"/>
        </w:rPr>
        <w:t>年度目标：</w:t>
      </w:r>
      <w:r>
        <w:rPr>
          <w:rFonts w:hint="eastAsia" w:ascii="Times New Roman" w:hAnsi="Times New Roman" w:eastAsia="仿宋_GB2312"/>
          <w:i w:val="0"/>
          <w:iCs w:val="0"/>
          <w:spacing w:val="0"/>
          <w:sz w:val="32"/>
          <w:szCs w:val="32"/>
        </w:rPr>
        <w:t>全面贯彻落实</w:t>
      </w:r>
      <w:r>
        <w:rPr>
          <w:rFonts w:hint="eastAsia" w:ascii="Times New Roman" w:hAnsi="Times New Roman" w:eastAsia="仿宋_GB2312"/>
          <w:i w:val="0"/>
          <w:iCs w:val="0"/>
          <w:spacing w:val="0"/>
          <w:sz w:val="32"/>
          <w:szCs w:val="32"/>
          <w:lang w:eastAsia="zh-CN"/>
        </w:rPr>
        <w:t>离休老干部和</w:t>
      </w:r>
      <w:r>
        <w:rPr>
          <w:rFonts w:hint="eastAsia" w:ascii="Times New Roman" w:hAnsi="Times New Roman" w:eastAsia="仿宋_GB2312"/>
          <w:i w:val="0"/>
          <w:iCs w:val="0"/>
          <w:spacing w:val="0"/>
          <w:sz w:val="32"/>
          <w:szCs w:val="32"/>
        </w:rPr>
        <w:t>公务员医保政策，确保</w:t>
      </w:r>
      <w:r>
        <w:rPr>
          <w:rFonts w:hint="eastAsia" w:ascii="Times New Roman" w:hAnsi="Times New Roman" w:eastAsia="仿宋_GB2312"/>
          <w:i w:val="0"/>
          <w:iCs w:val="0"/>
          <w:spacing w:val="0"/>
          <w:sz w:val="32"/>
          <w:szCs w:val="32"/>
          <w:lang w:eastAsia="zh-CN"/>
        </w:rPr>
        <w:t>离休老干部和</w:t>
      </w:r>
      <w:r>
        <w:rPr>
          <w:rFonts w:hint="eastAsia" w:ascii="Times New Roman" w:hAnsi="Times New Roman" w:eastAsia="仿宋_GB2312"/>
          <w:i w:val="0"/>
          <w:iCs w:val="0"/>
          <w:spacing w:val="0"/>
          <w:sz w:val="32"/>
          <w:szCs w:val="32"/>
        </w:rPr>
        <w:t>公务员医疗待遇落实到位，提高</w:t>
      </w:r>
      <w:r>
        <w:rPr>
          <w:rFonts w:hint="eastAsia" w:ascii="Times New Roman" w:hAnsi="Times New Roman" w:eastAsia="仿宋_GB2312"/>
          <w:i w:val="0"/>
          <w:iCs w:val="0"/>
          <w:spacing w:val="0"/>
          <w:sz w:val="32"/>
          <w:szCs w:val="32"/>
          <w:lang w:eastAsia="zh-CN"/>
        </w:rPr>
        <w:t>离休老干部和</w:t>
      </w:r>
      <w:r>
        <w:rPr>
          <w:rFonts w:hint="eastAsia" w:ascii="Times New Roman" w:hAnsi="Times New Roman" w:eastAsia="仿宋_GB2312"/>
          <w:i w:val="0"/>
          <w:iCs w:val="0"/>
          <w:spacing w:val="0"/>
          <w:sz w:val="32"/>
          <w:szCs w:val="32"/>
        </w:rPr>
        <w:t>公务员的健康水平。</w:t>
      </w:r>
      <w:r>
        <w:rPr>
          <w:rFonts w:hint="eastAsia" w:ascii="Times New Roman" w:hAnsi="Times New Roman" w:eastAsia="仿宋_GB2312" w:cs="仿宋"/>
          <w:i w:val="0"/>
          <w:iCs w:val="0"/>
          <w:spacing w:val="0"/>
          <w:sz w:val="32"/>
          <w:szCs w:val="32"/>
        </w:rPr>
        <w:t>完成情况：</w:t>
      </w:r>
      <w:r>
        <w:rPr>
          <w:rFonts w:hint="eastAsia" w:ascii="Times New Roman" w:hAnsi="Times New Roman" w:eastAsia="仿宋_GB2312"/>
          <w:i w:val="0"/>
          <w:iCs w:val="0"/>
          <w:spacing w:val="0"/>
          <w:sz w:val="32"/>
          <w:szCs w:val="32"/>
        </w:rPr>
        <w:t>本年度市本级离休干部129人，发生医疗费1262.86万元（其中门诊260.98万元，住院1001.88万元）公务员住院医疗费二次报账284人次，补助医疗费102.55万元；享受副师以上待遇的干部 57人，核报医疗费65.42万元。</w:t>
      </w:r>
    </w:p>
    <w:p w14:paraId="34AB2B97">
      <w:pPr>
        <w:pStyle w:val="13"/>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（三）存在的问题及原因分析</w:t>
      </w:r>
    </w:p>
    <w:p w14:paraId="08226B3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1、年初预算安排与工作任务不匹配，经费缺口较大。专项工作任务重，事务繁杂，临时性新增工作任务较多，项目经费略显不足。</w:t>
      </w:r>
    </w:p>
    <w:p w14:paraId="169A58B0">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2、部分预算资金下达较迟，为保证专项工作顺利开展，只能以公用经费垫付，导致年末公用经费紧张。</w:t>
      </w:r>
    </w:p>
    <w:p w14:paraId="067DAD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i w:val="0"/>
          <w:iCs w:val="0"/>
          <w:spacing w:val="0"/>
          <w:sz w:val="32"/>
          <w:szCs w:val="32"/>
        </w:rPr>
      </w:pPr>
      <w:r>
        <w:rPr>
          <w:rFonts w:hint="eastAsia" w:ascii="Times New Roman" w:hAnsi="Times New Roman" w:eastAsia="仿宋_GB2312"/>
          <w:i w:val="0"/>
          <w:iCs w:val="0"/>
          <w:spacing w:val="0"/>
          <w:sz w:val="32"/>
          <w:szCs w:val="32"/>
        </w:rPr>
        <w:t>3、改进措施和有关建议</w:t>
      </w:r>
    </w:p>
    <w:p w14:paraId="0CDE7C65">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ascii="Times New Roman" w:hAnsi="Times New Roman" w:eastAsia="仿宋_GB2312" w:cs="仿宋"/>
          <w:i w:val="0"/>
          <w:iCs w:val="0"/>
          <w:color w:val="000000"/>
          <w:spacing w:val="0"/>
          <w:kern w:val="0"/>
          <w:sz w:val="32"/>
          <w:szCs w:val="32"/>
          <w:shd w:val="clear" w:color="auto" w:fill="FFFFFF"/>
        </w:rPr>
      </w:pPr>
      <w:r>
        <w:rPr>
          <w:rFonts w:hint="eastAsia" w:ascii="Times New Roman" w:hAnsi="Times New Roman" w:eastAsia="仿宋_GB2312" w:cs="黑体"/>
          <w:i w:val="0"/>
          <w:iCs w:val="0"/>
          <w:color w:val="000000"/>
          <w:spacing w:val="0"/>
          <w:kern w:val="0"/>
          <w:sz w:val="32"/>
          <w:szCs w:val="32"/>
          <w:lang w:val="en-US" w:eastAsia="zh-CN" w:bidi="ar-SA"/>
        </w:rPr>
        <w:t>（1）科学合理编制预算，严格执行预算。</w:t>
      </w:r>
      <w:r>
        <w:rPr>
          <w:rFonts w:hint="eastAsia" w:ascii="Times New Roman" w:hAnsi="Times New Roman" w:eastAsia="仿宋_GB2312"/>
          <w:i w:val="0"/>
          <w:iCs w:val="0"/>
          <w:spacing w:val="0"/>
          <w:sz w:val="32"/>
          <w:szCs w:val="32"/>
        </w:rPr>
        <w:t>加强预算编制的前瞻性，按照新《预算法》及其实施条例的相关规定，按政策规定及本站的发展规划，</w:t>
      </w:r>
      <w:r>
        <w:rPr>
          <w:rFonts w:hint="eastAsia" w:ascii="Times New Roman" w:hAnsi="Times New Roman" w:eastAsia="仿宋_GB2312" w:cs="仿宋"/>
          <w:i w:val="0"/>
          <w:iCs w:val="0"/>
          <w:color w:val="000000"/>
          <w:spacing w:val="0"/>
          <w:kern w:val="0"/>
          <w:sz w:val="32"/>
          <w:szCs w:val="32"/>
          <w:shd w:val="clear" w:color="auto" w:fill="FFFFFF"/>
        </w:rPr>
        <w:t>结合上一年度预算执行情况和本年度预算收支变化因素，科学、合理地编制本</w:t>
      </w:r>
      <w:r>
        <w:rPr>
          <w:rFonts w:hint="eastAsia" w:ascii="Times New Roman" w:hAnsi="Times New Roman" w:eastAsia="仿宋_GB2312" w:cs="仿宋"/>
          <w:i w:val="0"/>
          <w:iCs w:val="0"/>
          <w:color w:val="000000"/>
          <w:spacing w:val="0"/>
          <w:kern w:val="0"/>
          <w:sz w:val="32"/>
          <w:szCs w:val="32"/>
          <w:shd w:val="clear" w:color="auto" w:fill="FFFFFF"/>
          <w:lang w:eastAsia="zh-CN"/>
        </w:rPr>
        <w:t>年度</w:t>
      </w:r>
      <w:r>
        <w:rPr>
          <w:rFonts w:hint="eastAsia" w:ascii="Times New Roman" w:hAnsi="Times New Roman" w:eastAsia="仿宋_GB2312" w:cs="仿宋"/>
          <w:i w:val="0"/>
          <w:iCs w:val="0"/>
          <w:color w:val="000000"/>
          <w:spacing w:val="0"/>
          <w:kern w:val="0"/>
          <w:sz w:val="32"/>
          <w:szCs w:val="32"/>
          <w:shd w:val="clear" w:color="auto" w:fill="FFFFFF"/>
        </w:rPr>
        <w:t>预算，避免预算支出与实际执行出现较大偏差的情况。</w:t>
      </w:r>
    </w:p>
    <w:p w14:paraId="20146CF2">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
          <w:i w:val="0"/>
          <w:iCs w:val="0"/>
          <w:color w:val="000000"/>
          <w:spacing w:val="0"/>
          <w:kern w:val="0"/>
          <w:sz w:val="32"/>
          <w:szCs w:val="32"/>
          <w:shd w:val="clear" w:color="auto" w:fill="FFFFFF"/>
        </w:rPr>
      </w:pPr>
      <w:r>
        <w:rPr>
          <w:rFonts w:hint="eastAsia" w:ascii="Times New Roman" w:hAnsi="Times New Roman" w:eastAsia="仿宋_GB2312" w:cs="黑体"/>
          <w:i w:val="0"/>
          <w:iCs w:val="0"/>
          <w:color w:val="000000"/>
          <w:spacing w:val="0"/>
          <w:kern w:val="0"/>
          <w:sz w:val="32"/>
          <w:szCs w:val="32"/>
          <w:lang w:val="en-US" w:eastAsia="zh-CN" w:bidi="ar-SA"/>
        </w:rPr>
        <w:t>（2）加强单位内控制度建设，完善相关内部管理制度。按</w:t>
      </w:r>
      <w:r>
        <w:rPr>
          <w:rFonts w:hint="eastAsia" w:ascii="Times New Roman" w:hAnsi="Times New Roman" w:eastAsia="仿宋_GB2312" w:cs="仿宋"/>
          <w:i w:val="0"/>
          <w:iCs w:val="0"/>
          <w:color w:val="000000"/>
          <w:spacing w:val="0"/>
          <w:kern w:val="0"/>
          <w:sz w:val="32"/>
          <w:szCs w:val="32"/>
          <w:shd w:val="clear" w:color="auto" w:fill="FFFFFF"/>
        </w:rPr>
        <w:t>市财政局要求开展内部控制建设工作，通过查找内部管理中的薄弱环节，建立健全各项内</w:t>
      </w:r>
      <w:r>
        <w:rPr>
          <w:rFonts w:hint="eastAsia" w:ascii="Times New Roman" w:hAnsi="Times New Roman" w:eastAsia="仿宋_GB2312" w:cs="黑体"/>
          <w:i w:val="0"/>
          <w:iCs w:val="0"/>
          <w:color w:val="000000"/>
          <w:spacing w:val="0"/>
          <w:kern w:val="0"/>
          <w:sz w:val="32"/>
          <w:szCs w:val="32"/>
          <w:lang w:val="en-US" w:eastAsia="zh-CN" w:bidi="ar-SA"/>
        </w:rPr>
        <w:t>部控制制度，更好地发挥内部控制在提升单位内部治理水平、规范内部权力运行、促进依法行政、推进廉政</w:t>
      </w:r>
      <w:r>
        <w:rPr>
          <w:rFonts w:hint="eastAsia" w:ascii="Times New Roman" w:hAnsi="Times New Roman" w:eastAsia="仿宋_GB2312" w:cs="仿宋"/>
          <w:i w:val="0"/>
          <w:iCs w:val="0"/>
          <w:color w:val="000000"/>
          <w:spacing w:val="0"/>
          <w:kern w:val="0"/>
          <w:sz w:val="32"/>
          <w:szCs w:val="32"/>
          <w:shd w:val="clear" w:color="auto" w:fill="FFFFFF"/>
        </w:rPr>
        <w:t>建设中的重要作用。进一步贯彻落实中央“八项规定”和湖南省委“九条规定”及《党政机关厉行节约反对浪</w:t>
      </w:r>
      <w:r>
        <w:rPr>
          <w:rFonts w:hint="eastAsia" w:ascii="Times New Roman" w:hAnsi="Times New Roman" w:eastAsia="仿宋_GB2312" w:cs="黑体"/>
          <w:i w:val="0"/>
          <w:iCs w:val="0"/>
          <w:color w:val="000000"/>
          <w:spacing w:val="0"/>
          <w:kern w:val="0"/>
          <w:sz w:val="32"/>
          <w:szCs w:val="32"/>
          <w:lang w:val="en-US" w:eastAsia="zh-CN" w:bidi="ar-SA"/>
        </w:rPr>
        <w:t>费条例》，建立部门“三公经费”等公务支出管理制度及厉行</w:t>
      </w:r>
      <w:r>
        <w:rPr>
          <w:rFonts w:hint="eastAsia" w:ascii="Times New Roman" w:hAnsi="Times New Roman" w:eastAsia="仿宋_GB2312" w:cs="仿宋"/>
          <w:i w:val="0"/>
          <w:iCs w:val="0"/>
          <w:color w:val="000000"/>
          <w:spacing w:val="0"/>
          <w:kern w:val="0"/>
          <w:sz w:val="32"/>
          <w:szCs w:val="32"/>
          <w:shd w:val="clear" w:color="auto" w:fill="FFFFFF"/>
        </w:rPr>
        <w:t>节约制度，加强经费审批和控制，规范支出标准与范围，并严格执行。严格按照规定加强对固定资产管理，年终前对各类实物资产进行全面盘点，确保账账、账实相符。</w:t>
      </w:r>
    </w:p>
    <w:p w14:paraId="7292DFF8">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仿宋"/>
          <w:i w:val="0"/>
          <w:iCs w:val="0"/>
          <w:color w:val="000000"/>
          <w:spacing w:val="0"/>
          <w:kern w:val="0"/>
          <w:sz w:val="32"/>
          <w:szCs w:val="32"/>
          <w:shd w:val="clear" w:color="auto" w:fill="FFFFFF"/>
        </w:rPr>
      </w:pPr>
      <w:r>
        <w:rPr>
          <w:rFonts w:hint="eastAsia" w:ascii="Times New Roman" w:hAnsi="Times New Roman" w:eastAsia="仿宋_GB2312" w:cs="黑体"/>
          <w:i w:val="0"/>
          <w:iCs w:val="0"/>
          <w:color w:val="000000"/>
          <w:spacing w:val="0"/>
          <w:kern w:val="0"/>
          <w:sz w:val="32"/>
          <w:szCs w:val="32"/>
          <w:lang w:val="en-US" w:eastAsia="zh-CN" w:bidi="ar-SA"/>
        </w:rPr>
        <w:t>（3）加强新政府会计制度和新预算法学习培训。</w:t>
      </w:r>
      <w:r>
        <w:rPr>
          <w:rFonts w:hint="eastAsia" w:ascii="Times New Roman" w:hAnsi="Times New Roman" w:eastAsia="仿宋_GB2312" w:cs="仿宋"/>
          <w:i w:val="0"/>
          <w:iCs w:val="0"/>
          <w:color w:val="000000"/>
          <w:spacing w:val="0"/>
          <w:kern w:val="0"/>
          <w:sz w:val="32"/>
          <w:szCs w:val="32"/>
          <w:shd w:val="clear" w:color="auto" w:fill="FFFFFF"/>
        </w:rPr>
        <w:t>加强新《政府会计准则制度</w:t>
      </w:r>
      <w:r>
        <w:rPr>
          <w:rFonts w:hint="eastAsia" w:ascii="Times New Roman" w:hAnsi="Times New Roman" w:eastAsia="仿宋_GB2312" w:cs="仿宋"/>
          <w:i w:val="0"/>
          <w:iCs w:val="0"/>
          <w:color w:val="000000"/>
          <w:spacing w:val="0"/>
          <w:kern w:val="0"/>
          <w:sz w:val="32"/>
          <w:szCs w:val="32"/>
          <w:shd w:val="clear" w:color="auto" w:fill="FFFFFF"/>
          <w:lang w:eastAsia="zh-CN"/>
        </w:rPr>
        <w:t>》《</w:t>
      </w:r>
      <w:r>
        <w:rPr>
          <w:rFonts w:hint="eastAsia" w:ascii="Times New Roman" w:hAnsi="Times New Roman" w:eastAsia="仿宋_GB2312" w:cs="仿宋"/>
          <w:i w:val="0"/>
          <w:iCs w:val="0"/>
          <w:color w:val="000000"/>
          <w:spacing w:val="0"/>
          <w:kern w:val="0"/>
          <w:sz w:val="32"/>
          <w:szCs w:val="32"/>
          <w:shd w:val="clear" w:color="auto" w:fill="FFFFFF"/>
        </w:rPr>
        <w:t>预算法》等学习培训，进一步加强财务管理，改进预算编制，规范预算执行和会计核算，提高预算绩效管理水平。</w:t>
      </w:r>
    </w:p>
    <w:p w14:paraId="71416BAA">
      <w:pPr>
        <w:pStyle w:val="13"/>
        <w:shd w:val="clear"/>
        <w:jc w:val="center"/>
        <w:rPr>
          <w:rFonts w:ascii="方正小标宋_GBK" w:hAnsi="方正小标宋_GBK" w:eastAsia="方正小标宋_GBK" w:cs="方正小标宋_GBK"/>
          <w:sz w:val="72"/>
          <w:szCs w:val="72"/>
        </w:rPr>
      </w:pPr>
    </w:p>
    <w:p w14:paraId="45DB7281">
      <w:pPr>
        <w:pStyle w:val="13"/>
        <w:shd w:val="clear"/>
        <w:jc w:val="center"/>
        <w:rPr>
          <w:rFonts w:ascii="方正小标宋_GBK" w:hAnsi="方正小标宋_GBK" w:eastAsia="方正小标宋_GBK" w:cs="方正小标宋_GBK"/>
          <w:sz w:val="72"/>
          <w:szCs w:val="72"/>
        </w:rPr>
      </w:pPr>
    </w:p>
    <w:p w14:paraId="40EF9588">
      <w:pPr>
        <w:pStyle w:val="13"/>
        <w:shd w:val="clear"/>
        <w:jc w:val="center"/>
        <w:rPr>
          <w:rFonts w:ascii="方正小标宋_GBK" w:hAnsi="方正小标宋_GBK" w:eastAsia="方正小标宋_GBK" w:cs="方正小标宋_GBK"/>
          <w:sz w:val="72"/>
          <w:szCs w:val="72"/>
        </w:rPr>
      </w:pPr>
    </w:p>
    <w:p w14:paraId="15F76D2D">
      <w:pPr>
        <w:pStyle w:val="13"/>
        <w:shd w:val="clear"/>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3AC7741">
      <w:pPr>
        <w:shd w:val="clear"/>
        <w:jc w:val="center"/>
        <w:rPr>
          <w:rFonts w:ascii="方正小标宋_GBK" w:hAnsi="方正小标宋_GBK" w:eastAsia="方正小标宋_GBK" w:cs="方正小标宋_GBK"/>
          <w:color w:val="000000"/>
          <w:kern w:val="0"/>
          <w:sz w:val="70"/>
          <w:szCs w:val="70"/>
        </w:rPr>
      </w:pPr>
    </w:p>
    <w:p w14:paraId="42505591">
      <w:pPr>
        <w:shd w:val="clea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CB76724">
      <w:pPr>
        <w:widowControl/>
        <w:shd w:val="clear"/>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9FBF930">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r>
        <w:rPr>
          <w:rFonts w:hint="eastAsia" w:ascii="黑体" w:hAnsi="黑体" w:eastAsia="黑体" w:cs="黑体"/>
          <w:color w:val="000000"/>
          <w:kern w:val="0"/>
          <w:sz w:val="32"/>
          <w:szCs w:val="32"/>
        </w:rPr>
        <w:t>一、机关运行经费：</w:t>
      </w:r>
      <w:r>
        <w:rPr>
          <w:rFonts w:hint="eastAsia" w:ascii="Times New Roman" w:hAnsi="Times New Roman" w:eastAsia="仿宋_GB2312" w:cs="仿宋_GB2312"/>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4CCEE07">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r>
        <w:rPr>
          <w:rFonts w:hint="eastAsia" w:ascii="黑体" w:hAnsi="黑体" w:eastAsia="黑体" w:cs="黑体"/>
          <w:color w:val="000000"/>
          <w:kern w:val="0"/>
          <w:sz w:val="32"/>
          <w:szCs w:val="32"/>
        </w:rPr>
        <w:t>二、“三公”经费：</w:t>
      </w:r>
      <w:r>
        <w:rPr>
          <w:rFonts w:hint="eastAsia" w:ascii="Times New Roman" w:hAnsi="Times New Roman" w:eastAsia="仿宋_GB2312" w:cs="仿宋_GB2312"/>
          <w:color w:val="000000"/>
          <w:kern w:val="0"/>
          <w:sz w:val="32"/>
          <w:szCs w:val="32"/>
        </w:rPr>
        <w:t>纳入财政预算管理的</w:t>
      </w:r>
      <w:r>
        <w:rPr>
          <w:rFonts w:hint="eastAsia" w:ascii="Times New Roman" w:hAnsi="Times New Roman" w:eastAsia="仿宋_GB2312" w:cs="仿宋_GB2312"/>
          <w:color w:val="000000"/>
          <w:kern w:val="0"/>
          <w:sz w:val="32"/>
          <w:szCs w:val="32"/>
          <w:lang w:eastAsia="zh-CN"/>
        </w:rPr>
        <w:t>“</w:t>
      </w:r>
      <w:r>
        <w:rPr>
          <w:rFonts w:hint="eastAsia" w:ascii="Times New Roman" w:hAnsi="Times New Roman" w:eastAsia="仿宋_GB2312" w:cs="仿宋_GB2312"/>
          <w:color w:val="000000"/>
          <w:kern w:val="0"/>
          <w:sz w:val="32"/>
          <w:szCs w:val="32"/>
        </w:rPr>
        <w:t>三公</w:t>
      </w:r>
      <w:r>
        <w:rPr>
          <w:rFonts w:hint="eastAsia" w:ascii="Times New Roman" w:hAnsi="Times New Roman" w:eastAsia="仿宋_GB2312" w:cs="仿宋_GB2312"/>
          <w:color w:val="000000"/>
          <w:kern w:val="0"/>
          <w:sz w:val="32"/>
          <w:szCs w:val="32"/>
          <w:lang w:eastAsia="zh-CN"/>
        </w:rPr>
        <w:t>”</w:t>
      </w:r>
      <w:r>
        <w:rPr>
          <w:rFonts w:hint="eastAsia" w:ascii="Times New Roman" w:hAnsi="Times New Roman" w:eastAsia="仿宋_GB2312" w:cs="仿宋_GB2312"/>
          <w:color w:val="000000"/>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864E787">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7B3096F1">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（名词解释应包含本部门专有名词，如省财政厅应有对“财政事务”科目的解释，可参考中央相关部门的名词解释）</w:t>
      </w:r>
    </w:p>
    <w:p w14:paraId="79819E84">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4072DD54">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0F38F230">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6AE9735C">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38C4B9E3">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4F07BF7F">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217904BD">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44C36044">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060CBAE9">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366FCE8E">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p>
    <w:p w14:paraId="635F1EBF">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第五部分</w:t>
      </w:r>
    </w:p>
    <w:p w14:paraId="3751F11C">
      <w:pPr>
        <w:pStyle w:val="13"/>
        <w:jc w:val="center"/>
        <w:rPr>
          <w:rFonts w:ascii="方正小标宋_GBK" w:hAnsi="方正小标宋_GBK" w:eastAsia="方正小标宋_GBK" w:cs="方正小标宋_GBK"/>
          <w:sz w:val="84"/>
          <w:szCs w:val="84"/>
        </w:rPr>
      </w:pPr>
    </w:p>
    <w:p w14:paraId="0D265EE5">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附件</w:t>
      </w:r>
    </w:p>
    <w:p w14:paraId="45CB2F3A">
      <w:pPr>
        <w:spacing w:line="600" w:lineRule="exact"/>
        <w:ind w:firstLine="640" w:firstLineChars="200"/>
        <w:rPr>
          <w:rFonts w:ascii="仿宋" w:hAnsi="仿宋" w:eastAsia="仿宋"/>
          <w:sz w:val="32"/>
          <w:szCs w:val="32"/>
        </w:rPr>
      </w:pPr>
    </w:p>
    <w:p w14:paraId="2B3CB7CA">
      <w:pPr>
        <w:spacing w:line="600" w:lineRule="exact"/>
        <w:ind w:firstLine="640" w:firstLineChars="200"/>
        <w:rPr>
          <w:rFonts w:ascii="仿宋" w:hAnsi="仿宋" w:eastAsia="仿宋"/>
          <w:sz w:val="32"/>
          <w:szCs w:val="32"/>
        </w:rPr>
      </w:pPr>
    </w:p>
    <w:p w14:paraId="611609FF">
      <w:pPr>
        <w:spacing w:line="600" w:lineRule="exact"/>
        <w:ind w:firstLine="640" w:firstLineChars="200"/>
        <w:rPr>
          <w:rFonts w:ascii="仿宋" w:hAnsi="仿宋" w:eastAsia="仿宋"/>
          <w:sz w:val="32"/>
          <w:szCs w:val="32"/>
        </w:rPr>
      </w:pPr>
    </w:p>
    <w:p w14:paraId="15901071">
      <w:pPr>
        <w:spacing w:line="600" w:lineRule="exact"/>
        <w:ind w:firstLine="640" w:firstLineChars="200"/>
        <w:rPr>
          <w:rFonts w:ascii="仿宋" w:hAnsi="仿宋" w:eastAsia="仿宋"/>
          <w:sz w:val="32"/>
          <w:szCs w:val="32"/>
        </w:rPr>
      </w:pPr>
    </w:p>
    <w:p w14:paraId="3B94305B">
      <w:pPr>
        <w:spacing w:line="600" w:lineRule="exact"/>
        <w:ind w:firstLine="640" w:firstLineChars="200"/>
        <w:rPr>
          <w:rFonts w:ascii="仿宋" w:hAnsi="仿宋" w:eastAsia="仿宋"/>
          <w:sz w:val="32"/>
          <w:szCs w:val="32"/>
        </w:rPr>
      </w:pPr>
    </w:p>
    <w:p w14:paraId="1B1FFCC1">
      <w:pPr>
        <w:spacing w:line="600" w:lineRule="exact"/>
        <w:ind w:firstLine="640" w:firstLineChars="200"/>
        <w:rPr>
          <w:rFonts w:ascii="仿宋" w:hAnsi="仿宋" w:eastAsia="仿宋"/>
          <w:sz w:val="32"/>
          <w:szCs w:val="32"/>
        </w:rPr>
      </w:pPr>
    </w:p>
    <w:p w14:paraId="22C96CF1">
      <w:pPr>
        <w:spacing w:line="600" w:lineRule="exact"/>
        <w:ind w:firstLine="640" w:firstLineChars="200"/>
        <w:rPr>
          <w:rFonts w:ascii="仿宋" w:hAnsi="仿宋" w:eastAsia="仿宋"/>
          <w:sz w:val="32"/>
          <w:szCs w:val="32"/>
        </w:rPr>
      </w:pPr>
    </w:p>
    <w:p w14:paraId="7C2E1E98">
      <w:pPr>
        <w:spacing w:line="600" w:lineRule="exact"/>
        <w:ind w:firstLine="640" w:firstLineChars="200"/>
        <w:rPr>
          <w:rFonts w:ascii="仿宋" w:hAnsi="仿宋" w:eastAsia="仿宋"/>
          <w:sz w:val="32"/>
          <w:szCs w:val="32"/>
        </w:rPr>
      </w:pPr>
    </w:p>
    <w:p w14:paraId="757F2F0F">
      <w:pPr>
        <w:spacing w:line="600" w:lineRule="exact"/>
        <w:ind w:firstLine="640" w:firstLineChars="200"/>
        <w:rPr>
          <w:rFonts w:hint="eastAsia" w:ascii="仿宋" w:hAnsi="仿宋" w:eastAsia="仿宋"/>
          <w:sz w:val="32"/>
          <w:szCs w:val="32"/>
        </w:rPr>
      </w:pPr>
    </w:p>
    <w:p w14:paraId="179F30FB">
      <w:pPr>
        <w:spacing w:line="600" w:lineRule="exact"/>
        <w:ind w:firstLine="640" w:firstLineChars="200"/>
        <w:rPr>
          <w:rFonts w:hint="eastAsia" w:ascii="仿宋" w:hAnsi="仿宋" w:eastAsia="仿宋"/>
          <w:sz w:val="32"/>
          <w:szCs w:val="32"/>
        </w:rPr>
      </w:pPr>
    </w:p>
    <w:p w14:paraId="5FF52C7A">
      <w:pPr>
        <w:spacing w:line="600" w:lineRule="exact"/>
        <w:ind w:firstLine="640" w:firstLineChars="200"/>
        <w:rPr>
          <w:rFonts w:ascii="仿宋" w:hAnsi="仿宋" w:eastAsia="仿宋"/>
          <w:sz w:val="32"/>
          <w:szCs w:val="32"/>
        </w:rPr>
      </w:pPr>
      <w:r>
        <w:rPr>
          <w:rFonts w:ascii="仿宋" w:hAnsi="仿宋" w:eastAsia="仿宋"/>
          <w:sz w:val="32"/>
          <w:szCs w:val="32"/>
        </w:rPr>
        <w:t>1、202</w:t>
      </w:r>
      <w:r>
        <w:rPr>
          <w:rFonts w:hint="eastAsia" w:ascii="仿宋" w:hAnsi="仿宋" w:eastAsia="仿宋"/>
          <w:sz w:val="32"/>
          <w:szCs w:val="32"/>
        </w:rPr>
        <w:t>2</w:t>
      </w:r>
      <w:r>
        <w:rPr>
          <w:rFonts w:ascii="仿宋" w:hAnsi="仿宋" w:eastAsia="仿宋"/>
          <w:sz w:val="32"/>
          <w:szCs w:val="32"/>
        </w:rPr>
        <w:t>年度</w:t>
      </w:r>
      <w:r>
        <w:rPr>
          <w:rFonts w:hint="eastAsia" w:ascii="仿宋" w:hAnsi="仿宋" w:eastAsia="仿宋"/>
          <w:sz w:val="32"/>
          <w:szCs w:val="32"/>
          <w:lang w:val="en-US" w:eastAsia="zh-CN"/>
        </w:rPr>
        <w:t>怀化市医疗保障事务中心</w:t>
      </w:r>
      <w:r>
        <w:rPr>
          <w:rFonts w:ascii="仿宋" w:hAnsi="仿宋" w:eastAsia="仿宋"/>
          <w:sz w:val="32"/>
          <w:szCs w:val="32"/>
        </w:rPr>
        <w:t>决算</w:t>
      </w:r>
      <w:r>
        <w:rPr>
          <w:rFonts w:hint="eastAsia" w:ascii="仿宋" w:hAnsi="仿宋" w:eastAsia="仿宋"/>
          <w:sz w:val="32"/>
          <w:szCs w:val="32"/>
          <w:lang w:val="en-US" w:eastAsia="zh-CN"/>
        </w:rPr>
        <w:t>公开</w:t>
      </w:r>
      <w:r>
        <w:rPr>
          <w:rFonts w:ascii="仿宋" w:hAnsi="仿宋" w:eastAsia="仿宋"/>
          <w:sz w:val="32"/>
          <w:szCs w:val="32"/>
        </w:rPr>
        <w:t>表</w:t>
      </w:r>
    </w:p>
    <w:p w14:paraId="40F2F13D">
      <w:pPr>
        <w:spacing w:line="600" w:lineRule="exact"/>
        <w:ind w:firstLine="640" w:firstLineChars="200"/>
        <w:rPr>
          <w:rFonts w:ascii="仿宋" w:hAnsi="仿宋" w:eastAsia="仿宋"/>
          <w:sz w:val="32"/>
          <w:szCs w:val="32"/>
        </w:rPr>
      </w:pPr>
      <w:r>
        <w:rPr>
          <w:rFonts w:ascii="仿宋" w:hAnsi="仿宋" w:eastAsia="仿宋"/>
          <w:sz w:val="32"/>
          <w:szCs w:val="32"/>
        </w:rPr>
        <w:t>2、202</w:t>
      </w:r>
      <w:r>
        <w:rPr>
          <w:rFonts w:hint="eastAsia" w:ascii="仿宋" w:hAnsi="仿宋" w:eastAsia="仿宋"/>
          <w:sz w:val="32"/>
          <w:szCs w:val="32"/>
        </w:rPr>
        <w:t>2</w:t>
      </w:r>
      <w:r>
        <w:rPr>
          <w:rFonts w:ascii="仿宋" w:hAnsi="仿宋" w:eastAsia="仿宋"/>
          <w:sz w:val="32"/>
          <w:szCs w:val="32"/>
        </w:rPr>
        <w:t>年度</w:t>
      </w:r>
      <w:r>
        <w:rPr>
          <w:rFonts w:hint="eastAsia" w:ascii="仿宋" w:hAnsi="仿宋" w:eastAsia="仿宋"/>
          <w:sz w:val="32"/>
          <w:szCs w:val="32"/>
          <w:lang w:val="en-US" w:eastAsia="zh-CN"/>
        </w:rPr>
        <w:t>怀化市医疗保障事务中心</w:t>
      </w:r>
      <w:r>
        <w:rPr>
          <w:rFonts w:ascii="仿宋" w:hAnsi="仿宋" w:eastAsia="仿宋"/>
          <w:sz w:val="32"/>
          <w:szCs w:val="32"/>
        </w:rPr>
        <w:t>整体支出绩效评价报告</w:t>
      </w:r>
    </w:p>
    <w:p w14:paraId="4D790800">
      <w:pPr>
        <w:keepNext w:val="0"/>
        <w:keepLines w:val="0"/>
        <w:pageBreakBefore w:val="0"/>
        <w:widowControl w:val="0"/>
        <w:shd w:val="clear" w:color="auto"/>
        <w:kinsoku/>
        <w:wordWrap/>
        <w:overflowPunct/>
        <w:topLinePunct w:val="0"/>
        <w:autoSpaceDE/>
        <w:autoSpaceDN/>
        <w:bidi w:val="0"/>
        <w:adjustRightInd/>
        <w:snapToGrid/>
        <w:spacing w:line="600" w:lineRule="atLeast"/>
        <w:ind w:firstLine="640" w:firstLineChars="200"/>
        <w:textAlignment w:val="auto"/>
        <w:rPr>
          <w:rFonts w:hint="eastAsia" w:ascii="Times New Roman" w:hAnsi="Times New Roman" w:eastAsia="仿宋_GB2312" w:cs="仿宋_GB2312"/>
          <w:color w:val="000000"/>
          <w:kern w:val="0"/>
          <w:sz w:val="32"/>
          <w:szCs w:val="32"/>
        </w:rPr>
      </w:pPr>
      <w:r>
        <w:rPr>
          <w:rFonts w:ascii="仿宋" w:hAnsi="仿宋" w:eastAsia="仿宋"/>
          <w:sz w:val="32"/>
          <w:szCs w:val="32"/>
        </w:rPr>
        <w:t>3、202</w:t>
      </w:r>
      <w:r>
        <w:rPr>
          <w:rFonts w:hint="eastAsia" w:ascii="仿宋" w:hAnsi="仿宋" w:eastAsia="仿宋"/>
          <w:sz w:val="32"/>
          <w:szCs w:val="32"/>
        </w:rPr>
        <w:t>2</w:t>
      </w:r>
      <w:r>
        <w:rPr>
          <w:rFonts w:ascii="仿宋" w:hAnsi="仿宋" w:eastAsia="仿宋"/>
          <w:sz w:val="32"/>
          <w:szCs w:val="32"/>
        </w:rPr>
        <w:t>年度</w:t>
      </w:r>
      <w:r>
        <w:rPr>
          <w:rFonts w:hint="eastAsia" w:ascii="仿宋" w:hAnsi="仿宋" w:eastAsia="仿宋"/>
          <w:sz w:val="32"/>
          <w:szCs w:val="32"/>
          <w:lang w:val="en-US" w:eastAsia="zh-CN"/>
        </w:rPr>
        <w:t>怀化市医疗保障事务中心</w:t>
      </w:r>
      <w:r>
        <w:rPr>
          <w:rFonts w:ascii="仿宋" w:hAnsi="仿宋" w:eastAsia="仿宋"/>
          <w:sz w:val="32"/>
          <w:szCs w:val="32"/>
        </w:rPr>
        <w:t>专项资金绩效评价报告</w:t>
      </w:r>
    </w:p>
    <w:sectPr>
      <w:pgSz w:w="11906" w:h="16838"/>
      <w:pgMar w:top="1701" w:right="1701" w:bottom="1701" w:left="1701" w:header="851" w:footer="992"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CCDBB0-6530-4756-9715-A397B853F1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715C5AC0-1473-452F-9B97-FE6D1D41E9BD}"/>
  </w:font>
  <w:font w:name="仿宋_GB2312">
    <w:panose1 w:val="02010609030101010101"/>
    <w:charset w:val="86"/>
    <w:family w:val="modern"/>
    <w:pitch w:val="default"/>
    <w:sig w:usb0="00000001" w:usb1="080E0000" w:usb2="00000000" w:usb3="00000000" w:csb0="00040000" w:csb1="00000000"/>
    <w:embedRegular r:id="rId3" w:fontKey="{A483A013-B8FB-44F7-927B-8C21C8F7C924}"/>
  </w:font>
  <w:font w:name="楷体_GB2312">
    <w:panose1 w:val="02010609030101010101"/>
    <w:charset w:val="86"/>
    <w:family w:val="auto"/>
    <w:pitch w:val="default"/>
    <w:sig w:usb0="00000001" w:usb1="080E0000" w:usb2="00000000" w:usb3="00000000" w:csb0="00040000" w:csb1="00000000"/>
    <w:embedRegular r:id="rId4" w:fontKey="{ED1322F8-73E2-4035-AA55-97B330A103C7}"/>
  </w:font>
  <w:font w:name="楷体">
    <w:panose1 w:val="02010609060101010101"/>
    <w:charset w:val="86"/>
    <w:family w:val="modern"/>
    <w:pitch w:val="default"/>
    <w:sig w:usb0="800002BF" w:usb1="38CF7CFA" w:usb2="00000016" w:usb3="00000000" w:csb0="00040001" w:csb1="00000000"/>
    <w:embedRegular r:id="rId5" w:fontKey="{95C6443B-C82D-482A-B97C-58155A9743A0}"/>
  </w:font>
  <w:font w:name="仿宋">
    <w:panose1 w:val="02010609060101010101"/>
    <w:charset w:val="86"/>
    <w:family w:val="modern"/>
    <w:pitch w:val="default"/>
    <w:sig w:usb0="800002BF" w:usb1="38CF7CFA" w:usb2="00000016" w:usb3="00000000" w:csb0="00040001" w:csb1="00000000"/>
    <w:embedRegular r:id="rId6" w:fontKey="{CBCDB516-8ED4-4391-A149-68F64374CB3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98629A"/>
    <w:multiLevelType w:val="singleLevel"/>
    <w:tmpl w:val="3998629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1"/>
  <w:bordersDoNotSurroundFooter w:val="1"/>
  <w:documentProtection w:enforcement="0"/>
  <w:defaultTabStop w:val="420"/>
  <w:drawingGridHorizontalSpacing w:val="210"/>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14931"/>
    <w:rsid w:val="0002229B"/>
    <w:rsid w:val="000273BD"/>
    <w:rsid w:val="00031584"/>
    <w:rsid w:val="000332F3"/>
    <w:rsid w:val="00035405"/>
    <w:rsid w:val="00040CBC"/>
    <w:rsid w:val="000415B7"/>
    <w:rsid w:val="00041E3F"/>
    <w:rsid w:val="00055DAA"/>
    <w:rsid w:val="00061F7B"/>
    <w:rsid w:val="000658A3"/>
    <w:rsid w:val="00074155"/>
    <w:rsid w:val="0007645B"/>
    <w:rsid w:val="000A3F69"/>
    <w:rsid w:val="000C273D"/>
    <w:rsid w:val="000D3ADB"/>
    <w:rsid w:val="00100F00"/>
    <w:rsid w:val="00103957"/>
    <w:rsid w:val="001175B3"/>
    <w:rsid w:val="00143014"/>
    <w:rsid w:val="00152344"/>
    <w:rsid w:val="00152C6D"/>
    <w:rsid w:val="00153533"/>
    <w:rsid w:val="00162D39"/>
    <w:rsid w:val="001678BD"/>
    <w:rsid w:val="00182373"/>
    <w:rsid w:val="001A67DB"/>
    <w:rsid w:val="001C3C29"/>
    <w:rsid w:val="001D51E5"/>
    <w:rsid w:val="001E080D"/>
    <w:rsid w:val="001E53D0"/>
    <w:rsid w:val="001E7B09"/>
    <w:rsid w:val="001F0C3B"/>
    <w:rsid w:val="00202C82"/>
    <w:rsid w:val="00214427"/>
    <w:rsid w:val="00226CB7"/>
    <w:rsid w:val="00264552"/>
    <w:rsid w:val="00264EF9"/>
    <w:rsid w:val="00265724"/>
    <w:rsid w:val="002667C5"/>
    <w:rsid w:val="0027426B"/>
    <w:rsid w:val="00283210"/>
    <w:rsid w:val="00284DF6"/>
    <w:rsid w:val="0028773B"/>
    <w:rsid w:val="002C3B84"/>
    <w:rsid w:val="002E0A30"/>
    <w:rsid w:val="002F5292"/>
    <w:rsid w:val="003130C4"/>
    <w:rsid w:val="00316C4B"/>
    <w:rsid w:val="003177E1"/>
    <w:rsid w:val="0032192B"/>
    <w:rsid w:val="00332AE4"/>
    <w:rsid w:val="003479BD"/>
    <w:rsid w:val="00350118"/>
    <w:rsid w:val="003558BE"/>
    <w:rsid w:val="00370406"/>
    <w:rsid w:val="0037197D"/>
    <w:rsid w:val="003768D5"/>
    <w:rsid w:val="00383904"/>
    <w:rsid w:val="00390ED5"/>
    <w:rsid w:val="003926B9"/>
    <w:rsid w:val="00392BBF"/>
    <w:rsid w:val="003C47E6"/>
    <w:rsid w:val="003C4FC2"/>
    <w:rsid w:val="003F79CB"/>
    <w:rsid w:val="00416E61"/>
    <w:rsid w:val="0042790C"/>
    <w:rsid w:val="00437AD5"/>
    <w:rsid w:val="0044741D"/>
    <w:rsid w:val="004506F9"/>
    <w:rsid w:val="0045680B"/>
    <w:rsid w:val="004642BD"/>
    <w:rsid w:val="00465008"/>
    <w:rsid w:val="0046798B"/>
    <w:rsid w:val="004717A2"/>
    <w:rsid w:val="00473DF3"/>
    <w:rsid w:val="00487911"/>
    <w:rsid w:val="00491741"/>
    <w:rsid w:val="004B0CEE"/>
    <w:rsid w:val="004B34D2"/>
    <w:rsid w:val="004C64B6"/>
    <w:rsid w:val="004C6C82"/>
    <w:rsid w:val="004E29C7"/>
    <w:rsid w:val="00500E5F"/>
    <w:rsid w:val="00511646"/>
    <w:rsid w:val="005122EF"/>
    <w:rsid w:val="0051441A"/>
    <w:rsid w:val="00515250"/>
    <w:rsid w:val="00517C33"/>
    <w:rsid w:val="00517D5F"/>
    <w:rsid w:val="00523644"/>
    <w:rsid w:val="0053124D"/>
    <w:rsid w:val="005355DC"/>
    <w:rsid w:val="0054069E"/>
    <w:rsid w:val="00544866"/>
    <w:rsid w:val="005758EB"/>
    <w:rsid w:val="005767CC"/>
    <w:rsid w:val="005830DB"/>
    <w:rsid w:val="005909D5"/>
    <w:rsid w:val="00590D9F"/>
    <w:rsid w:val="00595D26"/>
    <w:rsid w:val="005A74E6"/>
    <w:rsid w:val="005B404E"/>
    <w:rsid w:val="005B742E"/>
    <w:rsid w:val="005D4D55"/>
    <w:rsid w:val="005D6AEF"/>
    <w:rsid w:val="005E2CFB"/>
    <w:rsid w:val="005F2103"/>
    <w:rsid w:val="005F3D1C"/>
    <w:rsid w:val="005F5F1B"/>
    <w:rsid w:val="0062378F"/>
    <w:rsid w:val="00641842"/>
    <w:rsid w:val="00651EEC"/>
    <w:rsid w:val="00654110"/>
    <w:rsid w:val="00657DFC"/>
    <w:rsid w:val="00686673"/>
    <w:rsid w:val="00691E8C"/>
    <w:rsid w:val="006A22C4"/>
    <w:rsid w:val="006A351B"/>
    <w:rsid w:val="006A5DFE"/>
    <w:rsid w:val="006B0422"/>
    <w:rsid w:val="006B3F7F"/>
    <w:rsid w:val="006C1B53"/>
    <w:rsid w:val="006D7730"/>
    <w:rsid w:val="006E5284"/>
    <w:rsid w:val="006F3EB5"/>
    <w:rsid w:val="00702E34"/>
    <w:rsid w:val="00704395"/>
    <w:rsid w:val="00706646"/>
    <w:rsid w:val="00710FE7"/>
    <w:rsid w:val="00717621"/>
    <w:rsid w:val="00720FF1"/>
    <w:rsid w:val="00724552"/>
    <w:rsid w:val="00727A53"/>
    <w:rsid w:val="00730DF9"/>
    <w:rsid w:val="0074341F"/>
    <w:rsid w:val="00757B6C"/>
    <w:rsid w:val="00757E93"/>
    <w:rsid w:val="0076103B"/>
    <w:rsid w:val="00770F0B"/>
    <w:rsid w:val="007763A3"/>
    <w:rsid w:val="00787223"/>
    <w:rsid w:val="00787B42"/>
    <w:rsid w:val="007A5E90"/>
    <w:rsid w:val="007B757F"/>
    <w:rsid w:val="007C4539"/>
    <w:rsid w:val="007C7E36"/>
    <w:rsid w:val="007D212A"/>
    <w:rsid w:val="007F3657"/>
    <w:rsid w:val="00812ED5"/>
    <w:rsid w:val="0081379B"/>
    <w:rsid w:val="00826E8B"/>
    <w:rsid w:val="008277D9"/>
    <w:rsid w:val="0084478C"/>
    <w:rsid w:val="0086638C"/>
    <w:rsid w:val="008A3E8D"/>
    <w:rsid w:val="008C5F1F"/>
    <w:rsid w:val="008F5D7B"/>
    <w:rsid w:val="009237C4"/>
    <w:rsid w:val="00944C48"/>
    <w:rsid w:val="00950252"/>
    <w:rsid w:val="0096067E"/>
    <w:rsid w:val="00967F5D"/>
    <w:rsid w:val="00977F68"/>
    <w:rsid w:val="009A0F95"/>
    <w:rsid w:val="009B3ADF"/>
    <w:rsid w:val="009B45DA"/>
    <w:rsid w:val="009C3B52"/>
    <w:rsid w:val="009C46D8"/>
    <w:rsid w:val="009D5E7F"/>
    <w:rsid w:val="009E1AA5"/>
    <w:rsid w:val="009E2F6C"/>
    <w:rsid w:val="009E6817"/>
    <w:rsid w:val="009E6E9A"/>
    <w:rsid w:val="009F551A"/>
    <w:rsid w:val="00A01D2B"/>
    <w:rsid w:val="00A4037E"/>
    <w:rsid w:val="00A405F9"/>
    <w:rsid w:val="00A42218"/>
    <w:rsid w:val="00A45987"/>
    <w:rsid w:val="00A61537"/>
    <w:rsid w:val="00A6696A"/>
    <w:rsid w:val="00A70249"/>
    <w:rsid w:val="00A70B02"/>
    <w:rsid w:val="00A71D9F"/>
    <w:rsid w:val="00A92E9F"/>
    <w:rsid w:val="00AA05C9"/>
    <w:rsid w:val="00AA7C05"/>
    <w:rsid w:val="00AB18FF"/>
    <w:rsid w:val="00AC66B5"/>
    <w:rsid w:val="00AE01F2"/>
    <w:rsid w:val="00B131A3"/>
    <w:rsid w:val="00B33BEA"/>
    <w:rsid w:val="00B559B9"/>
    <w:rsid w:val="00B56408"/>
    <w:rsid w:val="00B57C9F"/>
    <w:rsid w:val="00B63572"/>
    <w:rsid w:val="00B845B3"/>
    <w:rsid w:val="00B85D8B"/>
    <w:rsid w:val="00BB4A40"/>
    <w:rsid w:val="00BC0258"/>
    <w:rsid w:val="00BD6660"/>
    <w:rsid w:val="00BD6C3E"/>
    <w:rsid w:val="00BD7EB0"/>
    <w:rsid w:val="00BE3674"/>
    <w:rsid w:val="00BE7038"/>
    <w:rsid w:val="00C10681"/>
    <w:rsid w:val="00C218EF"/>
    <w:rsid w:val="00C3049A"/>
    <w:rsid w:val="00C31B1E"/>
    <w:rsid w:val="00C62684"/>
    <w:rsid w:val="00C77645"/>
    <w:rsid w:val="00CB3AD1"/>
    <w:rsid w:val="00CE04C3"/>
    <w:rsid w:val="00CE76A0"/>
    <w:rsid w:val="00D148C6"/>
    <w:rsid w:val="00D14DD2"/>
    <w:rsid w:val="00D17A8A"/>
    <w:rsid w:val="00D17E6E"/>
    <w:rsid w:val="00D22B01"/>
    <w:rsid w:val="00D24F8D"/>
    <w:rsid w:val="00D26976"/>
    <w:rsid w:val="00D4080C"/>
    <w:rsid w:val="00D415BA"/>
    <w:rsid w:val="00D42E35"/>
    <w:rsid w:val="00D56AEC"/>
    <w:rsid w:val="00D63780"/>
    <w:rsid w:val="00D644EE"/>
    <w:rsid w:val="00DA100D"/>
    <w:rsid w:val="00DC77F9"/>
    <w:rsid w:val="00DD06FF"/>
    <w:rsid w:val="00DD5FE9"/>
    <w:rsid w:val="00DE4BD6"/>
    <w:rsid w:val="00E00C7A"/>
    <w:rsid w:val="00E02F5E"/>
    <w:rsid w:val="00E37D6C"/>
    <w:rsid w:val="00E55B68"/>
    <w:rsid w:val="00E561AE"/>
    <w:rsid w:val="00E67BE6"/>
    <w:rsid w:val="00E72379"/>
    <w:rsid w:val="00E772B1"/>
    <w:rsid w:val="00E82142"/>
    <w:rsid w:val="00E8683C"/>
    <w:rsid w:val="00E90589"/>
    <w:rsid w:val="00EA2B72"/>
    <w:rsid w:val="00EA5192"/>
    <w:rsid w:val="00EC721B"/>
    <w:rsid w:val="00EC79E4"/>
    <w:rsid w:val="00ED38D8"/>
    <w:rsid w:val="00F159F1"/>
    <w:rsid w:val="00F55D39"/>
    <w:rsid w:val="00F645B8"/>
    <w:rsid w:val="00F74360"/>
    <w:rsid w:val="00F95540"/>
    <w:rsid w:val="00FB462F"/>
    <w:rsid w:val="00FD0E3A"/>
    <w:rsid w:val="00FE16FA"/>
    <w:rsid w:val="00FE328A"/>
    <w:rsid w:val="00FE6269"/>
    <w:rsid w:val="00FF5CD6"/>
    <w:rsid w:val="039B061E"/>
    <w:rsid w:val="0A3D04F4"/>
    <w:rsid w:val="103A3ECD"/>
    <w:rsid w:val="1CD23452"/>
    <w:rsid w:val="34EB268B"/>
    <w:rsid w:val="46113492"/>
    <w:rsid w:val="47FD59FC"/>
    <w:rsid w:val="4CD232FA"/>
    <w:rsid w:val="4D583170"/>
    <w:rsid w:val="50466634"/>
    <w:rsid w:val="51B357BA"/>
    <w:rsid w:val="52CE2495"/>
    <w:rsid w:val="569B1896"/>
    <w:rsid w:val="5777D4F5"/>
    <w:rsid w:val="5FC6BB1E"/>
    <w:rsid w:val="5FF720F1"/>
    <w:rsid w:val="6BB85125"/>
    <w:rsid w:val="6BD22BE6"/>
    <w:rsid w:val="737D59BA"/>
    <w:rsid w:val="77C37683"/>
    <w:rsid w:val="79FF515B"/>
    <w:rsid w:val="7C610AD0"/>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9"/>
    <w:semiHidden/>
    <w:unhideWhenUsed/>
    <w:qFormat/>
    <w:uiPriority w:val="99"/>
    <w:rPr>
      <w:rFonts w:ascii="宋体" w:eastAsia="宋体"/>
      <w:sz w:val="18"/>
      <w:szCs w:val="18"/>
    </w:r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rPr>
      <w:rFonts w:ascii="Times New Roman" w:hAnsi="Times New Roman" w:eastAsia="宋体" w:cs="Times New Roman"/>
      <w:szCs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99"/>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文档结构图 Char"/>
    <w:basedOn w:val="10"/>
    <w:link w:val="2"/>
    <w:semiHidden/>
    <w:qFormat/>
    <w:uiPriority w:val="99"/>
    <w:rPr>
      <w:rFonts w:ascii="宋体" w:hAnsiTheme="minorHAnsi" w:cstheme="minorBidi"/>
      <w:kern w:val="2"/>
      <w:sz w:val="18"/>
      <w:szCs w:val="18"/>
    </w:rPr>
  </w:style>
  <w:style w:type="paragraph" w:styleId="20">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8469</Words>
  <Characters>9256</Characters>
  <Lines>110</Lines>
  <Paragraphs>31</Paragraphs>
  <TotalTime>1</TotalTime>
  <ScaleCrop>false</ScaleCrop>
  <LinksUpToDate>false</LinksUpToDate>
  <CharactersWithSpaces>9277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2024-10-31T16:40:29Z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CC550C6AEE20430E87CD71C7AA758F8C_13</vt:lpwstr>
  </property>
</Properties>
</file>