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DDF27">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6C42C">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D16C42C">
                      <w:pPr>
                        <w:rPr>
                          <w:rFonts w:hint="eastAsia" w:ascii="楷体" w:hAnsi="楷体" w:eastAsia="楷体" w:cs="楷体"/>
                          <w:sz w:val="30"/>
                          <w:szCs w:val="30"/>
                          <w:lang w:val="en-US" w:eastAsia="zh-CN"/>
                        </w:rPr>
                      </w:pPr>
                    </w:p>
                  </w:txbxContent>
                </v:textbox>
              </v:shape>
            </w:pict>
          </mc:Fallback>
        </mc:AlternateContent>
      </w:r>
    </w:p>
    <w:p w14:paraId="509CF0AD">
      <w:pPr>
        <w:pStyle w:val="15"/>
        <w:jc w:val="center"/>
        <w:rPr>
          <w:rFonts w:hint="eastAsia" w:ascii="Arial Unicode MS" w:hAnsi="Arial Unicode MS" w:eastAsia="Arial Unicode MS" w:cs="Arial Unicode MS"/>
          <w:sz w:val="72"/>
          <w:szCs w:val="72"/>
        </w:rPr>
      </w:pPr>
      <w:r>
        <w:rPr>
          <w:rFonts w:hint="eastAsia" w:ascii="Arial Unicode MS" w:hAnsi="Arial Unicode MS" w:eastAsia="Arial Unicode MS" w:cs="Arial Unicode MS"/>
          <w:sz w:val="72"/>
          <w:szCs w:val="72"/>
        </w:rPr>
        <w:t>202</w:t>
      </w:r>
      <w:r>
        <w:rPr>
          <w:rFonts w:hint="eastAsia" w:ascii="Arial Unicode MS" w:hAnsi="Arial Unicode MS" w:eastAsia="Arial Unicode MS" w:cs="Arial Unicode MS"/>
          <w:sz w:val="72"/>
          <w:szCs w:val="72"/>
          <w:lang w:val="en-US" w:eastAsia="zh-CN"/>
        </w:rPr>
        <w:t>3</w:t>
      </w:r>
      <w:r>
        <w:rPr>
          <w:rFonts w:hint="eastAsia" w:ascii="Arial Unicode MS" w:hAnsi="Arial Unicode MS" w:eastAsia="Arial Unicode MS" w:cs="Arial Unicode MS"/>
          <w:sz w:val="72"/>
          <w:szCs w:val="72"/>
        </w:rPr>
        <w:t>年度</w:t>
      </w:r>
    </w:p>
    <w:p w14:paraId="1813D203">
      <w:pPr>
        <w:pStyle w:val="15"/>
        <w:jc w:val="center"/>
        <w:rPr>
          <w:rFonts w:hint="eastAsia" w:ascii="Arial Unicode MS" w:hAnsi="Arial Unicode MS" w:eastAsia="Arial Unicode MS" w:cs="Arial Unicode MS"/>
          <w:sz w:val="60"/>
          <w:szCs w:val="60"/>
          <w:lang w:val="en-US" w:eastAsia="zh-CN"/>
        </w:rPr>
      </w:pPr>
      <w:r>
        <w:rPr>
          <w:rFonts w:hint="eastAsia" w:ascii="Arial Unicode MS" w:hAnsi="Arial Unicode MS" w:eastAsia="Arial Unicode MS" w:cs="Arial Unicode MS"/>
          <w:sz w:val="60"/>
          <w:szCs w:val="60"/>
          <w:lang w:val="en-US" w:eastAsia="zh-CN"/>
        </w:rPr>
        <w:t>怀化市医疗保障局</w:t>
      </w:r>
    </w:p>
    <w:p w14:paraId="6F286EF9">
      <w:pPr>
        <w:pStyle w:val="15"/>
        <w:jc w:val="center"/>
        <w:rPr>
          <w:rFonts w:hint="eastAsia" w:ascii="Arial Unicode MS" w:hAnsi="Arial Unicode MS" w:eastAsia="Arial Unicode MS" w:cs="Arial Unicode MS"/>
          <w:sz w:val="60"/>
          <w:szCs w:val="60"/>
          <w:lang w:val="en-US" w:eastAsia="zh-CN"/>
        </w:rPr>
      </w:pPr>
    </w:p>
    <w:p w14:paraId="153D2343">
      <w:pPr>
        <w:pStyle w:val="15"/>
        <w:jc w:val="center"/>
        <w:rPr>
          <w:rFonts w:hint="eastAsia" w:ascii="Arial Unicode MS" w:hAnsi="Arial Unicode MS" w:eastAsia="Arial Unicode MS" w:cs="Arial Unicode MS"/>
          <w:sz w:val="96"/>
          <w:szCs w:val="96"/>
        </w:rPr>
      </w:pPr>
      <w:r>
        <w:rPr>
          <w:rFonts w:hint="eastAsia" w:ascii="Arial Unicode MS" w:hAnsi="Arial Unicode MS" w:eastAsia="Arial Unicode MS" w:cs="Arial Unicode MS"/>
          <w:sz w:val="96"/>
          <w:szCs w:val="96"/>
        </w:rPr>
        <w:t>部</w:t>
      </w:r>
    </w:p>
    <w:p w14:paraId="65F4451B">
      <w:pPr>
        <w:pStyle w:val="15"/>
        <w:jc w:val="center"/>
        <w:rPr>
          <w:rFonts w:hint="eastAsia" w:ascii="Arial Unicode MS" w:hAnsi="Arial Unicode MS" w:eastAsia="Arial Unicode MS" w:cs="Arial Unicode MS"/>
          <w:sz w:val="96"/>
          <w:szCs w:val="96"/>
        </w:rPr>
      </w:pPr>
      <w:r>
        <w:rPr>
          <w:rFonts w:hint="eastAsia" w:ascii="Arial Unicode MS" w:hAnsi="Arial Unicode MS" w:eastAsia="Arial Unicode MS" w:cs="Arial Unicode MS"/>
          <w:sz w:val="96"/>
          <w:szCs w:val="96"/>
        </w:rPr>
        <w:t>门</w:t>
      </w:r>
    </w:p>
    <w:p w14:paraId="0D4F09B4">
      <w:pPr>
        <w:pStyle w:val="15"/>
        <w:jc w:val="center"/>
        <w:rPr>
          <w:rFonts w:hint="eastAsia" w:ascii="Arial Unicode MS" w:hAnsi="Arial Unicode MS" w:eastAsia="Arial Unicode MS" w:cs="Arial Unicode MS"/>
          <w:sz w:val="96"/>
          <w:szCs w:val="96"/>
        </w:rPr>
      </w:pPr>
      <w:r>
        <w:rPr>
          <w:rFonts w:hint="eastAsia" w:ascii="Arial Unicode MS" w:hAnsi="Arial Unicode MS" w:eastAsia="Arial Unicode MS" w:cs="Arial Unicode MS"/>
          <w:sz w:val="96"/>
          <w:szCs w:val="96"/>
        </w:rPr>
        <w:t>决</w:t>
      </w:r>
    </w:p>
    <w:p w14:paraId="0117E825">
      <w:pPr>
        <w:pStyle w:val="15"/>
        <w:jc w:val="center"/>
        <w:rPr>
          <w:rFonts w:hint="eastAsia" w:ascii="Arial Unicode MS" w:hAnsi="Arial Unicode MS" w:eastAsia="Arial Unicode MS" w:cs="Arial Unicode MS"/>
          <w:sz w:val="96"/>
          <w:szCs w:val="96"/>
        </w:rPr>
      </w:pPr>
      <w:r>
        <w:rPr>
          <w:rFonts w:hint="eastAsia" w:ascii="Arial Unicode MS" w:hAnsi="Arial Unicode MS" w:eastAsia="Arial Unicode MS" w:cs="Arial Unicode MS"/>
          <w:sz w:val="96"/>
          <w:szCs w:val="96"/>
        </w:rPr>
        <w:t>算</w:t>
      </w:r>
    </w:p>
    <w:p w14:paraId="7EC2C7BE">
      <w:pPr>
        <w:rPr>
          <w:b/>
          <w:sz w:val="36"/>
          <w:szCs w:val="28"/>
        </w:rPr>
        <w:sectPr>
          <w:pgSz w:w="11906" w:h="16838"/>
          <w:pgMar w:top="1701" w:right="1701" w:bottom="1701" w:left="1701" w:header="851" w:footer="992" w:gutter="0"/>
          <w:pgNumType w:fmt="decimal"/>
          <w:cols w:space="0" w:num="1"/>
          <w:rtlGutter w:val="0"/>
          <w:docGrid w:type="lines" w:linePitch="312" w:charSpace="0"/>
        </w:sectPr>
      </w:pPr>
    </w:p>
    <w:p w14:paraId="06E99D28">
      <w:pPr>
        <w:rPr>
          <w:b/>
          <w:sz w:val="36"/>
          <w:szCs w:val="28"/>
        </w:rPr>
        <w:sectPr>
          <w:footerReference r:id="rId3" w:type="default"/>
          <w:pgSz w:w="11906" w:h="16838"/>
          <w:pgMar w:top="1701" w:right="1701" w:bottom="1701" w:left="1701" w:header="851" w:footer="992" w:gutter="0"/>
          <w:pgNumType w:fmt="decimal" w:start="1"/>
          <w:cols w:space="0" w:num="1"/>
          <w:rtlGutter w:val="0"/>
          <w:docGrid w:type="lines" w:linePitch="312" w:charSpace="0"/>
        </w:sectPr>
      </w:pPr>
    </w:p>
    <w:p w14:paraId="253068CB">
      <w:pPr>
        <w:rPr>
          <w:b/>
          <w:sz w:val="36"/>
          <w:szCs w:val="28"/>
        </w:rPr>
      </w:pPr>
    </w:p>
    <w:p w14:paraId="460C1A0E">
      <w:pPr>
        <w:pStyle w:val="15"/>
        <w:spacing w:line="500" w:lineRule="exact"/>
        <w:jc w:val="center"/>
        <w:rPr>
          <w:rFonts w:hint="eastAsia"/>
          <w:b/>
          <w:sz w:val="44"/>
          <w:szCs w:val="44"/>
        </w:rPr>
      </w:pPr>
      <w:r>
        <w:rPr>
          <w:rFonts w:hint="eastAsia"/>
          <w:b/>
          <w:sz w:val="44"/>
          <w:szCs w:val="44"/>
        </w:rPr>
        <w:t>目</w:t>
      </w:r>
      <w:r>
        <w:rPr>
          <w:rFonts w:hint="eastAsia"/>
          <w:b/>
          <w:sz w:val="44"/>
          <w:szCs w:val="44"/>
          <w:lang w:val="en-US" w:eastAsia="zh-CN"/>
        </w:rPr>
        <w:t xml:space="preserve">  </w:t>
      </w:r>
      <w:r>
        <w:rPr>
          <w:rFonts w:hint="eastAsia"/>
          <w:b/>
          <w:sz w:val="44"/>
          <w:szCs w:val="44"/>
        </w:rPr>
        <w:t>录</w:t>
      </w:r>
    </w:p>
    <w:p w14:paraId="5B29908A">
      <w:pPr>
        <w:pStyle w:val="15"/>
        <w:spacing w:line="500" w:lineRule="exact"/>
        <w:jc w:val="center"/>
        <w:rPr>
          <w:rFonts w:hint="eastAsia"/>
          <w:b/>
          <w:sz w:val="36"/>
          <w:szCs w:val="28"/>
        </w:rPr>
      </w:pPr>
    </w:p>
    <w:p w14:paraId="090619D1">
      <w:pPr>
        <w:pStyle w:val="15"/>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ascii="黑体" w:hAnsi="黑体" w:eastAsia="黑体" w:cs="黑体"/>
          <w:b w:val="0"/>
          <w:bCs/>
          <w:sz w:val="32"/>
          <w:szCs w:val="32"/>
          <w:lang w:val="en-US" w:eastAsia="zh-CN"/>
        </w:rPr>
        <w:t xml:space="preserve"> </w:t>
      </w:r>
      <w:r>
        <w:rPr>
          <w:rFonts w:hint="eastAsia" w:hAnsi="黑体" w:cs="黑体"/>
          <w:b w:val="0"/>
          <w:bCs/>
          <w:sz w:val="32"/>
          <w:szCs w:val="32"/>
          <w:lang w:val="en-US" w:eastAsia="zh-CN"/>
        </w:rPr>
        <w:t>怀化市医疗保障局</w:t>
      </w:r>
      <w:r>
        <w:rPr>
          <w:rFonts w:hint="eastAsia" w:ascii="黑体" w:hAnsi="黑体" w:eastAsia="黑体" w:cs="黑体"/>
          <w:b w:val="0"/>
          <w:bCs/>
          <w:sz w:val="32"/>
          <w:szCs w:val="32"/>
        </w:rPr>
        <w:t>概况</w:t>
      </w:r>
    </w:p>
    <w:p w14:paraId="57F0692D">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61EA17B6">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6DCFD9FD">
      <w:pPr>
        <w:pStyle w:val="15"/>
        <w:spacing w:line="500" w:lineRule="exact"/>
        <w:rPr>
          <w:rFonts w:hint="eastAsia" w:ascii="黑体" w:hAnsi="黑体" w:eastAsia="黑体" w:cs="黑体"/>
          <w:b w:val="0"/>
          <w:bCs/>
          <w:sz w:val="32"/>
          <w:szCs w:val="32"/>
        </w:rPr>
      </w:pPr>
    </w:p>
    <w:p w14:paraId="423413A0">
      <w:pPr>
        <w:pStyle w:val="15"/>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部门决算表</w:t>
      </w:r>
    </w:p>
    <w:p w14:paraId="5A1EF201">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41122F7D">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4E4EC2C2">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0F1ECF18">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116E7CF9">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14:paraId="71C51349">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六、一般公共预算财政拨款基本支出决算明细表</w:t>
      </w:r>
    </w:p>
    <w:p w14:paraId="5C2B8602">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七、政府性基金预算财政拨款收入支出决算表</w:t>
      </w:r>
    </w:p>
    <w:p w14:paraId="09E0C80D">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八、国有资本经营预算财政拨款支出决算表</w:t>
      </w:r>
    </w:p>
    <w:p w14:paraId="41E41631">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九、财政拨款“三公”经费支出决算表</w:t>
      </w:r>
    </w:p>
    <w:p w14:paraId="63E3B1DE">
      <w:pPr>
        <w:pStyle w:val="15"/>
        <w:spacing w:line="500" w:lineRule="exact"/>
        <w:rPr>
          <w:rFonts w:hint="eastAsia" w:ascii="黑体" w:hAnsi="黑体" w:eastAsia="黑体" w:cs="黑体"/>
          <w:b w:val="0"/>
          <w:bCs/>
          <w:sz w:val="32"/>
          <w:szCs w:val="32"/>
        </w:rPr>
      </w:pPr>
    </w:p>
    <w:p w14:paraId="63E1EF31">
      <w:pPr>
        <w:pStyle w:val="15"/>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部门决算情况说明</w:t>
      </w:r>
    </w:p>
    <w:p w14:paraId="57332C3E">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5EB96C6C">
      <w:pPr>
        <w:spacing w:line="500" w:lineRule="exact"/>
        <w:ind w:firstLine="800" w:firstLineChars="2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47FC46EE">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三、支出决算情况说明</w:t>
      </w:r>
    </w:p>
    <w:p w14:paraId="3DD61B15">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四、财政拨款收入支出决算总体情况说明</w:t>
      </w:r>
    </w:p>
    <w:p w14:paraId="1BE9BD43">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五、一般公共预算财政拨款支出决算情况说明</w:t>
      </w:r>
    </w:p>
    <w:p w14:paraId="3B2683FE">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六、一般公共预算财政拨款基本支出决算情况说明</w:t>
      </w:r>
    </w:p>
    <w:p w14:paraId="053BE2A0">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七、财政拨款三公经费支出决算情况说明</w:t>
      </w:r>
    </w:p>
    <w:p w14:paraId="1C0CA463">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sectPr>
          <w:footerReference r:id="rId4" w:type="default"/>
          <w:pgSz w:w="11906" w:h="16838"/>
          <w:pgMar w:top="1701" w:right="1701" w:bottom="1701" w:left="1701" w:header="851" w:footer="992" w:gutter="0"/>
          <w:pgNumType w:fmt="decimal" w:start="1"/>
          <w:cols w:space="0" w:num="1"/>
          <w:rtlGutter w:val="0"/>
          <w:docGrid w:type="lines" w:linePitch="312" w:charSpace="0"/>
        </w:sectPr>
      </w:pPr>
    </w:p>
    <w:p w14:paraId="3868C57C">
      <w:pPr>
        <w:numPr>
          <w:ilvl w:val="0"/>
          <w:numId w:val="1"/>
        </w:num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政府性基金预算收入支出决算情况</w:t>
      </w:r>
    </w:p>
    <w:p w14:paraId="21AC354C">
      <w:pPr>
        <w:numPr>
          <w:ilvl w:val="0"/>
          <w:numId w:val="1"/>
        </w:num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ascii="仿宋" w:hAnsi="仿宋" w:eastAsia="仿宋" w:cs="仿宋"/>
          <w:color w:val="auto"/>
          <w:sz w:val="32"/>
          <w:szCs w:val="32"/>
        </w:rPr>
        <w:t>国有资本经营预算收入支出决算情况说明</w:t>
      </w:r>
    </w:p>
    <w:p w14:paraId="0E78225F">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十</w:t>
      </w:r>
      <w:r>
        <w:rPr>
          <w:rFonts w:hint="eastAsia" w:ascii="仿宋_GB2312" w:hAnsi="仿宋_GB2312" w:eastAsia="仿宋_GB2312" w:cs="仿宋_GB2312"/>
          <w:color w:val="000000"/>
          <w:kern w:val="0"/>
          <w:sz w:val="32"/>
          <w:szCs w:val="32"/>
        </w:rPr>
        <w:t>、关于机关运行经费支出说明</w:t>
      </w:r>
    </w:p>
    <w:p w14:paraId="1DE51332">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w:t>
      </w:r>
      <w:r>
        <w:rPr>
          <w:rFonts w:hint="eastAsia" w:ascii="仿宋_GB2312" w:hAnsi="仿宋_GB2312" w:eastAsia="仿宋_GB2312" w:cs="仿宋_GB2312"/>
          <w:color w:val="000000"/>
          <w:kern w:val="0"/>
          <w:sz w:val="32"/>
          <w:szCs w:val="32"/>
          <w:lang w:val="en-US" w:eastAsia="zh-CN"/>
        </w:rPr>
        <w:t>一</w:t>
      </w:r>
      <w:r>
        <w:rPr>
          <w:rFonts w:hint="eastAsia" w:ascii="仿宋_GB2312" w:hAnsi="仿宋_GB2312" w:eastAsia="仿宋_GB2312" w:cs="仿宋_GB2312"/>
          <w:color w:val="000000"/>
          <w:kern w:val="0"/>
          <w:sz w:val="32"/>
          <w:szCs w:val="32"/>
        </w:rPr>
        <w:t>、一般性支出情况说明</w:t>
      </w:r>
    </w:p>
    <w:p w14:paraId="4C3761E1">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w:t>
      </w:r>
      <w:r>
        <w:rPr>
          <w:rFonts w:hint="eastAsia" w:ascii="仿宋_GB2312" w:hAnsi="仿宋_GB2312" w:eastAsia="仿宋_GB2312" w:cs="仿宋_GB2312"/>
          <w:color w:val="000000"/>
          <w:kern w:val="0"/>
          <w:sz w:val="32"/>
          <w:szCs w:val="32"/>
          <w:lang w:val="en-US" w:eastAsia="zh-CN"/>
        </w:rPr>
        <w:t>二</w:t>
      </w:r>
      <w:r>
        <w:rPr>
          <w:rFonts w:hint="eastAsia" w:ascii="仿宋_GB2312" w:hAnsi="仿宋_GB2312" w:eastAsia="仿宋_GB2312" w:cs="仿宋_GB2312"/>
          <w:color w:val="000000"/>
          <w:kern w:val="0"/>
          <w:sz w:val="32"/>
          <w:szCs w:val="32"/>
        </w:rPr>
        <w:t>、关于政府采购支出说明</w:t>
      </w:r>
    </w:p>
    <w:p w14:paraId="5DD11B98">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、关于国有资产占用情况说明</w:t>
      </w:r>
    </w:p>
    <w:p w14:paraId="444B0391">
      <w:pPr>
        <w:pStyle w:val="15"/>
        <w:spacing w:line="5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、关于</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绩效情况的说明</w:t>
      </w:r>
    </w:p>
    <w:p w14:paraId="145670BE">
      <w:pPr>
        <w:pStyle w:val="15"/>
        <w:spacing w:line="500" w:lineRule="exact"/>
        <w:rPr>
          <w:rFonts w:hint="eastAsia" w:ascii="黑体" w:hAnsi="黑体" w:eastAsia="黑体" w:cs="黑体"/>
          <w:b w:val="0"/>
          <w:bCs/>
          <w:sz w:val="32"/>
          <w:szCs w:val="32"/>
        </w:rPr>
      </w:pPr>
    </w:p>
    <w:p w14:paraId="3028B7C1">
      <w:pPr>
        <w:pStyle w:val="15"/>
        <w:spacing w:line="500" w:lineRule="exact"/>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14:paraId="4DC349BF">
      <w:pPr>
        <w:pStyle w:val="15"/>
        <w:spacing w:line="500" w:lineRule="exact"/>
        <w:rPr>
          <w:rFonts w:hint="eastAsia" w:ascii="黑体" w:hAnsi="黑体" w:eastAsia="黑体" w:cs="黑体"/>
          <w:b w:val="0"/>
          <w:bCs/>
          <w:sz w:val="32"/>
          <w:szCs w:val="32"/>
        </w:rPr>
      </w:pPr>
    </w:p>
    <w:p w14:paraId="2C48C0F9">
      <w:pPr>
        <w:pStyle w:val="15"/>
        <w:spacing w:line="500" w:lineRule="exact"/>
        <w:rPr>
          <w:rFonts w:hint="eastAsia" w:ascii="黑体" w:hAnsi="黑体" w:eastAsia="黑体" w:cs="黑体"/>
          <w:b w:val="0"/>
          <w:bCs/>
          <w:sz w:val="32"/>
          <w:szCs w:val="32"/>
          <w:lang w:eastAsia="zh-CN"/>
        </w:rPr>
      </w:pPr>
      <w:r>
        <w:rPr>
          <w:rFonts w:hint="eastAsia" w:ascii="黑体" w:hAnsi="黑体" w:eastAsia="黑体" w:cs="黑体"/>
          <w:b w:val="0"/>
          <w:bCs/>
          <w:sz w:val="32"/>
          <w:szCs w:val="32"/>
        </w:rPr>
        <w:t>第</w:t>
      </w:r>
      <w:r>
        <w:rPr>
          <w:rFonts w:hint="eastAsia" w:hAnsi="黑体" w:cs="黑体"/>
          <w:b w:val="0"/>
          <w:bCs/>
          <w:sz w:val="32"/>
          <w:szCs w:val="32"/>
          <w:lang w:eastAsia="zh-CN"/>
        </w:rPr>
        <w:t>五</w:t>
      </w:r>
      <w:r>
        <w:rPr>
          <w:rFonts w:hint="eastAsia" w:ascii="黑体" w:hAnsi="黑体" w:eastAsia="黑体" w:cs="黑体"/>
          <w:b w:val="0"/>
          <w:bCs/>
          <w:sz w:val="32"/>
          <w:szCs w:val="32"/>
        </w:rPr>
        <w:t>部分</w:t>
      </w:r>
      <w:r>
        <w:rPr>
          <w:rFonts w:hint="eastAsia" w:ascii="黑体" w:hAnsi="黑体" w:eastAsia="黑体" w:cs="黑体"/>
          <w:b w:val="0"/>
          <w:bCs/>
          <w:sz w:val="32"/>
          <w:szCs w:val="32"/>
          <w:lang w:val="en-US" w:eastAsia="zh-CN"/>
        </w:rPr>
        <w:t xml:space="preserve"> </w:t>
      </w:r>
      <w:r>
        <w:rPr>
          <w:rFonts w:hint="eastAsia" w:hAnsi="黑体" w:cs="黑体"/>
          <w:b w:val="0"/>
          <w:bCs/>
          <w:sz w:val="32"/>
          <w:szCs w:val="32"/>
          <w:lang w:eastAsia="zh-CN"/>
        </w:rPr>
        <w:t>附件</w:t>
      </w:r>
    </w:p>
    <w:p w14:paraId="1AF3C728">
      <w:pP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br w:type="page"/>
      </w:r>
    </w:p>
    <w:p w14:paraId="4B5E43C1">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1F8FDD0C">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76F5B288">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4FBB331E">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r>
        <w:rPr>
          <w:rFonts w:hint="eastAsia" w:ascii="Arial Unicode MS" w:hAnsi="Arial Unicode MS" w:eastAsia="Arial Unicode MS" w:cs="Arial Unicode MS"/>
          <w:sz w:val="60"/>
          <w:szCs w:val="60"/>
        </w:rPr>
        <w:t xml:space="preserve">第一部分 </w:t>
      </w:r>
    </w:p>
    <w:p w14:paraId="2229034E">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0735B11A">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6A584545">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r>
        <w:rPr>
          <w:rFonts w:hint="eastAsia" w:ascii="Arial Unicode MS" w:hAnsi="Arial Unicode MS" w:eastAsia="Arial Unicode MS" w:cs="Arial Unicode MS"/>
          <w:sz w:val="60"/>
          <w:szCs w:val="60"/>
          <w:lang w:val="en-US" w:eastAsia="zh-CN"/>
        </w:rPr>
        <w:t>怀化市医疗保障局</w:t>
      </w:r>
      <w:r>
        <w:rPr>
          <w:rFonts w:hint="eastAsia" w:ascii="Arial Unicode MS" w:hAnsi="Arial Unicode MS" w:eastAsia="Arial Unicode MS" w:cs="Arial Unicode MS"/>
          <w:sz w:val="60"/>
          <w:szCs w:val="60"/>
        </w:rPr>
        <w:t>概况</w:t>
      </w:r>
    </w:p>
    <w:p w14:paraId="0E3F7740">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b w:val="0"/>
          <w:bCs w:val="0"/>
          <w:kern w:val="2"/>
          <w:sz w:val="32"/>
          <w:szCs w:val="32"/>
          <w:lang w:val="en-US" w:eastAsia="zh-CN" w:bidi="ar-SA"/>
        </w:rPr>
      </w:pPr>
    </w:p>
    <w:p w14:paraId="3FCD11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kern w:val="2"/>
          <w:sz w:val="32"/>
          <w:szCs w:val="32"/>
          <w:lang w:val="en-US" w:eastAsia="zh-CN" w:bidi="ar-SA"/>
        </w:rPr>
        <w:sectPr>
          <w:footerReference r:id="rId5" w:type="default"/>
          <w:pgSz w:w="11906" w:h="16838"/>
          <w:pgMar w:top="1701" w:right="1701" w:bottom="1701" w:left="1701" w:header="851" w:footer="992" w:gutter="0"/>
          <w:pgNumType w:fmt="decimal" w:start="1"/>
          <w:cols w:space="0" w:num="1"/>
          <w:rtlGutter w:val="0"/>
          <w:docGrid w:type="lines" w:linePitch="312" w:charSpace="0"/>
        </w:sectPr>
      </w:pPr>
    </w:p>
    <w:p w14:paraId="5BFBA4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rPr>
        <w:t>部门职责</w:t>
      </w:r>
    </w:p>
    <w:p w14:paraId="448C9B2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Times New Roman" w:hAnsi="Times New Roman" w:eastAsia="仿宋_GB2312" w:cs="Calibri"/>
          <w:sz w:val="21"/>
          <w:szCs w:val="21"/>
        </w:rPr>
      </w:pPr>
      <w:r>
        <w:rPr>
          <w:rFonts w:ascii="Times New Roman" w:hAnsi="Times New Roman" w:eastAsia="仿宋_GB2312" w:cs="仿宋"/>
          <w:sz w:val="32"/>
          <w:szCs w:val="32"/>
        </w:rPr>
        <w:t>怀化市医疗保障局贯彻落实党中央关于医疗保障工作的方针政策和决策部署，全面落实省委、市委关于医疗保障工作的部署要求，在履行职责过程中坚持和加强党对医疗保障工作的集中统一领导。主要职责是：</w:t>
      </w:r>
    </w:p>
    <w:p w14:paraId="15DD067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（一）拟订全市医疗保险、生育保险、医疗救助等医疗保障制度的规范性文件、规划和标准，并组织实施。</w:t>
      </w:r>
    </w:p>
    <w:p w14:paraId="45EE048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（二）组织制定并实施全市医疗保障基金监督管理办法，监督管理相关医疗保障基金，建立健全医疗保障基金安全防控机制，推进医疗保障基金支付方式改革。</w:t>
      </w:r>
    </w:p>
    <w:p w14:paraId="048FC540">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（三）组织制定全市医疗保障筹资和待遇实施办法，完善动态调整和区域调剂平衡机制，统筹城乡医疗保障待遇标准，建立健全与筹资水平相适应的待遇调整机制，组织拟订并实施长期护理保险制度改革方案。</w:t>
      </w:r>
    </w:p>
    <w:p w14:paraId="3937CE2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（四）组织制定全市城乡统一的药品、医用耗材、医疗服务项目、医疗服务设施等医保目录和支付标准，建立动态调整机制，制定医保目录准入谈判规则并组织实施。</w:t>
      </w:r>
    </w:p>
    <w:p w14:paraId="73BC8E9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五）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65654222">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（六）制定全市药品、医用耗材的招标采购办法并监督实施，指导药品、医用耗材招标采购平台建设。</w:t>
      </w:r>
    </w:p>
    <w:p w14:paraId="42399FA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（七）制定全市定点医药机构协议和支付管理办法并组织实施，建立健全医疗保障信用评价体系和信息披露制度，监督管理纳入医保范围内的医疗服务行为和医疗费用，依法查处医疗保障领域违法违规行为。</w:t>
      </w:r>
    </w:p>
    <w:p w14:paraId="0DF10E4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八）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2346028B">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九）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14:paraId="537EFBD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（十）与市卫生健康委等部门在医疗、医保、医药等方面加强制度、政策衔接，建立沟通协商机制，协同推进改革，提高医疗资源使用效率和医疗保障水平。</w:t>
      </w:r>
    </w:p>
    <w:p w14:paraId="3CF4BA3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Calibri"/>
          <w:sz w:val="21"/>
          <w:szCs w:val="21"/>
        </w:rPr>
      </w:pPr>
      <w:r>
        <w:rPr>
          <w:rFonts w:hint="eastAsia" w:ascii="Times New Roman" w:hAnsi="Times New Roman" w:eastAsia="仿宋_GB2312" w:cs="仿宋"/>
          <w:sz w:val="32"/>
          <w:szCs w:val="32"/>
        </w:rPr>
        <w:t>（十一）完成市委、市政府交办的其他任务。</w:t>
      </w:r>
    </w:p>
    <w:p w14:paraId="2C98F5D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1BBA16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rPr>
          <w:rFonts w:ascii="Times New Roman" w:hAnsi="Times New Roman" w:eastAsia="仿宋_GB2312" w:cs="Calibri"/>
          <w:sz w:val="21"/>
          <w:szCs w:val="21"/>
        </w:rPr>
      </w:pPr>
      <w:r>
        <w:rPr>
          <w:rFonts w:hint="eastAsia" w:ascii="楷体_GB2312" w:hAnsi="楷体_GB2312" w:eastAsia="楷体_GB2312" w:cs="楷体_GB2312"/>
          <w:b/>
          <w:bCs/>
          <w:sz w:val="32"/>
          <w:szCs w:val="32"/>
        </w:rPr>
        <w:t>（一）内设机构设置。</w:t>
      </w:r>
      <w:r>
        <w:rPr>
          <w:rFonts w:hint="eastAsia" w:ascii="Times New Roman" w:hAnsi="Times New Roman" w:eastAsia="仿宋_GB2312" w:cs="仿宋"/>
          <w:sz w:val="32"/>
          <w:szCs w:val="32"/>
        </w:rPr>
        <w:t>怀化市医疗保障局作为一级部门预算单位，内设科室为：办公室、规划财务和法规科、待遇保障科、医药服务和定价采购科、基金监管科，基金核查和结算中心（医疗保障局设立的非独立核算正科级事业单位）。怀化市医疗保障事务中心作为二级部门预算单位，内设科室为：综合部、财务审核部、待遇保障服务部、异地结算和稽核事务部、医药招采事务部、协议管理和价格监测部。</w:t>
      </w:r>
    </w:p>
    <w:p w14:paraId="01CE6A88">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rPr>
          <w:rFonts w:ascii="Times New Roman" w:hAnsi="Times New Roman" w:eastAsia="仿宋_GB2312" w:cs="Calibri"/>
          <w:sz w:val="21"/>
          <w:szCs w:val="21"/>
        </w:rPr>
      </w:pPr>
      <w:r>
        <w:rPr>
          <w:rFonts w:hint="eastAsia" w:ascii="楷体_GB2312" w:hAnsi="楷体_GB2312" w:eastAsia="楷体_GB2312" w:cs="楷体_GB2312"/>
          <w:b/>
          <w:bCs/>
          <w:sz w:val="32"/>
          <w:szCs w:val="32"/>
        </w:rPr>
        <w:t>（二）决算单位构成。</w:t>
      </w:r>
      <w:r>
        <w:rPr>
          <w:rFonts w:hint="eastAsia" w:ascii="Times New Roman" w:hAnsi="Times New Roman" w:eastAsia="仿宋_GB2312" w:cs="仿宋"/>
          <w:sz w:val="32"/>
          <w:szCs w:val="32"/>
        </w:rPr>
        <w:t>本报告中纳入202</w:t>
      </w:r>
      <w:r>
        <w:rPr>
          <w:rFonts w:hint="eastAsia" w:ascii="Times New Roman" w:hAnsi="Times New Roman" w:eastAsia="仿宋_GB2312" w:cs="仿宋"/>
          <w:sz w:val="32"/>
          <w:szCs w:val="32"/>
          <w:lang w:val="en-US" w:eastAsia="zh-CN"/>
        </w:rPr>
        <w:t>3</w:t>
      </w:r>
      <w:r>
        <w:rPr>
          <w:rFonts w:hint="eastAsia" w:ascii="Times New Roman" w:hAnsi="Times New Roman" w:eastAsia="仿宋_GB2312" w:cs="仿宋"/>
          <w:sz w:val="32"/>
          <w:szCs w:val="32"/>
        </w:rPr>
        <w:t>年部门决算编制范围的只有怀化市医疗保障局本级。</w:t>
      </w:r>
    </w:p>
    <w:p w14:paraId="2F344E42">
      <w:pPr>
        <w:jc w:val="left"/>
        <w:rPr>
          <w:rFonts w:ascii="仿宋_GB2312" w:eastAsia="仿宋_GB2312" w:hAnsiTheme="minorEastAsia"/>
          <w:sz w:val="28"/>
          <w:szCs w:val="32"/>
        </w:rPr>
      </w:pPr>
    </w:p>
    <w:p w14:paraId="7E5975BE">
      <w:pP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br w:type="page"/>
      </w:r>
    </w:p>
    <w:p w14:paraId="680B8BDA">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513C3614">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7F406477">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0A89AB25">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r>
        <w:rPr>
          <w:rFonts w:hint="eastAsia" w:ascii="Arial Unicode MS" w:hAnsi="Arial Unicode MS" w:eastAsia="Arial Unicode MS" w:cs="Arial Unicode MS"/>
          <w:sz w:val="60"/>
          <w:szCs w:val="60"/>
        </w:rPr>
        <w:t>第</w:t>
      </w:r>
      <w:r>
        <w:rPr>
          <w:rFonts w:hint="eastAsia" w:ascii="Arial Unicode MS" w:hAnsi="Arial Unicode MS" w:eastAsia="Arial Unicode MS" w:cs="Arial Unicode MS"/>
          <w:sz w:val="60"/>
          <w:szCs w:val="60"/>
          <w:lang w:eastAsia="zh-CN"/>
        </w:rPr>
        <w:t>二</w:t>
      </w:r>
      <w:r>
        <w:rPr>
          <w:rFonts w:hint="eastAsia" w:ascii="Arial Unicode MS" w:hAnsi="Arial Unicode MS" w:eastAsia="Arial Unicode MS" w:cs="Arial Unicode MS"/>
          <w:sz w:val="60"/>
          <w:szCs w:val="60"/>
        </w:rPr>
        <w:t xml:space="preserve">部分 </w:t>
      </w:r>
    </w:p>
    <w:p w14:paraId="39B867D7">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76CC3624">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rPr>
      </w:pPr>
    </w:p>
    <w:p w14:paraId="60101FD1">
      <w:pPr>
        <w:pStyle w:val="15"/>
        <w:keepNext w:val="0"/>
        <w:keepLines w:val="0"/>
        <w:pageBreakBefore w:val="0"/>
        <w:widowControl w:val="0"/>
        <w:kinsoku/>
        <w:wordWrap/>
        <w:overflowPunct/>
        <w:topLinePunct w:val="0"/>
        <w:autoSpaceDE/>
        <w:autoSpaceDN/>
        <w:bidi w:val="0"/>
        <w:adjustRightInd/>
        <w:snapToGrid/>
        <w:jc w:val="center"/>
        <w:textAlignment w:val="auto"/>
        <w:rPr>
          <w:rFonts w:hint="eastAsia" w:ascii="Arial Unicode MS" w:hAnsi="Arial Unicode MS" w:eastAsia="Arial Unicode MS" w:cs="Arial Unicode MS"/>
          <w:sz w:val="60"/>
          <w:szCs w:val="60"/>
          <w:lang w:eastAsia="zh-CN"/>
        </w:rPr>
      </w:pPr>
      <w:r>
        <w:rPr>
          <w:rFonts w:hint="eastAsia" w:ascii="Arial Unicode MS" w:hAnsi="Arial Unicode MS" w:eastAsia="Arial Unicode MS" w:cs="Arial Unicode MS"/>
          <w:sz w:val="60"/>
          <w:szCs w:val="60"/>
          <w:lang w:eastAsia="zh-CN"/>
        </w:rPr>
        <w:t>部门决算表</w:t>
      </w:r>
    </w:p>
    <w:p w14:paraId="11F11E89">
      <w:pPr>
        <w:jc w:val="left"/>
        <w:rPr>
          <w:sz w:val="32"/>
          <w:szCs w:val="32"/>
        </w:rPr>
      </w:pPr>
    </w:p>
    <w:p w14:paraId="490EF092">
      <w:pPr>
        <w:jc w:val="left"/>
        <w:rPr>
          <w:rFonts w:asciiTheme="minorEastAsia" w:hAnsiTheme="minorEastAsia"/>
          <w:sz w:val="32"/>
          <w:szCs w:val="32"/>
        </w:rPr>
        <w:sectPr>
          <w:footerReference r:id="rId6" w:type="default"/>
          <w:pgSz w:w="11906" w:h="16838"/>
          <w:pgMar w:top="1701" w:right="1701" w:bottom="1701" w:left="1701" w:header="851" w:footer="992" w:gutter="0"/>
          <w:pgNumType w:fmt="decimal" w:start="1"/>
          <w:cols w:space="0" w:num="1"/>
          <w:rtlGutter w:val="0"/>
          <w:docGrid w:type="lines" w:linePitch="312" w:charSpace="0"/>
        </w:sectPr>
      </w:pPr>
    </w:p>
    <w:p w14:paraId="79EFEFDC">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收入支出决算总表</w:t>
      </w:r>
    </w:p>
    <w:p w14:paraId="19C76238">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部门：怀化市医疗保障局                                                                                                      公开01表</w:t>
      </w:r>
    </w:p>
    <w:p w14:paraId="2152ACAC">
      <w:pPr>
        <w:keepNext w:val="0"/>
        <w:keepLines w:val="0"/>
        <w:widowControl/>
        <w:suppressLineNumbers w:val="0"/>
        <w:ind w:firstLine="12400" w:firstLineChars="6200"/>
        <w:jc w:val="both"/>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单位：万元</w:t>
      </w:r>
    </w:p>
    <w:tbl>
      <w:tblPr>
        <w:tblStyle w:val="11"/>
        <w:tblW w:w="14352" w:type="dxa"/>
        <w:tblInd w:w="-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16"/>
        <w:gridCol w:w="612"/>
        <w:gridCol w:w="1453"/>
        <w:gridCol w:w="5232"/>
        <w:gridCol w:w="1177"/>
        <w:gridCol w:w="1262"/>
      </w:tblGrid>
      <w:tr w14:paraId="4157B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68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4DAE">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收入</w:t>
            </w:r>
          </w:p>
        </w:tc>
        <w:tc>
          <w:tcPr>
            <w:tcW w:w="76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6EE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支出</w:t>
            </w:r>
          </w:p>
        </w:tc>
      </w:tr>
      <w:tr w14:paraId="68A8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660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项目</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A57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行次</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2915">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决算数</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04D9">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项目</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09C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行次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6FD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决算数</w:t>
            </w:r>
          </w:p>
        </w:tc>
      </w:tr>
      <w:tr w14:paraId="6BED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C0C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栏次</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A188">
            <w:pPr>
              <w:jc w:val="center"/>
              <w:rPr>
                <w:rFonts w:hint="eastAsia" w:ascii="宋体" w:hAnsi="宋体" w:eastAsia="宋体" w:cs="宋体"/>
                <w:b/>
                <w:bCs/>
                <w:i w:val="0"/>
                <w:color w:val="000000"/>
                <w:sz w:val="24"/>
                <w:szCs w:val="24"/>
                <w:u w:val="none"/>
              </w:rPr>
            </w:pP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028E">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1</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86BA">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栏次</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38408">
            <w:pPr>
              <w:jc w:val="center"/>
              <w:rPr>
                <w:rFonts w:hint="eastAsia" w:ascii="宋体" w:hAnsi="宋体" w:eastAsia="宋体" w:cs="宋体"/>
                <w:b/>
                <w:bCs/>
                <w:i w:val="0"/>
                <w:color w:val="000000"/>
                <w:sz w:val="24"/>
                <w:szCs w:val="24"/>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A571">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2</w:t>
            </w:r>
          </w:p>
        </w:tc>
      </w:tr>
      <w:tr w14:paraId="3C68A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CD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E2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A6BE">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899.51</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AE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28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3246">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0.3</w:t>
            </w:r>
          </w:p>
        </w:tc>
      </w:tr>
      <w:tr w14:paraId="64778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E6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42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AB3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8E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D5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0031">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24AC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A6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2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7F60">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69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AB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05CBB">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578E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D8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5C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477F">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27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D1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404C">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0D98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AA0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D8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04DC">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C4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98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F6EC">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790CF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6A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02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51FB">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5C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27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1916">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10769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26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10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D874">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9B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七、文化旅游体育与传媒支出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DC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C324">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r>
      <w:tr w14:paraId="0E68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60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86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732B">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944E">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八、社会保障和就业支出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7E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DA20">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231.18</w:t>
            </w:r>
          </w:p>
        </w:tc>
      </w:tr>
      <w:tr w14:paraId="2045F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4802">
            <w:pPr>
              <w:jc w:val="right"/>
              <w:rPr>
                <w:rFonts w:hint="eastAsia" w:ascii="宋体" w:hAnsi="宋体" w:eastAsia="宋体" w:cs="宋体"/>
                <w:i w:val="0"/>
                <w:color w:val="000000"/>
                <w:sz w:val="20"/>
                <w:szCs w:val="20"/>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63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E31F">
            <w:pPr>
              <w:jc w:val="center"/>
              <w:rPr>
                <w:rFonts w:hint="eastAsia" w:ascii="宋体" w:hAnsi="宋体" w:eastAsia="宋体" w:cs="宋体"/>
                <w:i w:val="0"/>
                <w:color w:val="000000"/>
                <w:sz w:val="22"/>
                <w:szCs w:val="22"/>
                <w:u w:val="none"/>
              </w:rPr>
            </w:pP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3256">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九、卫生健康支出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EC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6295">
            <w:pPr>
              <w:jc w:val="center"/>
              <w:rPr>
                <w:rFonts w:hint="eastAsia" w:ascii="宋体" w:hAnsi="宋体" w:eastAsia="宋体" w:cs="宋体"/>
                <w:b/>
                <w:i w:val="0"/>
                <w:color w:val="000000"/>
                <w:sz w:val="22"/>
                <w:szCs w:val="22"/>
                <w:u w:val="none"/>
              </w:rPr>
            </w:pPr>
            <w:r>
              <w:rPr>
                <w:rFonts w:hint="eastAsia" w:ascii="宋体" w:hAnsi="宋体" w:eastAsia="宋体" w:cs="宋体"/>
                <w:b w:val="0"/>
                <w:bCs/>
                <w:i w:val="0"/>
                <w:color w:val="000000"/>
                <w:sz w:val="22"/>
                <w:szCs w:val="22"/>
                <w:u w:val="none"/>
              </w:rPr>
              <w:t>668.03</w:t>
            </w:r>
          </w:p>
        </w:tc>
      </w:tr>
      <w:tr w14:paraId="75DFF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55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13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D19B">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899.51</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08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2D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4376">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899.51</w:t>
            </w:r>
          </w:p>
        </w:tc>
      </w:tr>
      <w:tr w14:paraId="3B0AE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9B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使用非财政拨款结余（含专用结余）</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5A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8A5D">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7E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B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2AE4">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3C3DF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81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1C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266B">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E3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95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420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5B4BE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07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4B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5DA5">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899.51</w:t>
            </w:r>
          </w:p>
        </w:tc>
        <w:tc>
          <w:tcPr>
            <w:tcW w:w="5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B4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43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B97D">
            <w:pPr>
              <w:jc w:val="cente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rPr>
              <w:t>899.51</w:t>
            </w:r>
          </w:p>
        </w:tc>
      </w:tr>
    </w:tbl>
    <w:p w14:paraId="7D004A4E">
      <w:pPr>
        <w:tabs>
          <w:tab w:val="left" w:pos="3647"/>
        </w:tabs>
        <w:bidi w:val="0"/>
        <w:jc w:val="left"/>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0D369671">
      <w:pPr>
        <w:rPr>
          <w:rFonts w:hint="eastAsia" w:ascii="华文中宋" w:hAnsi="华文中宋" w:eastAsia="华文中宋"/>
          <w:color w:val="000000"/>
          <w:sz w:val="32"/>
          <w:szCs w:val="32"/>
        </w:rPr>
      </w:pPr>
      <w:r>
        <w:rPr>
          <w:rFonts w:hint="eastAsia" w:ascii="宋体" w:hAnsi="宋体" w:eastAsia="宋体" w:cs="宋体"/>
          <w:i w:val="0"/>
          <w:color w:val="000000"/>
          <w:kern w:val="0"/>
          <w:sz w:val="24"/>
          <w:szCs w:val="24"/>
          <w:u w:val="none"/>
          <w:lang w:val="en-US" w:eastAsia="zh-CN" w:bidi="ar"/>
        </w:rPr>
        <w:t>2.本套报表金额单位转换时可能存在尾数误差。</w:t>
      </w:r>
    </w:p>
    <w:p w14:paraId="4BE32E3C">
      <w:pPr>
        <w:rPr>
          <w:rFonts w:hint="eastAsia" w:ascii="华文中宋" w:hAnsi="华文中宋" w:eastAsia="华文中宋"/>
          <w:color w:val="000000"/>
          <w:sz w:val="32"/>
          <w:szCs w:val="32"/>
        </w:rPr>
      </w:pPr>
      <w:r>
        <w:rPr>
          <w:rFonts w:hint="eastAsia" w:ascii="华文中宋" w:hAnsi="华文中宋" w:eastAsia="华文中宋"/>
          <w:color w:val="000000"/>
          <w:sz w:val="32"/>
          <w:szCs w:val="32"/>
        </w:rPr>
        <w:br w:type="page"/>
      </w:r>
    </w:p>
    <w:p w14:paraId="6F5EE0E8">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收入决算表</w:t>
      </w:r>
    </w:p>
    <w:p w14:paraId="3CAAFC91">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                                                                                                                      公开02表</w:t>
      </w:r>
    </w:p>
    <w:p w14:paraId="539ECE1D">
      <w:pPr>
        <w:keepNext w:val="0"/>
        <w:keepLines w:val="0"/>
        <w:widowControl/>
        <w:suppressLineNumbers w:val="0"/>
        <w:ind w:firstLine="12400" w:firstLineChars="6200"/>
        <w:jc w:val="both"/>
        <w:textAlignment w:val="center"/>
        <w:rPr>
          <w:rFonts w:hint="eastAsia" w:ascii="华文中宋" w:hAnsi="华文中宋" w:eastAsia="华文中宋"/>
          <w:color w:val="000000"/>
          <w:sz w:val="32"/>
          <w:szCs w:val="32"/>
          <w:lang w:val="en-US" w:eastAsia="zh-CN"/>
        </w:rPr>
      </w:pPr>
      <w:r>
        <w:rPr>
          <w:rFonts w:hint="eastAsia" w:ascii="宋体" w:hAnsi="宋体" w:eastAsia="宋体" w:cs="宋体"/>
          <w:i w:val="0"/>
          <w:color w:val="000000"/>
          <w:kern w:val="0"/>
          <w:sz w:val="20"/>
          <w:szCs w:val="20"/>
          <w:u w:val="none"/>
          <w:lang w:val="en-US" w:eastAsia="zh-CN" w:bidi="ar"/>
        </w:rPr>
        <w:t>单位：万元</w:t>
      </w:r>
    </w:p>
    <w:tbl>
      <w:tblPr>
        <w:tblStyle w:val="11"/>
        <w:tblW w:w="144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5"/>
        <w:gridCol w:w="3930"/>
        <w:gridCol w:w="1800"/>
        <w:gridCol w:w="1590"/>
        <w:gridCol w:w="1125"/>
        <w:gridCol w:w="1155"/>
        <w:gridCol w:w="1095"/>
        <w:gridCol w:w="1365"/>
        <w:gridCol w:w="1275"/>
      </w:tblGrid>
      <w:tr w14:paraId="124A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0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97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C4F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B9A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财政拨款收入</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981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61B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5FB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经营收入</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17C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C7C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r>
      <w:tr w14:paraId="7929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319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66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6CCF4">
            <w:pPr>
              <w:jc w:val="center"/>
              <w:rPr>
                <w:rFonts w:hint="eastAsia" w:ascii="宋体" w:hAnsi="宋体" w:eastAsia="宋体" w:cs="宋体"/>
                <w:b/>
                <w:bCs/>
                <w:i w:val="0"/>
                <w:iCs w:val="0"/>
                <w:color w:val="000000"/>
                <w:sz w:val="22"/>
                <w:szCs w:val="22"/>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BD255">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3C173">
            <w:pPr>
              <w:jc w:val="center"/>
              <w:rPr>
                <w:rFonts w:hint="eastAsia" w:ascii="宋体" w:hAnsi="宋体" w:eastAsia="宋体" w:cs="宋体"/>
                <w:b/>
                <w:bCs/>
                <w:i w:val="0"/>
                <w:iCs w:val="0"/>
                <w:color w:val="000000"/>
                <w:sz w:val="22"/>
                <w:szCs w:val="22"/>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71523">
            <w:pPr>
              <w:jc w:val="center"/>
              <w:rPr>
                <w:rFonts w:hint="eastAsia" w:ascii="宋体" w:hAnsi="宋体" w:eastAsia="宋体" w:cs="宋体"/>
                <w:b/>
                <w:bCs/>
                <w:i w:val="0"/>
                <w:iCs w:val="0"/>
                <w:color w:val="000000"/>
                <w:sz w:val="22"/>
                <w:szCs w:val="22"/>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A0773">
            <w:pPr>
              <w:jc w:val="center"/>
              <w:rPr>
                <w:rFonts w:hint="eastAsia" w:ascii="宋体" w:hAnsi="宋体" w:eastAsia="宋体" w:cs="宋体"/>
                <w:b/>
                <w:bCs/>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45E7C">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02150">
            <w:pPr>
              <w:jc w:val="center"/>
              <w:rPr>
                <w:rFonts w:hint="eastAsia" w:ascii="宋体" w:hAnsi="宋体" w:eastAsia="宋体" w:cs="宋体"/>
                <w:b/>
                <w:bCs/>
                <w:i w:val="0"/>
                <w:iCs w:val="0"/>
                <w:color w:val="000000"/>
                <w:sz w:val="22"/>
                <w:szCs w:val="22"/>
                <w:u w:val="none"/>
              </w:rPr>
            </w:pPr>
          </w:p>
        </w:tc>
      </w:tr>
      <w:tr w14:paraId="6501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5C89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0F55">
            <w:pPr>
              <w:jc w:val="center"/>
              <w:rPr>
                <w:rFonts w:hint="eastAsia" w:ascii="宋体" w:hAnsi="宋体" w:eastAsia="宋体" w:cs="宋体"/>
                <w:b/>
                <w:bCs/>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21A5">
            <w:pPr>
              <w:jc w:val="center"/>
              <w:rPr>
                <w:rFonts w:hint="eastAsia" w:ascii="宋体" w:hAnsi="宋体" w:eastAsia="宋体" w:cs="宋体"/>
                <w:b/>
                <w:bCs/>
                <w:i w:val="0"/>
                <w:iCs w:val="0"/>
                <w:color w:val="000000"/>
                <w:sz w:val="22"/>
                <w:szCs w:val="22"/>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285B6">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EE17A">
            <w:pPr>
              <w:jc w:val="center"/>
              <w:rPr>
                <w:rFonts w:hint="eastAsia" w:ascii="宋体" w:hAnsi="宋体" w:eastAsia="宋体" w:cs="宋体"/>
                <w:b/>
                <w:bCs/>
                <w:i w:val="0"/>
                <w:iCs w:val="0"/>
                <w:color w:val="000000"/>
                <w:sz w:val="22"/>
                <w:szCs w:val="22"/>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984D0">
            <w:pPr>
              <w:jc w:val="center"/>
              <w:rPr>
                <w:rFonts w:hint="eastAsia" w:ascii="宋体" w:hAnsi="宋体" w:eastAsia="宋体" w:cs="宋体"/>
                <w:b/>
                <w:bCs/>
                <w:i w:val="0"/>
                <w:iCs w:val="0"/>
                <w:color w:val="000000"/>
                <w:sz w:val="22"/>
                <w:szCs w:val="22"/>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14D69">
            <w:pPr>
              <w:jc w:val="center"/>
              <w:rPr>
                <w:rFonts w:hint="eastAsia" w:ascii="宋体" w:hAnsi="宋体" w:eastAsia="宋体" w:cs="宋体"/>
                <w:b/>
                <w:bCs/>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94AB1">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62F20">
            <w:pPr>
              <w:jc w:val="center"/>
              <w:rPr>
                <w:rFonts w:hint="eastAsia" w:ascii="宋体" w:hAnsi="宋体" w:eastAsia="宋体" w:cs="宋体"/>
                <w:b/>
                <w:bCs/>
                <w:i w:val="0"/>
                <w:iCs w:val="0"/>
                <w:color w:val="000000"/>
                <w:sz w:val="22"/>
                <w:szCs w:val="22"/>
                <w:u w:val="none"/>
              </w:rPr>
            </w:pPr>
          </w:p>
        </w:tc>
      </w:tr>
      <w:tr w14:paraId="24EDA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D550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F28C">
            <w:pPr>
              <w:jc w:val="center"/>
              <w:rPr>
                <w:rFonts w:hint="eastAsia" w:ascii="宋体" w:hAnsi="宋体" w:eastAsia="宋体" w:cs="宋体"/>
                <w:b/>
                <w:bCs/>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A0A96">
            <w:pPr>
              <w:jc w:val="center"/>
              <w:rPr>
                <w:rFonts w:hint="eastAsia" w:ascii="宋体" w:hAnsi="宋体" w:eastAsia="宋体" w:cs="宋体"/>
                <w:b/>
                <w:bCs/>
                <w:i w:val="0"/>
                <w:iCs w:val="0"/>
                <w:color w:val="000000"/>
                <w:sz w:val="22"/>
                <w:szCs w:val="22"/>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798E6">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03D1">
            <w:pPr>
              <w:jc w:val="center"/>
              <w:rPr>
                <w:rFonts w:hint="eastAsia" w:ascii="宋体" w:hAnsi="宋体" w:eastAsia="宋体" w:cs="宋体"/>
                <w:b/>
                <w:bCs/>
                <w:i w:val="0"/>
                <w:iCs w:val="0"/>
                <w:color w:val="000000"/>
                <w:sz w:val="22"/>
                <w:szCs w:val="22"/>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F7768">
            <w:pPr>
              <w:jc w:val="center"/>
              <w:rPr>
                <w:rFonts w:hint="eastAsia" w:ascii="宋体" w:hAnsi="宋体" w:eastAsia="宋体" w:cs="宋体"/>
                <w:b/>
                <w:bCs/>
                <w:i w:val="0"/>
                <w:iCs w:val="0"/>
                <w:color w:val="000000"/>
                <w:sz w:val="22"/>
                <w:szCs w:val="22"/>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56915">
            <w:pPr>
              <w:jc w:val="center"/>
              <w:rPr>
                <w:rFonts w:hint="eastAsia" w:ascii="宋体" w:hAnsi="宋体" w:eastAsia="宋体" w:cs="宋体"/>
                <w:b/>
                <w:bCs/>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41E2E">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B4C9E">
            <w:pPr>
              <w:jc w:val="center"/>
              <w:rPr>
                <w:rFonts w:hint="eastAsia" w:ascii="宋体" w:hAnsi="宋体" w:eastAsia="宋体" w:cs="宋体"/>
                <w:b/>
                <w:bCs/>
                <w:i w:val="0"/>
                <w:iCs w:val="0"/>
                <w:color w:val="000000"/>
                <w:sz w:val="22"/>
                <w:szCs w:val="22"/>
                <w:u w:val="none"/>
              </w:rPr>
            </w:pPr>
          </w:p>
        </w:tc>
      </w:tr>
      <w:tr w14:paraId="09DE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6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B5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12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00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74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F4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D3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7A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r>
      <w:tr w14:paraId="0052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3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F11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AEE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8E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0EA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D6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3D1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D0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7D432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4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2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5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4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6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8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D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0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1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F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9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5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9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7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7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9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B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A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9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87B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8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F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9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1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8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9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5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9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39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989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D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1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B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4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6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00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A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8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D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3E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F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0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F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D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0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8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25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6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9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41F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9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A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4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7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5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9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4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A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5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7E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8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1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F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8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6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3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9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0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9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05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B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7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0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3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7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6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8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A2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4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99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C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1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3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A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0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E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2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6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0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B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A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E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D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3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A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C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B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A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1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55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F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1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A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B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2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D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53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6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6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6C0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0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C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F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0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F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6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1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C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2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A4E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A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B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5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0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1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E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8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7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8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B6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6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0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0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0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3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F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8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9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8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51A45965">
      <w:pPr>
        <w:rPr>
          <w:rFonts w:hint="eastAsia" w:ascii="宋体" w:hAnsi="宋体" w:eastAsia="宋体" w:cs="宋体"/>
          <w:i w:val="0"/>
          <w:color w:val="000000"/>
          <w:kern w:val="0"/>
          <w:sz w:val="24"/>
          <w:szCs w:val="24"/>
          <w:u w:val="none"/>
          <w:lang w:val="en-US" w:eastAsia="zh-CN" w:bidi="ar"/>
        </w:rPr>
      </w:pPr>
    </w:p>
    <w:p w14:paraId="680CA45A">
      <w:pPr>
        <w:rPr>
          <w:rFonts w:hint="eastAsia" w:ascii="宋体" w:hAnsi="宋体" w:eastAsia="宋体" w:cs="宋体"/>
          <w:i w:val="0"/>
          <w:color w:val="000000"/>
          <w:kern w:val="0"/>
          <w:sz w:val="24"/>
          <w:szCs w:val="24"/>
          <w:u w:val="none"/>
          <w:lang w:val="en-US" w:eastAsia="zh-CN" w:bidi="ar"/>
        </w:rPr>
        <w:sectPr>
          <w:footerReference r:id="rId7" w:type="default"/>
          <w:pgSz w:w="16838" w:h="11906" w:orient="landscape"/>
          <w:pgMar w:top="1134" w:right="1134" w:bottom="1134" w:left="1134" w:header="851" w:footer="992" w:gutter="0"/>
          <w:pgNumType w:fmt="decimal"/>
          <w:cols w:space="0" w:num="1"/>
          <w:rtlGutter w:val="0"/>
          <w:docGrid w:type="lines" w:linePitch="312" w:charSpace="0"/>
        </w:sectPr>
      </w:pPr>
      <w:r>
        <w:rPr>
          <w:rFonts w:hint="eastAsia" w:ascii="宋体" w:hAnsi="宋体" w:eastAsia="宋体" w:cs="宋体"/>
          <w:i w:val="0"/>
          <w:color w:val="000000"/>
          <w:kern w:val="0"/>
          <w:sz w:val="24"/>
          <w:szCs w:val="24"/>
          <w:u w:val="none"/>
          <w:lang w:val="en-US" w:eastAsia="zh-CN" w:bidi="ar"/>
        </w:rPr>
        <w:t>注：本表反映部门本年度取得的各项收入情况。</w:t>
      </w:r>
    </w:p>
    <w:p w14:paraId="39A7E4D7">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支出决算表</w:t>
      </w:r>
    </w:p>
    <w:p w14:paraId="53965E73">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                                                                                                                      公开03表</w:t>
      </w:r>
    </w:p>
    <w:p w14:paraId="73BD99DB">
      <w:pPr>
        <w:keepNext w:val="0"/>
        <w:keepLines w:val="0"/>
        <w:widowControl/>
        <w:suppressLineNumbers w:val="0"/>
        <w:ind w:firstLine="12400" w:firstLineChars="6200"/>
        <w:jc w:val="both"/>
        <w:textAlignment w:val="center"/>
        <w:rPr>
          <w:rFonts w:hint="eastAsia" w:ascii="华文中宋" w:hAnsi="华文中宋" w:eastAsia="华文中宋"/>
          <w:color w:val="000000"/>
          <w:sz w:val="32"/>
          <w:szCs w:val="32"/>
          <w:lang w:val="en-US" w:eastAsia="zh-CN"/>
        </w:rPr>
      </w:pPr>
      <w:r>
        <w:rPr>
          <w:rFonts w:hint="eastAsia" w:ascii="宋体" w:hAnsi="宋体" w:eastAsia="宋体" w:cs="宋体"/>
          <w:i w:val="0"/>
          <w:color w:val="000000"/>
          <w:kern w:val="0"/>
          <w:sz w:val="20"/>
          <w:szCs w:val="20"/>
          <w:u w:val="none"/>
          <w:lang w:val="en-US" w:eastAsia="zh-CN" w:bidi="ar"/>
        </w:rPr>
        <w:t>单位：万元</w:t>
      </w:r>
    </w:p>
    <w:tbl>
      <w:tblPr>
        <w:tblStyle w:val="11"/>
        <w:tblW w:w="139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6"/>
        <w:gridCol w:w="3993"/>
        <w:gridCol w:w="1157"/>
        <w:gridCol w:w="1700"/>
        <w:gridCol w:w="1517"/>
        <w:gridCol w:w="1400"/>
        <w:gridCol w:w="1400"/>
        <w:gridCol w:w="1693"/>
      </w:tblGrid>
      <w:tr w14:paraId="68DF5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88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8AC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747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61C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BE9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D89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440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55378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B22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D5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1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5BEE9">
            <w:pPr>
              <w:jc w:val="center"/>
              <w:rPr>
                <w:rFonts w:hint="eastAsia" w:ascii="宋体" w:hAnsi="宋体" w:eastAsia="宋体" w:cs="宋体"/>
                <w:b/>
                <w:bCs/>
                <w:i w:val="0"/>
                <w:iCs w:val="0"/>
                <w:color w:val="000000"/>
                <w:sz w:val="22"/>
                <w:szCs w:val="22"/>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4FE86">
            <w:pPr>
              <w:jc w:val="center"/>
              <w:rPr>
                <w:rFonts w:hint="eastAsia" w:ascii="宋体" w:hAnsi="宋体" w:eastAsia="宋体" w:cs="宋体"/>
                <w:b/>
                <w:bCs/>
                <w:i w:val="0"/>
                <w:iCs w:val="0"/>
                <w:color w:val="000000"/>
                <w:sz w:val="22"/>
                <w:szCs w:val="22"/>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19994">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4F788">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75699">
            <w:pPr>
              <w:jc w:val="center"/>
              <w:rPr>
                <w:rFonts w:hint="eastAsia" w:ascii="宋体" w:hAnsi="宋体" w:eastAsia="宋体" w:cs="宋体"/>
                <w:b/>
                <w:bCs/>
                <w:i w:val="0"/>
                <w:iCs w:val="0"/>
                <w:color w:val="000000"/>
                <w:sz w:val="22"/>
                <w:szCs w:val="22"/>
                <w:u w:val="none"/>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220CA">
            <w:pPr>
              <w:jc w:val="center"/>
              <w:rPr>
                <w:rFonts w:hint="eastAsia" w:ascii="宋体" w:hAnsi="宋体" w:eastAsia="宋体" w:cs="宋体"/>
                <w:b/>
                <w:bCs/>
                <w:i w:val="0"/>
                <w:iCs w:val="0"/>
                <w:color w:val="000000"/>
                <w:sz w:val="22"/>
                <w:szCs w:val="22"/>
                <w:u w:val="none"/>
              </w:rPr>
            </w:pPr>
          </w:p>
        </w:tc>
      </w:tr>
      <w:tr w14:paraId="5768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56C42">
            <w:pPr>
              <w:jc w:val="center"/>
              <w:rPr>
                <w:rFonts w:hint="eastAsia" w:ascii="宋体" w:hAnsi="宋体" w:eastAsia="宋体" w:cs="宋体"/>
                <w:b/>
                <w:bCs/>
                <w:i w:val="0"/>
                <w:iCs w:val="0"/>
                <w:color w:val="000000"/>
                <w:sz w:val="22"/>
                <w:szCs w:val="22"/>
                <w:u w:val="none"/>
              </w:rPr>
            </w:pPr>
          </w:p>
        </w:tc>
        <w:tc>
          <w:tcPr>
            <w:tcW w:w="3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2F8B">
            <w:pPr>
              <w:jc w:val="center"/>
              <w:rPr>
                <w:rFonts w:hint="eastAsia" w:ascii="宋体" w:hAnsi="宋体" w:eastAsia="宋体" w:cs="宋体"/>
                <w:b/>
                <w:bCs/>
                <w:i w:val="0"/>
                <w:iCs w:val="0"/>
                <w:color w:val="000000"/>
                <w:sz w:val="22"/>
                <w:szCs w:val="22"/>
                <w:u w:val="none"/>
              </w:rPr>
            </w:pPr>
          </w:p>
        </w:tc>
        <w:tc>
          <w:tcPr>
            <w:tcW w:w="1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ADB3">
            <w:pPr>
              <w:jc w:val="center"/>
              <w:rPr>
                <w:rFonts w:hint="eastAsia" w:ascii="宋体" w:hAnsi="宋体" w:eastAsia="宋体" w:cs="宋体"/>
                <w:b/>
                <w:bCs/>
                <w:i w:val="0"/>
                <w:iCs w:val="0"/>
                <w:color w:val="000000"/>
                <w:sz w:val="22"/>
                <w:szCs w:val="22"/>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76FF0">
            <w:pPr>
              <w:jc w:val="center"/>
              <w:rPr>
                <w:rFonts w:hint="eastAsia" w:ascii="宋体" w:hAnsi="宋体" w:eastAsia="宋体" w:cs="宋体"/>
                <w:b/>
                <w:bCs/>
                <w:i w:val="0"/>
                <w:iCs w:val="0"/>
                <w:color w:val="000000"/>
                <w:sz w:val="22"/>
                <w:szCs w:val="22"/>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E08B">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9412A">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CD48">
            <w:pPr>
              <w:jc w:val="center"/>
              <w:rPr>
                <w:rFonts w:hint="eastAsia" w:ascii="宋体" w:hAnsi="宋体" w:eastAsia="宋体" w:cs="宋体"/>
                <w:b/>
                <w:bCs/>
                <w:i w:val="0"/>
                <w:iCs w:val="0"/>
                <w:color w:val="000000"/>
                <w:sz w:val="22"/>
                <w:szCs w:val="22"/>
                <w:u w:val="none"/>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C5170">
            <w:pPr>
              <w:jc w:val="center"/>
              <w:rPr>
                <w:rFonts w:hint="eastAsia" w:ascii="宋体" w:hAnsi="宋体" w:eastAsia="宋体" w:cs="宋体"/>
                <w:b/>
                <w:bCs/>
                <w:i w:val="0"/>
                <w:iCs w:val="0"/>
                <w:color w:val="000000"/>
                <w:sz w:val="22"/>
                <w:szCs w:val="22"/>
                <w:u w:val="none"/>
              </w:rPr>
            </w:pPr>
          </w:p>
        </w:tc>
      </w:tr>
      <w:tr w14:paraId="6278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69BB5">
            <w:pPr>
              <w:jc w:val="center"/>
              <w:rPr>
                <w:rFonts w:hint="eastAsia" w:ascii="宋体" w:hAnsi="宋体" w:eastAsia="宋体" w:cs="宋体"/>
                <w:b/>
                <w:bCs/>
                <w:i w:val="0"/>
                <w:iCs w:val="0"/>
                <w:color w:val="000000"/>
                <w:sz w:val="22"/>
                <w:szCs w:val="22"/>
                <w:u w:val="none"/>
              </w:rPr>
            </w:pPr>
          </w:p>
        </w:tc>
        <w:tc>
          <w:tcPr>
            <w:tcW w:w="3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4DAF">
            <w:pPr>
              <w:jc w:val="center"/>
              <w:rPr>
                <w:rFonts w:hint="eastAsia" w:ascii="宋体" w:hAnsi="宋体" w:eastAsia="宋体" w:cs="宋体"/>
                <w:b/>
                <w:bCs/>
                <w:i w:val="0"/>
                <w:iCs w:val="0"/>
                <w:color w:val="000000"/>
                <w:sz w:val="22"/>
                <w:szCs w:val="22"/>
                <w:u w:val="none"/>
              </w:rPr>
            </w:pPr>
          </w:p>
        </w:tc>
        <w:tc>
          <w:tcPr>
            <w:tcW w:w="1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080A5">
            <w:pPr>
              <w:jc w:val="center"/>
              <w:rPr>
                <w:rFonts w:hint="eastAsia" w:ascii="宋体" w:hAnsi="宋体" w:eastAsia="宋体" w:cs="宋体"/>
                <w:b/>
                <w:bCs/>
                <w:i w:val="0"/>
                <w:iCs w:val="0"/>
                <w:color w:val="000000"/>
                <w:sz w:val="22"/>
                <w:szCs w:val="22"/>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EE47A">
            <w:pPr>
              <w:jc w:val="center"/>
              <w:rPr>
                <w:rFonts w:hint="eastAsia" w:ascii="宋体" w:hAnsi="宋体" w:eastAsia="宋体" w:cs="宋体"/>
                <w:b/>
                <w:bCs/>
                <w:i w:val="0"/>
                <w:iCs w:val="0"/>
                <w:color w:val="000000"/>
                <w:sz w:val="22"/>
                <w:szCs w:val="22"/>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4CB7">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070D">
            <w:pPr>
              <w:jc w:val="center"/>
              <w:rPr>
                <w:rFonts w:hint="eastAsia" w:ascii="宋体" w:hAnsi="宋体" w:eastAsia="宋体" w:cs="宋体"/>
                <w:b/>
                <w:bCs/>
                <w:i w:val="0"/>
                <w:iCs w:val="0"/>
                <w:color w:val="000000"/>
                <w:sz w:val="22"/>
                <w:szCs w:val="22"/>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EFB10">
            <w:pPr>
              <w:jc w:val="center"/>
              <w:rPr>
                <w:rFonts w:hint="eastAsia" w:ascii="宋体" w:hAnsi="宋体" w:eastAsia="宋体" w:cs="宋体"/>
                <w:b/>
                <w:bCs/>
                <w:i w:val="0"/>
                <w:iCs w:val="0"/>
                <w:color w:val="000000"/>
                <w:sz w:val="22"/>
                <w:szCs w:val="22"/>
                <w:u w:val="none"/>
              </w:rPr>
            </w:pP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EDF47">
            <w:pPr>
              <w:jc w:val="center"/>
              <w:rPr>
                <w:rFonts w:hint="eastAsia" w:ascii="宋体" w:hAnsi="宋体" w:eastAsia="宋体" w:cs="宋体"/>
                <w:b/>
                <w:bCs/>
                <w:i w:val="0"/>
                <w:iCs w:val="0"/>
                <w:color w:val="000000"/>
                <w:sz w:val="22"/>
                <w:szCs w:val="22"/>
                <w:u w:val="none"/>
              </w:rPr>
            </w:pPr>
          </w:p>
        </w:tc>
      </w:tr>
      <w:tr w14:paraId="34B0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F8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FC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69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9E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9D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E1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6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14:paraId="26269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8F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F4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899.51</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39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292.43</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C5A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FC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205D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69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2A4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0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8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2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E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5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C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1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A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905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0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8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1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E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F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9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0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E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22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A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9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9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B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3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1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9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4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C9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7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F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0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5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6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B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F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3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96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B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7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2F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D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5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D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D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9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6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3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9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9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5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2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C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B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B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F1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1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9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9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0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5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C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E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F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2D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6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D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3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9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4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2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B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5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337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71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F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4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E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A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D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5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6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F63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2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1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4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D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E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F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5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B30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F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3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6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6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9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E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A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B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8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9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E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6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656.56</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D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49.78</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69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4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A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2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C4B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F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D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6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7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5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B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F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2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6C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C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3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F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C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286.58</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6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49.78</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6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2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B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1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40250836">
      <w:pPr>
        <w:widowControl/>
        <w:jc w:val="both"/>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76F824F4">
      <w:pPr>
        <w:rPr>
          <w:rFonts w:hint="eastAsia" w:ascii="宋体" w:hAnsi="宋体" w:eastAsia="宋体" w:cs="宋体"/>
          <w:kern w:val="0"/>
          <w:sz w:val="24"/>
          <w:szCs w:val="24"/>
        </w:rPr>
      </w:pPr>
      <w:r>
        <w:rPr>
          <w:rFonts w:hint="eastAsia" w:ascii="宋体" w:hAnsi="宋体" w:eastAsia="宋体" w:cs="宋体"/>
          <w:kern w:val="0"/>
          <w:sz w:val="24"/>
          <w:szCs w:val="24"/>
        </w:rPr>
        <w:br w:type="page"/>
      </w:r>
    </w:p>
    <w:p w14:paraId="299A97B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Arial Unicode MS" w:hAnsi="Arial Unicode MS" w:eastAsia="Arial Unicode MS" w:cs="Arial Unicode MS"/>
          <w:kern w:val="0"/>
          <w:sz w:val="44"/>
          <w:szCs w:val="44"/>
        </w:rPr>
      </w:pPr>
      <w:r>
        <w:rPr>
          <w:rFonts w:hint="eastAsia" w:ascii="Arial Unicode MS" w:hAnsi="Arial Unicode MS" w:eastAsia="Arial Unicode MS" w:cs="Arial Unicode MS"/>
          <w:color w:val="000000"/>
          <w:kern w:val="0"/>
          <w:sz w:val="44"/>
          <w:szCs w:val="44"/>
        </w:rPr>
        <w:t>财政拨款收入支出决算总表</w:t>
      </w:r>
    </w:p>
    <w:p w14:paraId="64F845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                                                                                                                      公开04表</w:t>
      </w:r>
    </w:p>
    <w:p w14:paraId="0A28F445">
      <w:pPr>
        <w:keepNext w:val="0"/>
        <w:keepLines w:val="0"/>
        <w:pageBreakBefore w:val="0"/>
        <w:widowControl/>
        <w:suppressLineNumbers w:val="0"/>
        <w:kinsoku/>
        <w:wordWrap/>
        <w:overflowPunct/>
        <w:topLinePunct w:val="0"/>
        <w:autoSpaceDE/>
        <w:autoSpaceDN/>
        <w:bidi w:val="0"/>
        <w:adjustRightInd/>
        <w:snapToGrid/>
        <w:spacing w:line="240" w:lineRule="exact"/>
        <w:ind w:firstLine="12400" w:firstLineChars="6200"/>
        <w:jc w:val="both"/>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单位：万元</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546"/>
        <w:gridCol w:w="876"/>
        <w:gridCol w:w="3516"/>
        <w:gridCol w:w="546"/>
        <w:gridCol w:w="876"/>
        <w:gridCol w:w="1643"/>
        <w:gridCol w:w="1642"/>
        <w:gridCol w:w="1752"/>
      </w:tblGrid>
      <w:tr w14:paraId="435BB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blHead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2A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bookmarkStart w:id="0" w:name="RANGE!A1:I22"/>
            <w:bookmarkEnd w:id="0"/>
            <w:bookmarkStart w:id="1" w:name="RANGE!A1:F16"/>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9E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6D9C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98F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B56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CB0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1F5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E44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10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A12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988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8C8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14:paraId="27C9D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7FD2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5433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10E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F235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82F5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440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A66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9FEE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66322">
            <w:pPr>
              <w:jc w:val="center"/>
              <w:rPr>
                <w:rFonts w:hint="eastAsia" w:ascii="宋体" w:hAnsi="宋体" w:eastAsia="宋体" w:cs="宋体"/>
                <w:b/>
                <w:bCs/>
                <w:i w:val="0"/>
                <w:iCs w:val="0"/>
                <w:color w:val="000000"/>
                <w:sz w:val="22"/>
                <w:szCs w:val="22"/>
                <w:u w:val="none"/>
              </w:rPr>
            </w:pPr>
          </w:p>
        </w:tc>
      </w:tr>
      <w:tr w14:paraId="270B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A7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0FB7">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BE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2A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32F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09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DE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4D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B2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14:paraId="388E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1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9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5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3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2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F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7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9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3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C0B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4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B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8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0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2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7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E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C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5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B1C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1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0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D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D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0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4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E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0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4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176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F61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5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92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0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B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1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B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1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F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89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308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2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7C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3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8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7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5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A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B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A1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922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8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DE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D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7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0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3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0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A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F6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1BB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3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DB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A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2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7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7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9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2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86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715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7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99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2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8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3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E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5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D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D4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19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9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C4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6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6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6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AE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8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0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6D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CC4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C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AF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6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D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0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7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7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5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4B1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752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B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C2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D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E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8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B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D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A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A16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678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E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E3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5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8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0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B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D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C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52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A1B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5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84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0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C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A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7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6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F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2D4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32A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F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72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F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D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5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9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C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8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278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E1A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F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85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E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C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C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F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C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8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6CC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E89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E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D9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C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5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5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0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D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6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958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A9C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75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B3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F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98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7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E5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6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2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23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41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9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9C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E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F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A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E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1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B3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441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5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E0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C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9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F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6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0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A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E3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AF6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4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70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BA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D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4B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2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3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5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847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DFC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E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82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2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A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0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3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A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E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A21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EA0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C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91D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9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C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3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C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1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0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BB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F69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8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EB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C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1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6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1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D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E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49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23E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F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73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A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F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1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3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2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8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AD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3FEA">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3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49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9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2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8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8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8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C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8F3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8D6C">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E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64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5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7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A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3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A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9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C2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84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D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4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04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7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B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2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B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5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68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2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C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8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F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7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6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5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6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7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CD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6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C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B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A09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3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88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1E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CD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E9DB">
            <w:pPr>
              <w:jc w:val="right"/>
              <w:rPr>
                <w:rFonts w:hint="eastAsia" w:ascii="宋体" w:hAnsi="宋体" w:eastAsia="宋体" w:cs="宋体"/>
                <w:i w:val="0"/>
                <w:iCs w:val="0"/>
                <w:color w:val="000000"/>
                <w:sz w:val="22"/>
                <w:szCs w:val="22"/>
                <w:u w:val="none"/>
              </w:rPr>
            </w:pPr>
          </w:p>
        </w:tc>
      </w:tr>
      <w:tr w14:paraId="37EED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0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3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A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124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C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CC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D24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F1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D4C3">
            <w:pPr>
              <w:jc w:val="right"/>
              <w:rPr>
                <w:rFonts w:hint="eastAsia" w:ascii="宋体" w:hAnsi="宋体" w:eastAsia="宋体" w:cs="宋体"/>
                <w:i w:val="0"/>
                <w:iCs w:val="0"/>
                <w:color w:val="000000"/>
                <w:sz w:val="22"/>
                <w:szCs w:val="22"/>
                <w:u w:val="none"/>
              </w:rPr>
            </w:pPr>
          </w:p>
        </w:tc>
      </w:tr>
      <w:tr w14:paraId="0ECD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3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E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4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016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3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A2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B8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8A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2B0D">
            <w:pPr>
              <w:jc w:val="right"/>
              <w:rPr>
                <w:rFonts w:hint="eastAsia" w:ascii="宋体" w:hAnsi="宋体" w:eastAsia="宋体" w:cs="宋体"/>
                <w:i w:val="0"/>
                <w:iCs w:val="0"/>
                <w:color w:val="000000"/>
                <w:sz w:val="22"/>
                <w:szCs w:val="22"/>
                <w:u w:val="none"/>
              </w:rPr>
            </w:pPr>
          </w:p>
        </w:tc>
      </w:tr>
      <w:tr w14:paraId="3585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05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A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2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4F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C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C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F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6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1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37A1F47B">
      <w:pPr>
        <w:rPr>
          <w:rFonts w:hint="eastAsia" w:ascii="Arial Unicode MS" w:hAnsi="Arial Unicode MS" w:eastAsia="Arial Unicode MS" w:cs="Arial Unicode MS"/>
          <w:kern w:val="0"/>
          <w:sz w:val="44"/>
          <w:szCs w:val="44"/>
        </w:rPr>
      </w:pPr>
      <w:r>
        <w:rPr>
          <w:rFonts w:hint="eastAsia" w:ascii="Arial Unicode MS" w:hAnsi="Arial Unicode MS" w:eastAsia="Arial Unicode MS" w:cs="Arial Unicode MS"/>
          <w:kern w:val="0"/>
          <w:sz w:val="44"/>
          <w:szCs w:val="44"/>
        </w:rPr>
        <w:br w:type="page"/>
      </w:r>
    </w:p>
    <w:p w14:paraId="11CC0CB5">
      <w:pPr>
        <w:widowControl/>
        <w:jc w:val="center"/>
        <w:rPr>
          <w:rFonts w:hint="eastAsia" w:ascii="Arial Unicode MS" w:hAnsi="Arial Unicode MS" w:eastAsia="Arial Unicode MS" w:cs="Arial Unicode MS"/>
          <w:kern w:val="0"/>
          <w:sz w:val="44"/>
          <w:szCs w:val="44"/>
        </w:rPr>
      </w:pPr>
      <w:r>
        <w:rPr>
          <w:rFonts w:hint="eastAsia" w:ascii="Arial Unicode MS" w:hAnsi="Arial Unicode MS" w:eastAsia="Arial Unicode MS" w:cs="Arial Unicode MS"/>
          <w:kern w:val="0"/>
          <w:sz w:val="44"/>
          <w:szCs w:val="44"/>
        </w:rPr>
        <w:t>一般公共预算财政拨款支出决算表</w:t>
      </w:r>
      <w:bookmarkEnd w:id="1"/>
    </w:p>
    <w:p w14:paraId="2C1FBA95">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公开05表</w:t>
      </w:r>
    </w:p>
    <w:p w14:paraId="74D668E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单位：万元</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6"/>
        <w:gridCol w:w="6988"/>
        <w:gridCol w:w="1647"/>
        <w:gridCol w:w="2046"/>
        <w:gridCol w:w="2056"/>
      </w:tblGrid>
      <w:tr w14:paraId="0C48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05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18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9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46A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r>
      <w:tr w14:paraId="3C86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7EA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3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39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5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E89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B3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65E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5F8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60944">
            <w:pPr>
              <w:jc w:val="center"/>
              <w:rPr>
                <w:rFonts w:hint="eastAsia" w:ascii="宋体" w:hAnsi="宋体" w:eastAsia="宋体" w:cs="宋体"/>
                <w:b/>
                <w:bCs/>
                <w:i w:val="0"/>
                <w:iCs w:val="0"/>
                <w:color w:val="000000"/>
                <w:sz w:val="22"/>
                <w:szCs w:val="22"/>
                <w:u w:val="none"/>
              </w:rPr>
            </w:pPr>
          </w:p>
        </w:tc>
        <w:tc>
          <w:tcPr>
            <w:tcW w:w="23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5F5C">
            <w:pPr>
              <w:jc w:val="center"/>
              <w:rPr>
                <w:rFonts w:hint="eastAsia" w:ascii="宋体" w:hAnsi="宋体" w:eastAsia="宋体" w:cs="宋体"/>
                <w:b/>
                <w:bCs/>
                <w:i w:val="0"/>
                <w:iCs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05C1E">
            <w:pPr>
              <w:jc w:val="center"/>
              <w:rPr>
                <w:rFonts w:hint="eastAsia" w:ascii="宋体" w:hAnsi="宋体" w:eastAsia="宋体" w:cs="宋体"/>
                <w:b/>
                <w:bCs/>
                <w:i w:val="0"/>
                <w:iCs w:val="0"/>
                <w:color w:val="000000"/>
                <w:sz w:val="22"/>
                <w:szCs w:val="22"/>
                <w:u w:val="none"/>
              </w:rPr>
            </w:pP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C72F9">
            <w:pPr>
              <w:jc w:val="center"/>
              <w:rPr>
                <w:rFonts w:hint="eastAsia" w:ascii="宋体" w:hAnsi="宋体" w:eastAsia="宋体" w:cs="宋体"/>
                <w:b/>
                <w:bCs/>
                <w:i w:val="0"/>
                <w:iCs w:val="0"/>
                <w:color w:val="000000"/>
                <w:sz w:val="22"/>
                <w:szCs w:val="22"/>
                <w:u w:val="none"/>
              </w:rPr>
            </w:pPr>
          </w:p>
        </w:tc>
        <w:tc>
          <w:tcPr>
            <w:tcW w:w="6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42FC">
            <w:pPr>
              <w:jc w:val="center"/>
              <w:rPr>
                <w:rFonts w:hint="eastAsia" w:ascii="宋体" w:hAnsi="宋体" w:eastAsia="宋体" w:cs="宋体"/>
                <w:b/>
                <w:bCs/>
                <w:i w:val="0"/>
                <w:iCs w:val="0"/>
                <w:color w:val="000000"/>
                <w:sz w:val="22"/>
                <w:szCs w:val="22"/>
                <w:u w:val="none"/>
              </w:rPr>
            </w:pPr>
          </w:p>
        </w:tc>
      </w:tr>
      <w:tr w14:paraId="19B8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EFB03">
            <w:pPr>
              <w:jc w:val="center"/>
              <w:rPr>
                <w:rFonts w:hint="eastAsia" w:ascii="宋体" w:hAnsi="宋体" w:eastAsia="宋体" w:cs="宋体"/>
                <w:b/>
                <w:bCs/>
                <w:i w:val="0"/>
                <w:iCs w:val="0"/>
                <w:color w:val="000000"/>
                <w:sz w:val="22"/>
                <w:szCs w:val="22"/>
                <w:u w:val="none"/>
              </w:rPr>
            </w:pPr>
          </w:p>
        </w:tc>
        <w:tc>
          <w:tcPr>
            <w:tcW w:w="23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B548">
            <w:pPr>
              <w:jc w:val="center"/>
              <w:rPr>
                <w:rFonts w:hint="eastAsia" w:ascii="宋体" w:hAnsi="宋体" w:eastAsia="宋体" w:cs="宋体"/>
                <w:b/>
                <w:bCs/>
                <w:i w:val="0"/>
                <w:iCs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F680">
            <w:pPr>
              <w:jc w:val="center"/>
              <w:rPr>
                <w:rFonts w:hint="eastAsia" w:ascii="宋体" w:hAnsi="宋体" w:eastAsia="宋体" w:cs="宋体"/>
                <w:b/>
                <w:bCs/>
                <w:i w:val="0"/>
                <w:iCs w:val="0"/>
                <w:color w:val="000000"/>
                <w:sz w:val="22"/>
                <w:szCs w:val="22"/>
                <w:u w:val="none"/>
              </w:rPr>
            </w:pPr>
          </w:p>
        </w:tc>
        <w:tc>
          <w:tcPr>
            <w:tcW w:w="6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46523">
            <w:pPr>
              <w:jc w:val="center"/>
              <w:rPr>
                <w:rFonts w:hint="eastAsia" w:ascii="宋体" w:hAnsi="宋体" w:eastAsia="宋体" w:cs="宋体"/>
                <w:b/>
                <w:bCs/>
                <w:i w:val="0"/>
                <w:iCs w:val="0"/>
                <w:color w:val="000000"/>
                <w:sz w:val="22"/>
                <w:szCs w:val="22"/>
                <w:u w:val="none"/>
              </w:rPr>
            </w:pPr>
          </w:p>
        </w:tc>
        <w:tc>
          <w:tcPr>
            <w:tcW w:w="6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B0CAD">
            <w:pPr>
              <w:jc w:val="center"/>
              <w:rPr>
                <w:rFonts w:hint="eastAsia" w:ascii="宋体" w:hAnsi="宋体" w:eastAsia="宋体" w:cs="宋体"/>
                <w:b/>
                <w:bCs/>
                <w:i w:val="0"/>
                <w:iCs w:val="0"/>
                <w:color w:val="000000"/>
                <w:sz w:val="22"/>
                <w:szCs w:val="22"/>
                <w:u w:val="none"/>
              </w:rPr>
            </w:pPr>
          </w:p>
        </w:tc>
      </w:tr>
      <w:tr w14:paraId="458BA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05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23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DB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A2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58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r>
      <w:tr w14:paraId="75827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05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DD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A2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899.51</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D2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292.43</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5D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607.08</w:t>
            </w:r>
          </w:p>
        </w:tc>
      </w:tr>
      <w:tr w14:paraId="347B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C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9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9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4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3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5199C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9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1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1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1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7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7DEC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C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3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B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D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4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34650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1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D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6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5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5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700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7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F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7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D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0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C8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8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1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3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B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201.97</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B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72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3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D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D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A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1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26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B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AD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1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D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1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6BC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E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4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1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668.03</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F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4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606.78</w:t>
            </w:r>
          </w:p>
        </w:tc>
      </w:tr>
      <w:tr w14:paraId="1CDB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E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D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0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6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2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43B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6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C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C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D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11.47</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6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9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A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F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9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656.56</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9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B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606.78</w:t>
            </w:r>
          </w:p>
        </w:tc>
      </w:tr>
      <w:tr w14:paraId="3CA04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1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2101505</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A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医疗保障政策管理</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9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4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1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369.99</w:t>
            </w:r>
          </w:p>
        </w:tc>
      </w:tr>
      <w:tr w14:paraId="7FC25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3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2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A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0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286.58</w:t>
            </w:r>
          </w:p>
        </w:tc>
        <w:tc>
          <w:tcPr>
            <w:tcW w:w="6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1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49.78</w:t>
            </w:r>
          </w:p>
        </w:tc>
        <w:tc>
          <w:tcPr>
            <w:tcW w:w="6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7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236.79</w:t>
            </w:r>
          </w:p>
        </w:tc>
      </w:tr>
    </w:tbl>
    <w:p w14:paraId="54288E0E">
      <w:pPr>
        <w:widowControl/>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07FAF80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华文中宋" w:hAnsi="华文中宋" w:eastAsia="华文中宋" w:cs="宋体"/>
          <w:color w:val="000000"/>
          <w:kern w:val="0"/>
          <w:szCs w:val="32"/>
        </w:rPr>
      </w:pPr>
      <w:r>
        <w:rPr>
          <w:rFonts w:ascii="Times New Roman" w:hAnsi="Times New Roman" w:eastAsia="仿宋_GB2312" w:cs="Times New Roman"/>
          <w:bCs/>
          <w:kern w:val="0"/>
          <w:szCs w:val="21"/>
        </w:rPr>
        <w:br w:type="page"/>
      </w:r>
      <w:bookmarkStart w:id="2" w:name="RANGE!A1:I34"/>
      <w:r>
        <w:rPr>
          <w:rFonts w:hint="eastAsia" w:ascii="Arial Unicode MS" w:hAnsi="Arial Unicode MS" w:eastAsia="Arial Unicode MS" w:cs="Arial Unicode MS"/>
          <w:kern w:val="0"/>
          <w:sz w:val="44"/>
          <w:szCs w:val="44"/>
        </w:rPr>
        <w:t>一般公共预算财政拨款基本支出决算明细表</w:t>
      </w:r>
      <w:bookmarkEnd w:id="2"/>
    </w:p>
    <w:p w14:paraId="6E24BE9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lang w:val="en-US" w:eastAsia="zh-CN"/>
        </w:rPr>
        <w:t>6</w:t>
      </w:r>
      <w:r>
        <w:rPr>
          <w:rFonts w:ascii="Times New Roman" w:hAnsi="Times New Roman" w:eastAsia="仿宋_GB2312" w:cs="Times New Roman"/>
          <w:color w:val="000000"/>
          <w:kern w:val="0"/>
          <w:szCs w:val="21"/>
        </w:rPr>
        <w:t>表</w:t>
      </w:r>
    </w:p>
    <w:p w14:paraId="396C9BD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bCs/>
          <w:kern w:val="0"/>
          <w:szCs w:val="21"/>
        </w:rPr>
      </w:pPr>
      <w:r>
        <w:rPr>
          <w:rFonts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 xml:space="preserve"> 单位：万元</w:t>
      </w:r>
    </w:p>
    <w:tbl>
      <w:tblPr>
        <w:tblStyle w:val="11"/>
        <w:tblW w:w="0" w:type="auto"/>
        <w:tblInd w:w="0" w:type="dxa"/>
        <w:tblLayout w:type="fixed"/>
        <w:tblCellMar>
          <w:top w:w="0" w:type="dxa"/>
          <w:left w:w="108" w:type="dxa"/>
          <w:bottom w:w="0" w:type="dxa"/>
          <w:right w:w="108" w:type="dxa"/>
        </w:tblCellMar>
      </w:tblPr>
      <w:tblGrid>
        <w:gridCol w:w="1188"/>
        <w:gridCol w:w="3175"/>
        <w:gridCol w:w="850"/>
        <w:gridCol w:w="1138"/>
        <w:gridCol w:w="2139"/>
        <w:gridCol w:w="907"/>
        <w:gridCol w:w="1200"/>
        <w:gridCol w:w="3075"/>
        <w:gridCol w:w="1005"/>
      </w:tblGrid>
      <w:tr w14:paraId="320170D4">
        <w:tblPrEx>
          <w:tblCellMar>
            <w:top w:w="0" w:type="dxa"/>
            <w:left w:w="108" w:type="dxa"/>
            <w:bottom w:w="0" w:type="dxa"/>
            <w:right w:w="108" w:type="dxa"/>
          </w:tblCellMar>
        </w:tblPrEx>
        <w:trPr>
          <w:trHeight w:val="255" w:hRule="atLeast"/>
        </w:trPr>
        <w:tc>
          <w:tcPr>
            <w:tcW w:w="1188" w:type="dxa"/>
            <w:tcBorders>
              <w:top w:val="single" w:color="auto" w:sz="4" w:space="0"/>
              <w:left w:val="single" w:color="auto" w:sz="4" w:space="0"/>
              <w:bottom w:val="single" w:color="auto" w:sz="4" w:space="0"/>
              <w:right w:val="single" w:color="auto" w:sz="4" w:space="0"/>
            </w:tcBorders>
            <w:shd w:val="clear" w:color="auto" w:fill="auto"/>
            <w:vAlign w:val="center"/>
          </w:tcPr>
          <w:p w14:paraId="646D5B31">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经济分类科目编码</w:t>
            </w:r>
          </w:p>
        </w:tc>
        <w:tc>
          <w:tcPr>
            <w:tcW w:w="3175" w:type="dxa"/>
            <w:tcBorders>
              <w:top w:val="single" w:color="auto" w:sz="4" w:space="0"/>
              <w:left w:val="nil"/>
              <w:bottom w:val="single" w:color="auto" w:sz="4" w:space="0"/>
              <w:right w:val="single" w:color="auto" w:sz="4" w:space="0"/>
            </w:tcBorders>
            <w:shd w:val="clear" w:color="auto" w:fill="auto"/>
            <w:vAlign w:val="center"/>
          </w:tcPr>
          <w:p w14:paraId="407BE04E">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科目名称</w:t>
            </w:r>
          </w:p>
        </w:tc>
        <w:tc>
          <w:tcPr>
            <w:tcW w:w="850" w:type="dxa"/>
            <w:tcBorders>
              <w:top w:val="single" w:color="auto" w:sz="4" w:space="0"/>
              <w:left w:val="nil"/>
              <w:bottom w:val="single" w:color="auto" w:sz="4" w:space="0"/>
              <w:right w:val="single" w:color="auto" w:sz="4" w:space="0"/>
            </w:tcBorders>
            <w:shd w:val="clear" w:color="auto" w:fill="auto"/>
            <w:vAlign w:val="center"/>
          </w:tcPr>
          <w:p w14:paraId="5627A189">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决算数</w:t>
            </w:r>
          </w:p>
        </w:tc>
        <w:tc>
          <w:tcPr>
            <w:tcW w:w="1138" w:type="dxa"/>
            <w:tcBorders>
              <w:top w:val="single" w:color="auto" w:sz="4" w:space="0"/>
              <w:left w:val="nil"/>
              <w:bottom w:val="single" w:color="auto" w:sz="4" w:space="0"/>
              <w:right w:val="single" w:color="auto" w:sz="4" w:space="0"/>
            </w:tcBorders>
            <w:shd w:val="clear" w:color="auto" w:fill="auto"/>
            <w:vAlign w:val="center"/>
          </w:tcPr>
          <w:p w14:paraId="5166386F">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经济分类科目编码</w:t>
            </w:r>
          </w:p>
        </w:tc>
        <w:tc>
          <w:tcPr>
            <w:tcW w:w="2139" w:type="dxa"/>
            <w:tcBorders>
              <w:top w:val="single" w:color="auto" w:sz="4" w:space="0"/>
              <w:left w:val="nil"/>
              <w:bottom w:val="single" w:color="auto" w:sz="4" w:space="0"/>
              <w:right w:val="single" w:color="auto" w:sz="4" w:space="0"/>
            </w:tcBorders>
            <w:shd w:val="clear" w:color="auto" w:fill="auto"/>
            <w:vAlign w:val="center"/>
          </w:tcPr>
          <w:p w14:paraId="2DE7B68C">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科目名称</w:t>
            </w:r>
          </w:p>
        </w:tc>
        <w:tc>
          <w:tcPr>
            <w:tcW w:w="907" w:type="dxa"/>
            <w:tcBorders>
              <w:top w:val="single" w:color="auto" w:sz="4" w:space="0"/>
              <w:left w:val="nil"/>
              <w:bottom w:val="single" w:color="auto" w:sz="4" w:space="0"/>
              <w:right w:val="single" w:color="auto" w:sz="4" w:space="0"/>
            </w:tcBorders>
            <w:shd w:val="clear" w:color="auto" w:fill="auto"/>
            <w:vAlign w:val="center"/>
          </w:tcPr>
          <w:p w14:paraId="5EA39919">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14:paraId="20A06765">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经济分类科目编码</w:t>
            </w:r>
          </w:p>
        </w:tc>
        <w:tc>
          <w:tcPr>
            <w:tcW w:w="3075" w:type="dxa"/>
            <w:tcBorders>
              <w:top w:val="single" w:color="auto" w:sz="4" w:space="0"/>
              <w:left w:val="nil"/>
              <w:bottom w:val="single" w:color="auto" w:sz="4" w:space="0"/>
              <w:right w:val="single" w:color="auto" w:sz="4" w:space="0"/>
            </w:tcBorders>
            <w:shd w:val="clear" w:color="auto" w:fill="auto"/>
            <w:vAlign w:val="center"/>
          </w:tcPr>
          <w:p w14:paraId="7F18EFDD">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科目名称</w:t>
            </w:r>
          </w:p>
        </w:tc>
        <w:tc>
          <w:tcPr>
            <w:tcW w:w="1005" w:type="dxa"/>
            <w:tcBorders>
              <w:top w:val="single" w:color="auto" w:sz="4" w:space="0"/>
              <w:left w:val="nil"/>
              <w:bottom w:val="single" w:color="auto" w:sz="4" w:space="0"/>
              <w:right w:val="single" w:color="auto" w:sz="4" w:space="0"/>
            </w:tcBorders>
            <w:shd w:val="clear" w:color="auto" w:fill="auto"/>
            <w:vAlign w:val="center"/>
          </w:tcPr>
          <w:p w14:paraId="7781743B">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决算数</w:t>
            </w:r>
          </w:p>
        </w:tc>
      </w:tr>
      <w:tr w14:paraId="5191F4C2">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7CD01E0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w:t>
            </w:r>
          </w:p>
        </w:tc>
        <w:tc>
          <w:tcPr>
            <w:tcW w:w="3175" w:type="dxa"/>
            <w:tcBorders>
              <w:top w:val="nil"/>
              <w:left w:val="nil"/>
              <w:bottom w:val="single" w:color="auto" w:sz="4" w:space="0"/>
              <w:right w:val="single" w:color="auto" w:sz="4" w:space="0"/>
            </w:tcBorders>
            <w:shd w:val="clear" w:color="auto" w:fill="auto"/>
            <w:noWrap/>
            <w:vAlign w:val="center"/>
          </w:tcPr>
          <w:p w14:paraId="2426C861">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工资福利支出</w:t>
            </w:r>
          </w:p>
        </w:tc>
        <w:tc>
          <w:tcPr>
            <w:tcW w:w="850" w:type="dxa"/>
            <w:tcBorders>
              <w:top w:val="nil"/>
              <w:left w:val="nil"/>
              <w:bottom w:val="single" w:color="auto" w:sz="4" w:space="0"/>
              <w:right w:val="single" w:color="auto" w:sz="4" w:space="0"/>
            </w:tcBorders>
            <w:shd w:val="clear" w:color="auto" w:fill="auto"/>
            <w:noWrap/>
            <w:vAlign w:val="center"/>
          </w:tcPr>
          <w:p w14:paraId="6889AD9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250.78</w:t>
            </w:r>
          </w:p>
        </w:tc>
        <w:tc>
          <w:tcPr>
            <w:tcW w:w="1138" w:type="dxa"/>
            <w:tcBorders>
              <w:top w:val="nil"/>
              <w:left w:val="nil"/>
              <w:bottom w:val="single" w:color="auto" w:sz="4" w:space="0"/>
              <w:right w:val="single" w:color="auto" w:sz="4" w:space="0"/>
            </w:tcBorders>
            <w:shd w:val="clear" w:color="auto" w:fill="auto"/>
            <w:noWrap/>
            <w:vAlign w:val="center"/>
          </w:tcPr>
          <w:p w14:paraId="7E006FF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w:t>
            </w:r>
          </w:p>
        </w:tc>
        <w:tc>
          <w:tcPr>
            <w:tcW w:w="2139" w:type="dxa"/>
            <w:tcBorders>
              <w:top w:val="nil"/>
              <w:left w:val="nil"/>
              <w:bottom w:val="single" w:color="auto" w:sz="4" w:space="0"/>
              <w:right w:val="single" w:color="auto" w:sz="4" w:space="0"/>
            </w:tcBorders>
            <w:shd w:val="clear" w:color="auto" w:fill="auto"/>
            <w:noWrap/>
            <w:vAlign w:val="center"/>
          </w:tcPr>
          <w:p w14:paraId="3A5117E0">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商品和服务支出</w:t>
            </w:r>
          </w:p>
        </w:tc>
        <w:tc>
          <w:tcPr>
            <w:tcW w:w="907" w:type="dxa"/>
            <w:tcBorders>
              <w:top w:val="nil"/>
              <w:left w:val="nil"/>
              <w:bottom w:val="single" w:color="auto" w:sz="4" w:space="0"/>
              <w:right w:val="single" w:color="auto" w:sz="4" w:space="0"/>
            </w:tcBorders>
            <w:shd w:val="clear" w:color="auto" w:fill="auto"/>
            <w:noWrap/>
            <w:vAlign w:val="center"/>
          </w:tcPr>
          <w:p w14:paraId="2DFE47F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40.57</w:t>
            </w:r>
          </w:p>
        </w:tc>
        <w:tc>
          <w:tcPr>
            <w:tcW w:w="1200" w:type="dxa"/>
            <w:tcBorders>
              <w:top w:val="nil"/>
              <w:left w:val="nil"/>
              <w:bottom w:val="single" w:color="auto" w:sz="4" w:space="0"/>
              <w:right w:val="single" w:color="auto" w:sz="4" w:space="0"/>
            </w:tcBorders>
            <w:shd w:val="clear" w:color="auto" w:fill="auto"/>
            <w:noWrap/>
            <w:vAlign w:val="center"/>
          </w:tcPr>
          <w:p w14:paraId="5B99D3C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307</w:t>
            </w:r>
          </w:p>
        </w:tc>
        <w:tc>
          <w:tcPr>
            <w:tcW w:w="3075" w:type="dxa"/>
            <w:tcBorders>
              <w:top w:val="nil"/>
              <w:left w:val="nil"/>
              <w:bottom w:val="single" w:color="auto" w:sz="4" w:space="0"/>
              <w:right w:val="single" w:color="auto" w:sz="4" w:space="0"/>
            </w:tcBorders>
            <w:shd w:val="clear" w:color="auto" w:fill="auto"/>
            <w:noWrap/>
            <w:vAlign w:val="center"/>
          </w:tcPr>
          <w:p w14:paraId="634BA9B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债务利息及费用支出</w:t>
            </w:r>
          </w:p>
        </w:tc>
        <w:tc>
          <w:tcPr>
            <w:tcW w:w="1005" w:type="dxa"/>
            <w:tcBorders>
              <w:top w:val="nil"/>
              <w:left w:val="nil"/>
              <w:bottom w:val="single" w:color="auto" w:sz="4" w:space="0"/>
              <w:right w:val="single" w:color="auto" w:sz="4" w:space="0"/>
            </w:tcBorders>
            <w:shd w:val="clear" w:color="auto" w:fill="auto"/>
            <w:noWrap/>
            <w:vAlign w:val="center"/>
          </w:tcPr>
          <w:p w14:paraId="67FD498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168341FE">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3E2408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30101</w:t>
            </w:r>
          </w:p>
        </w:tc>
        <w:tc>
          <w:tcPr>
            <w:tcW w:w="3175" w:type="dxa"/>
            <w:tcBorders>
              <w:top w:val="nil"/>
              <w:left w:val="nil"/>
              <w:bottom w:val="single" w:color="auto" w:sz="4" w:space="0"/>
              <w:right w:val="single" w:color="auto" w:sz="4" w:space="0"/>
            </w:tcBorders>
            <w:shd w:val="clear" w:color="auto" w:fill="auto"/>
            <w:noWrap/>
            <w:vAlign w:val="center"/>
          </w:tcPr>
          <w:p w14:paraId="017B484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基本工资</w:t>
            </w:r>
          </w:p>
        </w:tc>
        <w:tc>
          <w:tcPr>
            <w:tcW w:w="850" w:type="dxa"/>
            <w:tcBorders>
              <w:top w:val="nil"/>
              <w:left w:val="nil"/>
              <w:bottom w:val="single" w:color="auto" w:sz="4" w:space="0"/>
              <w:right w:val="single" w:color="auto" w:sz="4" w:space="0"/>
            </w:tcBorders>
            <w:shd w:val="clear" w:color="auto" w:fill="auto"/>
            <w:noWrap/>
            <w:vAlign w:val="center"/>
          </w:tcPr>
          <w:p w14:paraId="0731207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99.16</w:t>
            </w:r>
          </w:p>
        </w:tc>
        <w:tc>
          <w:tcPr>
            <w:tcW w:w="1138" w:type="dxa"/>
            <w:tcBorders>
              <w:top w:val="nil"/>
              <w:left w:val="nil"/>
              <w:bottom w:val="single" w:color="auto" w:sz="4" w:space="0"/>
              <w:right w:val="single" w:color="auto" w:sz="4" w:space="0"/>
            </w:tcBorders>
            <w:shd w:val="clear" w:color="auto" w:fill="auto"/>
            <w:noWrap/>
            <w:vAlign w:val="center"/>
          </w:tcPr>
          <w:p w14:paraId="59DBAF7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30201</w:t>
            </w:r>
          </w:p>
        </w:tc>
        <w:tc>
          <w:tcPr>
            <w:tcW w:w="2139" w:type="dxa"/>
            <w:tcBorders>
              <w:top w:val="nil"/>
              <w:left w:val="nil"/>
              <w:bottom w:val="single" w:color="auto" w:sz="4" w:space="0"/>
              <w:right w:val="single" w:color="auto" w:sz="4" w:space="0"/>
            </w:tcBorders>
            <w:shd w:val="clear" w:color="auto" w:fill="auto"/>
            <w:noWrap/>
            <w:vAlign w:val="center"/>
          </w:tcPr>
          <w:p w14:paraId="763F50BF">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办公费</w:t>
            </w:r>
          </w:p>
        </w:tc>
        <w:tc>
          <w:tcPr>
            <w:tcW w:w="907" w:type="dxa"/>
            <w:tcBorders>
              <w:top w:val="nil"/>
              <w:left w:val="nil"/>
              <w:bottom w:val="single" w:color="auto" w:sz="4" w:space="0"/>
              <w:right w:val="single" w:color="auto" w:sz="4" w:space="0"/>
            </w:tcBorders>
            <w:shd w:val="clear" w:color="auto" w:fill="auto"/>
            <w:noWrap/>
            <w:vAlign w:val="center"/>
          </w:tcPr>
          <w:p w14:paraId="5ADDC04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2.49</w:t>
            </w:r>
          </w:p>
        </w:tc>
        <w:tc>
          <w:tcPr>
            <w:tcW w:w="1200" w:type="dxa"/>
            <w:tcBorders>
              <w:top w:val="nil"/>
              <w:left w:val="nil"/>
              <w:bottom w:val="single" w:color="auto" w:sz="4" w:space="0"/>
              <w:right w:val="single" w:color="auto" w:sz="4" w:space="0"/>
            </w:tcBorders>
            <w:shd w:val="clear" w:color="auto" w:fill="auto"/>
            <w:noWrap/>
            <w:vAlign w:val="center"/>
          </w:tcPr>
          <w:p w14:paraId="132D76A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30701</w:t>
            </w:r>
          </w:p>
        </w:tc>
        <w:tc>
          <w:tcPr>
            <w:tcW w:w="3075" w:type="dxa"/>
            <w:tcBorders>
              <w:top w:val="nil"/>
              <w:left w:val="nil"/>
              <w:bottom w:val="single" w:color="auto" w:sz="4" w:space="0"/>
              <w:right w:val="single" w:color="auto" w:sz="4" w:space="0"/>
            </w:tcBorders>
            <w:shd w:val="clear" w:color="auto" w:fill="auto"/>
            <w:noWrap/>
            <w:vAlign w:val="center"/>
          </w:tcPr>
          <w:p w14:paraId="0676FCC0">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国内债务付息</w:t>
            </w:r>
          </w:p>
        </w:tc>
        <w:tc>
          <w:tcPr>
            <w:tcW w:w="1005" w:type="dxa"/>
            <w:tcBorders>
              <w:top w:val="nil"/>
              <w:left w:val="nil"/>
              <w:bottom w:val="single" w:color="auto" w:sz="4" w:space="0"/>
              <w:right w:val="single" w:color="auto" w:sz="4" w:space="0"/>
            </w:tcBorders>
            <w:shd w:val="clear" w:color="auto" w:fill="auto"/>
            <w:noWrap/>
            <w:vAlign w:val="center"/>
          </w:tcPr>
          <w:p w14:paraId="19037C4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5B4CED87">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1221FDB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30102</w:t>
            </w:r>
          </w:p>
        </w:tc>
        <w:tc>
          <w:tcPr>
            <w:tcW w:w="3175" w:type="dxa"/>
            <w:tcBorders>
              <w:top w:val="nil"/>
              <w:left w:val="nil"/>
              <w:bottom w:val="single" w:color="auto" w:sz="4" w:space="0"/>
              <w:right w:val="single" w:color="auto" w:sz="4" w:space="0"/>
            </w:tcBorders>
            <w:shd w:val="clear" w:color="auto" w:fill="auto"/>
            <w:noWrap/>
            <w:vAlign w:val="center"/>
          </w:tcPr>
          <w:p w14:paraId="75CCB7A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津贴补贴</w:t>
            </w:r>
          </w:p>
        </w:tc>
        <w:tc>
          <w:tcPr>
            <w:tcW w:w="850" w:type="dxa"/>
            <w:tcBorders>
              <w:top w:val="nil"/>
              <w:left w:val="nil"/>
              <w:bottom w:val="single" w:color="auto" w:sz="4" w:space="0"/>
              <w:right w:val="single" w:color="auto" w:sz="4" w:space="0"/>
            </w:tcBorders>
            <w:shd w:val="clear" w:color="auto" w:fill="auto"/>
            <w:noWrap/>
            <w:vAlign w:val="center"/>
          </w:tcPr>
          <w:p w14:paraId="33A2F2B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51.55</w:t>
            </w:r>
          </w:p>
        </w:tc>
        <w:tc>
          <w:tcPr>
            <w:tcW w:w="1138" w:type="dxa"/>
            <w:tcBorders>
              <w:top w:val="nil"/>
              <w:left w:val="nil"/>
              <w:bottom w:val="single" w:color="auto" w:sz="4" w:space="0"/>
              <w:right w:val="single" w:color="auto" w:sz="4" w:space="0"/>
            </w:tcBorders>
            <w:shd w:val="clear" w:color="auto" w:fill="auto"/>
            <w:noWrap/>
            <w:vAlign w:val="center"/>
          </w:tcPr>
          <w:p w14:paraId="1B84AB2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30202</w:t>
            </w:r>
          </w:p>
        </w:tc>
        <w:tc>
          <w:tcPr>
            <w:tcW w:w="2139" w:type="dxa"/>
            <w:tcBorders>
              <w:top w:val="nil"/>
              <w:left w:val="nil"/>
              <w:bottom w:val="single" w:color="auto" w:sz="4" w:space="0"/>
              <w:right w:val="single" w:color="auto" w:sz="4" w:space="0"/>
            </w:tcBorders>
            <w:shd w:val="clear" w:color="auto" w:fill="auto"/>
            <w:noWrap/>
            <w:vAlign w:val="center"/>
          </w:tcPr>
          <w:p w14:paraId="4F7C2564">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印刷费</w:t>
            </w:r>
          </w:p>
        </w:tc>
        <w:tc>
          <w:tcPr>
            <w:tcW w:w="907" w:type="dxa"/>
            <w:tcBorders>
              <w:top w:val="nil"/>
              <w:left w:val="nil"/>
              <w:bottom w:val="single" w:color="auto" w:sz="4" w:space="0"/>
              <w:right w:val="single" w:color="auto" w:sz="4" w:space="0"/>
            </w:tcBorders>
            <w:shd w:val="clear" w:color="auto" w:fill="auto"/>
            <w:noWrap/>
            <w:vAlign w:val="center"/>
          </w:tcPr>
          <w:p w14:paraId="056158F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4DF4C6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30702</w:t>
            </w:r>
          </w:p>
        </w:tc>
        <w:tc>
          <w:tcPr>
            <w:tcW w:w="3075" w:type="dxa"/>
            <w:tcBorders>
              <w:top w:val="nil"/>
              <w:left w:val="nil"/>
              <w:bottom w:val="single" w:color="auto" w:sz="4" w:space="0"/>
              <w:right w:val="single" w:color="auto" w:sz="4" w:space="0"/>
            </w:tcBorders>
            <w:shd w:val="clear" w:color="auto" w:fill="auto"/>
            <w:noWrap/>
            <w:vAlign w:val="center"/>
          </w:tcPr>
          <w:p w14:paraId="1590AAD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国外债务付息</w:t>
            </w:r>
          </w:p>
        </w:tc>
        <w:tc>
          <w:tcPr>
            <w:tcW w:w="1005" w:type="dxa"/>
            <w:tcBorders>
              <w:top w:val="nil"/>
              <w:left w:val="nil"/>
              <w:bottom w:val="single" w:color="auto" w:sz="4" w:space="0"/>
              <w:right w:val="single" w:color="auto" w:sz="4" w:space="0"/>
            </w:tcBorders>
            <w:shd w:val="clear" w:color="auto" w:fill="auto"/>
            <w:noWrap/>
            <w:vAlign w:val="center"/>
          </w:tcPr>
          <w:p w14:paraId="62FA300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6736A22F">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6AB65D1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30103</w:t>
            </w:r>
          </w:p>
        </w:tc>
        <w:tc>
          <w:tcPr>
            <w:tcW w:w="3175" w:type="dxa"/>
            <w:tcBorders>
              <w:top w:val="nil"/>
              <w:left w:val="nil"/>
              <w:bottom w:val="single" w:color="auto" w:sz="4" w:space="0"/>
              <w:right w:val="single" w:color="auto" w:sz="4" w:space="0"/>
            </w:tcBorders>
            <w:shd w:val="clear" w:color="auto" w:fill="auto"/>
            <w:noWrap/>
            <w:vAlign w:val="center"/>
          </w:tcPr>
          <w:p w14:paraId="5DB5527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奖金</w:t>
            </w:r>
          </w:p>
        </w:tc>
        <w:tc>
          <w:tcPr>
            <w:tcW w:w="850" w:type="dxa"/>
            <w:tcBorders>
              <w:top w:val="nil"/>
              <w:left w:val="nil"/>
              <w:bottom w:val="single" w:color="auto" w:sz="4" w:space="0"/>
              <w:right w:val="single" w:color="auto" w:sz="4" w:space="0"/>
            </w:tcBorders>
            <w:shd w:val="clear" w:color="auto" w:fill="auto"/>
            <w:noWrap/>
            <w:vAlign w:val="center"/>
          </w:tcPr>
          <w:p w14:paraId="2317177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56.88</w:t>
            </w:r>
          </w:p>
        </w:tc>
        <w:tc>
          <w:tcPr>
            <w:tcW w:w="1138" w:type="dxa"/>
            <w:tcBorders>
              <w:top w:val="nil"/>
              <w:left w:val="nil"/>
              <w:bottom w:val="single" w:color="auto" w:sz="4" w:space="0"/>
              <w:right w:val="single" w:color="auto" w:sz="4" w:space="0"/>
            </w:tcBorders>
            <w:shd w:val="clear" w:color="auto" w:fill="auto"/>
            <w:noWrap/>
            <w:vAlign w:val="center"/>
          </w:tcPr>
          <w:p w14:paraId="77FCA23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30203</w:t>
            </w:r>
          </w:p>
        </w:tc>
        <w:tc>
          <w:tcPr>
            <w:tcW w:w="2139" w:type="dxa"/>
            <w:tcBorders>
              <w:top w:val="nil"/>
              <w:left w:val="nil"/>
              <w:bottom w:val="single" w:color="auto" w:sz="4" w:space="0"/>
              <w:right w:val="single" w:color="auto" w:sz="4" w:space="0"/>
            </w:tcBorders>
            <w:shd w:val="clear" w:color="auto" w:fill="auto"/>
            <w:noWrap/>
            <w:vAlign w:val="center"/>
          </w:tcPr>
          <w:p w14:paraId="02432DD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咨询费</w:t>
            </w:r>
          </w:p>
        </w:tc>
        <w:tc>
          <w:tcPr>
            <w:tcW w:w="907" w:type="dxa"/>
            <w:tcBorders>
              <w:top w:val="nil"/>
              <w:left w:val="nil"/>
              <w:bottom w:val="single" w:color="auto" w:sz="4" w:space="0"/>
              <w:right w:val="single" w:color="auto" w:sz="4" w:space="0"/>
            </w:tcBorders>
            <w:shd w:val="clear" w:color="auto" w:fill="auto"/>
            <w:noWrap/>
            <w:vAlign w:val="center"/>
          </w:tcPr>
          <w:p w14:paraId="1AAC315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EBD3C7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w:t>
            </w:r>
          </w:p>
        </w:tc>
        <w:tc>
          <w:tcPr>
            <w:tcW w:w="3075" w:type="dxa"/>
            <w:tcBorders>
              <w:top w:val="nil"/>
              <w:left w:val="nil"/>
              <w:bottom w:val="single" w:color="auto" w:sz="4" w:space="0"/>
              <w:right w:val="single" w:color="auto" w:sz="4" w:space="0"/>
            </w:tcBorders>
            <w:shd w:val="clear" w:color="auto" w:fill="auto"/>
            <w:noWrap/>
            <w:vAlign w:val="center"/>
          </w:tcPr>
          <w:p w14:paraId="3164A2A4">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资本性支出</w:t>
            </w:r>
          </w:p>
        </w:tc>
        <w:tc>
          <w:tcPr>
            <w:tcW w:w="1005" w:type="dxa"/>
            <w:tcBorders>
              <w:top w:val="nil"/>
              <w:left w:val="nil"/>
              <w:bottom w:val="single" w:color="auto" w:sz="4" w:space="0"/>
              <w:right w:val="single" w:color="auto" w:sz="4" w:space="0"/>
            </w:tcBorders>
            <w:shd w:val="clear" w:color="auto" w:fill="auto"/>
            <w:noWrap/>
            <w:vAlign w:val="center"/>
          </w:tcPr>
          <w:p w14:paraId="7C82F6C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32A541C9">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668C2A1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30106</w:t>
            </w:r>
          </w:p>
        </w:tc>
        <w:tc>
          <w:tcPr>
            <w:tcW w:w="3175" w:type="dxa"/>
            <w:tcBorders>
              <w:top w:val="nil"/>
              <w:left w:val="nil"/>
              <w:bottom w:val="single" w:color="auto" w:sz="4" w:space="0"/>
              <w:right w:val="single" w:color="auto" w:sz="4" w:space="0"/>
            </w:tcBorders>
            <w:shd w:val="clear" w:color="auto" w:fill="auto"/>
            <w:noWrap/>
            <w:vAlign w:val="center"/>
          </w:tcPr>
          <w:p w14:paraId="54049FC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伙食补助费</w:t>
            </w:r>
          </w:p>
        </w:tc>
        <w:tc>
          <w:tcPr>
            <w:tcW w:w="850" w:type="dxa"/>
            <w:tcBorders>
              <w:top w:val="nil"/>
              <w:left w:val="nil"/>
              <w:bottom w:val="single" w:color="auto" w:sz="4" w:space="0"/>
              <w:right w:val="single" w:color="auto" w:sz="4" w:space="0"/>
            </w:tcBorders>
            <w:shd w:val="clear" w:color="auto" w:fill="auto"/>
            <w:noWrap/>
            <w:vAlign w:val="center"/>
          </w:tcPr>
          <w:p w14:paraId="35D0E03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083333E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30204</w:t>
            </w:r>
          </w:p>
        </w:tc>
        <w:tc>
          <w:tcPr>
            <w:tcW w:w="2139" w:type="dxa"/>
            <w:tcBorders>
              <w:top w:val="nil"/>
              <w:left w:val="nil"/>
              <w:bottom w:val="single" w:color="auto" w:sz="4" w:space="0"/>
              <w:right w:val="single" w:color="auto" w:sz="4" w:space="0"/>
            </w:tcBorders>
            <w:shd w:val="clear" w:color="auto" w:fill="auto"/>
            <w:noWrap/>
            <w:vAlign w:val="center"/>
          </w:tcPr>
          <w:p w14:paraId="45998F1B">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手续费</w:t>
            </w:r>
          </w:p>
        </w:tc>
        <w:tc>
          <w:tcPr>
            <w:tcW w:w="907" w:type="dxa"/>
            <w:tcBorders>
              <w:top w:val="nil"/>
              <w:left w:val="nil"/>
              <w:bottom w:val="single" w:color="auto" w:sz="4" w:space="0"/>
              <w:right w:val="single" w:color="auto" w:sz="4" w:space="0"/>
            </w:tcBorders>
            <w:shd w:val="clear" w:color="auto" w:fill="auto"/>
            <w:noWrap/>
            <w:vAlign w:val="center"/>
          </w:tcPr>
          <w:p w14:paraId="35A35DC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1FB09C5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31001</w:t>
            </w:r>
          </w:p>
        </w:tc>
        <w:tc>
          <w:tcPr>
            <w:tcW w:w="3075" w:type="dxa"/>
            <w:tcBorders>
              <w:top w:val="nil"/>
              <w:left w:val="nil"/>
              <w:bottom w:val="single" w:color="auto" w:sz="4" w:space="0"/>
              <w:right w:val="single" w:color="auto" w:sz="4" w:space="0"/>
            </w:tcBorders>
            <w:shd w:val="clear" w:color="auto" w:fill="auto"/>
            <w:noWrap/>
            <w:vAlign w:val="center"/>
          </w:tcPr>
          <w:p w14:paraId="21904AF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房屋建筑物购建</w:t>
            </w:r>
          </w:p>
        </w:tc>
        <w:tc>
          <w:tcPr>
            <w:tcW w:w="1005" w:type="dxa"/>
            <w:tcBorders>
              <w:top w:val="nil"/>
              <w:left w:val="nil"/>
              <w:bottom w:val="single" w:color="auto" w:sz="4" w:space="0"/>
              <w:right w:val="single" w:color="auto" w:sz="4" w:space="0"/>
            </w:tcBorders>
            <w:shd w:val="clear" w:color="auto" w:fill="auto"/>
            <w:noWrap/>
            <w:vAlign w:val="center"/>
          </w:tcPr>
          <w:p w14:paraId="3F588C3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04F34A8A">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A8FA67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30107</w:t>
            </w:r>
          </w:p>
        </w:tc>
        <w:tc>
          <w:tcPr>
            <w:tcW w:w="3175" w:type="dxa"/>
            <w:tcBorders>
              <w:top w:val="nil"/>
              <w:left w:val="nil"/>
              <w:bottom w:val="single" w:color="auto" w:sz="4" w:space="0"/>
              <w:right w:val="single" w:color="auto" w:sz="4" w:space="0"/>
            </w:tcBorders>
            <w:shd w:val="clear" w:color="auto" w:fill="auto"/>
            <w:noWrap/>
            <w:vAlign w:val="center"/>
          </w:tcPr>
          <w:p w14:paraId="59444FF1">
            <w:pPr>
              <w:keepNext w:val="0"/>
              <w:keepLines w:val="0"/>
              <w:pageBreakBefore w:val="0"/>
              <w:widowControl w:val="0"/>
              <w:kinsoku/>
              <w:wordWrap/>
              <w:overflowPunct/>
              <w:topLinePunct w:val="0"/>
              <w:autoSpaceDE/>
              <w:autoSpaceDN/>
              <w:bidi w:val="0"/>
              <w:adjustRightInd/>
              <w:snapToGrid/>
              <w:spacing w:line="220" w:lineRule="exact"/>
              <w:ind w:firstLine="210" w:firstLineChars="10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绩效工资</w:t>
            </w:r>
          </w:p>
        </w:tc>
        <w:tc>
          <w:tcPr>
            <w:tcW w:w="850" w:type="dxa"/>
            <w:tcBorders>
              <w:top w:val="nil"/>
              <w:left w:val="nil"/>
              <w:bottom w:val="single" w:color="auto" w:sz="4" w:space="0"/>
              <w:right w:val="single" w:color="auto" w:sz="4" w:space="0"/>
            </w:tcBorders>
            <w:shd w:val="clear" w:color="auto" w:fill="auto"/>
            <w:noWrap/>
            <w:vAlign w:val="center"/>
          </w:tcPr>
          <w:p w14:paraId="2B4556E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0C89F45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30205</w:t>
            </w:r>
          </w:p>
        </w:tc>
        <w:tc>
          <w:tcPr>
            <w:tcW w:w="2139" w:type="dxa"/>
            <w:tcBorders>
              <w:top w:val="nil"/>
              <w:left w:val="nil"/>
              <w:bottom w:val="single" w:color="auto" w:sz="4" w:space="0"/>
              <w:right w:val="single" w:color="auto" w:sz="4" w:space="0"/>
            </w:tcBorders>
            <w:shd w:val="clear" w:color="auto" w:fill="auto"/>
            <w:noWrap/>
            <w:vAlign w:val="center"/>
          </w:tcPr>
          <w:p w14:paraId="77D5B113">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水费</w:t>
            </w:r>
          </w:p>
        </w:tc>
        <w:tc>
          <w:tcPr>
            <w:tcW w:w="907" w:type="dxa"/>
            <w:tcBorders>
              <w:top w:val="nil"/>
              <w:left w:val="nil"/>
              <w:bottom w:val="single" w:color="auto" w:sz="4" w:space="0"/>
              <w:right w:val="single" w:color="auto" w:sz="4" w:space="0"/>
            </w:tcBorders>
            <w:shd w:val="clear" w:color="auto" w:fill="auto"/>
            <w:noWrap/>
            <w:vAlign w:val="center"/>
          </w:tcPr>
          <w:p w14:paraId="6B92E69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6309401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31002</w:t>
            </w:r>
          </w:p>
        </w:tc>
        <w:tc>
          <w:tcPr>
            <w:tcW w:w="3075" w:type="dxa"/>
            <w:tcBorders>
              <w:top w:val="nil"/>
              <w:left w:val="nil"/>
              <w:bottom w:val="single" w:color="auto" w:sz="4" w:space="0"/>
              <w:right w:val="single" w:color="auto" w:sz="4" w:space="0"/>
            </w:tcBorders>
            <w:shd w:val="clear" w:color="auto" w:fill="auto"/>
            <w:noWrap/>
            <w:vAlign w:val="center"/>
          </w:tcPr>
          <w:p w14:paraId="6140BBC1">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办公设备购置</w:t>
            </w:r>
          </w:p>
        </w:tc>
        <w:tc>
          <w:tcPr>
            <w:tcW w:w="1005" w:type="dxa"/>
            <w:tcBorders>
              <w:top w:val="nil"/>
              <w:left w:val="nil"/>
              <w:bottom w:val="single" w:color="auto" w:sz="4" w:space="0"/>
              <w:right w:val="single" w:color="auto" w:sz="4" w:space="0"/>
            </w:tcBorders>
            <w:shd w:val="clear" w:color="auto" w:fill="auto"/>
            <w:noWrap/>
            <w:vAlign w:val="center"/>
          </w:tcPr>
          <w:p w14:paraId="0C81696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7F4A6723">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7D66BE1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30108</w:t>
            </w:r>
          </w:p>
        </w:tc>
        <w:tc>
          <w:tcPr>
            <w:tcW w:w="3175" w:type="dxa"/>
            <w:tcBorders>
              <w:top w:val="nil"/>
              <w:left w:val="nil"/>
              <w:bottom w:val="single" w:color="auto" w:sz="4" w:space="0"/>
              <w:right w:val="single" w:color="auto" w:sz="4" w:space="0"/>
            </w:tcBorders>
            <w:shd w:val="clear" w:color="auto" w:fill="auto"/>
            <w:noWrap/>
            <w:vAlign w:val="center"/>
          </w:tcPr>
          <w:p w14:paraId="7FC8C91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机关事业单位基本养老保险缴费</w:t>
            </w:r>
          </w:p>
        </w:tc>
        <w:tc>
          <w:tcPr>
            <w:tcW w:w="850" w:type="dxa"/>
            <w:tcBorders>
              <w:top w:val="nil"/>
              <w:left w:val="nil"/>
              <w:bottom w:val="single" w:color="auto" w:sz="4" w:space="0"/>
              <w:right w:val="single" w:color="auto" w:sz="4" w:space="0"/>
            </w:tcBorders>
            <w:shd w:val="clear" w:color="auto" w:fill="auto"/>
            <w:noWrap/>
            <w:vAlign w:val="center"/>
          </w:tcPr>
          <w:p w14:paraId="26A1FDE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29.45</w:t>
            </w:r>
          </w:p>
        </w:tc>
        <w:tc>
          <w:tcPr>
            <w:tcW w:w="1138" w:type="dxa"/>
            <w:tcBorders>
              <w:top w:val="nil"/>
              <w:left w:val="nil"/>
              <w:bottom w:val="single" w:color="auto" w:sz="4" w:space="0"/>
              <w:right w:val="single" w:color="auto" w:sz="4" w:space="0"/>
            </w:tcBorders>
            <w:shd w:val="clear" w:color="auto" w:fill="auto"/>
            <w:noWrap/>
            <w:vAlign w:val="center"/>
          </w:tcPr>
          <w:p w14:paraId="230204A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30206</w:t>
            </w:r>
          </w:p>
        </w:tc>
        <w:tc>
          <w:tcPr>
            <w:tcW w:w="2139" w:type="dxa"/>
            <w:tcBorders>
              <w:top w:val="nil"/>
              <w:left w:val="nil"/>
              <w:bottom w:val="single" w:color="auto" w:sz="4" w:space="0"/>
              <w:right w:val="single" w:color="auto" w:sz="4" w:space="0"/>
            </w:tcBorders>
            <w:shd w:val="clear" w:color="auto" w:fill="auto"/>
            <w:noWrap/>
            <w:vAlign w:val="center"/>
          </w:tcPr>
          <w:p w14:paraId="4E47AB7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电费</w:t>
            </w:r>
          </w:p>
        </w:tc>
        <w:tc>
          <w:tcPr>
            <w:tcW w:w="907" w:type="dxa"/>
            <w:tcBorders>
              <w:top w:val="nil"/>
              <w:left w:val="nil"/>
              <w:bottom w:val="single" w:color="auto" w:sz="4" w:space="0"/>
              <w:right w:val="single" w:color="auto" w:sz="4" w:space="0"/>
            </w:tcBorders>
            <w:shd w:val="clear" w:color="auto" w:fill="auto"/>
            <w:noWrap/>
            <w:vAlign w:val="center"/>
          </w:tcPr>
          <w:p w14:paraId="631912E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4823E04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31003</w:t>
            </w:r>
          </w:p>
        </w:tc>
        <w:tc>
          <w:tcPr>
            <w:tcW w:w="3075" w:type="dxa"/>
            <w:tcBorders>
              <w:top w:val="nil"/>
              <w:left w:val="nil"/>
              <w:bottom w:val="single" w:color="auto" w:sz="4" w:space="0"/>
              <w:right w:val="single" w:color="auto" w:sz="4" w:space="0"/>
            </w:tcBorders>
            <w:shd w:val="clear" w:color="auto" w:fill="auto"/>
            <w:noWrap/>
            <w:vAlign w:val="center"/>
          </w:tcPr>
          <w:p w14:paraId="5C821E4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专用设备购置</w:t>
            </w:r>
          </w:p>
        </w:tc>
        <w:tc>
          <w:tcPr>
            <w:tcW w:w="1005" w:type="dxa"/>
            <w:tcBorders>
              <w:top w:val="nil"/>
              <w:left w:val="nil"/>
              <w:bottom w:val="single" w:color="auto" w:sz="4" w:space="0"/>
              <w:right w:val="single" w:color="auto" w:sz="4" w:space="0"/>
            </w:tcBorders>
            <w:shd w:val="clear" w:color="auto" w:fill="auto"/>
            <w:noWrap/>
            <w:vAlign w:val="center"/>
          </w:tcPr>
          <w:p w14:paraId="5CDCDCA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6D5E457F">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1D252E4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30109</w:t>
            </w:r>
          </w:p>
        </w:tc>
        <w:tc>
          <w:tcPr>
            <w:tcW w:w="3175" w:type="dxa"/>
            <w:tcBorders>
              <w:top w:val="nil"/>
              <w:left w:val="nil"/>
              <w:bottom w:val="single" w:color="auto" w:sz="4" w:space="0"/>
              <w:right w:val="single" w:color="auto" w:sz="4" w:space="0"/>
            </w:tcBorders>
            <w:shd w:val="clear" w:color="auto" w:fill="auto"/>
            <w:noWrap/>
            <w:vAlign w:val="center"/>
          </w:tcPr>
          <w:p w14:paraId="30086BCF">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职业年金缴费</w:t>
            </w:r>
          </w:p>
        </w:tc>
        <w:tc>
          <w:tcPr>
            <w:tcW w:w="850" w:type="dxa"/>
            <w:tcBorders>
              <w:top w:val="nil"/>
              <w:left w:val="nil"/>
              <w:bottom w:val="single" w:color="auto" w:sz="4" w:space="0"/>
              <w:right w:val="single" w:color="auto" w:sz="4" w:space="0"/>
            </w:tcBorders>
            <w:shd w:val="clear" w:color="auto" w:fill="auto"/>
            <w:noWrap/>
            <w:vAlign w:val="center"/>
          </w:tcPr>
          <w:p w14:paraId="03F0DE8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7EBD220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30207</w:t>
            </w:r>
          </w:p>
        </w:tc>
        <w:tc>
          <w:tcPr>
            <w:tcW w:w="2139" w:type="dxa"/>
            <w:tcBorders>
              <w:top w:val="nil"/>
              <w:left w:val="nil"/>
              <w:bottom w:val="single" w:color="auto" w:sz="4" w:space="0"/>
              <w:right w:val="single" w:color="auto" w:sz="4" w:space="0"/>
            </w:tcBorders>
            <w:shd w:val="clear" w:color="auto" w:fill="auto"/>
            <w:noWrap/>
            <w:vAlign w:val="center"/>
          </w:tcPr>
          <w:p w14:paraId="30669978">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邮电费</w:t>
            </w:r>
          </w:p>
        </w:tc>
        <w:tc>
          <w:tcPr>
            <w:tcW w:w="907" w:type="dxa"/>
            <w:tcBorders>
              <w:top w:val="nil"/>
              <w:left w:val="nil"/>
              <w:bottom w:val="single" w:color="auto" w:sz="4" w:space="0"/>
              <w:right w:val="single" w:color="auto" w:sz="4" w:space="0"/>
            </w:tcBorders>
            <w:shd w:val="clear" w:color="auto" w:fill="auto"/>
            <w:noWrap/>
            <w:vAlign w:val="center"/>
          </w:tcPr>
          <w:p w14:paraId="526AF8A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149E392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31005</w:t>
            </w:r>
          </w:p>
        </w:tc>
        <w:tc>
          <w:tcPr>
            <w:tcW w:w="3075" w:type="dxa"/>
            <w:tcBorders>
              <w:top w:val="nil"/>
              <w:left w:val="nil"/>
              <w:bottom w:val="single" w:color="auto" w:sz="4" w:space="0"/>
              <w:right w:val="single" w:color="auto" w:sz="4" w:space="0"/>
            </w:tcBorders>
            <w:shd w:val="clear" w:color="auto" w:fill="auto"/>
            <w:noWrap/>
            <w:vAlign w:val="center"/>
          </w:tcPr>
          <w:p w14:paraId="482AAFC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基础设施建设</w:t>
            </w:r>
          </w:p>
        </w:tc>
        <w:tc>
          <w:tcPr>
            <w:tcW w:w="1005" w:type="dxa"/>
            <w:tcBorders>
              <w:top w:val="nil"/>
              <w:left w:val="nil"/>
              <w:bottom w:val="single" w:color="auto" w:sz="4" w:space="0"/>
              <w:right w:val="single" w:color="auto" w:sz="4" w:space="0"/>
            </w:tcBorders>
            <w:shd w:val="clear" w:color="auto" w:fill="auto"/>
            <w:noWrap/>
            <w:vAlign w:val="center"/>
          </w:tcPr>
          <w:p w14:paraId="5F16B4D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67A12A9F">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406B2BC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30110</w:t>
            </w:r>
          </w:p>
        </w:tc>
        <w:tc>
          <w:tcPr>
            <w:tcW w:w="3175" w:type="dxa"/>
            <w:tcBorders>
              <w:top w:val="nil"/>
              <w:left w:val="nil"/>
              <w:bottom w:val="single" w:color="auto" w:sz="4" w:space="0"/>
              <w:right w:val="single" w:color="auto" w:sz="4" w:space="0"/>
            </w:tcBorders>
            <w:shd w:val="clear" w:color="auto" w:fill="auto"/>
            <w:noWrap/>
            <w:vAlign w:val="center"/>
          </w:tcPr>
          <w:p w14:paraId="4AD4A0B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职工基本医疗保险缴费</w:t>
            </w:r>
          </w:p>
        </w:tc>
        <w:tc>
          <w:tcPr>
            <w:tcW w:w="850" w:type="dxa"/>
            <w:tcBorders>
              <w:top w:val="nil"/>
              <w:left w:val="nil"/>
              <w:bottom w:val="single" w:color="auto" w:sz="4" w:space="0"/>
              <w:right w:val="single" w:color="auto" w:sz="4" w:space="0"/>
            </w:tcBorders>
            <w:shd w:val="clear" w:color="auto" w:fill="auto"/>
            <w:noWrap/>
            <w:vAlign w:val="center"/>
          </w:tcPr>
          <w:p w14:paraId="6713EE9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11.47</w:t>
            </w:r>
          </w:p>
        </w:tc>
        <w:tc>
          <w:tcPr>
            <w:tcW w:w="1138" w:type="dxa"/>
            <w:tcBorders>
              <w:top w:val="nil"/>
              <w:left w:val="nil"/>
              <w:bottom w:val="single" w:color="auto" w:sz="4" w:space="0"/>
              <w:right w:val="single" w:color="auto" w:sz="4" w:space="0"/>
            </w:tcBorders>
            <w:shd w:val="clear" w:color="auto" w:fill="auto"/>
            <w:noWrap/>
            <w:vAlign w:val="center"/>
          </w:tcPr>
          <w:p w14:paraId="0AB2962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30208</w:t>
            </w:r>
          </w:p>
        </w:tc>
        <w:tc>
          <w:tcPr>
            <w:tcW w:w="2139" w:type="dxa"/>
            <w:tcBorders>
              <w:top w:val="nil"/>
              <w:left w:val="nil"/>
              <w:bottom w:val="single" w:color="auto" w:sz="4" w:space="0"/>
              <w:right w:val="single" w:color="auto" w:sz="4" w:space="0"/>
            </w:tcBorders>
            <w:shd w:val="clear" w:color="auto" w:fill="auto"/>
            <w:noWrap/>
            <w:vAlign w:val="center"/>
          </w:tcPr>
          <w:p w14:paraId="00BE2AD3">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取暖费</w:t>
            </w:r>
          </w:p>
        </w:tc>
        <w:tc>
          <w:tcPr>
            <w:tcW w:w="907" w:type="dxa"/>
            <w:tcBorders>
              <w:top w:val="nil"/>
              <w:left w:val="nil"/>
              <w:bottom w:val="single" w:color="auto" w:sz="4" w:space="0"/>
              <w:right w:val="single" w:color="auto" w:sz="4" w:space="0"/>
            </w:tcBorders>
            <w:shd w:val="clear" w:color="auto" w:fill="auto"/>
            <w:noWrap/>
            <w:vAlign w:val="center"/>
          </w:tcPr>
          <w:p w14:paraId="60F2007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B34594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31006</w:t>
            </w:r>
          </w:p>
        </w:tc>
        <w:tc>
          <w:tcPr>
            <w:tcW w:w="3075" w:type="dxa"/>
            <w:tcBorders>
              <w:top w:val="nil"/>
              <w:left w:val="nil"/>
              <w:bottom w:val="single" w:color="auto" w:sz="4" w:space="0"/>
              <w:right w:val="single" w:color="auto" w:sz="4" w:space="0"/>
            </w:tcBorders>
            <w:shd w:val="clear" w:color="auto" w:fill="auto"/>
            <w:noWrap/>
            <w:vAlign w:val="center"/>
          </w:tcPr>
          <w:p w14:paraId="1A951EB8">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大型修缮</w:t>
            </w:r>
          </w:p>
        </w:tc>
        <w:tc>
          <w:tcPr>
            <w:tcW w:w="1005" w:type="dxa"/>
            <w:tcBorders>
              <w:top w:val="nil"/>
              <w:left w:val="nil"/>
              <w:bottom w:val="single" w:color="auto" w:sz="4" w:space="0"/>
              <w:right w:val="single" w:color="auto" w:sz="4" w:space="0"/>
            </w:tcBorders>
            <w:shd w:val="clear" w:color="auto" w:fill="auto"/>
            <w:noWrap/>
            <w:vAlign w:val="center"/>
          </w:tcPr>
          <w:p w14:paraId="5432B3C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23C3FCB8">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B9A3A0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30111</w:t>
            </w:r>
          </w:p>
        </w:tc>
        <w:tc>
          <w:tcPr>
            <w:tcW w:w="3175" w:type="dxa"/>
            <w:tcBorders>
              <w:top w:val="nil"/>
              <w:left w:val="nil"/>
              <w:bottom w:val="single" w:color="auto" w:sz="4" w:space="0"/>
              <w:right w:val="single" w:color="auto" w:sz="4" w:space="0"/>
            </w:tcBorders>
            <w:shd w:val="clear" w:color="auto" w:fill="auto"/>
            <w:noWrap/>
            <w:vAlign w:val="center"/>
          </w:tcPr>
          <w:p w14:paraId="2BC609A0">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公务员医疗补助缴费</w:t>
            </w:r>
          </w:p>
        </w:tc>
        <w:tc>
          <w:tcPr>
            <w:tcW w:w="850" w:type="dxa"/>
            <w:tcBorders>
              <w:top w:val="nil"/>
              <w:left w:val="nil"/>
              <w:bottom w:val="single" w:color="auto" w:sz="4" w:space="0"/>
              <w:right w:val="single" w:color="auto" w:sz="4" w:space="0"/>
            </w:tcBorders>
            <w:shd w:val="clear" w:color="auto" w:fill="auto"/>
            <w:noWrap/>
            <w:vAlign w:val="center"/>
          </w:tcPr>
          <w:p w14:paraId="3F72224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32122B0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30209</w:t>
            </w:r>
          </w:p>
        </w:tc>
        <w:tc>
          <w:tcPr>
            <w:tcW w:w="2139" w:type="dxa"/>
            <w:tcBorders>
              <w:top w:val="nil"/>
              <w:left w:val="nil"/>
              <w:bottom w:val="single" w:color="auto" w:sz="4" w:space="0"/>
              <w:right w:val="single" w:color="auto" w:sz="4" w:space="0"/>
            </w:tcBorders>
            <w:shd w:val="clear" w:color="auto" w:fill="auto"/>
            <w:noWrap/>
            <w:vAlign w:val="center"/>
          </w:tcPr>
          <w:p w14:paraId="7D0B297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物业管理费</w:t>
            </w:r>
          </w:p>
        </w:tc>
        <w:tc>
          <w:tcPr>
            <w:tcW w:w="907" w:type="dxa"/>
            <w:tcBorders>
              <w:top w:val="nil"/>
              <w:left w:val="nil"/>
              <w:bottom w:val="single" w:color="auto" w:sz="4" w:space="0"/>
              <w:right w:val="single" w:color="auto" w:sz="4" w:space="0"/>
            </w:tcBorders>
            <w:shd w:val="clear" w:color="auto" w:fill="auto"/>
            <w:noWrap/>
            <w:vAlign w:val="center"/>
          </w:tcPr>
          <w:p w14:paraId="7AE8A26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F2BA7C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31007</w:t>
            </w:r>
          </w:p>
        </w:tc>
        <w:tc>
          <w:tcPr>
            <w:tcW w:w="3075" w:type="dxa"/>
            <w:tcBorders>
              <w:top w:val="nil"/>
              <w:left w:val="nil"/>
              <w:bottom w:val="single" w:color="auto" w:sz="4" w:space="0"/>
              <w:right w:val="single" w:color="auto" w:sz="4" w:space="0"/>
            </w:tcBorders>
            <w:shd w:val="clear" w:color="auto" w:fill="auto"/>
            <w:noWrap/>
            <w:vAlign w:val="center"/>
          </w:tcPr>
          <w:p w14:paraId="7DC7D8C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信息网络及软件购置更新</w:t>
            </w:r>
          </w:p>
        </w:tc>
        <w:tc>
          <w:tcPr>
            <w:tcW w:w="1005" w:type="dxa"/>
            <w:tcBorders>
              <w:top w:val="nil"/>
              <w:left w:val="nil"/>
              <w:bottom w:val="single" w:color="auto" w:sz="4" w:space="0"/>
              <w:right w:val="single" w:color="auto" w:sz="4" w:space="0"/>
            </w:tcBorders>
            <w:shd w:val="clear" w:color="auto" w:fill="auto"/>
            <w:noWrap/>
            <w:vAlign w:val="center"/>
          </w:tcPr>
          <w:p w14:paraId="104868F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738CBD64">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7F51089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30112</w:t>
            </w:r>
          </w:p>
        </w:tc>
        <w:tc>
          <w:tcPr>
            <w:tcW w:w="3175" w:type="dxa"/>
            <w:tcBorders>
              <w:top w:val="nil"/>
              <w:left w:val="nil"/>
              <w:bottom w:val="single" w:color="auto" w:sz="4" w:space="0"/>
              <w:right w:val="single" w:color="auto" w:sz="4" w:space="0"/>
            </w:tcBorders>
            <w:shd w:val="clear" w:color="auto" w:fill="auto"/>
            <w:noWrap/>
            <w:vAlign w:val="center"/>
          </w:tcPr>
          <w:p w14:paraId="36AD3BCF">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其他社会保障缴费</w:t>
            </w:r>
          </w:p>
        </w:tc>
        <w:tc>
          <w:tcPr>
            <w:tcW w:w="850" w:type="dxa"/>
            <w:tcBorders>
              <w:top w:val="nil"/>
              <w:left w:val="nil"/>
              <w:bottom w:val="single" w:color="auto" w:sz="4" w:space="0"/>
              <w:right w:val="single" w:color="auto" w:sz="4" w:space="0"/>
            </w:tcBorders>
            <w:shd w:val="clear" w:color="auto" w:fill="auto"/>
            <w:noWrap/>
            <w:vAlign w:val="center"/>
          </w:tcPr>
          <w:p w14:paraId="48FBEED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2.26</w:t>
            </w:r>
          </w:p>
        </w:tc>
        <w:tc>
          <w:tcPr>
            <w:tcW w:w="1138" w:type="dxa"/>
            <w:tcBorders>
              <w:top w:val="nil"/>
              <w:left w:val="nil"/>
              <w:bottom w:val="single" w:color="auto" w:sz="4" w:space="0"/>
              <w:right w:val="single" w:color="auto" w:sz="4" w:space="0"/>
            </w:tcBorders>
            <w:shd w:val="clear" w:color="auto" w:fill="auto"/>
            <w:noWrap/>
            <w:vAlign w:val="center"/>
          </w:tcPr>
          <w:p w14:paraId="5B9610F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30211</w:t>
            </w:r>
          </w:p>
        </w:tc>
        <w:tc>
          <w:tcPr>
            <w:tcW w:w="2139" w:type="dxa"/>
            <w:tcBorders>
              <w:top w:val="nil"/>
              <w:left w:val="nil"/>
              <w:bottom w:val="single" w:color="auto" w:sz="4" w:space="0"/>
              <w:right w:val="single" w:color="auto" w:sz="4" w:space="0"/>
            </w:tcBorders>
            <w:shd w:val="clear" w:color="auto" w:fill="auto"/>
            <w:noWrap/>
            <w:vAlign w:val="center"/>
          </w:tcPr>
          <w:p w14:paraId="45F42AA0">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差旅费</w:t>
            </w:r>
          </w:p>
        </w:tc>
        <w:tc>
          <w:tcPr>
            <w:tcW w:w="907" w:type="dxa"/>
            <w:tcBorders>
              <w:top w:val="nil"/>
              <w:left w:val="nil"/>
              <w:bottom w:val="single" w:color="auto" w:sz="4" w:space="0"/>
              <w:right w:val="single" w:color="auto" w:sz="4" w:space="0"/>
            </w:tcBorders>
            <w:shd w:val="clear" w:color="auto" w:fill="auto"/>
            <w:noWrap/>
            <w:vAlign w:val="center"/>
          </w:tcPr>
          <w:p w14:paraId="6B0A73F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29FE31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31008</w:t>
            </w:r>
          </w:p>
        </w:tc>
        <w:tc>
          <w:tcPr>
            <w:tcW w:w="3075" w:type="dxa"/>
            <w:tcBorders>
              <w:top w:val="nil"/>
              <w:left w:val="nil"/>
              <w:bottom w:val="single" w:color="auto" w:sz="4" w:space="0"/>
              <w:right w:val="single" w:color="auto" w:sz="4" w:space="0"/>
            </w:tcBorders>
            <w:shd w:val="clear" w:color="auto" w:fill="auto"/>
            <w:noWrap/>
            <w:vAlign w:val="center"/>
          </w:tcPr>
          <w:p w14:paraId="26F09E34">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物资储备</w:t>
            </w:r>
          </w:p>
        </w:tc>
        <w:tc>
          <w:tcPr>
            <w:tcW w:w="1005" w:type="dxa"/>
            <w:tcBorders>
              <w:top w:val="nil"/>
              <w:left w:val="nil"/>
              <w:bottom w:val="single" w:color="auto" w:sz="4" w:space="0"/>
              <w:right w:val="single" w:color="auto" w:sz="4" w:space="0"/>
            </w:tcBorders>
            <w:shd w:val="clear" w:color="auto" w:fill="auto"/>
            <w:noWrap/>
            <w:vAlign w:val="center"/>
          </w:tcPr>
          <w:p w14:paraId="351C8FB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6C187944">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4751072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30113</w:t>
            </w:r>
          </w:p>
        </w:tc>
        <w:tc>
          <w:tcPr>
            <w:tcW w:w="3175" w:type="dxa"/>
            <w:tcBorders>
              <w:top w:val="nil"/>
              <w:left w:val="nil"/>
              <w:bottom w:val="single" w:color="auto" w:sz="4" w:space="0"/>
              <w:right w:val="single" w:color="auto" w:sz="4" w:space="0"/>
            </w:tcBorders>
            <w:shd w:val="clear" w:color="auto" w:fill="auto"/>
            <w:noWrap/>
            <w:vAlign w:val="center"/>
          </w:tcPr>
          <w:p w14:paraId="3395FC4D">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住房公积金</w:t>
            </w:r>
          </w:p>
        </w:tc>
        <w:tc>
          <w:tcPr>
            <w:tcW w:w="850" w:type="dxa"/>
            <w:tcBorders>
              <w:top w:val="nil"/>
              <w:left w:val="nil"/>
              <w:bottom w:val="single" w:color="auto" w:sz="4" w:space="0"/>
              <w:right w:val="single" w:color="auto" w:sz="4" w:space="0"/>
            </w:tcBorders>
            <w:shd w:val="clear" w:color="auto" w:fill="auto"/>
            <w:noWrap/>
            <w:vAlign w:val="center"/>
          </w:tcPr>
          <w:p w14:paraId="3E0AEB6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0F17015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30212</w:t>
            </w:r>
          </w:p>
        </w:tc>
        <w:tc>
          <w:tcPr>
            <w:tcW w:w="2139" w:type="dxa"/>
            <w:tcBorders>
              <w:top w:val="nil"/>
              <w:left w:val="nil"/>
              <w:bottom w:val="single" w:color="auto" w:sz="4" w:space="0"/>
              <w:right w:val="single" w:color="auto" w:sz="4" w:space="0"/>
            </w:tcBorders>
            <w:shd w:val="clear" w:color="auto" w:fill="auto"/>
            <w:noWrap/>
            <w:vAlign w:val="center"/>
          </w:tcPr>
          <w:p w14:paraId="058E1B8D">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因公出国（境）费用</w:t>
            </w:r>
          </w:p>
        </w:tc>
        <w:tc>
          <w:tcPr>
            <w:tcW w:w="907" w:type="dxa"/>
            <w:tcBorders>
              <w:top w:val="nil"/>
              <w:left w:val="nil"/>
              <w:bottom w:val="single" w:color="auto" w:sz="4" w:space="0"/>
              <w:right w:val="single" w:color="auto" w:sz="4" w:space="0"/>
            </w:tcBorders>
            <w:shd w:val="clear" w:color="auto" w:fill="auto"/>
            <w:noWrap/>
            <w:vAlign w:val="center"/>
          </w:tcPr>
          <w:p w14:paraId="501AA5E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E76561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31009</w:t>
            </w:r>
          </w:p>
        </w:tc>
        <w:tc>
          <w:tcPr>
            <w:tcW w:w="3075" w:type="dxa"/>
            <w:tcBorders>
              <w:top w:val="nil"/>
              <w:left w:val="nil"/>
              <w:bottom w:val="single" w:color="auto" w:sz="4" w:space="0"/>
              <w:right w:val="single" w:color="auto" w:sz="4" w:space="0"/>
            </w:tcBorders>
            <w:shd w:val="clear" w:color="auto" w:fill="auto"/>
            <w:noWrap/>
            <w:vAlign w:val="center"/>
          </w:tcPr>
          <w:p w14:paraId="4DB678E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土地补偿</w:t>
            </w:r>
          </w:p>
        </w:tc>
        <w:tc>
          <w:tcPr>
            <w:tcW w:w="1005" w:type="dxa"/>
            <w:tcBorders>
              <w:top w:val="nil"/>
              <w:left w:val="nil"/>
              <w:bottom w:val="single" w:color="auto" w:sz="4" w:space="0"/>
              <w:right w:val="single" w:color="auto" w:sz="4" w:space="0"/>
            </w:tcBorders>
            <w:shd w:val="clear" w:color="auto" w:fill="auto"/>
            <w:noWrap/>
            <w:vAlign w:val="center"/>
          </w:tcPr>
          <w:p w14:paraId="17C2DA7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19D481FC">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3639CDF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30114</w:t>
            </w:r>
          </w:p>
        </w:tc>
        <w:tc>
          <w:tcPr>
            <w:tcW w:w="3175" w:type="dxa"/>
            <w:tcBorders>
              <w:top w:val="nil"/>
              <w:left w:val="nil"/>
              <w:bottom w:val="single" w:color="auto" w:sz="4" w:space="0"/>
              <w:right w:val="single" w:color="auto" w:sz="4" w:space="0"/>
            </w:tcBorders>
            <w:shd w:val="clear" w:color="auto" w:fill="auto"/>
            <w:noWrap/>
            <w:vAlign w:val="center"/>
          </w:tcPr>
          <w:p w14:paraId="56E0030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医疗费</w:t>
            </w:r>
          </w:p>
        </w:tc>
        <w:tc>
          <w:tcPr>
            <w:tcW w:w="850" w:type="dxa"/>
            <w:tcBorders>
              <w:top w:val="nil"/>
              <w:left w:val="nil"/>
              <w:bottom w:val="single" w:color="auto" w:sz="4" w:space="0"/>
              <w:right w:val="single" w:color="auto" w:sz="4" w:space="0"/>
            </w:tcBorders>
            <w:shd w:val="clear" w:color="auto" w:fill="auto"/>
            <w:noWrap/>
            <w:vAlign w:val="center"/>
          </w:tcPr>
          <w:p w14:paraId="21C21D7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4C5A322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30213</w:t>
            </w:r>
          </w:p>
        </w:tc>
        <w:tc>
          <w:tcPr>
            <w:tcW w:w="2139" w:type="dxa"/>
            <w:tcBorders>
              <w:top w:val="nil"/>
              <w:left w:val="nil"/>
              <w:bottom w:val="single" w:color="auto" w:sz="4" w:space="0"/>
              <w:right w:val="single" w:color="auto" w:sz="4" w:space="0"/>
            </w:tcBorders>
            <w:shd w:val="clear" w:color="auto" w:fill="auto"/>
            <w:noWrap/>
            <w:vAlign w:val="center"/>
          </w:tcPr>
          <w:p w14:paraId="410FA3D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维修（护）费</w:t>
            </w:r>
          </w:p>
        </w:tc>
        <w:tc>
          <w:tcPr>
            <w:tcW w:w="907" w:type="dxa"/>
            <w:tcBorders>
              <w:top w:val="nil"/>
              <w:left w:val="nil"/>
              <w:bottom w:val="single" w:color="auto" w:sz="4" w:space="0"/>
              <w:right w:val="single" w:color="auto" w:sz="4" w:space="0"/>
            </w:tcBorders>
            <w:shd w:val="clear" w:color="auto" w:fill="auto"/>
            <w:noWrap/>
            <w:vAlign w:val="center"/>
          </w:tcPr>
          <w:p w14:paraId="048A508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62C9AA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31010</w:t>
            </w:r>
          </w:p>
        </w:tc>
        <w:tc>
          <w:tcPr>
            <w:tcW w:w="3075" w:type="dxa"/>
            <w:tcBorders>
              <w:top w:val="nil"/>
              <w:left w:val="nil"/>
              <w:bottom w:val="single" w:color="auto" w:sz="4" w:space="0"/>
              <w:right w:val="single" w:color="auto" w:sz="4" w:space="0"/>
            </w:tcBorders>
            <w:shd w:val="clear" w:color="auto" w:fill="auto"/>
            <w:noWrap/>
            <w:vAlign w:val="center"/>
          </w:tcPr>
          <w:p w14:paraId="16269AD1">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安置补助</w:t>
            </w:r>
          </w:p>
        </w:tc>
        <w:tc>
          <w:tcPr>
            <w:tcW w:w="1005" w:type="dxa"/>
            <w:tcBorders>
              <w:top w:val="nil"/>
              <w:left w:val="nil"/>
              <w:bottom w:val="single" w:color="auto" w:sz="4" w:space="0"/>
              <w:right w:val="single" w:color="auto" w:sz="4" w:space="0"/>
            </w:tcBorders>
            <w:shd w:val="clear" w:color="auto" w:fill="auto"/>
            <w:noWrap/>
            <w:vAlign w:val="center"/>
          </w:tcPr>
          <w:p w14:paraId="7DB81BA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5F380628">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0EDDDB0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30199</w:t>
            </w:r>
          </w:p>
        </w:tc>
        <w:tc>
          <w:tcPr>
            <w:tcW w:w="3175" w:type="dxa"/>
            <w:tcBorders>
              <w:top w:val="nil"/>
              <w:left w:val="nil"/>
              <w:bottom w:val="single" w:color="auto" w:sz="4" w:space="0"/>
              <w:right w:val="single" w:color="auto" w:sz="4" w:space="0"/>
            </w:tcBorders>
            <w:shd w:val="clear" w:color="auto" w:fill="auto"/>
            <w:noWrap/>
            <w:vAlign w:val="center"/>
          </w:tcPr>
          <w:p w14:paraId="2A4E09F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其他工资福利支出</w:t>
            </w:r>
          </w:p>
        </w:tc>
        <w:tc>
          <w:tcPr>
            <w:tcW w:w="850" w:type="dxa"/>
            <w:tcBorders>
              <w:top w:val="nil"/>
              <w:left w:val="nil"/>
              <w:bottom w:val="single" w:color="auto" w:sz="4" w:space="0"/>
              <w:right w:val="single" w:color="auto" w:sz="4" w:space="0"/>
            </w:tcBorders>
            <w:shd w:val="clear" w:color="auto" w:fill="auto"/>
            <w:noWrap/>
            <w:vAlign w:val="center"/>
          </w:tcPr>
          <w:p w14:paraId="27AC4A2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718933D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30214</w:t>
            </w:r>
          </w:p>
        </w:tc>
        <w:tc>
          <w:tcPr>
            <w:tcW w:w="2139" w:type="dxa"/>
            <w:tcBorders>
              <w:top w:val="nil"/>
              <w:left w:val="nil"/>
              <w:bottom w:val="single" w:color="auto" w:sz="4" w:space="0"/>
              <w:right w:val="single" w:color="auto" w:sz="4" w:space="0"/>
            </w:tcBorders>
            <w:shd w:val="clear" w:color="auto" w:fill="auto"/>
            <w:noWrap/>
            <w:vAlign w:val="center"/>
          </w:tcPr>
          <w:p w14:paraId="62FB9EF1">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租赁费</w:t>
            </w:r>
          </w:p>
        </w:tc>
        <w:tc>
          <w:tcPr>
            <w:tcW w:w="907" w:type="dxa"/>
            <w:tcBorders>
              <w:top w:val="nil"/>
              <w:left w:val="nil"/>
              <w:bottom w:val="single" w:color="auto" w:sz="4" w:space="0"/>
              <w:right w:val="single" w:color="auto" w:sz="4" w:space="0"/>
            </w:tcBorders>
            <w:shd w:val="clear" w:color="auto" w:fill="auto"/>
            <w:noWrap/>
            <w:vAlign w:val="center"/>
          </w:tcPr>
          <w:p w14:paraId="6C7B979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4A0BDDD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31011</w:t>
            </w:r>
          </w:p>
        </w:tc>
        <w:tc>
          <w:tcPr>
            <w:tcW w:w="3075" w:type="dxa"/>
            <w:tcBorders>
              <w:top w:val="nil"/>
              <w:left w:val="nil"/>
              <w:bottom w:val="single" w:color="auto" w:sz="4" w:space="0"/>
              <w:right w:val="single" w:color="auto" w:sz="4" w:space="0"/>
            </w:tcBorders>
            <w:shd w:val="clear" w:color="auto" w:fill="auto"/>
            <w:noWrap/>
            <w:vAlign w:val="center"/>
          </w:tcPr>
          <w:p w14:paraId="519C6EE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地上附着物和青苗补偿</w:t>
            </w:r>
          </w:p>
        </w:tc>
        <w:tc>
          <w:tcPr>
            <w:tcW w:w="1005" w:type="dxa"/>
            <w:tcBorders>
              <w:top w:val="nil"/>
              <w:left w:val="nil"/>
              <w:bottom w:val="single" w:color="auto" w:sz="4" w:space="0"/>
              <w:right w:val="single" w:color="auto" w:sz="4" w:space="0"/>
            </w:tcBorders>
            <w:shd w:val="clear" w:color="auto" w:fill="auto"/>
            <w:noWrap/>
            <w:vAlign w:val="center"/>
          </w:tcPr>
          <w:p w14:paraId="6762EEF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227F0191">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01B4788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w:t>
            </w:r>
          </w:p>
        </w:tc>
        <w:tc>
          <w:tcPr>
            <w:tcW w:w="3175" w:type="dxa"/>
            <w:tcBorders>
              <w:top w:val="nil"/>
              <w:left w:val="nil"/>
              <w:bottom w:val="single" w:color="auto" w:sz="4" w:space="0"/>
              <w:right w:val="single" w:color="auto" w:sz="4" w:space="0"/>
            </w:tcBorders>
            <w:shd w:val="clear" w:color="auto" w:fill="auto"/>
            <w:noWrap/>
            <w:vAlign w:val="center"/>
          </w:tcPr>
          <w:p w14:paraId="2FBE8A75">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对个人和家庭的补助</w:t>
            </w:r>
          </w:p>
        </w:tc>
        <w:tc>
          <w:tcPr>
            <w:tcW w:w="850" w:type="dxa"/>
            <w:tcBorders>
              <w:top w:val="nil"/>
              <w:left w:val="nil"/>
              <w:bottom w:val="single" w:color="auto" w:sz="4" w:space="0"/>
              <w:right w:val="single" w:color="auto" w:sz="4" w:space="0"/>
            </w:tcBorders>
            <w:shd w:val="clear" w:color="auto" w:fill="auto"/>
            <w:noWrap/>
            <w:vAlign w:val="center"/>
          </w:tcPr>
          <w:p w14:paraId="2D0A617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1.08</w:t>
            </w:r>
          </w:p>
        </w:tc>
        <w:tc>
          <w:tcPr>
            <w:tcW w:w="1138" w:type="dxa"/>
            <w:tcBorders>
              <w:top w:val="nil"/>
              <w:left w:val="nil"/>
              <w:bottom w:val="single" w:color="auto" w:sz="4" w:space="0"/>
              <w:right w:val="single" w:color="auto" w:sz="4" w:space="0"/>
            </w:tcBorders>
            <w:shd w:val="clear" w:color="auto" w:fill="auto"/>
            <w:noWrap/>
            <w:vAlign w:val="center"/>
          </w:tcPr>
          <w:p w14:paraId="508B4FA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30215</w:t>
            </w:r>
          </w:p>
        </w:tc>
        <w:tc>
          <w:tcPr>
            <w:tcW w:w="2139" w:type="dxa"/>
            <w:tcBorders>
              <w:top w:val="nil"/>
              <w:left w:val="nil"/>
              <w:bottom w:val="single" w:color="auto" w:sz="4" w:space="0"/>
              <w:right w:val="single" w:color="auto" w:sz="4" w:space="0"/>
            </w:tcBorders>
            <w:shd w:val="clear" w:color="auto" w:fill="auto"/>
            <w:noWrap/>
            <w:vAlign w:val="center"/>
          </w:tcPr>
          <w:p w14:paraId="31D9497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会议费</w:t>
            </w:r>
          </w:p>
        </w:tc>
        <w:tc>
          <w:tcPr>
            <w:tcW w:w="907" w:type="dxa"/>
            <w:tcBorders>
              <w:top w:val="nil"/>
              <w:left w:val="nil"/>
              <w:bottom w:val="single" w:color="auto" w:sz="4" w:space="0"/>
              <w:right w:val="single" w:color="auto" w:sz="4" w:space="0"/>
            </w:tcBorders>
            <w:shd w:val="clear" w:color="auto" w:fill="auto"/>
            <w:noWrap/>
            <w:vAlign w:val="center"/>
          </w:tcPr>
          <w:p w14:paraId="0301E58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3FC896E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31012</w:t>
            </w:r>
          </w:p>
        </w:tc>
        <w:tc>
          <w:tcPr>
            <w:tcW w:w="3075" w:type="dxa"/>
            <w:tcBorders>
              <w:top w:val="nil"/>
              <w:left w:val="nil"/>
              <w:bottom w:val="single" w:color="auto" w:sz="4" w:space="0"/>
              <w:right w:val="single" w:color="auto" w:sz="4" w:space="0"/>
            </w:tcBorders>
            <w:shd w:val="clear" w:color="auto" w:fill="auto"/>
            <w:noWrap/>
            <w:vAlign w:val="center"/>
          </w:tcPr>
          <w:p w14:paraId="32703BD0">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拆迁补偿</w:t>
            </w:r>
          </w:p>
        </w:tc>
        <w:tc>
          <w:tcPr>
            <w:tcW w:w="1005" w:type="dxa"/>
            <w:tcBorders>
              <w:top w:val="nil"/>
              <w:left w:val="nil"/>
              <w:bottom w:val="single" w:color="auto" w:sz="4" w:space="0"/>
              <w:right w:val="single" w:color="auto" w:sz="4" w:space="0"/>
            </w:tcBorders>
            <w:shd w:val="clear" w:color="auto" w:fill="auto"/>
            <w:noWrap/>
            <w:vAlign w:val="center"/>
          </w:tcPr>
          <w:p w14:paraId="171189C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45BF4CEF">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7A47FE6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30301</w:t>
            </w:r>
          </w:p>
        </w:tc>
        <w:tc>
          <w:tcPr>
            <w:tcW w:w="3175" w:type="dxa"/>
            <w:tcBorders>
              <w:top w:val="nil"/>
              <w:left w:val="nil"/>
              <w:bottom w:val="single" w:color="auto" w:sz="4" w:space="0"/>
              <w:right w:val="single" w:color="auto" w:sz="4" w:space="0"/>
            </w:tcBorders>
            <w:shd w:val="clear" w:color="auto" w:fill="auto"/>
            <w:noWrap/>
            <w:vAlign w:val="center"/>
          </w:tcPr>
          <w:p w14:paraId="44F0520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离休费</w:t>
            </w:r>
          </w:p>
        </w:tc>
        <w:tc>
          <w:tcPr>
            <w:tcW w:w="850" w:type="dxa"/>
            <w:tcBorders>
              <w:top w:val="nil"/>
              <w:left w:val="nil"/>
              <w:bottom w:val="single" w:color="auto" w:sz="4" w:space="0"/>
              <w:right w:val="single" w:color="auto" w:sz="4" w:space="0"/>
            </w:tcBorders>
            <w:shd w:val="clear" w:color="auto" w:fill="auto"/>
            <w:noWrap/>
            <w:vAlign w:val="center"/>
          </w:tcPr>
          <w:p w14:paraId="3CFF3A9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5C850DE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30216</w:t>
            </w:r>
          </w:p>
        </w:tc>
        <w:tc>
          <w:tcPr>
            <w:tcW w:w="2139" w:type="dxa"/>
            <w:tcBorders>
              <w:top w:val="nil"/>
              <w:left w:val="nil"/>
              <w:bottom w:val="single" w:color="auto" w:sz="4" w:space="0"/>
              <w:right w:val="single" w:color="auto" w:sz="4" w:space="0"/>
            </w:tcBorders>
            <w:shd w:val="clear" w:color="auto" w:fill="auto"/>
            <w:noWrap/>
            <w:vAlign w:val="center"/>
          </w:tcPr>
          <w:p w14:paraId="5A0D3728">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培训费</w:t>
            </w:r>
          </w:p>
        </w:tc>
        <w:tc>
          <w:tcPr>
            <w:tcW w:w="907" w:type="dxa"/>
            <w:tcBorders>
              <w:top w:val="nil"/>
              <w:left w:val="nil"/>
              <w:bottom w:val="single" w:color="auto" w:sz="4" w:space="0"/>
              <w:right w:val="single" w:color="auto" w:sz="4" w:space="0"/>
            </w:tcBorders>
            <w:shd w:val="clear" w:color="auto" w:fill="auto"/>
            <w:noWrap/>
            <w:vAlign w:val="center"/>
          </w:tcPr>
          <w:p w14:paraId="547B91E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27864B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31013</w:t>
            </w:r>
          </w:p>
        </w:tc>
        <w:tc>
          <w:tcPr>
            <w:tcW w:w="3075" w:type="dxa"/>
            <w:tcBorders>
              <w:top w:val="nil"/>
              <w:left w:val="nil"/>
              <w:bottom w:val="single" w:color="auto" w:sz="4" w:space="0"/>
              <w:right w:val="single" w:color="auto" w:sz="4" w:space="0"/>
            </w:tcBorders>
            <w:shd w:val="clear" w:color="auto" w:fill="auto"/>
            <w:noWrap/>
            <w:vAlign w:val="center"/>
          </w:tcPr>
          <w:p w14:paraId="1347EA43">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公务用车购置</w:t>
            </w:r>
          </w:p>
        </w:tc>
        <w:tc>
          <w:tcPr>
            <w:tcW w:w="1005" w:type="dxa"/>
            <w:tcBorders>
              <w:top w:val="nil"/>
              <w:left w:val="nil"/>
              <w:bottom w:val="single" w:color="auto" w:sz="4" w:space="0"/>
              <w:right w:val="single" w:color="auto" w:sz="4" w:space="0"/>
            </w:tcBorders>
            <w:shd w:val="clear" w:color="auto" w:fill="auto"/>
            <w:noWrap/>
            <w:vAlign w:val="center"/>
          </w:tcPr>
          <w:p w14:paraId="0821ADB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09DDBA98">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11EDF27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30302</w:t>
            </w:r>
          </w:p>
        </w:tc>
        <w:tc>
          <w:tcPr>
            <w:tcW w:w="3175" w:type="dxa"/>
            <w:tcBorders>
              <w:top w:val="nil"/>
              <w:left w:val="nil"/>
              <w:bottom w:val="single" w:color="auto" w:sz="4" w:space="0"/>
              <w:right w:val="single" w:color="auto" w:sz="4" w:space="0"/>
            </w:tcBorders>
            <w:shd w:val="clear" w:color="auto" w:fill="auto"/>
            <w:noWrap/>
            <w:vAlign w:val="center"/>
          </w:tcPr>
          <w:p w14:paraId="1D8E70D3">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退休费</w:t>
            </w:r>
          </w:p>
        </w:tc>
        <w:tc>
          <w:tcPr>
            <w:tcW w:w="850" w:type="dxa"/>
            <w:tcBorders>
              <w:top w:val="nil"/>
              <w:left w:val="nil"/>
              <w:bottom w:val="single" w:color="auto" w:sz="4" w:space="0"/>
              <w:right w:val="single" w:color="auto" w:sz="4" w:space="0"/>
            </w:tcBorders>
            <w:shd w:val="clear" w:color="auto" w:fill="auto"/>
            <w:noWrap/>
            <w:vAlign w:val="center"/>
          </w:tcPr>
          <w:p w14:paraId="15BF9AC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7211CE8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30217</w:t>
            </w:r>
          </w:p>
        </w:tc>
        <w:tc>
          <w:tcPr>
            <w:tcW w:w="2139" w:type="dxa"/>
            <w:tcBorders>
              <w:top w:val="nil"/>
              <w:left w:val="nil"/>
              <w:bottom w:val="single" w:color="auto" w:sz="4" w:space="0"/>
              <w:right w:val="single" w:color="auto" w:sz="4" w:space="0"/>
            </w:tcBorders>
            <w:shd w:val="clear" w:color="auto" w:fill="auto"/>
            <w:noWrap/>
            <w:vAlign w:val="center"/>
          </w:tcPr>
          <w:p w14:paraId="06EAAF0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公务接待费</w:t>
            </w:r>
          </w:p>
        </w:tc>
        <w:tc>
          <w:tcPr>
            <w:tcW w:w="907" w:type="dxa"/>
            <w:tcBorders>
              <w:top w:val="nil"/>
              <w:left w:val="nil"/>
              <w:bottom w:val="single" w:color="auto" w:sz="4" w:space="0"/>
              <w:right w:val="single" w:color="auto" w:sz="4" w:space="0"/>
            </w:tcBorders>
            <w:shd w:val="clear" w:color="auto" w:fill="auto"/>
            <w:noWrap/>
            <w:vAlign w:val="center"/>
          </w:tcPr>
          <w:p w14:paraId="6C2147F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367B9A2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31019</w:t>
            </w:r>
          </w:p>
        </w:tc>
        <w:tc>
          <w:tcPr>
            <w:tcW w:w="3075" w:type="dxa"/>
            <w:tcBorders>
              <w:top w:val="nil"/>
              <w:left w:val="nil"/>
              <w:bottom w:val="single" w:color="auto" w:sz="4" w:space="0"/>
              <w:right w:val="single" w:color="auto" w:sz="4" w:space="0"/>
            </w:tcBorders>
            <w:shd w:val="clear" w:color="auto" w:fill="auto"/>
            <w:noWrap/>
            <w:vAlign w:val="center"/>
          </w:tcPr>
          <w:p w14:paraId="47DB09C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其他交通工具购置</w:t>
            </w:r>
          </w:p>
        </w:tc>
        <w:tc>
          <w:tcPr>
            <w:tcW w:w="1005" w:type="dxa"/>
            <w:tcBorders>
              <w:top w:val="nil"/>
              <w:left w:val="nil"/>
              <w:bottom w:val="single" w:color="auto" w:sz="4" w:space="0"/>
              <w:right w:val="single" w:color="auto" w:sz="4" w:space="0"/>
            </w:tcBorders>
            <w:shd w:val="clear" w:color="auto" w:fill="auto"/>
            <w:noWrap/>
            <w:vAlign w:val="center"/>
          </w:tcPr>
          <w:p w14:paraId="1DAC2AA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36C91511">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204B44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30303</w:t>
            </w:r>
          </w:p>
        </w:tc>
        <w:tc>
          <w:tcPr>
            <w:tcW w:w="3175" w:type="dxa"/>
            <w:tcBorders>
              <w:top w:val="nil"/>
              <w:left w:val="nil"/>
              <w:bottom w:val="single" w:color="auto" w:sz="4" w:space="0"/>
              <w:right w:val="single" w:color="auto" w:sz="4" w:space="0"/>
            </w:tcBorders>
            <w:shd w:val="clear" w:color="auto" w:fill="auto"/>
            <w:noWrap/>
            <w:vAlign w:val="center"/>
          </w:tcPr>
          <w:p w14:paraId="5562672B">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退职（役）费</w:t>
            </w:r>
          </w:p>
        </w:tc>
        <w:tc>
          <w:tcPr>
            <w:tcW w:w="850" w:type="dxa"/>
            <w:tcBorders>
              <w:top w:val="nil"/>
              <w:left w:val="nil"/>
              <w:bottom w:val="single" w:color="auto" w:sz="4" w:space="0"/>
              <w:right w:val="single" w:color="auto" w:sz="4" w:space="0"/>
            </w:tcBorders>
            <w:shd w:val="clear" w:color="auto" w:fill="auto"/>
            <w:noWrap/>
            <w:vAlign w:val="center"/>
          </w:tcPr>
          <w:p w14:paraId="4669120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581C7D8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30218</w:t>
            </w:r>
          </w:p>
        </w:tc>
        <w:tc>
          <w:tcPr>
            <w:tcW w:w="2139" w:type="dxa"/>
            <w:tcBorders>
              <w:top w:val="nil"/>
              <w:left w:val="nil"/>
              <w:bottom w:val="single" w:color="auto" w:sz="4" w:space="0"/>
              <w:right w:val="single" w:color="auto" w:sz="4" w:space="0"/>
            </w:tcBorders>
            <w:shd w:val="clear" w:color="auto" w:fill="auto"/>
            <w:noWrap/>
            <w:vAlign w:val="center"/>
          </w:tcPr>
          <w:p w14:paraId="5995843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专用材料费</w:t>
            </w:r>
          </w:p>
        </w:tc>
        <w:tc>
          <w:tcPr>
            <w:tcW w:w="907" w:type="dxa"/>
            <w:tcBorders>
              <w:top w:val="nil"/>
              <w:left w:val="nil"/>
              <w:bottom w:val="single" w:color="auto" w:sz="4" w:space="0"/>
              <w:right w:val="single" w:color="auto" w:sz="4" w:space="0"/>
            </w:tcBorders>
            <w:shd w:val="clear" w:color="auto" w:fill="auto"/>
            <w:noWrap/>
            <w:vAlign w:val="center"/>
          </w:tcPr>
          <w:p w14:paraId="5039EAD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0D7CD8E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31021</w:t>
            </w:r>
          </w:p>
        </w:tc>
        <w:tc>
          <w:tcPr>
            <w:tcW w:w="3075" w:type="dxa"/>
            <w:tcBorders>
              <w:top w:val="nil"/>
              <w:left w:val="nil"/>
              <w:bottom w:val="single" w:color="auto" w:sz="4" w:space="0"/>
              <w:right w:val="single" w:color="auto" w:sz="4" w:space="0"/>
            </w:tcBorders>
            <w:shd w:val="clear" w:color="auto" w:fill="auto"/>
            <w:noWrap/>
            <w:vAlign w:val="center"/>
          </w:tcPr>
          <w:p w14:paraId="5E4E27D8">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文物和陈列品购置</w:t>
            </w:r>
          </w:p>
        </w:tc>
        <w:tc>
          <w:tcPr>
            <w:tcW w:w="1005" w:type="dxa"/>
            <w:tcBorders>
              <w:top w:val="nil"/>
              <w:left w:val="nil"/>
              <w:bottom w:val="single" w:color="auto" w:sz="4" w:space="0"/>
              <w:right w:val="single" w:color="auto" w:sz="4" w:space="0"/>
            </w:tcBorders>
            <w:shd w:val="clear" w:color="auto" w:fill="auto"/>
            <w:noWrap/>
            <w:vAlign w:val="center"/>
          </w:tcPr>
          <w:p w14:paraId="22A9A86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4CD5783D">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3D08D30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30304</w:t>
            </w:r>
          </w:p>
        </w:tc>
        <w:tc>
          <w:tcPr>
            <w:tcW w:w="3175" w:type="dxa"/>
            <w:tcBorders>
              <w:top w:val="nil"/>
              <w:left w:val="nil"/>
              <w:bottom w:val="single" w:color="auto" w:sz="4" w:space="0"/>
              <w:right w:val="single" w:color="auto" w:sz="4" w:space="0"/>
            </w:tcBorders>
            <w:shd w:val="clear" w:color="auto" w:fill="auto"/>
            <w:noWrap/>
            <w:vAlign w:val="center"/>
          </w:tcPr>
          <w:p w14:paraId="001CCEB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抚恤金</w:t>
            </w:r>
          </w:p>
        </w:tc>
        <w:tc>
          <w:tcPr>
            <w:tcW w:w="850" w:type="dxa"/>
            <w:tcBorders>
              <w:top w:val="nil"/>
              <w:left w:val="nil"/>
              <w:bottom w:val="single" w:color="auto" w:sz="4" w:space="0"/>
              <w:right w:val="single" w:color="auto" w:sz="4" w:space="0"/>
            </w:tcBorders>
            <w:shd w:val="clear" w:color="auto" w:fill="auto"/>
            <w:noWrap/>
            <w:vAlign w:val="center"/>
          </w:tcPr>
          <w:p w14:paraId="788EB0E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7A94160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30224</w:t>
            </w:r>
          </w:p>
        </w:tc>
        <w:tc>
          <w:tcPr>
            <w:tcW w:w="2139" w:type="dxa"/>
            <w:tcBorders>
              <w:top w:val="nil"/>
              <w:left w:val="nil"/>
              <w:bottom w:val="single" w:color="auto" w:sz="4" w:space="0"/>
              <w:right w:val="single" w:color="auto" w:sz="4" w:space="0"/>
            </w:tcBorders>
            <w:shd w:val="clear" w:color="auto" w:fill="auto"/>
            <w:noWrap/>
            <w:vAlign w:val="center"/>
          </w:tcPr>
          <w:p w14:paraId="2B8BBFCD">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被装购置费</w:t>
            </w:r>
          </w:p>
        </w:tc>
        <w:tc>
          <w:tcPr>
            <w:tcW w:w="907" w:type="dxa"/>
            <w:tcBorders>
              <w:top w:val="nil"/>
              <w:left w:val="nil"/>
              <w:bottom w:val="single" w:color="auto" w:sz="4" w:space="0"/>
              <w:right w:val="single" w:color="auto" w:sz="4" w:space="0"/>
            </w:tcBorders>
            <w:shd w:val="clear" w:color="auto" w:fill="auto"/>
            <w:noWrap/>
            <w:vAlign w:val="center"/>
          </w:tcPr>
          <w:p w14:paraId="3D059F0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69760CD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31022</w:t>
            </w:r>
          </w:p>
        </w:tc>
        <w:tc>
          <w:tcPr>
            <w:tcW w:w="3075" w:type="dxa"/>
            <w:tcBorders>
              <w:top w:val="nil"/>
              <w:left w:val="nil"/>
              <w:bottom w:val="single" w:color="auto" w:sz="4" w:space="0"/>
              <w:right w:val="single" w:color="auto" w:sz="4" w:space="0"/>
            </w:tcBorders>
            <w:shd w:val="clear" w:color="auto" w:fill="auto"/>
            <w:noWrap/>
            <w:vAlign w:val="center"/>
          </w:tcPr>
          <w:p w14:paraId="5D96B22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无形资产购置</w:t>
            </w:r>
          </w:p>
        </w:tc>
        <w:tc>
          <w:tcPr>
            <w:tcW w:w="1005" w:type="dxa"/>
            <w:tcBorders>
              <w:top w:val="nil"/>
              <w:left w:val="nil"/>
              <w:bottom w:val="single" w:color="auto" w:sz="4" w:space="0"/>
              <w:right w:val="single" w:color="auto" w:sz="4" w:space="0"/>
            </w:tcBorders>
            <w:shd w:val="clear" w:color="auto" w:fill="auto"/>
            <w:noWrap/>
            <w:vAlign w:val="center"/>
          </w:tcPr>
          <w:p w14:paraId="070BEF1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51D8F55A">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37FA3A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30305</w:t>
            </w:r>
          </w:p>
        </w:tc>
        <w:tc>
          <w:tcPr>
            <w:tcW w:w="3175" w:type="dxa"/>
            <w:tcBorders>
              <w:top w:val="nil"/>
              <w:left w:val="nil"/>
              <w:bottom w:val="single" w:color="auto" w:sz="4" w:space="0"/>
              <w:right w:val="single" w:color="auto" w:sz="4" w:space="0"/>
            </w:tcBorders>
            <w:shd w:val="clear" w:color="auto" w:fill="auto"/>
            <w:noWrap/>
            <w:vAlign w:val="center"/>
          </w:tcPr>
          <w:p w14:paraId="5578FE0B">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生活补助</w:t>
            </w:r>
          </w:p>
        </w:tc>
        <w:tc>
          <w:tcPr>
            <w:tcW w:w="850" w:type="dxa"/>
            <w:tcBorders>
              <w:top w:val="nil"/>
              <w:left w:val="nil"/>
              <w:bottom w:val="single" w:color="auto" w:sz="4" w:space="0"/>
              <w:right w:val="single" w:color="auto" w:sz="4" w:space="0"/>
            </w:tcBorders>
            <w:shd w:val="clear" w:color="auto" w:fill="auto"/>
            <w:noWrap/>
            <w:vAlign w:val="center"/>
          </w:tcPr>
          <w:p w14:paraId="4EBBAFC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0.96</w:t>
            </w:r>
          </w:p>
        </w:tc>
        <w:tc>
          <w:tcPr>
            <w:tcW w:w="1138" w:type="dxa"/>
            <w:tcBorders>
              <w:top w:val="nil"/>
              <w:left w:val="nil"/>
              <w:bottom w:val="single" w:color="auto" w:sz="4" w:space="0"/>
              <w:right w:val="single" w:color="auto" w:sz="4" w:space="0"/>
            </w:tcBorders>
            <w:shd w:val="clear" w:color="auto" w:fill="auto"/>
            <w:noWrap/>
            <w:vAlign w:val="center"/>
          </w:tcPr>
          <w:p w14:paraId="71DB400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30225</w:t>
            </w:r>
          </w:p>
        </w:tc>
        <w:tc>
          <w:tcPr>
            <w:tcW w:w="2139" w:type="dxa"/>
            <w:tcBorders>
              <w:top w:val="nil"/>
              <w:left w:val="nil"/>
              <w:bottom w:val="single" w:color="auto" w:sz="4" w:space="0"/>
              <w:right w:val="single" w:color="auto" w:sz="4" w:space="0"/>
            </w:tcBorders>
            <w:shd w:val="clear" w:color="auto" w:fill="auto"/>
            <w:noWrap/>
            <w:vAlign w:val="center"/>
          </w:tcPr>
          <w:p w14:paraId="3436ED2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专用燃料费</w:t>
            </w:r>
          </w:p>
        </w:tc>
        <w:tc>
          <w:tcPr>
            <w:tcW w:w="907" w:type="dxa"/>
            <w:tcBorders>
              <w:top w:val="nil"/>
              <w:left w:val="nil"/>
              <w:bottom w:val="single" w:color="auto" w:sz="4" w:space="0"/>
              <w:right w:val="single" w:color="auto" w:sz="4" w:space="0"/>
            </w:tcBorders>
            <w:shd w:val="clear" w:color="auto" w:fill="auto"/>
            <w:noWrap/>
            <w:vAlign w:val="center"/>
          </w:tcPr>
          <w:p w14:paraId="390E78D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6FE6FC2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31099</w:t>
            </w:r>
          </w:p>
        </w:tc>
        <w:tc>
          <w:tcPr>
            <w:tcW w:w="3075" w:type="dxa"/>
            <w:tcBorders>
              <w:top w:val="nil"/>
              <w:left w:val="nil"/>
              <w:bottom w:val="single" w:color="auto" w:sz="4" w:space="0"/>
              <w:right w:val="single" w:color="auto" w:sz="4" w:space="0"/>
            </w:tcBorders>
            <w:shd w:val="clear" w:color="auto" w:fill="auto"/>
            <w:noWrap/>
            <w:vAlign w:val="center"/>
          </w:tcPr>
          <w:p w14:paraId="05F114E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其他资本性支出</w:t>
            </w:r>
          </w:p>
        </w:tc>
        <w:tc>
          <w:tcPr>
            <w:tcW w:w="1005" w:type="dxa"/>
            <w:tcBorders>
              <w:top w:val="nil"/>
              <w:left w:val="nil"/>
              <w:bottom w:val="single" w:color="auto" w:sz="4" w:space="0"/>
              <w:right w:val="single" w:color="auto" w:sz="4" w:space="0"/>
            </w:tcBorders>
            <w:shd w:val="clear" w:color="auto" w:fill="auto"/>
            <w:noWrap/>
            <w:vAlign w:val="center"/>
          </w:tcPr>
          <w:p w14:paraId="1FA8DF8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7CCBCF21">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40FB149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30306</w:t>
            </w:r>
          </w:p>
        </w:tc>
        <w:tc>
          <w:tcPr>
            <w:tcW w:w="3175" w:type="dxa"/>
            <w:tcBorders>
              <w:top w:val="nil"/>
              <w:left w:val="nil"/>
              <w:bottom w:val="single" w:color="auto" w:sz="4" w:space="0"/>
              <w:right w:val="single" w:color="auto" w:sz="4" w:space="0"/>
            </w:tcBorders>
            <w:shd w:val="clear" w:color="auto" w:fill="auto"/>
            <w:noWrap/>
            <w:vAlign w:val="center"/>
          </w:tcPr>
          <w:p w14:paraId="353EC66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救济费</w:t>
            </w:r>
          </w:p>
        </w:tc>
        <w:tc>
          <w:tcPr>
            <w:tcW w:w="850" w:type="dxa"/>
            <w:tcBorders>
              <w:top w:val="nil"/>
              <w:left w:val="nil"/>
              <w:bottom w:val="single" w:color="auto" w:sz="4" w:space="0"/>
              <w:right w:val="single" w:color="auto" w:sz="4" w:space="0"/>
            </w:tcBorders>
            <w:shd w:val="clear" w:color="auto" w:fill="auto"/>
            <w:noWrap/>
            <w:vAlign w:val="center"/>
          </w:tcPr>
          <w:p w14:paraId="34F269F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7C59EAA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30226</w:t>
            </w:r>
          </w:p>
        </w:tc>
        <w:tc>
          <w:tcPr>
            <w:tcW w:w="2139" w:type="dxa"/>
            <w:tcBorders>
              <w:top w:val="nil"/>
              <w:left w:val="nil"/>
              <w:bottom w:val="single" w:color="auto" w:sz="4" w:space="0"/>
              <w:right w:val="single" w:color="auto" w:sz="4" w:space="0"/>
            </w:tcBorders>
            <w:shd w:val="clear" w:color="auto" w:fill="auto"/>
            <w:noWrap/>
            <w:vAlign w:val="center"/>
          </w:tcPr>
          <w:p w14:paraId="18B394F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劳务费</w:t>
            </w:r>
          </w:p>
        </w:tc>
        <w:tc>
          <w:tcPr>
            <w:tcW w:w="907" w:type="dxa"/>
            <w:tcBorders>
              <w:top w:val="nil"/>
              <w:left w:val="nil"/>
              <w:bottom w:val="single" w:color="auto" w:sz="4" w:space="0"/>
              <w:right w:val="single" w:color="auto" w:sz="4" w:space="0"/>
            </w:tcBorders>
            <w:shd w:val="clear" w:color="auto" w:fill="auto"/>
            <w:noWrap/>
            <w:vAlign w:val="center"/>
          </w:tcPr>
          <w:p w14:paraId="6D0BB82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0.30</w:t>
            </w:r>
          </w:p>
        </w:tc>
        <w:tc>
          <w:tcPr>
            <w:tcW w:w="1200" w:type="dxa"/>
            <w:tcBorders>
              <w:top w:val="nil"/>
              <w:left w:val="nil"/>
              <w:bottom w:val="single" w:color="auto" w:sz="4" w:space="0"/>
              <w:right w:val="single" w:color="auto" w:sz="4" w:space="0"/>
            </w:tcBorders>
            <w:shd w:val="clear" w:color="auto" w:fill="auto"/>
            <w:noWrap/>
            <w:vAlign w:val="center"/>
          </w:tcPr>
          <w:p w14:paraId="45FDA60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399</w:t>
            </w:r>
          </w:p>
        </w:tc>
        <w:tc>
          <w:tcPr>
            <w:tcW w:w="3075" w:type="dxa"/>
            <w:tcBorders>
              <w:top w:val="nil"/>
              <w:left w:val="nil"/>
              <w:bottom w:val="single" w:color="auto" w:sz="4" w:space="0"/>
              <w:right w:val="single" w:color="auto" w:sz="4" w:space="0"/>
            </w:tcBorders>
            <w:shd w:val="clear" w:color="auto" w:fill="auto"/>
            <w:noWrap/>
            <w:vAlign w:val="center"/>
          </w:tcPr>
          <w:p w14:paraId="245C7865">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其他支出</w:t>
            </w:r>
          </w:p>
        </w:tc>
        <w:tc>
          <w:tcPr>
            <w:tcW w:w="1005" w:type="dxa"/>
            <w:tcBorders>
              <w:top w:val="nil"/>
              <w:left w:val="nil"/>
              <w:bottom w:val="single" w:color="auto" w:sz="4" w:space="0"/>
              <w:right w:val="single" w:color="auto" w:sz="4" w:space="0"/>
            </w:tcBorders>
            <w:shd w:val="clear" w:color="auto" w:fill="auto"/>
            <w:noWrap/>
            <w:vAlign w:val="center"/>
          </w:tcPr>
          <w:p w14:paraId="1251538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6B8CC57B">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0EFE110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30307</w:t>
            </w:r>
          </w:p>
        </w:tc>
        <w:tc>
          <w:tcPr>
            <w:tcW w:w="3175" w:type="dxa"/>
            <w:tcBorders>
              <w:top w:val="nil"/>
              <w:left w:val="nil"/>
              <w:bottom w:val="single" w:color="auto" w:sz="4" w:space="0"/>
              <w:right w:val="single" w:color="auto" w:sz="4" w:space="0"/>
            </w:tcBorders>
            <w:shd w:val="clear" w:color="auto" w:fill="auto"/>
            <w:noWrap/>
            <w:vAlign w:val="center"/>
          </w:tcPr>
          <w:p w14:paraId="60705D7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医疗费补助</w:t>
            </w:r>
          </w:p>
        </w:tc>
        <w:tc>
          <w:tcPr>
            <w:tcW w:w="850" w:type="dxa"/>
            <w:tcBorders>
              <w:top w:val="nil"/>
              <w:left w:val="nil"/>
              <w:bottom w:val="single" w:color="auto" w:sz="4" w:space="0"/>
              <w:right w:val="single" w:color="auto" w:sz="4" w:space="0"/>
            </w:tcBorders>
            <w:shd w:val="clear" w:color="auto" w:fill="auto"/>
            <w:noWrap/>
            <w:vAlign w:val="center"/>
          </w:tcPr>
          <w:p w14:paraId="049D829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129E1CD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30227</w:t>
            </w:r>
          </w:p>
        </w:tc>
        <w:tc>
          <w:tcPr>
            <w:tcW w:w="2139" w:type="dxa"/>
            <w:tcBorders>
              <w:top w:val="nil"/>
              <w:left w:val="nil"/>
              <w:bottom w:val="single" w:color="auto" w:sz="4" w:space="0"/>
              <w:right w:val="single" w:color="auto" w:sz="4" w:space="0"/>
            </w:tcBorders>
            <w:shd w:val="clear" w:color="auto" w:fill="auto"/>
            <w:noWrap/>
            <w:vAlign w:val="center"/>
          </w:tcPr>
          <w:p w14:paraId="2B2FABA4">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委托业务费</w:t>
            </w:r>
          </w:p>
        </w:tc>
        <w:tc>
          <w:tcPr>
            <w:tcW w:w="907" w:type="dxa"/>
            <w:tcBorders>
              <w:top w:val="nil"/>
              <w:left w:val="nil"/>
              <w:bottom w:val="single" w:color="auto" w:sz="4" w:space="0"/>
              <w:right w:val="single" w:color="auto" w:sz="4" w:space="0"/>
            </w:tcBorders>
            <w:shd w:val="clear" w:color="auto" w:fill="auto"/>
            <w:noWrap/>
            <w:vAlign w:val="center"/>
          </w:tcPr>
          <w:p w14:paraId="690523B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7D20166D">
            <w:pPr>
              <w:keepNext w:val="0"/>
              <w:keepLines w:val="0"/>
              <w:widowControl/>
              <w:suppressLineNumbers w:val="0"/>
              <w:jc w:val="left"/>
              <w:textAlignment w:val="center"/>
              <w:rPr>
                <w:rFonts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39907</w:t>
            </w:r>
          </w:p>
        </w:tc>
        <w:tc>
          <w:tcPr>
            <w:tcW w:w="3075" w:type="dxa"/>
            <w:tcBorders>
              <w:top w:val="nil"/>
              <w:left w:val="nil"/>
              <w:bottom w:val="single" w:color="auto" w:sz="4" w:space="0"/>
              <w:right w:val="single" w:color="auto" w:sz="4" w:space="0"/>
            </w:tcBorders>
            <w:shd w:val="clear" w:color="auto" w:fill="auto"/>
            <w:noWrap/>
            <w:vAlign w:val="center"/>
          </w:tcPr>
          <w:p w14:paraId="71A3F33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 xml:space="preserve">  国家赔偿费用支出</w:t>
            </w:r>
          </w:p>
        </w:tc>
        <w:tc>
          <w:tcPr>
            <w:tcW w:w="1005" w:type="dxa"/>
            <w:tcBorders>
              <w:top w:val="nil"/>
              <w:left w:val="nil"/>
              <w:bottom w:val="single" w:color="auto" w:sz="4" w:space="0"/>
              <w:right w:val="single" w:color="auto" w:sz="4" w:space="0"/>
            </w:tcBorders>
            <w:shd w:val="clear" w:color="auto" w:fill="auto"/>
            <w:noWrap/>
            <w:vAlign w:val="center"/>
          </w:tcPr>
          <w:p w14:paraId="0162CD1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37CDBEE2">
        <w:tblPrEx>
          <w:tblCellMar>
            <w:top w:w="0" w:type="dxa"/>
            <w:left w:w="108" w:type="dxa"/>
            <w:bottom w:w="0" w:type="dxa"/>
            <w:right w:w="108" w:type="dxa"/>
          </w:tblCellMar>
        </w:tblPrEx>
        <w:trPr>
          <w:trHeight w:val="454"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3366F95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30308</w:t>
            </w:r>
          </w:p>
        </w:tc>
        <w:tc>
          <w:tcPr>
            <w:tcW w:w="3175" w:type="dxa"/>
            <w:tcBorders>
              <w:top w:val="nil"/>
              <w:left w:val="nil"/>
              <w:bottom w:val="single" w:color="auto" w:sz="4" w:space="0"/>
              <w:right w:val="single" w:color="auto" w:sz="4" w:space="0"/>
            </w:tcBorders>
            <w:shd w:val="clear" w:color="auto" w:fill="auto"/>
            <w:noWrap/>
            <w:vAlign w:val="center"/>
          </w:tcPr>
          <w:p w14:paraId="5496E462">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助学金</w:t>
            </w:r>
          </w:p>
        </w:tc>
        <w:tc>
          <w:tcPr>
            <w:tcW w:w="850" w:type="dxa"/>
            <w:tcBorders>
              <w:top w:val="nil"/>
              <w:left w:val="nil"/>
              <w:bottom w:val="single" w:color="auto" w:sz="4" w:space="0"/>
              <w:right w:val="single" w:color="auto" w:sz="4" w:space="0"/>
            </w:tcBorders>
            <w:shd w:val="clear" w:color="auto" w:fill="auto"/>
            <w:noWrap/>
            <w:vAlign w:val="center"/>
          </w:tcPr>
          <w:p w14:paraId="5DE4F0F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5E446C2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30228</w:t>
            </w:r>
          </w:p>
        </w:tc>
        <w:tc>
          <w:tcPr>
            <w:tcW w:w="2139" w:type="dxa"/>
            <w:tcBorders>
              <w:top w:val="nil"/>
              <w:left w:val="nil"/>
              <w:bottom w:val="single" w:color="auto" w:sz="4" w:space="0"/>
              <w:right w:val="single" w:color="auto" w:sz="4" w:space="0"/>
            </w:tcBorders>
            <w:shd w:val="clear" w:color="auto" w:fill="auto"/>
            <w:noWrap/>
            <w:vAlign w:val="center"/>
          </w:tcPr>
          <w:p w14:paraId="2C579B4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工会经费</w:t>
            </w:r>
          </w:p>
        </w:tc>
        <w:tc>
          <w:tcPr>
            <w:tcW w:w="907" w:type="dxa"/>
            <w:tcBorders>
              <w:top w:val="nil"/>
              <w:left w:val="nil"/>
              <w:bottom w:val="single" w:color="auto" w:sz="4" w:space="0"/>
              <w:right w:val="single" w:color="auto" w:sz="4" w:space="0"/>
            </w:tcBorders>
            <w:shd w:val="clear" w:color="auto" w:fill="auto"/>
            <w:noWrap/>
            <w:vAlign w:val="center"/>
          </w:tcPr>
          <w:p w14:paraId="32B8A5B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20.70</w:t>
            </w:r>
          </w:p>
        </w:tc>
        <w:tc>
          <w:tcPr>
            <w:tcW w:w="1200" w:type="dxa"/>
            <w:tcBorders>
              <w:top w:val="nil"/>
              <w:left w:val="nil"/>
              <w:bottom w:val="single" w:color="auto" w:sz="4" w:space="0"/>
              <w:right w:val="single" w:color="auto" w:sz="4" w:space="0"/>
            </w:tcBorders>
            <w:shd w:val="clear" w:color="auto" w:fill="auto"/>
            <w:noWrap/>
            <w:vAlign w:val="center"/>
          </w:tcPr>
          <w:p w14:paraId="03ABF05E">
            <w:pPr>
              <w:keepNext w:val="0"/>
              <w:keepLines w:val="0"/>
              <w:widowControl/>
              <w:suppressLineNumbers w:val="0"/>
              <w:jc w:val="left"/>
              <w:textAlignment w:val="center"/>
              <w:rPr>
                <w:rFonts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39908</w:t>
            </w:r>
          </w:p>
        </w:tc>
        <w:tc>
          <w:tcPr>
            <w:tcW w:w="3075" w:type="dxa"/>
            <w:tcBorders>
              <w:top w:val="nil"/>
              <w:left w:val="nil"/>
              <w:bottom w:val="single" w:color="auto" w:sz="4" w:space="0"/>
              <w:right w:val="single" w:color="auto" w:sz="4" w:space="0"/>
            </w:tcBorders>
            <w:shd w:val="clear" w:color="auto" w:fill="auto"/>
            <w:noWrap/>
            <w:vAlign w:val="center"/>
          </w:tcPr>
          <w:p w14:paraId="7B763146">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对民间非营利组织和群众性自治组织补贴</w:t>
            </w:r>
          </w:p>
        </w:tc>
        <w:tc>
          <w:tcPr>
            <w:tcW w:w="1005" w:type="dxa"/>
            <w:tcBorders>
              <w:top w:val="nil"/>
              <w:left w:val="nil"/>
              <w:bottom w:val="single" w:color="auto" w:sz="4" w:space="0"/>
              <w:right w:val="single" w:color="auto" w:sz="4" w:space="0"/>
            </w:tcBorders>
            <w:shd w:val="clear" w:color="auto" w:fill="auto"/>
            <w:noWrap/>
            <w:vAlign w:val="center"/>
          </w:tcPr>
          <w:p w14:paraId="20D950C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3962BD64">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5E1A69C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30309</w:t>
            </w:r>
          </w:p>
        </w:tc>
        <w:tc>
          <w:tcPr>
            <w:tcW w:w="3175" w:type="dxa"/>
            <w:tcBorders>
              <w:top w:val="nil"/>
              <w:left w:val="nil"/>
              <w:bottom w:val="single" w:color="auto" w:sz="4" w:space="0"/>
              <w:right w:val="single" w:color="auto" w:sz="4" w:space="0"/>
            </w:tcBorders>
            <w:shd w:val="clear" w:color="auto" w:fill="auto"/>
            <w:noWrap/>
            <w:vAlign w:val="center"/>
          </w:tcPr>
          <w:p w14:paraId="04A916C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奖励金</w:t>
            </w:r>
          </w:p>
        </w:tc>
        <w:tc>
          <w:tcPr>
            <w:tcW w:w="850" w:type="dxa"/>
            <w:tcBorders>
              <w:top w:val="nil"/>
              <w:left w:val="nil"/>
              <w:bottom w:val="single" w:color="auto" w:sz="4" w:space="0"/>
              <w:right w:val="single" w:color="auto" w:sz="4" w:space="0"/>
            </w:tcBorders>
            <w:shd w:val="clear" w:color="auto" w:fill="auto"/>
            <w:noWrap/>
            <w:vAlign w:val="center"/>
          </w:tcPr>
          <w:p w14:paraId="7AD9925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0.12</w:t>
            </w:r>
          </w:p>
        </w:tc>
        <w:tc>
          <w:tcPr>
            <w:tcW w:w="1138" w:type="dxa"/>
            <w:tcBorders>
              <w:top w:val="nil"/>
              <w:left w:val="nil"/>
              <w:bottom w:val="single" w:color="auto" w:sz="4" w:space="0"/>
              <w:right w:val="single" w:color="auto" w:sz="4" w:space="0"/>
            </w:tcBorders>
            <w:shd w:val="clear" w:color="auto" w:fill="auto"/>
            <w:noWrap/>
            <w:vAlign w:val="center"/>
          </w:tcPr>
          <w:p w14:paraId="1A60DA3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30229</w:t>
            </w:r>
          </w:p>
        </w:tc>
        <w:tc>
          <w:tcPr>
            <w:tcW w:w="2139" w:type="dxa"/>
            <w:tcBorders>
              <w:top w:val="nil"/>
              <w:left w:val="nil"/>
              <w:bottom w:val="single" w:color="auto" w:sz="4" w:space="0"/>
              <w:right w:val="single" w:color="auto" w:sz="4" w:space="0"/>
            </w:tcBorders>
            <w:shd w:val="clear" w:color="auto" w:fill="auto"/>
            <w:noWrap/>
            <w:vAlign w:val="center"/>
          </w:tcPr>
          <w:p w14:paraId="79B778F1">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福利费</w:t>
            </w:r>
          </w:p>
        </w:tc>
        <w:tc>
          <w:tcPr>
            <w:tcW w:w="907" w:type="dxa"/>
            <w:tcBorders>
              <w:top w:val="nil"/>
              <w:left w:val="nil"/>
              <w:bottom w:val="single" w:color="auto" w:sz="4" w:space="0"/>
              <w:right w:val="single" w:color="auto" w:sz="4" w:space="0"/>
            </w:tcBorders>
            <w:shd w:val="clear" w:color="auto" w:fill="auto"/>
            <w:noWrap/>
            <w:vAlign w:val="center"/>
          </w:tcPr>
          <w:p w14:paraId="72B7224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7D0C1EB6">
            <w:pPr>
              <w:keepNext w:val="0"/>
              <w:keepLines w:val="0"/>
              <w:widowControl/>
              <w:suppressLineNumbers w:val="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2"/>
                <w:szCs w:val="22"/>
                <w:u w:val="none"/>
                <w:lang w:val="en-US" w:eastAsia="zh-CN" w:bidi="ar"/>
              </w:rPr>
              <w:t>39909</w:t>
            </w:r>
          </w:p>
        </w:tc>
        <w:tc>
          <w:tcPr>
            <w:tcW w:w="3075" w:type="dxa"/>
            <w:tcBorders>
              <w:top w:val="nil"/>
              <w:left w:val="nil"/>
              <w:bottom w:val="single" w:color="auto" w:sz="4" w:space="0"/>
              <w:right w:val="single" w:color="auto" w:sz="4" w:space="0"/>
            </w:tcBorders>
            <w:shd w:val="clear" w:color="auto" w:fill="auto"/>
            <w:noWrap/>
            <w:vAlign w:val="center"/>
          </w:tcPr>
          <w:p w14:paraId="1BDDE77A">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经常性赠与</w:t>
            </w:r>
          </w:p>
          <w:p w14:paraId="6942AB61">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资本性赠与</w:t>
            </w:r>
          </w:p>
          <w:p w14:paraId="0F0C30A3">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宋体" w:hAnsi="宋体" w:eastAsia="宋体" w:cs="宋体"/>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2DF6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FC87">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经常性赠与</w:t>
                  </w:r>
                </w:p>
              </w:tc>
            </w:tr>
            <w:tr w14:paraId="01BA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B6BF">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资本性赠与</w:t>
                  </w:r>
                </w:p>
              </w:tc>
            </w:tr>
          </w:tbl>
          <w:p w14:paraId="296F6AB2">
            <w:pPr>
              <w:keepNext w:val="0"/>
              <w:keepLines w:val="0"/>
              <w:pageBreakBefore w:val="0"/>
              <w:widowControl w:val="0"/>
              <w:kinsoku/>
              <w:wordWrap/>
              <w:overflowPunct/>
              <w:topLinePunct w:val="0"/>
              <w:autoSpaceDE/>
              <w:autoSpaceDN/>
              <w:bidi w:val="0"/>
              <w:adjustRightInd/>
              <w:snapToGrid/>
              <w:spacing w:line="220" w:lineRule="exact"/>
              <w:jc w:val="left"/>
              <w:rPr>
                <w:rFonts w:hint="eastAsia" w:ascii="宋体" w:hAnsi="宋体" w:eastAsia="宋体" w:cs="宋体"/>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51BF8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6405">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经常性赠与</w:t>
                  </w:r>
                </w:p>
              </w:tc>
            </w:tr>
            <w:tr w14:paraId="02046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FA16">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资本性赠与</w:t>
                  </w:r>
                </w:p>
              </w:tc>
            </w:tr>
          </w:tbl>
          <w:p w14:paraId="76D665D9">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p>
        </w:tc>
        <w:tc>
          <w:tcPr>
            <w:tcW w:w="1005" w:type="dxa"/>
            <w:tcBorders>
              <w:top w:val="nil"/>
              <w:left w:val="nil"/>
              <w:bottom w:val="single" w:color="auto" w:sz="4" w:space="0"/>
              <w:right w:val="single" w:color="auto" w:sz="4" w:space="0"/>
            </w:tcBorders>
            <w:shd w:val="clear" w:color="auto" w:fill="auto"/>
            <w:noWrap/>
            <w:vAlign w:val="center"/>
          </w:tcPr>
          <w:p w14:paraId="2AEE2F2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0F0F6527">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3BEAB11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30310</w:t>
            </w:r>
          </w:p>
        </w:tc>
        <w:tc>
          <w:tcPr>
            <w:tcW w:w="3175" w:type="dxa"/>
            <w:tcBorders>
              <w:top w:val="nil"/>
              <w:left w:val="nil"/>
              <w:bottom w:val="single" w:color="auto" w:sz="4" w:space="0"/>
              <w:right w:val="single" w:color="auto" w:sz="4" w:space="0"/>
            </w:tcBorders>
            <w:shd w:val="clear" w:color="auto" w:fill="auto"/>
            <w:noWrap/>
            <w:vAlign w:val="center"/>
          </w:tcPr>
          <w:p w14:paraId="54E163A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个人农业生产补贴</w:t>
            </w:r>
          </w:p>
        </w:tc>
        <w:tc>
          <w:tcPr>
            <w:tcW w:w="850" w:type="dxa"/>
            <w:tcBorders>
              <w:top w:val="nil"/>
              <w:left w:val="nil"/>
              <w:bottom w:val="single" w:color="auto" w:sz="4" w:space="0"/>
              <w:right w:val="single" w:color="auto" w:sz="4" w:space="0"/>
            </w:tcBorders>
            <w:shd w:val="clear" w:color="auto" w:fill="auto"/>
            <w:noWrap/>
            <w:vAlign w:val="center"/>
          </w:tcPr>
          <w:p w14:paraId="62B5196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48A9DC2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30231</w:t>
            </w:r>
          </w:p>
        </w:tc>
        <w:tc>
          <w:tcPr>
            <w:tcW w:w="2139" w:type="dxa"/>
            <w:tcBorders>
              <w:top w:val="nil"/>
              <w:left w:val="nil"/>
              <w:bottom w:val="single" w:color="auto" w:sz="4" w:space="0"/>
              <w:right w:val="single" w:color="auto" w:sz="4" w:space="0"/>
            </w:tcBorders>
            <w:shd w:val="clear" w:color="auto" w:fill="auto"/>
            <w:noWrap/>
            <w:vAlign w:val="center"/>
          </w:tcPr>
          <w:p w14:paraId="609E7CDD">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公务用车运行维护费</w:t>
            </w:r>
          </w:p>
        </w:tc>
        <w:tc>
          <w:tcPr>
            <w:tcW w:w="907" w:type="dxa"/>
            <w:tcBorders>
              <w:top w:val="nil"/>
              <w:left w:val="nil"/>
              <w:bottom w:val="single" w:color="auto" w:sz="4" w:space="0"/>
              <w:right w:val="single" w:color="auto" w:sz="4" w:space="0"/>
            </w:tcBorders>
            <w:shd w:val="clear" w:color="auto" w:fill="auto"/>
            <w:noWrap/>
            <w:vAlign w:val="center"/>
          </w:tcPr>
          <w:p w14:paraId="759A488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E15123C">
            <w:pPr>
              <w:keepNext w:val="0"/>
              <w:keepLines w:val="0"/>
              <w:widowControl/>
              <w:suppressLineNumbers w:val="0"/>
              <w:jc w:val="left"/>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i w:val="0"/>
                <w:iCs w:val="0"/>
                <w:color w:val="000000"/>
                <w:kern w:val="0"/>
                <w:sz w:val="22"/>
                <w:szCs w:val="22"/>
                <w:u w:val="none"/>
                <w:lang w:val="en-US" w:eastAsia="zh-CN" w:bidi="ar"/>
              </w:rPr>
              <w:t>39910</w:t>
            </w:r>
          </w:p>
        </w:tc>
        <w:tc>
          <w:tcPr>
            <w:tcW w:w="3075" w:type="dxa"/>
            <w:tcBorders>
              <w:top w:val="nil"/>
              <w:left w:val="nil"/>
              <w:bottom w:val="single" w:color="auto" w:sz="4" w:space="0"/>
              <w:right w:val="single" w:color="auto" w:sz="4" w:space="0"/>
            </w:tcBorders>
            <w:shd w:val="clear" w:color="auto" w:fill="auto"/>
            <w:noWrap/>
            <w:vAlign w:val="center"/>
          </w:tcPr>
          <w:p w14:paraId="0C5828B9">
            <w:pPr>
              <w:keepNext w:val="0"/>
              <w:keepLines w:val="0"/>
              <w:pageBreakBefore w:val="0"/>
              <w:widowControl w:val="0"/>
              <w:kinsoku/>
              <w:wordWrap/>
              <w:overflowPunct/>
              <w:topLinePunct w:val="0"/>
              <w:autoSpaceDE/>
              <w:autoSpaceDN/>
              <w:bidi w:val="0"/>
              <w:adjustRightInd/>
              <w:snapToGrid/>
              <w:spacing w:line="220" w:lineRule="exact"/>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 xml:space="preserve">  资本性赠与</w:t>
            </w:r>
          </w:p>
        </w:tc>
        <w:tc>
          <w:tcPr>
            <w:tcW w:w="1005" w:type="dxa"/>
            <w:tcBorders>
              <w:top w:val="nil"/>
              <w:left w:val="nil"/>
              <w:bottom w:val="single" w:color="auto" w:sz="4" w:space="0"/>
              <w:right w:val="single" w:color="auto" w:sz="4" w:space="0"/>
            </w:tcBorders>
            <w:shd w:val="clear" w:color="auto" w:fill="auto"/>
            <w:noWrap/>
            <w:vAlign w:val="center"/>
          </w:tcPr>
          <w:p w14:paraId="4E94535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467F3A28">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0AFBBF3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30311</w:t>
            </w:r>
          </w:p>
        </w:tc>
        <w:tc>
          <w:tcPr>
            <w:tcW w:w="3175" w:type="dxa"/>
            <w:tcBorders>
              <w:top w:val="nil"/>
              <w:left w:val="nil"/>
              <w:bottom w:val="single" w:color="auto" w:sz="4" w:space="0"/>
              <w:right w:val="single" w:color="auto" w:sz="4" w:space="0"/>
            </w:tcBorders>
            <w:shd w:val="clear" w:color="auto" w:fill="auto"/>
            <w:noWrap/>
            <w:vAlign w:val="center"/>
          </w:tcPr>
          <w:p w14:paraId="4ED71E1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代缴社会保险费</w:t>
            </w:r>
          </w:p>
        </w:tc>
        <w:tc>
          <w:tcPr>
            <w:tcW w:w="850" w:type="dxa"/>
            <w:tcBorders>
              <w:top w:val="nil"/>
              <w:left w:val="nil"/>
              <w:bottom w:val="single" w:color="auto" w:sz="4" w:space="0"/>
              <w:right w:val="single" w:color="auto" w:sz="4" w:space="0"/>
            </w:tcBorders>
            <w:shd w:val="clear" w:color="auto" w:fill="auto"/>
            <w:noWrap/>
            <w:vAlign w:val="center"/>
          </w:tcPr>
          <w:p w14:paraId="6357DE6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133B480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30239</w:t>
            </w:r>
          </w:p>
        </w:tc>
        <w:tc>
          <w:tcPr>
            <w:tcW w:w="2139" w:type="dxa"/>
            <w:tcBorders>
              <w:top w:val="nil"/>
              <w:left w:val="nil"/>
              <w:bottom w:val="single" w:color="auto" w:sz="4" w:space="0"/>
              <w:right w:val="single" w:color="auto" w:sz="4" w:space="0"/>
            </w:tcBorders>
            <w:shd w:val="clear" w:color="auto" w:fill="auto"/>
            <w:noWrap/>
            <w:vAlign w:val="center"/>
          </w:tcPr>
          <w:p w14:paraId="1BB0A7D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其他交通费用</w:t>
            </w:r>
          </w:p>
        </w:tc>
        <w:tc>
          <w:tcPr>
            <w:tcW w:w="907" w:type="dxa"/>
            <w:tcBorders>
              <w:top w:val="nil"/>
              <w:left w:val="nil"/>
              <w:bottom w:val="single" w:color="auto" w:sz="4" w:space="0"/>
              <w:right w:val="single" w:color="auto" w:sz="4" w:space="0"/>
            </w:tcBorders>
            <w:shd w:val="clear" w:color="auto" w:fill="auto"/>
            <w:noWrap/>
            <w:vAlign w:val="center"/>
          </w:tcPr>
          <w:p w14:paraId="524E42B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17.09</w:t>
            </w:r>
          </w:p>
        </w:tc>
        <w:tc>
          <w:tcPr>
            <w:tcW w:w="1200" w:type="dxa"/>
            <w:tcBorders>
              <w:top w:val="nil"/>
              <w:left w:val="nil"/>
              <w:bottom w:val="single" w:color="auto" w:sz="4" w:space="0"/>
              <w:right w:val="single" w:color="auto" w:sz="4" w:space="0"/>
            </w:tcBorders>
            <w:shd w:val="clear" w:color="auto" w:fill="auto"/>
            <w:noWrap/>
            <w:vAlign w:val="center"/>
          </w:tcPr>
          <w:p w14:paraId="6A9A4AC6">
            <w:pPr>
              <w:keepNext w:val="0"/>
              <w:keepLines w:val="0"/>
              <w:widowControl/>
              <w:suppressLineNumbers w:val="0"/>
              <w:jc w:val="left"/>
              <w:textAlignment w:val="center"/>
              <w:rPr>
                <w:rFonts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39999</w:t>
            </w:r>
          </w:p>
        </w:tc>
        <w:tc>
          <w:tcPr>
            <w:tcW w:w="3075" w:type="dxa"/>
            <w:tcBorders>
              <w:top w:val="nil"/>
              <w:left w:val="nil"/>
              <w:bottom w:val="single" w:color="auto" w:sz="4" w:space="0"/>
              <w:right w:val="single" w:color="auto" w:sz="4" w:space="0"/>
            </w:tcBorders>
            <w:shd w:val="clear" w:color="auto" w:fill="auto"/>
            <w:noWrap/>
            <w:vAlign w:val="center"/>
          </w:tcPr>
          <w:p w14:paraId="333AD0E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 xml:space="preserve">  其他支出</w:t>
            </w:r>
          </w:p>
        </w:tc>
        <w:tc>
          <w:tcPr>
            <w:tcW w:w="1005" w:type="dxa"/>
            <w:tcBorders>
              <w:top w:val="nil"/>
              <w:left w:val="nil"/>
              <w:bottom w:val="single" w:color="auto" w:sz="4" w:space="0"/>
              <w:right w:val="single" w:color="auto" w:sz="4" w:space="0"/>
            </w:tcBorders>
            <w:shd w:val="clear" w:color="auto" w:fill="auto"/>
            <w:noWrap/>
            <w:vAlign w:val="center"/>
          </w:tcPr>
          <w:p w14:paraId="5D606F4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r>
      <w:tr w14:paraId="4C3DECBB">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222E6DC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30399</w:t>
            </w:r>
          </w:p>
        </w:tc>
        <w:tc>
          <w:tcPr>
            <w:tcW w:w="3175" w:type="dxa"/>
            <w:tcBorders>
              <w:top w:val="nil"/>
              <w:left w:val="nil"/>
              <w:bottom w:val="single" w:color="auto" w:sz="4" w:space="0"/>
              <w:right w:val="single" w:color="auto" w:sz="4" w:space="0"/>
            </w:tcBorders>
            <w:shd w:val="clear" w:color="auto" w:fill="auto"/>
            <w:noWrap/>
            <w:vAlign w:val="center"/>
          </w:tcPr>
          <w:p w14:paraId="48BF0B2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其他对个人和家庭的补助</w:t>
            </w:r>
          </w:p>
        </w:tc>
        <w:tc>
          <w:tcPr>
            <w:tcW w:w="850" w:type="dxa"/>
            <w:tcBorders>
              <w:top w:val="nil"/>
              <w:left w:val="nil"/>
              <w:bottom w:val="single" w:color="auto" w:sz="4" w:space="0"/>
              <w:right w:val="single" w:color="auto" w:sz="4" w:space="0"/>
            </w:tcBorders>
            <w:shd w:val="clear" w:color="auto" w:fill="auto"/>
            <w:noWrap/>
            <w:vAlign w:val="center"/>
          </w:tcPr>
          <w:p w14:paraId="4E01933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138" w:type="dxa"/>
            <w:tcBorders>
              <w:top w:val="nil"/>
              <w:left w:val="nil"/>
              <w:bottom w:val="single" w:color="auto" w:sz="4" w:space="0"/>
              <w:right w:val="single" w:color="auto" w:sz="4" w:space="0"/>
            </w:tcBorders>
            <w:shd w:val="clear" w:color="auto" w:fill="auto"/>
            <w:noWrap/>
            <w:vAlign w:val="center"/>
          </w:tcPr>
          <w:p w14:paraId="2F91496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30240</w:t>
            </w:r>
          </w:p>
        </w:tc>
        <w:tc>
          <w:tcPr>
            <w:tcW w:w="2139" w:type="dxa"/>
            <w:tcBorders>
              <w:top w:val="nil"/>
              <w:left w:val="nil"/>
              <w:bottom w:val="single" w:color="auto" w:sz="4" w:space="0"/>
              <w:right w:val="single" w:color="auto" w:sz="4" w:space="0"/>
            </w:tcBorders>
            <w:shd w:val="clear" w:color="auto" w:fill="auto"/>
            <w:noWrap/>
            <w:vAlign w:val="center"/>
          </w:tcPr>
          <w:p w14:paraId="41A1CD7B">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税金及附加费用</w:t>
            </w:r>
          </w:p>
        </w:tc>
        <w:tc>
          <w:tcPr>
            <w:tcW w:w="907" w:type="dxa"/>
            <w:tcBorders>
              <w:top w:val="nil"/>
              <w:left w:val="nil"/>
              <w:bottom w:val="single" w:color="auto" w:sz="4" w:space="0"/>
              <w:right w:val="single" w:color="auto" w:sz="4" w:space="0"/>
            </w:tcBorders>
            <w:shd w:val="clear" w:color="auto" w:fill="auto"/>
            <w:noWrap/>
            <w:vAlign w:val="center"/>
          </w:tcPr>
          <w:p w14:paraId="42B9731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190E17BE">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3075" w:type="dxa"/>
            <w:tcBorders>
              <w:top w:val="nil"/>
              <w:left w:val="nil"/>
              <w:bottom w:val="single" w:color="auto" w:sz="4" w:space="0"/>
              <w:right w:val="single" w:color="auto" w:sz="4" w:space="0"/>
            </w:tcBorders>
            <w:shd w:val="clear" w:color="auto" w:fill="auto"/>
            <w:noWrap/>
            <w:vAlign w:val="center"/>
          </w:tcPr>
          <w:p w14:paraId="63C75E8D">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005" w:type="dxa"/>
            <w:tcBorders>
              <w:top w:val="nil"/>
              <w:left w:val="nil"/>
              <w:bottom w:val="single" w:color="auto" w:sz="4" w:space="0"/>
              <w:right w:val="single" w:color="auto" w:sz="4" w:space="0"/>
            </w:tcBorders>
            <w:shd w:val="clear" w:color="auto" w:fill="auto"/>
            <w:noWrap/>
            <w:vAlign w:val="center"/>
          </w:tcPr>
          <w:p w14:paraId="7D2BFA5F">
            <w:pPr>
              <w:jc w:val="right"/>
              <w:rPr>
                <w:rFonts w:ascii="宋体" w:hAnsi="宋体" w:eastAsia="宋体" w:cs="宋体"/>
                <w:color w:val="000000"/>
                <w:kern w:val="0"/>
                <w:sz w:val="21"/>
                <w:szCs w:val="21"/>
              </w:rPr>
            </w:pPr>
          </w:p>
        </w:tc>
      </w:tr>
      <w:tr w14:paraId="1FE835D0">
        <w:tblPrEx>
          <w:tblCellMar>
            <w:top w:w="0" w:type="dxa"/>
            <w:left w:w="108" w:type="dxa"/>
            <w:bottom w:w="0" w:type="dxa"/>
            <w:right w:w="108" w:type="dxa"/>
          </w:tblCellMar>
        </w:tblPrEx>
        <w:trPr>
          <w:trHeight w:val="255" w:hRule="exact"/>
        </w:trPr>
        <w:tc>
          <w:tcPr>
            <w:tcW w:w="1188" w:type="dxa"/>
            <w:tcBorders>
              <w:top w:val="nil"/>
              <w:left w:val="single" w:color="auto" w:sz="4" w:space="0"/>
              <w:bottom w:val="single" w:color="auto" w:sz="4" w:space="0"/>
              <w:right w:val="single" w:color="auto" w:sz="4" w:space="0"/>
            </w:tcBorders>
            <w:shd w:val="clear" w:color="auto" w:fill="auto"/>
            <w:noWrap/>
            <w:vAlign w:val="center"/>
          </w:tcPr>
          <w:p w14:paraId="0E1FD1C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3175" w:type="dxa"/>
            <w:tcBorders>
              <w:top w:val="nil"/>
              <w:left w:val="nil"/>
              <w:bottom w:val="single" w:color="auto" w:sz="4" w:space="0"/>
              <w:right w:val="single" w:color="auto" w:sz="4" w:space="0"/>
            </w:tcBorders>
            <w:shd w:val="clear" w:color="auto" w:fill="auto"/>
            <w:noWrap/>
            <w:vAlign w:val="center"/>
          </w:tcPr>
          <w:p w14:paraId="22BD4AE7">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850" w:type="dxa"/>
            <w:tcBorders>
              <w:top w:val="nil"/>
              <w:left w:val="nil"/>
              <w:bottom w:val="single" w:color="auto" w:sz="4" w:space="0"/>
              <w:right w:val="single" w:color="auto" w:sz="4" w:space="0"/>
            </w:tcBorders>
            <w:shd w:val="clear" w:color="auto" w:fill="auto"/>
            <w:noWrap/>
            <w:vAlign w:val="center"/>
          </w:tcPr>
          <w:p w14:paraId="365A5DBE">
            <w:pPr>
              <w:jc w:val="right"/>
              <w:rPr>
                <w:rFonts w:ascii="宋体" w:hAnsi="宋体" w:eastAsia="宋体" w:cs="宋体"/>
                <w:color w:val="000000"/>
                <w:kern w:val="0"/>
                <w:sz w:val="21"/>
                <w:szCs w:val="21"/>
              </w:rPr>
            </w:pPr>
          </w:p>
        </w:tc>
        <w:tc>
          <w:tcPr>
            <w:tcW w:w="1138" w:type="dxa"/>
            <w:tcBorders>
              <w:top w:val="nil"/>
              <w:left w:val="nil"/>
              <w:bottom w:val="single" w:color="auto" w:sz="4" w:space="0"/>
              <w:right w:val="single" w:color="auto" w:sz="4" w:space="0"/>
            </w:tcBorders>
            <w:shd w:val="clear" w:color="auto" w:fill="auto"/>
            <w:noWrap/>
            <w:vAlign w:val="center"/>
          </w:tcPr>
          <w:p w14:paraId="0F74CD5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30299</w:t>
            </w:r>
          </w:p>
        </w:tc>
        <w:tc>
          <w:tcPr>
            <w:tcW w:w="2139" w:type="dxa"/>
            <w:tcBorders>
              <w:top w:val="nil"/>
              <w:left w:val="nil"/>
              <w:bottom w:val="single" w:color="auto" w:sz="4" w:space="0"/>
              <w:right w:val="single" w:color="auto" w:sz="4" w:space="0"/>
            </w:tcBorders>
            <w:shd w:val="clear" w:color="auto" w:fill="auto"/>
            <w:noWrap/>
            <w:vAlign w:val="center"/>
          </w:tcPr>
          <w:p w14:paraId="5A54F95A">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其他商品和服务支出</w:t>
            </w:r>
          </w:p>
        </w:tc>
        <w:tc>
          <w:tcPr>
            <w:tcW w:w="907" w:type="dxa"/>
            <w:tcBorders>
              <w:top w:val="nil"/>
              <w:left w:val="nil"/>
              <w:bottom w:val="single" w:color="auto" w:sz="4" w:space="0"/>
              <w:right w:val="single" w:color="auto" w:sz="4" w:space="0"/>
            </w:tcBorders>
            <w:shd w:val="clear" w:color="auto" w:fill="auto"/>
            <w:noWrap/>
            <w:vAlign w:val="center"/>
          </w:tcPr>
          <w:p w14:paraId="22FD3D8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7BED8CAC">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3075" w:type="dxa"/>
            <w:tcBorders>
              <w:top w:val="nil"/>
              <w:left w:val="nil"/>
              <w:bottom w:val="single" w:color="auto" w:sz="4" w:space="0"/>
              <w:right w:val="single" w:color="auto" w:sz="4" w:space="0"/>
            </w:tcBorders>
            <w:shd w:val="clear" w:color="auto" w:fill="auto"/>
            <w:noWrap/>
            <w:vAlign w:val="center"/>
          </w:tcPr>
          <w:p w14:paraId="0068C479">
            <w:pPr>
              <w:keepNext w:val="0"/>
              <w:keepLines w:val="0"/>
              <w:pageBreakBefore w:val="0"/>
              <w:widowControl w:val="0"/>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c>
          <w:tcPr>
            <w:tcW w:w="1005" w:type="dxa"/>
            <w:tcBorders>
              <w:top w:val="nil"/>
              <w:left w:val="nil"/>
              <w:bottom w:val="single" w:color="auto" w:sz="4" w:space="0"/>
              <w:right w:val="single" w:color="auto" w:sz="4" w:space="0"/>
            </w:tcBorders>
            <w:shd w:val="clear" w:color="auto" w:fill="auto"/>
            <w:noWrap/>
            <w:vAlign w:val="center"/>
          </w:tcPr>
          <w:p w14:paraId="5CA56963">
            <w:pPr>
              <w:jc w:val="right"/>
              <w:rPr>
                <w:rFonts w:ascii="宋体" w:hAnsi="宋体" w:eastAsia="宋体" w:cs="宋体"/>
                <w:color w:val="000000"/>
                <w:kern w:val="0"/>
                <w:sz w:val="21"/>
                <w:szCs w:val="21"/>
              </w:rPr>
            </w:pPr>
          </w:p>
        </w:tc>
      </w:tr>
      <w:tr w14:paraId="189E21A2">
        <w:tblPrEx>
          <w:tblCellMar>
            <w:top w:w="0" w:type="dxa"/>
            <w:left w:w="108" w:type="dxa"/>
            <w:bottom w:w="0" w:type="dxa"/>
            <w:right w:w="108" w:type="dxa"/>
          </w:tblCellMar>
        </w:tblPrEx>
        <w:trPr>
          <w:trHeight w:val="255" w:hRule="exact"/>
        </w:trPr>
        <w:tc>
          <w:tcPr>
            <w:tcW w:w="43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AEA005">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人员经费合计</w:t>
            </w:r>
          </w:p>
        </w:tc>
        <w:tc>
          <w:tcPr>
            <w:tcW w:w="850" w:type="dxa"/>
            <w:tcBorders>
              <w:top w:val="nil"/>
              <w:left w:val="nil"/>
              <w:bottom w:val="single" w:color="auto" w:sz="4" w:space="0"/>
              <w:right w:val="single" w:color="auto" w:sz="4" w:space="0"/>
            </w:tcBorders>
            <w:shd w:val="clear" w:color="auto" w:fill="auto"/>
            <w:noWrap/>
            <w:vAlign w:val="center"/>
          </w:tcPr>
          <w:p w14:paraId="74F1589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251.86</w:t>
            </w:r>
          </w:p>
        </w:tc>
        <w:tc>
          <w:tcPr>
            <w:tcW w:w="8459" w:type="dxa"/>
            <w:gridSpan w:val="5"/>
            <w:tcBorders>
              <w:top w:val="single" w:color="auto" w:sz="4" w:space="0"/>
              <w:left w:val="nil"/>
              <w:bottom w:val="single" w:color="auto" w:sz="4" w:space="0"/>
              <w:right w:val="single" w:color="auto" w:sz="4" w:space="0"/>
            </w:tcBorders>
            <w:shd w:val="clear" w:color="auto" w:fill="auto"/>
            <w:noWrap/>
            <w:vAlign w:val="center"/>
          </w:tcPr>
          <w:p w14:paraId="39994AD0">
            <w:pPr>
              <w:keepNext w:val="0"/>
              <w:keepLines w:val="0"/>
              <w:pageBreakBefore w:val="0"/>
              <w:widowControl w:val="0"/>
              <w:kinsoku/>
              <w:wordWrap/>
              <w:overflowPunct/>
              <w:topLinePunct w:val="0"/>
              <w:autoSpaceDE/>
              <w:autoSpaceDN/>
              <w:bidi w:val="0"/>
              <w:adjustRightInd/>
              <w:snapToGrid/>
              <w:spacing w:line="22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公用经费合计</w:t>
            </w:r>
          </w:p>
        </w:tc>
        <w:tc>
          <w:tcPr>
            <w:tcW w:w="1005" w:type="dxa"/>
            <w:tcBorders>
              <w:top w:val="nil"/>
              <w:left w:val="nil"/>
              <w:bottom w:val="single" w:color="auto" w:sz="4" w:space="0"/>
              <w:right w:val="single" w:color="auto" w:sz="4" w:space="0"/>
            </w:tcBorders>
            <w:shd w:val="clear" w:color="auto" w:fill="auto"/>
            <w:noWrap/>
            <w:vAlign w:val="center"/>
          </w:tcPr>
          <w:p w14:paraId="23B1514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40.57</w:t>
            </w:r>
          </w:p>
        </w:tc>
      </w:tr>
    </w:tbl>
    <w:p w14:paraId="2993E28F">
      <w:pPr>
        <w:rPr>
          <w:rFonts w:hint="eastAsia" w:ascii="华文中宋" w:hAnsi="华文中宋" w:eastAsia="华文中宋" w:cs="华文中宋"/>
          <w:i w:val="0"/>
          <w:color w:val="000000"/>
          <w:kern w:val="0"/>
          <w:sz w:val="21"/>
          <w:szCs w:val="21"/>
          <w:u w:val="none"/>
          <w:lang w:val="en-US" w:eastAsia="zh-CN" w:bidi="ar"/>
        </w:rPr>
      </w:pPr>
      <w:r>
        <w:rPr>
          <w:rFonts w:hint="eastAsia" w:ascii="宋体" w:hAnsi="宋体" w:eastAsia="宋体" w:cs="宋体"/>
          <w:color w:val="000000"/>
          <w:kern w:val="0"/>
          <w:sz w:val="21"/>
          <w:szCs w:val="21"/>
        </w:rPr>
        <w:t>注：本表反映部门本年度一般公共预算财政拨款基本支出明细情况。</w:t>
      </w:r>
    </w:p>
    <w:p w14:paraId="69917D94">
      <w:pP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br w:type="page"/>
      </w:r>
    </w:p>
    <w:p w14:paraId="6B9178E2">
      <w:pPr>
        <w:widowControl/>
        <w:jc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政府性基金预算财政拨款收入支出决算表</w:t>
      </w:r>
    </w:p>
    <w:p w14:paraId="1585ED2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 xml:space="preserve"> 公开</w:t>
      </w:r>
      <w:r>
        <w:rPr>
          <w:rFonts w:hint="eastAsia" w:ascii="Times New Roman" w:hAnsi="Times New Roman" w:eastAsia="仿宋_GB2312" w:cs="Times New Roman"/>
          <w:color w:val="000000"/>
          <w:kern w:val="0"/>
          <w:szCs w:val="21"/>
          <w:lang w:val="en-US" w:eastAsia="zh-CN"/>
        </w:rPr>
        <w:t>07</w:t>
      </w:r>
      <w:r>
        <w:rPr>
          <w:rFonts w:ascii="Times New Roman" w:hAnsi="Times New Roman" w:eastAsia="仿宋_GB2312" w:cs="Times New Roman"/>
          <w:color w:val="000000"/>
          <w:kern w:val="0"/>
          <w:szCs w:val="21"/>
        </w:rPr>
        <w:t>表</w:t>
      </w:r>
    </w:p>
    <w:p w14:paraId="7DF3C32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bCs/>
          <w:kern w:val="0"/>
          <w:szCs w:val="21"/>
        </w:rPr>
      </w:pPr>
      <w:r>
        <w:rPr>
          <w:rFonts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单位：万元</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9"/>
        <w:gridCol w:w="1302"/>
        <w:gridCol w:w="1959"/>
        <w:gridCol w:w="1979"/>
        <w:gridCol w:w="1959"/>
        <w:gridCol w:w="1998"/>
        <w:gridCol w:w="2104"/>
        <w:gridCol w:w="2146"/>
      </w:tblGrid>
      <w:tr w14:paraId="6A5E4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15A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项</w:t>
            </w:r>
            <w:r>
              <w:rPr>
                <w:rStyle w:val="19"/>
                <w:b/>
                <w:bCs/>
                <w:sz w:val="21"/>
                <w:szCs w:val="21"/>
                <w:lang w:val="en-US" w:eastAsia="zh-CN" w:bidi="ar"/>
              </w:rPr>
              <w:t>目</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726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年初结转和结余</w:t>
            </w:r>
          </w:p>
        </w:tc>
        <w:tc>
          <w:tcPr>
            <w:tcW w:w="19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DA6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本年收入</w:t>
            </w:r>
          </w:p>
        </w:tc>
        <w:tc>
          <w:tcPr>
            <w:tcW w:w="60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741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本年支出</w:t>
            </w:r>
          </w:p>
        </w:tc>
        <w:tc>
          <w:tcPr>
            <w:tcW w:w="2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413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年末结转和结余</w:t>
            </w:r>
          </w:p>
        </w:tc>
      </w:tr>
      <w:tr w14:paraId="2E8E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CD0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科目代码</w:t>
            </w: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491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科目名称</w:t>
            </w: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9F264">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3E561">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274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小计</w:t>
            </w:r>
          </w:p>
        </w:tc>
        <w:tc>
          <w:tcPr>
            <w:tcW w:w="1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281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 xml:space="preserve">基本支出  </w:t>
            </w:r>
          </w:p>
        </w:tc>
        <w:tc>
          <w:tcPr>
            <w:tcW w:w="2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099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项目支出</w:t>
            </w: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A829E">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r>
      <w:tr w14:paraId="6552C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3BD93">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740F">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52AC">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06046">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E7A2">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3831D">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330D9">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A30A">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r>
      <w:tr w14:paraId="5CBB7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73366">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E6853">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08CD">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F10E2">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CCA7F">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BC79D">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B8FB4">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89D7">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r>
      <w:tr w14:paraId="4DFF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D1C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栏次</w:t>
            </w: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CD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1</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1B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2</w:t>
            </w: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57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3</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AC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4</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52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27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6</w:t>
            </w:r>
          </w:p>
        </w:tc>
      </w:tr>
      <w:tr w14:paraId="0412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4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734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合计</w:t>
            </w: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945B">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A481">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827E">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EFF2">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5F43">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7467">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21"/>
                <w:szCs w:val="21"/>
                <w:u w:val="none"/>
              </w:rPr>
            </w:pPr>
          </w:p>
        </w:tc>
      </w:tr>
      <w:tr w14:paraId="2938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8B7E">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CA9B">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74F9">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27C7">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5A8E">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A420">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3E08">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36CE">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r w14:paraId="30B39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68D">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8442">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7321">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255F">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95E6">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DC46">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95B7">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40BF">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r w14:paraId="1C1C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B15C">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6F50">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3C0C">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4E11">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8EA9">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4C61">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3A08">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7088">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r w14:paraId="44178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1A02">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E874">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E6B5">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76C2">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7B93">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8B19">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A4A5">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C26D">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r w14:paraId="1B58E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A5CE">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45FC">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1A2B">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9CAC">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59E9">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573A">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A66A">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AFDB">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r w14:paraId="5E5C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57E5">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1"/>
                <w:szCs w:val="21"/>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7531">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E54C">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7119">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CC0A">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E3B1">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7943">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2FE">
            <w:pPr>
              <w:keepNext w:val="0"/>
              <w:keepLines w:val="0"/>
              <w:pageBreakBefore w:val="0"/>
              <w:widowControl w:val="0"/>
              <w:kinsoku/>
              <w:wordWrap/>
              <w:overflowPunct/>
              <w:topLinePunct w:val="0"/>
              <w:autoSpaceDE/>
              <w:autoSpaceDN/>
              <w:bidi w:val="0"/>
              <w:adjustRightInd/>
              <w:snapToGrid/>
              <w:spacing w:line="240" w:lineRule="exact"/>
              <w:rPr>
                <w:rFonts w:hint="eastAsia" w:ascii="宋体" w:hAnsi="宋体" w:eastAsia="宋体" w:cs="宋体"/>
                <w:i w:val="0"/>
                <w:color w:val="000000"/>
                <w:sz w:val="21"/>
                <w:szCs w:val="21"/>
                <w:u w:val="none"/>
              </w:rPr>
            </w:pPr>
          </w:p>
        </w:tc>
      </w:tr>
    </w:tbl>
    <w:p w14:paraId="481EC91D">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0C77ADB">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p w14:paraId="30DC9636">
      <w:pPr>
        <w:widowControl/>
        <w:jc w:val="both"/>
        <w:rPr>
          <w:rFonts w:hint="eastAsia" w:ascii="华文中宋" w:hAnsi="华文中宋" w:eastAsia="华文中宋" w:cs="华文中宋"/>
          <w:b w:val="0"/>
          <w:bCs w:val="0"/>
          <w:i w:val="0"/>
          <w:color w:val="000000"/>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说明：我单位没有政府性基金收入，也没有使用政府性基金安排的支出，故本表无数据。（当表格数据为空时，应有此说明）</w:t>
      </w:r>
    </w:p>
    <w:p w14:paraId="155C3534">
      <w:pPr>
        <w:rPr>
          <w:rFonts w:hint="eastAsia"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br w:type="page"/>
      </w:r>
    </w:p>
    <w:p w14:paraId="0A03F0C9">
      <w:pPr>
        <w:widowControl/>
        <w:jc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国有资本经营预算财政拨款支出决算表</w:t>
      </w:r>
    </w:p>
    <w:p w14:paraId="29DD001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部门：</w:t>
      </w:r>
      <w:r>
        <w:rPr>
          <w:rFonts w:hint="eastAsia" w:ascii="仿宋_GB2312" w:hAnsi="仿宋_GB2312" w:eastAsia="仿宋_GB2312" w:cs="仿宋_GB2312"/>
          <w:i w:val="0"/>
          <w:color w:val="000000"/>
          <w:kern w:val="0"/>
          <w:sz w:val="21"/>
          <w:szCs w:val="21"/>
          <w:u w:val="none"/>
          <w:lang w:val="en-US" w:eastAsia="zh-CN" w:bidi="ar"/>
        </w:rPr>
        <w:t xml:space="preserve">                                                                                                                      </w:t>
      </w:r>
      <w:r>
        <w:rPr>
          <w:rFonts w:hint="eastAsia" w:ascii="仿宋_GB2312" w:hAnsi="仿宋_GB2312" w:eastAsia="仿宋_GB2312" w:cs="仿宋_GB2312"/>
          <w:color w:val="000000"/>
          <w:kern w:val="0"/>
          <w:sz w:val="21"/>
          <w:szCs w:val="21"/>
        </w:rPr>
        <w:t xml:space="preserve"> 公开</w:t>
      </w:r>
      <w:r>
        <w:rPr>
          <w:rFonts w:hint="eastAsia" w:ascii="仿宋_GB2312" w:hAnsi="仿宋_GB2312" w:eastAsia="仿宋_GB2312" w:cs="仿宋_GB2312"/>
          <w:color w:val="000000"/>
          <w:kern w:val="0"/>
          <w:sz w:val="21"/>
          <w:szCs w:val="21"/>
          <w:lang w:val="en-US" w:eastAsia="zh-CN"/>
        </w:rPr>
        <w:t>08</w:t>
      </w:r>
      <w:r>
        <w:rPr>
          <w:rFonts w:hint="eastAsia" w:ascii="仿宋_GB2312" w:hAnsi="仿宋_GB2312" w:eastAsia="仿宋_GB2312" w:cs="仿宋_GB2312"/>
          <w:color w:val="000000"/>
          <w:kern w:val="0"/>
          <w:sz w:val="21"/>
          <w:szCs w:val="21"/>
        </w:rPr>
        <w:t>表</w:t>
      </w:r>
    </w:p>
    <w:p w14:paraId="4EDABA4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Cs/>
          <w:kern w:val="0"/>
          <w:sz w:val="21"/>
          <w:szCs w:val="21"/>
        </w:rPr>
      </w:pPr>
      <w:r>
        <w:rPr>
          <w:rFonts w:hint="eastAsia" w:ascii="仿宋_GB2312" w:hAnsi="仿宋_GB2312" w:eastAsia="仿宋_GB2312" w:cs="仿宋_GB2312"/>
          <w:color w:val="000000"/>
          <w:kern w:val="0"/>
          <w:sz w:val="21"/>
          <w:szCs w:val="21"/>
        </w:rPr>
        <w:t xml:space="preserve">   </w:t>
      </w:r>
      <w:r>
        <w:rPr>
          <w:rFonts w:hint="eastAsia" w:ascii="仿宋_GB2312" w:hAnsi="仿宋_GB2312" w:eastAsia="仿宋_GB2312" w:cs="仿宋_GB2312"/>
          <w:i w:val="0"/>
          <w:color w:val="000000"/>
          <w:kern w:val="0"/>
          <w:sz w:val="21"/>
          <w:szCs w:val="21"/>
          <w:u w:val="none"/>
          <w:lang w:val="en-US" w:eastAsia="zh-CN" w:bidi="ar"/>
        </w:rPr>
        <w:t xml:space="preserve">                                                                                                                          </w:t>
      </w:r>
      <w:r>
        <w:rPr>
          <w:rFonts w:hint="eastAsia" w:ascii="仿宋_GB2312" w:hAnsi="仿宋_GB2312" w:eastAsia="仿宋_GB2312" w:cs="仿宋_GB2312"/>
          <w:color w:val="000000"/>
          <w:kern w:val="0"/>
          <w:sz w:val="21"/>
          <w:szCs w:val="21"/>
        </w:rPr>
        <w:t>单位：万元</w:t>
      </w:r>
    </w:p>
    <w:tbl>
      <w:tblPr>
        <w:tblStyle w:val="11"/>
        <w:tblW w:w="147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79"/>
        <w:gridCol w:w="2237"/>
        <w:gridCol w:w="3229"/>
        <w:gridCol w:w="3236"/>
        <w:gridCol w:w="4059"/>
      </w:tblGrid>
      <w:tr w14:paraId="299F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2450D">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项</w:t>
            </w:r>
            <w:r>
              <w:rPr>
                <w:rStyle w:val="20"/>
                <w:b/>
                <w:bCs/>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0417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本年支出</w:t>
            </w:r>
          </w:p>
        </w:tc>
      </w:tr>
      <w:tr w14:paraId="19DD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C0255">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CA608">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BD30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DC2CC">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AEA5A">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项目支出</w:t>
            </w:r>
          </w:p>
        </w:tc>
      </w:tr>
      <w:tr w14:paraId="0FDF1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CA64C">
            <w:pPr>
              <w:jc w:val="center"/>
              <w:rPr>
                <w:rFonts w:hint="eastAsia" w:ascii="宋体" w:hAnsi="宋体" w:eastAsia="宋体" w:cs="宋体"/>
                <w:b/>
                <w:bCs/>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DF4B9">
            <w:pPr>
              <w:jc w:val="center"/>
              <w:rPr>
                <w:rFonts w:hint="eastAsia" w:ascii="宋体" w:hAnsi="宋体" w:eastAsia="宋体" w:cs="宋体"/>
                <w:b/>
                <w:bCs/>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C04FB">
            <w:pPr>
              <w:jc w:val="center"/>
              <w:rPr>
                <w:rFonts w:hint="eastAsia" w:ascii="宋体" w:hAnsi="宋体" w:eastAsia="宋体" w:cs="宋体"/>
                <w:b/>
                <w:bCs/>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48D44">
            <w:pPr>
              <w:jc w:val="center"/>
              <w:rPr>
                <w:rFonts w:hint="eastAsia" w:ascii="宋体" w:hAnsi="宋体" w:eastAsia="宋体" w:cs="宋体"/>
                <w:b/>
                <w:bCs/>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C53FD">
            <w:pPr>
              <w:jc w:val="center"/>
              <w:rPr>
                <w:rFonts w:hint="eastAsia" w:ascii="宋体" w:hAnsi="宋体" w:eastAsia="宋体" w:cs="宋体"/>
                <w:b/>
                <w:bCs/>
                <w:i w:val="0"/>
                <w:color w:val="000000"/>
                <w:sz w:val="24"/>
                <w:szCs w:val="24"/>
                <w:u w:val="none"/>
              </w:rPr>
            </w:pPr>
          </w:p>
        </w:tc>
      </w:tr>
      <w:tr w14:paraId="3A10A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7166">
            <w:pPr>
              <w:jc w:val="center"/>
              <w:rPr>
                <w:rFonts w:hint="eastAsia" w:ascii="宋体" w:hAnsi="宋体" w:eastAsia="宋体" w:cs="宋体"/>
                <w:b/>
                <w:bCs/>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4A4CF">
            <w:pPr>
              <w:jc w:val="center"/>
              <w:rPr>
                <w:rFonts w:hint="eastAsia" w:ascii="宋体" w:hAnsi="宋体" w:eastAsia="宋体" w:cs="宋体"/>
                <w:b/>
                <w:bCs/>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0646B">
            <w:pPr>
              <w:jc w:val="center"/>
              <w:rPr>
                <w:rFonts w:hint="eastAsia" w:ascii="宋体" w:hAnsi="宋体" w:eastAsia="宋体" w:cs="宋体"/>
                <w:b/>
                <w:bCs/>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6A8BC">
            <w:pPr>
              <w:jc w:val="center"/>
              <w:rPr>
                <w:rFonts w:hint="eastAsia" w:ascii="宋体" w:hAnsi="宋体" w:eastAsia="宋体" w:cs="宋体"/>
                <w:b/>
                <w:bCs/>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00FA1">
            <w:pPr>
              <w:jc w:val="center"/>
              <w:rPr>
                <w:rFonts w:hint="eastAsia" w:ascii="宋体" w:hAnsi="宋体" w:eastAsia="宋体" w:cs="宋体"/>
                <w:b/>
                <w:bCs/>
                <w:i w:val="0"/>
                <w:color w:val="000000"/>
                <w:sz w:val="24"/>
                <w:szCs w:val="24"/>
                <w:u w:val="none"/>
              </w:rPr>
            </w:pPr>
          </w:p>
        </w:tc>
      </w:tr>
      <w:tr w14:paraId="0D6F6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56875">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013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E819">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2FC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3</w:t>
            </w:r>
          </w:p>
        </w:tc>
      </w:tr>
      <w:tr w14:paraId="46577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BBE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5C42">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E08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2A4B">
            <w:pPr>
              <w:jc w:val="center"/>
              <w:rPr>
                <w:rFonts w:hint="eastAsia" w:ascii="宋体" w:hAnsi="宋体" w:eastAsia="宋体" w:cs="宋体"/>
                <w:i w:val="0"/>
                <w:color w:val="000000"/>
                <w:sz w:val="24"/>
                <w:szCs w:val="24"/>
                <w:u w:val="none"/>
              </w:rPr>
            </w:pPr>
          </w:p>
        </w:tc>
      </w:tr>
      <w:tr w14:paraId="217D5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3AB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C2A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040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205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F696">
            <w:pPr>
              <w:rPr>
                <w:rFonts w:hint="eastAsia" w:ascii="宋体" w:hAnsi="宋体" w:eastAsia="宋体" w:cs="宋体"/>
                <w:i w:val="0"/>
                <w:color w:val="000000"/>
                <w:sz w:val="24"/>
                <w:szCs w:val="24"/>
                <w:u w:val="none"/>
              </w:rPr>
            </w:pPr>
          </w:p>
        </w:tc>
      </w:tr>
      <w:tr w14:paraId="2D76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677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A43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84D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4D4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B5B2">
            <w:pPr>
              <w:rPr>
                <w:rFonts w:hint="eastAsia" w:ascii="宋体" w:hAnsi="宋体" w:eastAsia="宋体" w:cs="宋体"/>
                <w:i w:val="0"/>
                <w:color w:val="000000"/>
                <w:sz w:val="24"/>
                <w:szCs w:val="24"/>
                <w:u w:val="none"/>
              </w:rPr>
            </w:pPr>
          </w:p>
        </w:tc>
      </w:tr>
      <w:tr w14:paraId="50FC6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798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70E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6A8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C56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52DA">
            <w:pPr>
              <w:rPr>
                <w:rFonts w:hint="eastAsia" w:ascii="宋体" w:hAnsi="宋体" w:eastAsia="宋体" w:cs="宋体"/>
                <w:i w:val="0"/>
                <w:color w:val="000000"/>
                <w:sz w:val="24"/>
                <w:szCs w:val="24"/>
                <w:u w:val="none"/>
              </w:rPr>
            </w:pPr>
          </w:p>
        </w:tc>
      </w:tr>
      <w:tr w14:paraId="1A8C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482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DB7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EE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3E8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ACBB">
            <w:pPr>
              <w:rPr>
                <w:rFonts w:hint="eastAsia" w:ascii="宋体" w:hAnsi="宋体" w:eastAsia="宋体" w:cs="宋体"/>
                <w:i w:val="0"/>
                <w:color w:val="000000"/>
                <w:sz w:val="24"/>
                <w:szCs w:val="24"/>
                <w:u w:val="none"/>
              </w:rPr>
            </w:pPr>
          </w:p>
        </w:tc>
      </w:tr>
      <w:tr w14:paraId="49CA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7D9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511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02B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43E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F6E3">
            <w:pPr>
              <w:rPr>
                <w:rFonts w:hint="eastAsia" w:ascii="宋体" w:hAnsi="宋体" w:eastAsia="宋体" w:cs="宋体"/>
                <w:i w:val="0"/>
                <w:color w:val="000000"/>
                <w:sz w:val="24"/>
                <w:szCs w:val="24"/>
                <w:u w:val="none"/>
              </w:rPr>
            </w:pPr>
          </w:p>
        </w:tc>
      </w:tr>
      <w:tr w14:paraId="4174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789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3DA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F1D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662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24CA">
            <w:pPr>
              <w:rPr>
                <w:rFonts w:hint="eastAsia" w:ascii="宋体" w:hAnsi="宋体" w:eastAsia="宋体" w:cs="宋体"/>
                <w:i w:val="0"/>
                <w:color w:val="000000"/>
                <w:sz w:val="24"/>
                <w:szCs w:val="24"/>
                <w:u w:val="none"/>
              </w:rPr>
            </w:pPr>
          </w:p>
        </w:tc>
      </w:tr>
      <w:tr w14:paraId="7249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5"/>
            <w:tcBorders>
              <w:top w:val="nil"/>
              <w:left w:val="nil"/>
              <w:bottom w:val="nil"/>
              <w:right w:val="nil"/>
            </w:tcBorders>
            <w:shd w:val="clear" w:color="auto" w:fill="auto"/>
            <w:vAlign w:val="center"/>
          </w:tcPr>
          <w:p w14:paraId="03E3B0D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B86AEA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518B66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说明：我单位没有使用国有资本经营预算安排的支出，故本表无数据。（当表格数据为空时，应有此说明）</w:t>
            </w:r>
          </w:p>
        </w:tc>
      </w:tr>
    </w:tbl>
    <w:p w14:paraId="03CC8AF2">
      <w:pPr>
        <w:rPr>
          <w:rFonts w:hint="eastAsia"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br w:type="page"/>
      </w:r>
    </w:p>
    <w:p w14:paraId="20F3EEE3">
      <w:pPr>
        <w:widowControl/>
        <w:jc w:val="center"/>
        <w:rPr>
          <w:rFonts w:hint="eastAsia" w:ascii="Arial Unicode MS" w:hAnsi="Arial Unicode MS" w:eastAsia="Arial Unicode MS" w:cs="Arial Unicode MS"/>
          <w:i w:val="0"/>
          <w:color w:val="000000"/>
          <w:kern w:val="0"/>
          <w:sz w:val="44"/>
          <w:szCs w:val="44"/>
          <w:u w:val="none"/>
          <w:lang w:val="en-US" w:eastAsia="zh-CN" w:bidi="ar"/>
        </w:rPr>
      </w:pPr>
      <w:r>
        <w:rPr>
          <w:rFonts w:hint="eastAsia" w:ascii="Arial Unicode MS" w:hAnsi="Arial Unicode MS" w:eastAsia="Arial Unicode MS" w:cs="Arial Unicode MS"/>
          <w:i w:val="0"/>
          <w:color w:val="000000"/>
          <w:kern w:val="0"/>
          <w:sz w:val="44"/>
          <w:szCs w:val="44"/>
          <w:u w:val="none"/>
          <w:lang w:val="en-US" w:eastAsia="zh-CN" w:bidi="ar"/>
        </w:rPr>
        <w:t>财政拨款“三公”经费支出决算表</w:t>
      </w:r>
    </w:p>
    <w:p w14:paraId="7B81A20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公开</w:t>
      </w:r>
      <w:r>
        <w:rPr>
          <w:rFonts w:hint="eastAsia" w:ascii="Times New Roman" w:hAnsi="Times New Roman" w:eastAsia="仿宋_GB2312" w:cs="Times New Roman"/>
          <w:color w:val="000000"/>
          <w:kern w:val="0"/>
          <w:szCs w:val="21"/>
          <w:lang w:val="en-US" w:eastAsia="zh-CN"/>
        </w:rPr>
        <w:t>09</w:t>
      </w:r>
      <w:r>
        <w:rPr>
          <w:rFonts w:ascii="Times New Roman" w:hAnsi="Times New Roman" w:eastAsia="仿宋_GB2312" w:cs="Times New Roman"/>
          <w:color w:val="000000"/>
          <w:kern w:val="0"/>
          <w:szCs w:val="21"/>
        </w:rPr>
        <w:t>表</w:t>
      </w:r>
    </w:p>
    <w:p w14:paraId="7A32AA8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imes New Roman" w:hAnsi="Times New Roman" w:eastAsia="仿宋_GB2312" w:cs="Times New Roman"/>
          <w:bCs/>
          <w:kern w:val="0"/>
          <w:szCs w:val="21"/>
        </w:rPr>
      </w:pPr>
      <w:r>
        <w:rPr>
          <w:rFonts w:ascii="Times New Roman" w:hAnsi="Times New Roman" w:eastAsia="仿宋_GB2312" w:cs="Times New Roman"/>
          <w:color w:val="000000"/>
          <w:kern w:val="0"/>
          <w:szCs w:val="21"/>
        </w:rPr>
        <w:t xml:space="preserve">   </w:t>
      </w:r>
      <w:r>
        <w:rPr>
          <w:rFonts w:hint="eastAsia" w:ascii="宋体" w:hAnsi="宋体" w:eastAsia="宋体" w:cs="宋体"/>
          <w:i w:val="0"/>
          <w:color w:val="000000"/>
          <w:kern w:val="0"/>
          <w:sz w:val="20"/>
          <w:szCs w:val="20"/>
          <w:u w:val="none"/>
          <w:lang w:val="en-US" w:eastAsia="zh-CN" w:bidi="ar"/>
        </w:rPr>
        <w:t xml:space="preserve">                                                                                                                          </w:t>
      </w:r>
      <w:r>
        <w:rPr>
          <w:rFonts w:ascii="Times New Roman" w:hAnsi="Times New Roman" w:eastAsia="仿宋_GB2312" w:cs="Times New Roman"/>
          <w:color w:val="000000"/>
          <w:kern w:val="0"/>
          <w:szCs w:val="21"/>
        </w:rPr>
        <w:t>单位：万元</w:t>
      </w:r>
    </w:p>
    <w:tbl>
      <w:tblPr>
        <w:tblStyle w:val="11"/>
        <w:tblW w:w="147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4"/>
        <w:gridCol w:w="1238"/>
        <w:gridCol w:w="1225"/>
        <w:gridCol w:w="1225"/>
        <w:gridCol w:w="1225"/>
        <w:gridCol w:w="1226"/>
        <w:gridCol w:w="1226"/>
        <w:gridCol w:w="1239"/>
        <w:gridCol w:w="1226"/>
        <w:gridCol w:w="1226"/>
        <w:gridCol w:w="1226"/>
        <w:gridCol w:w="1234"/>
      </w:tblGrid>
      <w:tr w14:paraId="032E1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376BA1">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00154C">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决算数</w:t>
            </w:r>
          </w:p>
        </w:tc>
      </w:tr>
      <w:tr w14:paraId="5638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45483">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E9605">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C9834">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0EF96">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E1E0B">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7032C">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2C938">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DFCF9">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公务接待费</w:t>
            </w:r>
          </w:p>
        </w:tc>
      </w:tr>
      <w:tr w14:paraId="5CE6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D706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AF7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8C5B">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9034">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w:t>
            </w:r>
            <w:r>
              <w:rPr>
                <w:rFonts w:hint="eastAsia" w:ascii="宋体" w:hAnsi="宋体" w:eastAsia="宋体" w:cs="宋体"/>
                <w:b/>
                <w:bCs/>
                <w:i w:val="0"/>
                <w:color w:val="000000"/>
                <w:kern w:val="0"/>
                <w:sz w:val="22"/>
                <w:szCs w:val="22"/>
                <w:u w:val="none"/>
                <w:lang w:val="en-US" w:eastAsia="zh-CN" w:bidi="ar"/>
              </w:rPr>
              <w:br w:type="textWrapping"/>
            </w:r>
            <w:r>
              <w:rPr>
                <w:rFonts w:hint="eastAsia" w:ascii="宋体" w:hAnsi="宋体" w:eastAsia="宋体" w:cs="宋体"/>
                <w:b/>
                <w:bCs/>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ED4D">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w:t>
            </w:r>
            <w:r>
              <w:rPr>
                <w:rFonts w:hint="eastAsia" w:ascii="宋体" w:hAnsi="宋体" w:eastAsia="宋体" w:cs="宋体"/>
                <w:b/>
                <w:bCs/>
                <w:i w:val="0"/>
                <w:color w:val="000000"/>
                <w:kern w:val="0"/>
                <w:sz w:val="22"/>
                <w:szCs w:val="22"/>
                <w:u w:val="none"/>
                <w:lang w:val="en-US" w:eastAsia="zh-CN" w:bidi="ar"/>
              </w:rPr>
              <w:br w:type="textWrapping"/>
            </w:r>
            <w:r>
              <w:rPr>
                <w:rFonts w:hint="eastAsia" w:ascii="宋体" w:hAnsi="宋体" w:eastAsia="宋体" w:cs="宋体"/>
                <w:b/>
                <w:bCs/>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D27F">
            <w:pPr>
              <w:jc w:val="center"/>
              <w:rPr>
                <w:rFonts w:hint="eastAsia" w:ascii="宋体" w:hAnsi="宋体" w:eastAsia="宋体" w:cs="宋体"/>
                <w:b/>
                <w:bCs/>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DA503">
            <w:pPr>
              <w:jc w:val="center"/>
              <w:rPr>
                <w:rFonts w:hint="eastAsia" w:ascii="宋体" w:hAnsi="宋体" w:eastAsia="宋体" w:cs="宋体"/>
                <w:b/>
                <w:bCs/>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0433D">
            <w:pPr>
              <w:jc w:val="center"/>
              <w:rPr>
                <w:rFonts w:hint="eastAsia" w:ascii="宋体" w:hAnsi="宋体" w:eastAsia="宋体" w:cs="宋体"/>
                <w:b/>
                <w:bCs/>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51F9">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723E">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w:t>
            </w:r>
            <w:r>
              <w:rPr>
                <w:rFonts w:hint="eastAsia" w:ascii="宋体" w:hAnsi="宋体" w:eastAsia="宋体" w:cs="宋体"/>
                <w:b/>
                <w:bCs/>
                <w:i w:val="0"/>
                <w:color w:val="000000"/>
                <w:kern w:val="0"/>
                <w:sz w:val="22"/>
                <w:szCs w:val="22"/>
                <w:u w:val="none"/>
                <w:lang w:val="en-US" w:eastAsia="zh-CN" w:bidi="ar"/>
              </w:rPr>
              <w:br w:type="textWrapping"/>
            </w:r>
            <w:r>
              <w:rPr>
                <w:rFonts w:hint="eastAsia" w:ascii="宋体" w:hAnsi="宋体" w:eastAsia="宋体" w:cs="宋体"/>
                <w:b/>
                <w:bCs/>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2163">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公务用车</w:t>
            </w:r>
            <w:r>
              <w:rPr>
                <w:rFonts w:hint="eastAsia" w:ascii="宋体" w:hAnsi="宋体" w:eastAsia="宋体" w:cs="宋体"/>
                <w:b/>
                <w:bCs/>
                <w:i w:val="0"/>
                <w:color w:val="000000"/>
                <w:kern w:val="0"/>
                <w:sz w:val="22"/>
                <w:szCs w:val="22"/>
                <w:u w:val="none"/>
                <w:lang w:val="en-US" w:eastAsia="zh-CN" w:bidi="ar"/>
              </w:rPr>
              <w:br w:type="textWrapping"/>
            </w:r>
            <w:r>
              <w:rPr>
                <w:rFonts w:hint="eastAsia" w:ascii="宋体" w:hAnsi="宋体" w:eastAsia="宋体" w:cs="宋体"/>
                <w:b/>
                <w:bCs/>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20B1E">
            <w:pPr>
              <w:jc w:val="center"/>
              <w:rPr>
                <w:rFonts w:hint="eastAsia" w:ascii="宋体" w:hAnsi="宋体" w:eastAsia="宋体" w:cs="宋体"/>
                <w:i w:val="0"/>
                <w:color w:val="000000"/>
                <w:sz w:val="22"/>
                <w:szCs w:val="22"/>
                <w:u w:val="none"/>
              </w:rPr>
            </w:pPr>
          </w:p>
        </w:tc>
      </w:tr>
      <w:tr w14:paraId="355D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D5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B8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CC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66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33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89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4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AF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CA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41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C7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9A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A2C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078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2833">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DD2E">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E3F7">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F01D">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6.14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C45F">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78A4">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9.11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5840">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CA27">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6.14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61EB">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9F08">
            <w:pP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6.14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1648">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2.98</w:t>
            </w:r>
          </w:p>
        </w:tc>
      </w:tr>
      <w:tr w14:paraId="04C0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7394F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5CC3B7F">
      <w:pPr>
        <w:autoSpaceDE w:val="0"/>
        <w:autoSpaceDN w:val="0"/>
        <w:adjustRightInd w:val="0"/>
        <w:ind w:left="315" w:leftChars="150"/>
        <w:jc w:val="left"/>
        <w:rPr>
          <w:rFonts w:ascii="宋体" w:eastAsia="宋体" w:cs="宋体"/>
          <w:kern w:val="0"/>
          <w:sz w:val="24"/>
          <w:szCs w:val="24"/>
        </w:rPr>
      </w:pPr>
    </w:p>
    <w:p w14:paraId="70424AC0">
      <w:pPr>
        <w:widowControl/>
        <w:jc w:val="both"/>
        <w:rPr>
          <w:sz w:val="72"/>
          <w:szCs w:val="72"/>
        </w:rPr>
        <w:sectPr>
          <w:pgSz w:w="16838" w:h="11906" w:orient="landscape"/>
          <w:pgMar w:top="1134" w:right="1134" w:bottom="1134" w:left="1134" w:header="851" w:footer="992" w:gutter="0"/>
          <w:pgNumType w:fmt="decimal"/>
          <w:cols w:space="0" w:num="1"/>
          <w:rtlGutter w:val="0"/>
          <w:docGrid w:type="lines" w:linePitch="312" w:charSpace="0"/>
        </w:sectPr>
      </w:pPr>
      <w:r>
        <w:rPr>
          <w:rFonts w:ascii="黑体" w:hAnsi="黑体" w:eastAsia="黑体"/>
          <w:szCs w:val="21"/>
        </w:rPr>
        <w:br w:type="page"/>
      </w:r>
    </w:p>
    <w:p w14:paraId="1D8BDB5C">
      <w:pPr>
        <w:pStyle w:val="15"/>
        <w:rPr>
          <w:sz w:val="72"/>
          <w:szCs w:val="72"/>
        </w:rPr>
      </w:pPr>
    </w:p>
    <w:p w14:paraId="75B20D20">
      <w:pPr>
        <w:pStyle w:val="15"/>
        <w:rPr>
          <w:sz w:val="72"/>
          <w:szCs w:val="72"/>
        </w:rPr>
      </w:pPr>
    </w:p>
    <w:p w14:paraId="6C02D843">
      <w:pPr>
        <w:pStyle w:val="15"/>
        <w:jc w:val="center"/>
        <w:rPr>
          <w:sz w:val="72"/>
          <w:szCs w:val="72"/>
        </w:rPr>
      </w:pPr>
    </w:p>
    <w:p w14:paraId="442B9284">
      <w:pPr>
        <w:pStyle w:val="15"/>
        <w:jc w:val="center"/>
        <w:rPr>
          <w:rFonts w:hint="eastAsia" w:ascii="方正小标宋_GBK" w:hAnsi="方正小标宋_GBK" w:eastAsia="方正小标宋_GBK" w:cs="方正小标宋_GBK"/>
          <w:sz w:val="72"/>
          <w:szCs w:val="72"/>
        </w:rPr>
      </w:pPr>
    </w:p>
    <w:p w14:paraId="635BF003">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46CA660">
      <w:pPr>
        <w:pStyle w:val="15"/>
        <w:jc w:val="center"/>
        <w:rPr>
          <w:rFonts w:hint="eastAsia" w:ascii="方正小标宋_GBK" w:hAnsi="方正小标宋_GBK" w:eastAsia="方正小标宋_GBK" w:cs="方正小标宋_GBK"/>
          <w:sz w:val="70"/>
          <w:szCs w:val="70"/>
        </w:rPr>
      </w:pPr>
    </w:p>
    <w:p w14:paraId="13EB317E">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731060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39FC3F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一、收入支出决算总体情况说明</w:t>
      </w:r>
    </w:p>
    <w:p w14:paraId="22622053">
      <w:pPr>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年度收、支总计</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万元。与上年相比，增加</w:t>
      </w:r>
      <w:r>
        <w:rPr>
          <w:rFonts w:hint="eastAsia" w:ascii="Times New Roman" w:hAnsi="Times New Roman" w:eastAsia="仿宋_GB2312"/>
          <w:spacing w:val="0"/>
          <w:sz w:val="32"/>
          <w:szCs w:val="32"/>
          <w:lang w:val="en-US" w:eastAsia="zh-CN"/>
        </w:rPr>
        <w:t>229.14</w:t>
      </w:r>
      <w:r>
        <w:rPr>
          <w:rFonts w:hint="eastAsia" w:ascii="Times New Roman" w:hAnsi="Times New Roman" w:eastAsia="仿宋_GB2312"/>
          <w:spacing w:val="0"/>
          <w:sz w:val="32"/>
          <w:szCs w:val="32"/>
        </w:rPr>
        <w:t>万元，增长</w:t>
      </w:r>
      <w:r>
        <w:rPr>
          <w:rFonts w:hint="eastAsia" w:ascii="Times New Roman" w:hAnsi="Times New Roman" w:eastAsia="仿宋_GB2312"/>
          <w:spacing w:val="0"/>
          <w:sz w:val="32"/>
          <w:szCs w:val="32"/>
          <w:lang w:val="en-US" w:eastAsia="zh-CN"/>
        </w:rPr>
        <w:t>34.18</w:t>
      </w:r>
      <w:r>
        <w:rPr>
          <w:rFonts w:hint="eastAsia" w:ascii="Times New Roman" w:hAnsi="Times New Roman" w:eastAsia="仿宋_GB2312"/>
          <w:spacing w:val="0"/>
          <w:sz w:val="32"/>
          <w:szCs w:val="32"/>
        </w:rPr>
        <w:t>%，主要是因为</w:t>
      </w:r>
      <w:r>
        <w:rPr>
          <w:rFonts w:hint="eastAsia" w:ascii="Times New Roman" w:hAnsi="Times New Roman" w:eastAsia="仿宋_GB2312" w:cs="仿宋"/>
          <w:color w:val="000000"/>
          <w:spacing w:val="0"/>
          <w:sz w:val="32"/>
          <w:szCs w:val="32"/>
        </w:rPr>
        <w:t>我单位2023年度上级转移支付资金较2022年度有所增加。</w:t>
      </w:r>
    </w:p>
    <w:p w14:paraId="697D381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二、收入决算情况说明</w:t>
      </w:r>
    </w:p>
    <w:p w14:paraId="5658C4A9">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年度收入合计</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万元，其中：财政拨款收入</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%；上级补助收入</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%；事业收入</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%；经营收入</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%；附属单位上缴收入</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%；其他收入</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w:t>
      </w:r>
    </w:p>
    <w:p w14:paraId="2B38B8A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三、支出决算情况说明</w:t>
      </w:r>
    </w:p>
    <w:p w14:paraId="30AEBC7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年度支出合计</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万元，其中：基本支出</w:t>
      </w:r>
      <w:r>
        <w:rPr>
          <w:rFonts w:hint="eastAsia" w:ascii="Times New Roman" w:hAnsi="Times New Roman" w:eastAsia="仿宋_GB2312"/>
          <w:spacing w:val="0"/>
          <w:sz w:val="32"/>
          <w:szCs w:val="32"/>
          <w:lang w:val="en-US" w:eastAsia="zh-CN"/>
        </w:rPr>
        <w:t>292.43</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32.51</w:t>
      </w:r>
      <w:r>
        <w:rPr>
          <w:rFonts w:hint="eastAsia" w:ascii="Times New Roman" w:hAnsi="Times New Roman" w:eastAsia="仿宋_GB2312"/>
          <w:spacing w:val="0"/>
          <w:sz w:val="32"/>
          <w:szCs w:val="32"/>
        </w:rPr>
        <w:t>%；项目支出</w:t>
      </w:r>
      <w:r>
        <w:rPr>
          <w:rFonts w:hint="eastAsia" w:ascii="Times New Roman" w:hAnsi="Times New Roman" w:eastAsia="仿宋_GB2312"/>
          <w:spacing w:val="0"/>
          <w:sz w:val="32"/>
          <w:szCs w:val="32"/>
          <w:lang w:val="en-US" w:eastAsia="zh-CN"/>
        </w:rPr>
        <w:t>607.08</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67.49</w:t>
      </w:r>
      <w:r>
        <w:rPr>
          <w:rFonts w:hint="eastAsia" w:ascii="Times New Roman" w:hAnsi="Times New Roman" w:eastAsia="仿宋_GB2312"/>
          <w:spacing w:val="0"/>
          <w:sz w:val="32"/>
          <w:szCs w:val="32"/>
        </w:rPr>
        <w:t>%；上缴上级支出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%；经营支出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%；对附属单位补助支出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w:t>
      </w:r>
    </w:p>
    <w:p w14:paraId="6C81FD7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四、财政拨款收入支出决算总体情况说明</w:t>
      </w:r>
    </w:p>
    <w:p w14:paraId="38B4C76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年度财政拨款收、支总计</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万元，与上年相比，增加</w:t>
      </w:r>
      <w:r>
        <w:rPr>
          <w:rFonts w:hint="eastAsia" w:ascii="Times New Roman" w:hAnsi="Times New Roman" w:eastAsia="仿宋_GB2312"/>
          <w:spacing w:val="0"/>
          <w:sz w:val="32"/>
          <w:szCs w:val="32"/>
          <w:lang w:val="en-US" w:eastAsia="zh-CN"/>
        </w:rPr>
        <w:t>229.14</w:t>
      </w:r>
      <w:r>
        <w:rPr>
          <w:rFonts w:hint="eastAsia" w:ascii="Times New Roman" w:hAnsi="Times New Roman" w:eastAsia="仿宋_GB2312"/>
          <w:spacing w:val="0"/>
          <w:sz w:val="32"/>
          <w:szCs w:val="32"/>
        </w:rPr>
        <w:t>万元,增长</w:t>
      </w:r>
      <w:r>
        <w:rPr>
          <w:rFonts w:hint="eastAsia" w:ascii="Times New Roman" w:hAnsi="Times New Roman" w:eastAsia="仿宋_GB2312"/>
          <w:spacing w:val="0"/>
          <w:sz w:val="32"/>
          <w:szCs w:val="32"/>
          <w:lang w:val="en-US" w:eastAsia="zh-CN"/>
        </w:rPr>
        <w:t>34.18</w:t>
      </w:r>
      <w:r>
        <w:rPr>
          <w:rFonts w:hint="eastAsia" w:ascii="Times New Roman" w:hAnsi="Times New Roman" w:eastAsia="仿宋_GB2312"/>
          <w:spacing w:val="0"/>
          <w:sz w:val="32"/>
          <w:szCs w:val="32"/>
        </w:rPr>
        <w:t>%，主要是因为</w:t>
      </w:r>
      <w:r>
        <w:rPr>
          <w:rFonts w:hint="eastAsia" w:ascii="Times New Roman" w:hAnsi="Times New Roman" w:eastAsia="仿宋_GB2312" w:cs="仿宋"/>
          <w:color w:val="000000"/>
          <w:spacing w:val="0"/>
          <w:sz w:val="32"/>
          <w:szCs w:val="32"/>
        </w:rPr>
        <w:t>我单位2023年度上级转移支付资金较2022年度有所增加。</w:t>
      </w:r>
    </w:p>
    <w:p w14:paraId="2681D83E">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五、一般公共预算财政拨款支出决算情况说明</w:t>
      </w:r>
    </w:p>
    <w:p w14:paraId="6BD1F5F7">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rPr>
        <w:t>（一）一般公共预算财政拨款支出决算总体情况</w:t>
      </w:r>
    </w:p>
    <w:p w14:paraId="444D52BE">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年度财政拨款支出</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万元，占本年支出合计的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%，与上年相比，财政拨款支出增加</w:t>
      </w:r>
      <w:r>
        <w:rPr>
          <w:rFonts w:hint="eastAsia" w:ascii="Times New Roman" w:hAnsi="Times New Roman" w:eastAsia="仿宋_GB2312"/>
          <w:spacing w:val="0"/>
          <w:sz w:val="32"/>
          <w:szCs w:val="32"/>
          <w:lang w:val="en-US" w:eastAsia="zh-CN"/>
        </w:rPr>
        <w:t>229.14</w:t>
      </w:r>
      <w:r>
        <w:rPr>
          <w:rFonts w:hint="eastAsia" w:ascii="Times New Roman" w:hAnsi="Times New Roman" w:eastAsia="仿宋_GB2312"/>
          <w:spacing w:val="0"/>
          <w:sz w:val="32"/>
          <w:szCs w:val="32"/>
        </w:rPr>
        <w:t>万元，增长</w:t>
      </w:r>
      <w:r>
        <w:rPr>
          <w:rFonts w:hint="eastAsia" w:ascii="Times New Roman" w:hAnsi="Times New Roman" w:eastAsia="仿宋_GB2312"/>
          <w:spacing w:val="0"/>
          <w:sz w:val="32"/>
          <w:szCs w:val="32"/>
          <w:lang w:val="en-US" w:eastAsia="zh-CN"/>
        </w:rPr>
        <w:t>34.18</w:t>
      </w:r>
      <w:r>
        <w:rPr>
          <w:rFonts w:hint="eastAsia" w:ascii="Times New Roman" w:hAnsi="Times New Roman" w:eastAsia="仿宋_GB2312"/>
          <w:spacing w:val="0"/>
          <w:sz w:val="32"/>
          <w:szCs w:val="32"/>
        </w:rPr>
        <w:t>%，主要是因为</w:t>
      </w:r>
      <w:r>
        <w:rPr>
          <w:rFonts w:hint="eastAsia" w:ascii="Times New Roman" w:hAnsi="Times New Roman" w:eastAsia="仿宋_GB2312" w:cs="仿宋"/>
          <w:color w:val="000000"/>
          <w:spacing w:val="0"/>
          <w:sz w:val="32"/>
          <w:szCs w:val="32"/>
        </w:rPr>
        <w:t>我单位2023年度上级转移支付资金较2022年度有所增加。</w:t>
      </w:r>
    </w:p>
    <w:p w14:paraId="257676D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rPr>
        <w:t>（二）一般公共预算财政拨款支出决算结构情况</w:t>
      </w:r>
    </w:p>
    <w:p w14:paraId="5A78795A">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年度财政拨款支出</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万元，主要用于以下方面：一般公共服务（类）支出</w:t>
      </w:r>
      <w:r>
        <w:rPr>
          <w:rFonts w:hint="eastAsia" w:ascii="Times New Roman" w:hAnsi="Times New Roman" w:eastAsia="仿宋_GB2312"/>
          <w:spacing w:val="0"/>
          <w:sz w:val="32"/>
          <w:szCs w:val="32"/>
          <w:lang w:val="en-US" w:eastAsia="zh-CN"/>
        </w:rPr>
        <w:t>0.3</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0.033</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社会保障和就业（类）支出231.18</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25.7</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卫生健康（类）支出668.03万元，占74.27%。</w:t>
      </w:r>
    </w:p>
    <w:p w14:paraId="3C2F81E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rPr>
        <w:t>（三）一般公共预算财政拨款支出决算具体情况</w:t>
      </w:r>
    </w:p>
    <w:p w14:paraId="3A4613C8">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年度财政拨款支出年初预算数为</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万元，支出决算数为</w:t>
      </w:r>
      <w:r>
        <w:rPr>
          <w:rFonts w:hint="eastAsia" w:ascii="Times New Roman" w:hAnsi="Times New Roman" w:eastAsia="仿宋_GB2312"/>
          <w:spacing w:val="0"/>
          <w:sz w:val="32"/>
          <w:szCs w:val="32"/>
          <w:lang w:val="en-US" w:eastAsia="zh-CN"/>
        </w:rPr>
        <w:t>899.51</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%，其中：</w:t>
      </w:r>
    </w:p>
    <w:p w14:paraId="086FF546">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1、一般公共服务（类）其他一般公共服务支出（款）其他一般公共服务支出（项）。</w:t>
      </w:r>
    </w:p>
    <w:p w14:paraId="4491E4BE">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0.3</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0.3</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15FADE5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2、社会保障和就业支出（类）人力资源和社会保障管理事务（款）行政运行（项）。</w:t>
      </w:r>
    </w:p>
    <w:p w14:paraId="33B2A49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201.97</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201.97</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452BF36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社会保障和就业支出（类）行政事业单位养老支出（款）机关事业单位基本养老保险缴费支出（项）。</w:t>
      </w:r>
    </w:p>
    <w:p w14:paraId="1045E1C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29.21</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29.21</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42F35BB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4、</w:t>
      </w:r>
      <w:r>
        <w:rPr>
          <w:rFonts w:hint="eastAsia" w:ascii="Times New Roman" w:hAnsi="Times New Roman" w:eastAsia="仿宋_GB2312"/>
          <w:spacing w:val="0"/>
          <w:sz w:val="32"/>
          <w:szCs w:val="32"/>
        </w:rPr>
        <w:t>卫生健康支出（类）行政事业单位医疗（款）行政单位医疗（项）。</w:t>
      </w:r>
    </w:p>
    <w:p w14:paraId="4DB554FC">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11.47</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11.47</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026789F6">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5、</w:t>
      </w:r>
      <w:r>
        <w:rPr>
          <w:rFonts w:hint="eastAsia" w:ascii="Times New Roman" w:hAnsi="Times New Roman" w:eastAsia="仿宋_GB2312"/>
          <w:spacing w:val="0"/>
          <w:sz w:val="32"/>
          <w:szCs w:val="32"/>
        </w:rPr>
        <w:t>卫生健康支出（类）医疗保障管理事务（款）医疗保障政策管理（项）。</w:t>
      </w:r>
    </w:p>
    <w:p w14:paraId="76D9158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369.99</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369.99</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15FF34C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6、</w:t>
      </w:r>
      <w:r>
        <w:rPr>
          <w:rFonts w:hint="eastAsia" w:ascii="Times New Roman" w:hAnsi="Times New Roman" w:eastAsia="仿宋_GB2312"/>
          <w:spacing w:val="0"/>
          <w:sz w:val="32"/>
          <w:szCs w:val="32"/>
        </w:rPr>
        <w:t>卫生健康支出（类）医疗保障管理事务（款）其他医疗保障管理事务支出（项）。</w:t>
      </w:r>
    </w:p>
    <w:p w14:paraId="45136DD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年初预算为</w:t>
      </w:r>
      <w:r>
        <w:rPr>
          <w:rFonts w:hint="eastAsia" w:ascii="Times New Roman" w:hAnsi="Times New Roman" w:eastAsia="仿宋_GB2312"/>
          <w:spacing w:val="0"/>
          <w:sz w:val="32"/>
          <w:szCs w:val="32"/>
          <w:lang w:val="en-US" w:eastAsia="zh-CN"/>
        </w:rPr>
        <w:t>286.58</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286.58</w:t>
      </w:r>
      <w:r>
        <w:rPr>
          <w:rFonts w:hint="eastAsia" w:ascii="Times New Roman" w:hAnsi="Times New Roman" w:eastAsia="仿宋_GB2312"/>
          <w:spacing w:val="0"/>
          <w:sz w:val="32"/>
          <w:szCs w:val="32"/>
        </w:rPr>
        <w:t>万元，完成年初预算的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%，决算数等于年初预算，我局严格按预算执行，厉行节约，发挥财政拨款应有的作用。</w:t>
      </w:r>
    </w:p>
    <w:p w14:paraId="30B609AA">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六、一般公共预算财政拨款基本支出决算情况说明</w:t>
      </w:r>
    </w:p>
    <w:p w14:paraId="3B0E41C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年度财政拨款基本支出</w:t>
      </w:r>
      <w:r>
        <w:rPr>
          <w:rFonts w:hint="eastAsia" w:ascii="Times New Roman" w:hAnsi="Times New Roman" w:eastAsia="仿宋_GB2312"/>
          <w:spacing w:val="0"/>
          <w:sz w:val="32"/>
          <w:szCs w:val="32"/>
          <w:lang w:val="en-US" w:eastAsia="zh-CN"/>
        </w:rPr>
        <w:t>292.43</w:t>
      </w:r>
      <w:r>
        <w:rPr>
          <w:rFonts w:hint="eastAsia" w:ascii="Times New Roman" w:hAnsi="Times New Roman" w:eastAsia="仿宋_GB2312"/>
          <w:spacing w:val="0"/>
          <w:sz w:val="32"/>
          <w:szCs w:val="32"/>
        </w:rPr>
        <w:t>万元，其中：</w:t>
      </w:r>
    </w:p>
    <w:p w14:paraId="250DD11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b/>
          <w:bCs/>
          <w:spacing w:val="0"/>
          <w:sz w:val="32"/>
          <w:szCs w:val="32"/>
        </w:rPr>
        <w:t>人员经费</w:t>
      </w:r>
      <w:r>
        <w:rPr>
          <w:rFonts w:hint="eastAsia" w:ascii="Times New Roman" w:hAnsi="Times New Roman" w:eastAsia="仿宋_GB2312"/>
          <w:spacing w:val="0"/>
          <w:sz w:val="32"/>
          <w:szCs w:val="32"/>
          <w:lang w:val="en-US" w:eastAsia="zh-CN"/>
        </w:rPr>
        <w:t>251.86</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86.13</w:t>
      </w:r>
      <w:r>
        <w:rPr>
          <w:rFonts w:hint="eastAsia" w:ascii="Times New Roman" w:hAnsi="Times New Roman" w:eastAsia="仿宋_GB2312"/>
          <w:spacing w:val="0"/>
          <w:sz w:val="32"/>
          <w:szCs w:val="32"/>
        </w:rPr>
        <w:t>%,主要包括基本工资</w:t>
      </w:r>
      <w:r>
        <w:rPr>
          <w:rFonts w:hint="eastAsia" w:ascii="Times New Roman" w:hAnsi="Times New Roman" w:eastAsia="仿宋_GB2312"/>
          <w:spacing w:val="0"/>
          <w:sz w:val="32"/>
          <w:szCs w:val="32"/>
          <w:lang w:val="en-US" w:eastAsia="zh-CN"/>
        </w:rPr>
        <w:t>99.16万元</w:t>
      </w:r>
      <w:r>
        <w:rPr>
          <w:rFonts w:hint="eastAsia" w:ascii="Times New Roman" w:hAnsi="Times New Roman" w:eastAsia="仿宋_GB2312"/>
          <w:spacing w:val="0"/>
          <w:sz w:val="32"/>
          <w:szCs w:val="32"/>
        </w:rPr>
        <w:t>、津贴补贴</w:t>
      </w:r>
      <w:r>
        <w:rPr>
          <w:rFonts w:hint="eastAsia" w:ascii="Times New Roman" w:hAnsi="Times New Roman" w:eastAsia="仿宋_GB2312"/>
          <w:spacing w:val="0"/>
          <w:sz w:val="32"/>
          <w:szCs w:val="32"/>
          <w:lang w:val="en-US" w:eastAsia="zh-CN"/>
        </w:rPr>
        <w:t>51.55万元</w:t>
      </w:r>
      <w:r>
        <w:rPr>
          <w:rFonts w:hint="eastAsia" w:ascii="Times New Roman" w:hAnsi="Times New Roman" w:eastAsia="仿宋_GB2312"/>
          <w:spacing w:val="0"/>
          <w:sz w:val="32"/>
          <w:szCs w:val="32"/>
        </w:rPr>
        <w:t>、奖金</w:t>
      </w:r>
      <w:r>
        <w:rPr>
          <w:rFonts w:hint="eastAsia" w:ascii="Times New Roman" w:hAnsi="Times New Roman" w:eastAsia="仿宋_GB2312"/>
          <w:spacing w:val="0"/>
          <w:sz w:val="32"/>
          <w:szCs w:val="32"/>
          <w:lang w:val="en-US" w:eastAsia="zh-CN"/>
        </w:rPr>
        <w:t>56.88万元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机关事业单位基本养老保险缴费29.45万元、职工基本医疗保险缴费11.47万元、其他社会保障缴费2.26万元、对个人和家庭的补助1.08万元、生活补助0.96万元、奖励金0.12万元。</w:t>
      </w:r>
    </w:p>
    <w:p w14:paraId="007D19A3">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公用经费</w:t>
      </w:r>
      <w:r>
        <w:rPr>
          <w:rFonts w:hint="eastAsia" w:ascii="Times New Roman" w:hAnsi="Times New Roman" w:eastAsia="仿宋_GB2312"/>
          <w:spacing w:val="0"/>
          <w:sz w:val="32"/>
          <w:szCs w:val="32"/>
          <w:lang w:val="en-US" w:eastAsia="zh-CN"/>
        </w:rPr>
        <w:t>40.57</w:t>
      </w:r>
      <w:r>
        <w:rPr>
          <w:rFonts w:hint="eastAsia" w:ascii="Times New Roman" w:hAnsi="Times New Roman" w:eastAsia="仿宋_GB2312"/>
          <w:spacing w:val="0"/>
          <w:sz w:val="32"/>
          <w:szCs w:val="32"/>
        </w:rPr>
        <w:t>万元，占基本支出的</w:t>
      </w:r>
      <w:r>
        <w:rPr>
          <w:rFonts w:hint="eastAsia" w:ascii="Times New Roman" w:hAnsi="Times New Roman" w:eastAsia="仿宋_GB2312"/>
          <w:spacing w:val="0"/>
          <w:sz w:val="32"/>
          <w:szCs w:val="32"/>
          <w:lang w:val="en-US" w:eastAsia="zh-CN"/>
        </w:rPr>
        <w:t>13.87</w:t>
      </w:r>
      <w:r>
        <w:rPr>
          <w:rFonts w:hint="eastAsia" w:ascii="Times New Roman" w:hAnsi="Times New Roman" w:eastAsia="仿宋_GB2312"/>
          <w:spacing w:val="0"/>
          <w:sz w:val="32"/>
          <w:szCs w:val="32"/>
        </w:rPr>
        <w:t>%，主要包括办公费</w:t>
      </w:r>
      <w:r>
        <w:rPr>
          <w:rFonts w:hint="eastAsia" w:ascii="Times New Roman" w:hAnsi="Times New Roman" w:eastAsia="仿宋_GB2312"/>
          <w:spacing w:val="0"/>
          <w:sz w:val="32"/>
          <w:szCs w:val="32"/>
          <w:lang w:val="en-US" w:eastAsia="zh-CN"/>
        </w:rPr>
        <w:t>2.49万元</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劳务费0.3万元、工会经费20.7万元、其他交通费用17.09万元</w:t>
      </w:r>
      <w:r>
        <w:rPr>
          <w:rFonts w:hint="eastAsia" w:ascii="Times New Roman" w:hAnsi="Times New Roman" w:eastAsia="仿宋_GB2312"/>
          <w:spacing w:val="0"/>
          <w:sz w:val="32"/>
          <w:szCs w:val="32"/>
        </w:rPr>
        <w:t>。</w:t>
      </w:r>
    </w:p>
    <w:p w14:paraId="43FDBC1C">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七、财政拨款三公经费支出决算情况说明</w:t>
      </w:r>
    </w:p>
    <w:p w14:paraId="6307A3D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rPr>
        <w:t>（一）“三公”经费财政拨款支出决算总体情况说明</w:t>
      </w:r>
    </w:p>
    <w:p w14:paraId="7D851609">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“三公”经费财政拨款支出预算为</w:t>
      </w:r>
      <w:r>
        <w:rPr>
          <w:rFonts w:hint="eastAsia" w:ascii="Times New Roman" w:hAnsi="Times New Roman" w:eastAsia="仿宋_GB2312"/>
          <w:spacing w:val="0"/>
          <w:sz w:val="32"/>
          <w:szCs w:val="32"/>
          <w:lang w:val="en-US" w:eastAsia="zh-CN"/>
        </w:rPr>
        <w:t>9.11</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9.11</w:t>
      </w:r>
      <w:r>
        <w:rPr>
          <w:rFonts w:hint="eastAsia" w:ascii="Times New Roman" w:hAnsi="Times New Roman" w:eastAsia="仿宋_GB2312"/>
          <w:spacing w:val="0"/>
          <w:sz w:val="32"/>
          <w:szCs w:val="32"/>
        </w:rPr>
        <w:t>万元，完成预算的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与上年相比减少</w:t>
      </w:r>
      <w:r>
        <w:rPr>
          <w:rFonts w:hint="eastAsia" w:ascii="Times New Roman" w:hAnsi="Times New Roman" w:eastAsia="仿宋_GB2312"/>
          <w:spacing w:val="0"/>
          <w:sz w:val="32"/>
          <w:szCs w:val="32"/>
          <w:lang w:val="en-US" w:eastAsia="zh-CN"/>
        </w:rPr>
        <w:t>0.48</w:t>
      </w:r>
      <w:r>
        <w:rPr>
          <w:rFonts w:hint="eastAsia" w:ascii="Times New Roman" w:hAnsi="Times New Roman" w:eastAsia="仿宋_GB2312"/>
          <w:spacing w:val="0"/>
          <w:sz w:val="32"/>
          <w:szCs w:val="32"/>
        </w:rPr>
        <w:t>万元，减少</w:t>
      </w:r>
      <w:r>
        <w:rPr>
          <w:rFonts w:hint="eastAsia" w:ascii="Times New Roman" w:hAnsi="Times New Roman" w:eastAsia="仿宋_GB2312"/>
          <w:spacing w:val="0"/>
          <w:sz w:val="32"/>
          <w:szCs w:val="32"/>
          <w:lang w:val="en-US" w:eastAsia="zh-CN"/>
        </w:rPr>
        <w:t>5</w:t>
      </w:r>
      <w:r>
        <w:rPr>
          <w:rFonts w:hint="eastAsia" w:ascii="Times New Roman" w:hAnsi="Times New Roman" w:eastAsia="仿宋_GB2312"/>
          <w:spacing w:val="0"/>
          <w:sz w:val="32"/>
          <w:szCs w:val="32"/>
        </w:rPr>
        <w:t>%,减少的主要原因是</w:t>
      </w:r>
      <w:r>
        <w:rPr>
          <w:rFonts w:hint="eastAsia" w:ascii="Times New Roman" w:hAnsi="Times New Roman" w:eastAsia="仿宋_GB2312"/>
          <w:spacing w:val="0"/>
          <w:sz w:val="32"/>
          <w:szCs w:val="32"/>
          <w:lang w:val="en-US" w:eastAsia="zh-CN"/>
        </w:rPr>
        <w:t>我单位本着厉行节约的原则，严格控制三公经费</w:t>
      </w:r>
      <w:r>
        <w:rPr>
          <w:rFonts w:hint="eastAsia" w:ascii="Times New Roman" w:hAnsi="Times New Roman" w:eastAsia="仿宋_GB2312"/>
          <w:spacing w:val="0"/>
          <w:sz w:val="32"/>
          <w:szCs w:val="32"/>
        </w:rPr>
        <w:t>。其中：</w:t>
      </w:r>
    </w:p>
    <w:p w14:paraId="26B17BE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因公出国（境）费支出预算为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万元，我局没有因公出国（境）工作，该项资金没有发生额。</w:t>
      </w:r>
    </w:p>
    <w:p w14:paraId="1C875D5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rPr>
        <w:t>公务接待费支出预算为</w:t>
      </w:r>
      <w:r>
        <w:rPr>
          <w:rFonts w:hint="eastAsia" w:ascii="Times New Roman" w:hAnsi="Times New Roman" w:eastAsia="仿宋_GB2312"/>
          <w:spacing w:val="0"/>
          <w:sz w:val="32"/>
          <w:szCs w:val="32"/>
          <w:lang w:val="en-US" w:eastAsia="zh-CN"/>
        </w:rPr>
        <w:t>2.98</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2.98</w:t>
      </w:r>
      <w:r>
        <w:rPr>
          <w:rFonts w:hint="eastAsia" w:ascii="Times New Roman" w:hAnsi="Times New Roman" w:eastAsia="仿宋_GB2312"/>
          <w:spacing w:val="0"/>
          <w:sz w:val="32"/>
          <w:szCs w:val="32"/>
        </w:rPr>
        <w:t>万元，完成预算的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%，决算数等于年初预算，与上年相比减少</w:t>
      </w:r>
      <w:r>
        <w:rPr>
          <w:rFonts w:hint="eastAsia" w:ascii="Times New Roman" w:hAnsi="Times New Roman" w:eastAsia="仿宋_GB2312"/>
          <w:spacing w:val="0"/>
          <w:sz w:val="32"/>
          <w:szCs w:val="32"/>
          <w:lang w:val="en-US" w:eastAsia="zh-CN"/>
        </w:rPr>
        <w:t>0.36</w:t>
      </w:r>
      <w:r>
        <w:rPr>
          <w:rFonts w:hint="eastAsia" w:ascii="Times New Roman" w:hAnsi="Times New Roman" w:eastAsia="仿宋_GB2312"/>
          <w:spacing w:val="0"/>
          <w:sz w:val="32"/>
          <w:szCs w:val="32"/>
        </w:rPr>
        <w:t>万元，减少</w:t>
      </w:r>
      <w:r>
        <w:rPr>
          <w:rFonts w:hint="eastAsia" w:ascii="Times New Roman" w:hAnsi="Times New Roman" w:eastAsia="仿宋_GB2312"/>
          <w:spacing w:val="0"/>
          <w:sz w:val="32"/>
          <w:szCs w:val="32"/>
          <w:lang w:val="en-US" w:eastAsia="zh-CN"/>
        </w:rPr>
        <w:t>10.78</w:t>
      </w:r>
      <w:r>
        <w:rPr>
          <w:rFonts w:hint="eastAsia" w:ascii="Times New Roman" w:hAnsi="Times New Roman" w:eastAsia="仿宋_GB2312"/>
          <w:spacing w:val="0"/>
          <w:sz w:val="32"/>
          <w:szCs w:val="32"/>
        </w:rPr>
        <w:t>%,减少的主要</w:t>
      </w:r>
      <w:r>
        <w:rPr>
          <w:rFonts w:hint="eastAsia" w:ascii="Times New Roman" w:hAnsi="Times New Roman" w:eastAsia="仿宋_GB2312"/>
          <w:spacing w:val="0"/>
          <w:sz w:val="32"/>
          <w:szCs w:val="32"/>
          <w:lang w:val="en-US" w:eastAsia="zh-CN"/>
        </w:rPr>
        <w:t>原因是我单位本着厉行节约的原则，严格控制公务接待的次数与费用。</w:t>
      </w:r>
    </w:p>
    <w:p w14:paraId="07D391D3">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default"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rPr>
        <w:t>公务用车购置费支出预算为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万元，本年没有安排该项预算支出。</w:t>
      </w:r>
      <w:r>
        <w:rPr>
          <w:rFonts w:hint="eastAsia" w:ascii="Times New Roman" w:hAnsi="Times New Roman" w:eastAsia="仿宋_GB2312"/>
          <w:spacing w:val="0"/>
          <w:sz w:val="32"/>
          <w:szCs w:val="32"/>
          <w:lang w:val="en-US" w:eastAsia="zh-CN"/>
        </w:rPr>
        <w:t>较上年度没有变化。</w:t>
      </w:r>
    </w:p>
    <w:p w14:paraId="31DD148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公务用车运行维护费支出预算为</w:t>
      </w:r>
      <w:r>
        <w:rPr>
          <w:rFonts w:hint="eastAsia" w:ascii="Times New Roman" w:hAnsi="Times New Roman" w:eastAsia="仿宋_GB2312"/>
          <w:spacing w:val="0"/>
          <w:sz w:val="32"/>
          <w:szCs w:val="32"/>
          <w:lang w:val="en-US" w:eastAsia="zh-CN"/>
        </w:rPr>
        <w:t>6.14</w:t>
      </w:r>
      <w:r>
        <w:rPr>
          <w:rFonts w:hint="eastAsia" w:ascii="Times New Roman" w:hAnsi="Times New Roman" w:eastAsia="仿宋_GB2312"/>
          <w:spacing w:val="0"/>
          <w:sz w:val="32"/>
          <w:szCs w:val="32"/>
        </w:rPr>
        <w:t>万元，支出决算为</w:t>
      </w:r>
      <w:r>
        <w:rPr>
          <w:rFonts w:hint="eastAsia" w:ascii="Times New Roman" w:hAnsi="Times New Roman" w:eastAsia="仿宋_GB2312"/>
          <w:spacing w:val="0"/>
          <w:sz w:val="32"/>
          <w:szCs w:val="32"/>
          <w:lang w:val="en-US" w:eastAsia="zh-CN"/>
        </w:rPr>
        <w:t>6.14</w:t>
      </w:r>
      <w:r>
        <w:rPr>
          <w:rFonts w:hint="eastAsia" w:ascii="Times New Roman" w:hAnsi="Times New Roman" w:eastAsia="仿宋_GB2312"/>
          <w:spacing w:val="0"/>
          <w:sz w:val="32"/>
          <w:szCs w:val="32"/>
        </w:rPr>
        <w:t>万元，完成预算的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%，决算数等于年初预算，与上年相比减少</w:t>
      </w:r>
      <w:r>
        <w:rPr>
          <w:rFonts w:hint="eastAsia" w:ascii="Times New Roman" w:hAnsi="Times New Roman" w:eastAsia="仿宋_GB2312"/>
          <w:spacing w:val="0"/>
          <w:sz w:val="32"/>
          <w:szCs w:val="32"/>
          <w:lang w:val="en-US" w:eastAsia="zh-CN"/>
        </w:rPr>
        <w:t>0.11</w:t>
      </w:r>
      <w:r>
        <w:rPr>
          <w:rFonts w:hint="eastAsia" w:ascii="Times New Roman" w:hAnsi="Times New Roman" w:eastAsia="仿宋_GB2312"/>
          <w:spacing w:val="0"/>
          <w:sz w:val="32"/>
          <w:szCs w:val="32"/>
        </w:rPr>
        <w:t>万元，</w:t>
      </w:r>
      <w:r>
        <w:rPr>
          <w:rFonts w:hint="eastAsia" w:ascii="Times New Roman" w:hAnsi="Times New Roman" w:eastAsia="仿宋_GB2312"/>
          <w:spacing w:val="0"/>
          <w:sz w:val="32"/>
          <w:szCs w:val="32"/>
          <w:lang w:val="en-US" w:eastAsia="zh-CN"/>
        </w:rPr>
        <w:t>减少1.76</w:t>
      </w:r>
      <w:r>
        <w:rPr>
          <w:rFonts w:hint="eastAsia" w:ascii="Times New Roman" w:hAnsi="Times New Roman" w:eastAsia="仿宋_GB2312"/>
          <w:spacing w:val="0"/>
          <w:sz w:val="32"/>
          <w:szCs w:val="32"/>
        </w:rPr>
        <w:t>%,减少</w:t>
      </w:r>
      <w:r>
        <w:rPr>
          <w:rFonts w:hint="eastAsia" w:ascii="Times New Roman" w:hAnsi="Times New Roman" w:eastAsia="仿宋_GB2312"/>
          <w:spacing w:val="0"/>
          <w:sz w:val="32"/>
          <w:szCs w:val="32"/>
          <w:lang w:val="en-US" w:eastAsia="zh-CN"/>
        </w:rPr>
        <w:t>的原因是</w:t>
      </w:r>
      <w:r>
        <w:rPr>
          <w:rFonts w:hint="eastAsia" w:ascii="Times New Roman" w:hAnsi="Times New Roman" w:eastAsia="仿宋_GB2312"/>
          <w:spacing w:val="0"/>
          <w:sz w:val="32"/>
          <w:szCs w:val="32"/>
        </w:rPr>
        <w:t>本单位厉行节约，缩减了</w:t>
      </w:r>
      <w:r>
        <w:rPr>
          <w:rFonts w:hint="eastAsia" w:ascii="Times New Roman" w:hAnsi="Times New Roman" w:eastAsia="仿宋_GB2312"/>
          <w:spacing w:val="0"/>
          <w:sz w:val="32"/>
          <w:szCs w:val="32"/>
          <w:lang w:val="en-US" w:eastAsia="zh-CN"/>
        </w:rPr>
        <w:t>公务用车运行维护费</w:t>
      </w:r>
      <w:r>
        <w:rPr>
          <w:rFonts w:hint="eastAsia" w:ascii="Times New Roman" w:hAnsi="Times New Roman" w:eastAsia="仿宋_GB2312"/>
          <w:spacing w:val="0"/>
          <w:sz w:val="32"/>
          <w:szCs w:val="32"/>
        </w:rPr>
        <w:t>的开支。</w:t>
      </w:r>
    </w:p>
    <w:p w14:paraId="72F192F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rPr>
        <w:t>（二）“三公”经费财政拨款支出决算具体情况说明</w:t>
      </w:r>
    </w:p>
    <w:p w14:paraId="6CBEDAB8">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年度“三公”经费财政拨款支出决算中，公务接待费支出决算</w:t>
      </w:r>
      <w:r>
        <w:rPr>
          <w:rFonts w:hint="eastAsia" w:ascii="Times New Roman" w:hAnsi="Times New Roman" w:eastAsia="仿宋_GB2312"/>
          <w:spacing w:val="0"/>
          <w:sz w:val="32"/>
          <w:szCs w:val="32"/>
          <w:lang w:val="en-US" w:eastAsia="zh-CN"/>
        </w:rPr>
        <w:t>2.98</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32.71</w:t>
      </w:r>
      <w:r>
        <w:rPr>
          <w:rFonts w:hint="eastAsia" w:ascii="Times New Roman" w:hAnsi="Times New Roman" w:eastAsia="仿宋_GB2312"/>
          <w:spacing w:val="0"/>
          <w:sz w:val="32"/>
          <w:szCs w:val="32"/>
        </w:rPr>
        <w:t>%,因公出国（境）费支出决算</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%,公务用车购置费及运行维护费支出决算</w:t>
      </w:r>
      <w:r>
        <w:rPr>
          <w:rFonts w:hint="eastAsia" w:ascii="Times New Roman" w:hAnsi="Times New Roman" w:eastAsia="仿宋_GB2312"/>
          <w:spacing w:val="0"/>
          <w:sz w:val="32"/>
          <w:szCs w:val="32"/>
          <w:lang w:val="en-US" w:eastAsia="zh-CN"/>
        </w:rPr>
        <w:t>6.14</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val="en-US" w:eastAsia="zh-CN"/>
        </w:rPr>
        <w:t>67.29</w:t>
      </w:r>
      <w:r>
        <w:rPr>
          <w:rFonts w:hint="eastAsia" w:ascii="Times New Roman" w:hAnsi="Times New Roman" w:eastAsia="仿宋_GB2312"/>
          <w:spacing w:val="0"/>
          <w:sz w:val="32"/>
          <w:szCs w:val="32"/>
        </w:rPr>
        <w:t>%。其中：</w:t>
      </w:r>
    </w:p>
    <w:p w14:paraId="3D75F1D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因公出国（境）费支出决算为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万元，全年安排因公出国（境）团组</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个，累计</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人次,开支内容：</w:t>
      </w:r>
      <w:r>
        <w:rPr>
          <w:rFonts w:hint="eastAsia" w:ascii="Times New Roman" w:hAnsi="Times New Roman" w:eastAsia="仿宋_GB2312"/>
          <w:spacing w:val="0"/>
          <w:sz w:val="32"/>
          <w:szCs w:val="32"/>
          <w:lang w:val="en-US" w:eastAsia="zh-CN"/>
        </w:rPr>
        <w:t>无。</w:t>
      </w:r>
    </w:p>
    <w:p w14:paraId="478C683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2、公务接待费支出决算为</w:t>
      </w:r>
      <w:r>
        <w:rPr>
          <w:rFonts w:hint="eastAsia" w:ascii="Times New Roman" w:hAnsi="Times New Roman" w:eastAsia="仿宋_GB2312"/>
          <w:spacing w:val="0"/>
          <w:sz w:val="32"/>
          <w:szCs w:val="32"/>
          <w:lang w:val="en-US" w:eastAsia="zh-CN"/>
        </w:rPr>
        <w:t>2.98</w:t>
      </w:r>
      <w:r>
        <w:rPr>
          <w:rFonts w:hint="eastAsia" w:ascii="Times New Roman" w:hAnsi="Times New Roman" w:eastAsia="仿宋_GB2312"/>
          <w:spacing w:val="0"/>
          <w:sz w:val="32"/>
          <w:szCs w:val="32"/>
        </w:rPr>
        <w:t>万元，全年共接待来访团组</w:t>
      </w:r>
      <w:r>
        <w:rPr>
          <w:rFonts w:hint="eastAsia" w:ascii="Times New Roman" w:hAnsi="Times New Roman" w:eastAsia="仿宋_GB2312"/>
          <w:spacing w:val="0"/>
          <w:sz w:val="32"/>
          <w:szCs w:val="32"/>
          <w:lang w:val="en-US" w:eastAsia="zh-CN"/>
        </w:rPr>
        <w:t>48</w:t>
      </w:r>
      <w:r>
        <w:rPr>
          <w:rFonts w:hint="eastAsia" w:ascii="Times New Roman" w:hAnsi="Times New Roman" w:eastAsia="仿宋_GB2312"/>
          <w:spacing w:val="0"/>
          <w:sz w:val="32"/>
          <w:szCs w:val="32"/>
        </w:rPr>
        <w:t>个、来宾</w:t>
      </w:r>
      <w:r>
        <w:rPr>
          <w:rFonts w:hint="eastAsia" w:ascii="Times New Roman" w:hAnsi="Times New Roman" w:eastAsia="仿宋_GB2312"/>
          <w:spacing w:val="0"/>
          <w:sz w:val="32"/>
          <w:szCs w:val="32"/>
          <w:lang w:val="en-US" w:eastAsia="zh-CN"/>
        </w:rPr>
        <w:t>191</w:t>
      </w:r>
      <w:r>
        <w:rPr>
          <w:rFonts w:hint="eastAsia" w:ascii="Times New Roman" w:hAnsi="Times New Roman" w:eastAsia="仿宋_GB2312"/>
          <w:spacing w:val="0"/>
          <w:sz w:val="32"/>
          <w:szCs w:val="32"/>
        </w:rPr>
        <w:t>人次，主要是对接公务发生的接待支出。</w:t>
      </w:r>
    </w:p>
    <w:p w14:paraId="75B14E6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rPr>
        <w:t>3、公务用车购置费及运行维护费支出决算为</w:t>
      </w:r>
      <w:r>
        <w:rPr>
          <w:rFonts w:hint="eastAsia" w:ascii="Times New Roman" w:hAnsi="Times New Roman" w:eastAsia="仿宋_GB2312"/>
          <w:spacing w:val="0"/>
          <w:sz w:val="32"/>
          <w:szCs w:val="32"/>
          <w:lang w:val="en-US" w:eastAsia="zh-CN"/>
        </w:rPr>
        <w:t>6.14</w:t>
      </w:r>
      <w:r>
        <w:rPr>
          <w:rFonts w:hint="eastAsia" w:ascii="Times New Roman" w:hAnsi="Times New Roman" w:eastAsia="仿宋_GB2312"/>
          <w:spacing w:val="0"/>
          <w:sz w:val="32"/>
          <w:szCs w:val="32"/>
        </w:rPr>
        <w:t>万元，其中：公务用车购置费</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万元。公务用车运行维护费</w:t>
      </w:r>
      <w:r>
        <w:rPr>
          <w:rFonts w:hint="eastAsia" w:ascii="Times New Roman" w:hAnsi="Times New Roman" w:eastAsia="仿宋_GB2312"/>
          <w:spacing w:val="0"/>
          <w:sz w:val="32"/>
          <w:szCs w:val="32"/>
          <w:lang w:val="en-US" w:eastAsia="zh-CN"/>
        </w:rPr>
        <w:t>6.14</w:t>
      </w:r>
      <w:r>
        <w:rPr>
          <w:rFonts w:hint="eastAsia" w:ascii="Times New Roman" w:hAnsi="Times New Roman" w:eastAsia="仿宋_GB2312"/>
          <w:spacing w:val="0"/>
          <w:sz w:val="32"/>
          <w:szCs w:val="32"/>
        </w:rPr>
        <w:t>万元，主</w:t>
      </w:r>
      <w:r>
        <w:rPr>
          <w:rFonts w:hint="eastAsia" w:ascii="Times New Roman" w:hAnsi="Times New Roman" w:eastAsia="仿宋_GB2312"/>
          <w:spacing w:val="0"/>
          <w:sz w:val="32"/>
          <w:szCs w:val="32"/>
          <w:lang w:val="en-US" w:eastAsia="zh-CN"/>
        </w:rPr>
        <w:t>要是油料费、维修费支</w:t>
      </w:r>
      <w:r>
        <w:rPr>
          <w:rFonts w:hint="eastAsia" w:ascii="Times New Roman" w:hAnsi="Times New Roman" w:eastAsia="仿宋_GB2312"/>
          <w:spacing w:val="0"/>
          <w:sz w:val="32"/>
          <w:szCs w:val="32"/>
        </w:rPr>
        <w:t>出，截止202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年12月31日，我单位开支财政拨款的公务用车保有量为</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辆。</w:t>
      </w:r>
    </w:p>
    <w:p w14:paraId="46443E8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八、政府性基金预算收入支出决算情况</w:t>
      </w:r>
    </w:p>
    <w:p w14:paraId="0D982DAA">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本单位无政府性基金预算收入支出。</w:t>
      </w:r>
    </w:p>
    <w:p w14:paraId="7DBD7061">
      <w:pPr>
        <w:pStyle w:val="15"/>
        <w:keepNext w:val="0"/>
        <w:keepLines w:val="0"/>
        <w:pageBreakBefore w:val="0"/>
        <w:widowControl w:val="0"/>
        <w:numPr>
          <w:numId w:val="0"/>
        </w:numPr>
        <w:kinsoku/>
        <w:wordWrap/>
        <w:overflowPunct/>
        <w:topLinePunct w:val="0"/>
        <w:autoSpaceDE/>
        <w:autoSpaceDN/>
        <w:bidi w:val="0"/>
        <w:snapToGrid/>
        <w:spacing w:afterAutospacing="0" w:line="620" w:lineRule="exact"/>
        <w:ind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cs="黑体"/>
          <w:b w:val="0"/>
          <w:bCs/>
          <w:spacing w:val="0"/>
          <w:sz w:val="32"/>
          <w:szCs w:val="32"/>
          <w:lang w:val="en-US" w:eastAsia="zh-CN"/>
        </w:rPr>
        <w:t>九、</w:t>
      </w:r>
      <w:r>
        <w:rPr>
          <w:rFonts w:hint="eastAsia" w:ascii="Times New Roman" w:hAnsi="Times New Roman" w:eastAsia="黑体" w:cs="黑体"/>
          <w:b w:val="0"/>
          <w:bCs/>
          <w:spacing w:val="0"/>
          <w:sz w:val="32"/>
          <w:szCs w:val="32"/>
        </w:rPr>
        <w:t>国有资本经营预算收入支出决算情况说明</w:t>
      </w:r>
    </w:p>
    <w:p w14:paraId="3328C3E2">
      <w:pPr>
        <w:pStyle w:val="15"/>
        <w:keepNext w:val="0"/>
        <w:keepLines w:val="0"/>
        <w:pageBreakBefore w:val="0"/>
        <w:widowControl w:val="0"/>
        <w:kinsoku/>
        <w:wordWrap/>
        <w:overflowPunct/>
        <w:topLinePunct w:val="0"/>
        <w:autoSpaceDE/>
        <w:autoSpaceDN/>
        <w:bidi w:val="0"/>
        <w:snapToGrid/>
        <w:spacing w:afterAutospacing="0" w:line="620" w:lineRule="exact"/>
        <w:ind w:firstLine="640" w:firstLineChars="200"/>
        <w:jc w:val="both"/>
        <w:textAlignment w:val="auto"/>
        <w:rPr>
          <w:rFonts w:hint="default" w:ascii="Times New Roman" w:hAnsi="Times New Roman" w:eastAsia="黑体" w:cs="黑体"/>
          <w:b w:val="0"/>
          <w:bCs/>
          <w:spacing w:val="0"/>
          <w:sz w:val="32"/>
          <w:szCs w:val="32"/>
          <w:lang w:val="en-US" w:eastAsia="zh-CN"/>
        </w:rPr>
      </w:pPr>
      <w:r>
        <w:rPr>
          <w:rFonts w:hint="eastAsia" w:ascii="Times New Roman" w:hAnsi="Times New Roman" w:eastAsia="仿宋_GB2312"/>
          <w:spacing w:val="0"/>
          <w:sz w:val="32"/>
          <w:szCs w:val="32"/>
        </w:rPr>
        <w:t>本单位无政府性基金预算收入支出。</w:t>
      </w:r>
    </w:p>
    <w:p w14:paraId="72F58FB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cs="黑体"/>
          <w:b w:val="0"/>
          <w:bCs/>
          <w:spacing w:val="0"/>
          <w:sz w:val="32"/>
          <w:szCs w:val="32"/>
          <w:lang w:val="en-US" w:eastAsia="zh-CN"/>
        </w:rPr>
        <w:t>十</w:t>
      </w:r>
      <w:r>
        <w:rPr>
          <w:rFonts w:hint="eastAsia" w:ascii="Times New Roman" w:hAnsi="Times New Roman" w:eastAsia="黑体" w:cs="黑体"/>
          <w:b w:val="0"/>
          <w:bCs/>
          <w:spacing w:val="0"/>
          <w:sz w:val="32"/>
          <w:szCs w:val="32"/>
        </w:rPr>
        <w:t>、关于机关运行经费支出说明</w:t>
      </w:r>
    </w:p>
    <w:p w14:paraId="647F95D7">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本部门202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年度机关运行经费支出</w:t>
      </w:r>
      <w:r>
        <w:rPr>
          <w:rFonts w:hint="eastAsia" w:ascii="Times New Roman" w:hAnsi="Times New Roman" w:eastAsia="仿宋_GB2312"/>
          <w:spacing w:val="0"/>
          <w:sz w:val="32"/>
          <w:szCs w:val="32"/>
          <w:lang w:val="en-US" w:eastAsia="zh-CN"/>
        </w:rPr>
        <w:t>40.57</w:t>
      </w:r>
      <w:r>
        <w:rPr>
          <w:rFonts w:hint="eastAsia" w:ascii="Times New Roman" w:hAnsi="Times New Roman" w:eastAsia="仿宋_GB2312"/>
          <w:spacing w:val="0"/>
          <w:sz w:val="32"/>
          <w:szCs w:val="32"/>
        </w:rPr>
        <w:t>万元</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与年初预算数相等，比上年决算数增加</w:t>
      </w:r>
      <w:r>
        <w:rPr>
          <w:rFonts w:hint="eastAsia" w:ascii="Times New Roman" w:hAnsi="Times New Roman" w:eastAsia="仿宋_GB2312"/>
          <w:spacing w:val="0"/>
          <w:sz w:val="32"/>
          <w:szCs w:val="32"/>
          <w:lang w:val="en-US" w:eastAsia="zh-CN"/>
        </w:rPr>
        <w:t>4.86</w:t>
      </w:r>
      <w:r>
        <w:rPr>
          <w:rFonts w:hint="eastAsia" w:ascii="Times New Roman" w:hAnsi="Times New Roman" w:eastAsia="仿宋_GB2312"/>
          <w:spacing w:val="0"/>
          <w:sz w:val="32"/>
          <w:szCs w:val="32"/>
        </w:rPr>
        <w:t>万元，增长</w:t>
      </w:r>
      <w:r>
        <w:rPr>
          <w:rFonts w:hint="eastAsia" w:ascii="Times New Roman" w:hAnsi="Times New Roman" w:eastAsia="仿宋_GB2312"/>
          <w:spacing w:val="0"/>
          <w:sz w:val="32"/>
          <w:szCs w:val="32"/>
          <w:lang w:val="en-US" w:eastAsia="zh-CN"/>
        </w:rPr>
        <w:t>13.61</w:t>
      </w:r>
      <w:r>
        <w:rPr>
          <w:rFonts w:hint="eastAsia" w:ascii="Times New Roman" w:hAnsi="Times New Roman" w:eastAsia="仿宋_GB2312"/>
          <w:spacing w:val="0"/>
          <w:sz w:val="32"/>
          <w:szCs w:val="32"/>
        </w:rPr>
        <w:t>%。主要原因是：</w:t>
      </w:r>
      <w:r>
        <w:rPr>
          <w:rFonts w:hint="eastAsia" w:ascii="Times New Roman" w:hAnsi="Times New Roman" w:eastAsia="仿宋_GB2312"/>
          <w:spacing w:val="0"/>
          <w:sz w:val="32"/>
          <w:szCs w:val="32"/>
          <w:lang w:val="en-US" w:eastAsia="zh-CN"/>
        </w:rPr>
        <w:t>我单位人员有所增加，办公费和工会经费有所增加。</w:t>
      </w:r>
    </w:p>
    <w:p w14:paraId="4C2AF24E">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十</w:t>
      </w:r>
      <w:r>
        <w:rPr>
          <w:rFonts w:hint="eastAsia" w:ascii="Times New Roman" w:hAnsi="Times New Roman" w:cs="黑体"/>
          <w:b w:val="0"/>
          <w:bCs/>
          <w:spacing w:val="0"/>
          <w:sz w:val="32"/>
          <w:szCs w:val="32"/>
          <w:lang w:val="en-US" w:eastAsia="zh-CN"/>
        </w:rPr>
        <w:t>一</w:t>
      </w:r>
      <w:r>
        <w:rPr>
          <w:rFonts w:hint="eastAsia" w:ascii="Times New Roman" w:hAnsi="Times New Roman" w:eastAsia="黑体" w:cs="黑体"/>
          <w:b w:val="0"/>
          <w:bCs/>
          <w:spacing w:val="0"/>
          <w:sz w:val="32"/>
          <w:szCs w:val="32"/>
        </w:rPr>
        <w:t>、一般性支出情况说明</w:t>
      </w:r>
    </w:p>
    <w:p w14:paraId="394DB46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年本部门</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开支会议费</w:t>
      </w:r>
      <w:r>
        <w:rPr>
          <w:rFonts w:hint="eastAsia" w:ascii="Times New Roman" w:hAnsi="Times New Roman" w:eastAsia="仿宋_GB2312"/>
          <w:spacing w:val="0"/>
          <w:sz w:val="32"/>
          <w:szCs w:val="32"/>
          <w:lang w:val="en-US" w:eastAsia="zh-CN"/>
        </w:rPr>
        <w:t>6.65</w:t>
      </w:r>
      <w:r>
        <w:rPr>
          <w:rFonts w:hint="eastAsia" w:ascii="Times New Roman" w:hAnsi="Times New Roman" w:eastAsia="仿宋_GB2312"/>
          <w:spacing w:val="0"/>
          <w:sz w:val="32"/>
          <w:szCs w:val="32"/>
        </w:rPr>
        <w:t>万元</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用于召开</w:t>
      </w:r>
      <w:r>
        <w:rPr>
          <w:rFonts w:hint="eastAsia" w:ascii="Times New Roman" w:hAnsi="Times New Roman" w:eastAsia="仿宋_GB2312"/>
          <w:spacing w:val="0"/>
          <w:sz w:val="32"/>
          <w:szCs w:val="32"/>
          <w:lang w:val="en-US" w:eastAsia="zh-CN"/>
        </w:rPr>
        <w:t>全市待遇保障政策</w:t>
      </w:r>
      <w:r>
        <w:rPr>
          <w:rFonts w:hint="eastAsia" w:ascii="Times New Roman" w:hAnsi="Times New Roman" w:eastAsia="仿宋_GB2312"/>
          <w:spacing w:val="0"/>
          <w:sz w:val="32"/>
          <w:szCs w:val="32"/>
        </w:rPr>
        <w:t>会议，人数</w:t>
      </w:r>
      <w:r>
        <w:rPr>
          <w:rFonts w:hint="eastAsia" w:ascii="Times New Roman" w:hAnsi="Times New Roman" w:eastAsia="仿宋_GB2312"/>
          <w:spacing w:val="0"/>
          <w:sz w:val="32"/>
          <w:szCs w:val="32"/>
          <w:lang w:val="en-US" w:eastAsia="zh-CN"/>
        </w:rPr>
        <w:t>45</w:t>
      </w:r>
      <w:r>
        <w:rPr>
          <w:rFonts w:hint="eastAsia" w:ascii="Times New Roman" w:hAnsi="Times New Roman" w:eastAsia="仿宋_GB2312"/>
          <w:spacing w:val="0"/>
          <w:sz w:val="32"/>
          <w:szCs w:val="32"/>
        </w:rPr>
        <w:t>人，内容为</w:t>
      </w:r>
      <w:r>
        <w:rPr>
          <w:rFonts w:hint="eastAsia" w:ascii="Times New Roman" w:hAnsi="Times New Roman" w:eastAsia="仿宋_GB2312"/>
          <w:spacing w:val="0"/>
          <w:sz w:val="32"/>
          <w:szCs w:val="32"/>
          <w:lang w:val="en-US" w:eastAsia="zh-CN"/>
        </w:rPr>
        <w:t>全市待遇保障政策宣讲大会</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全市医疗保障工作会议，人数53人，内容为2022年全市医疗保障工作总结、安排2023年度下半年工作；全市医保系统廉政工作会议，人数42人，内容为强调全市医保廉政工作；全市真抓实干工作推进会，人数43人，内容为部署加快推进真抓施工相关工作；湘黔两省两市一州毗邻区域跨省异地就医基金监管协作磋商会务费，人数72人，内容为湘黔两省两市一州联合开展基金监管工作。（2）</w:t>
      </w:r>
      <w:r>
        <w:rPr>
          <w:rFonts w:hint="eastAsia" w:ascii="Times New Roman" w:hAnsi="Times New Roman" w:eastAsia="仿宋_GB2312"/>
          <w:spacing w:val="0"/>
          <w:sz w:val="32"/>
          <w:szCs w:val="32"/>
        </w:rPr>
        <w:t>开支培训费</w:t>
      </w:r>
      <w:r>
        <w:rPr>
          <w:rFonts w:hint="eastAsia" w:ascii="Times New Roman" w:hAnsi="Times New Roman" w:eastAsia="仿宋_GB2312"/>
          <w:spacing w:val="0"/>
          <w:sz w:val="32"/>
          <w:szCs w:val="32"/>
          <w:lang w:val="en-US" w:eastAsia="zh-CN"/>
        </w:rPr>
        <w:t>22.87</w:t>
      </w:r>
      <w:r>
        <w:rPr>
          <w:rFonts w:hint="eastAsia" w:ascii="Times New Roman" w:hAnsi="Times New Roman" w:eastAsia="仿宋_GB2312"/>
          <w:spacing w:val="0"/>
          <w:sz w:val="32"/>
          <w:szCs w:val="32"/>
        </w:rPr>
        <w:t>万元，用于开展</w:t>
      </w:r>
      <w:r>
        <w:rPr>
          <w:rFonts w:hint="eastAsia" w:ascii="Times New Roman" w:hAnsi="Times New Roman" w:eastAsia="仿宋_GB2312"/>
          <w:spacing w:val="0"/>
          <w:sz w:val="32"/>
          <w:szCs w:val="32"/>
          <w:lang w:val="en-US" w:eastAsia="zh-CN"/>
        </w:rPr>
        <w:t>DIP经办工作</w:t>
      </w:r>
      <w:r>
        <w:rPr>
          <w:rFonts w:hint="eastAsia" w:ascii="Times New Roman" w:hAnsi="Times New Roman" w:eastAsia="仿宋_GB2312"/>
          <w:spacing w:val="0"/>
          <w:sz w:val="32"/>
          <w:szCs w:val="32"/>
        </w:rPr>
        <w:t>培训，人数</w:t>
      </w:r>
      <w:r>
        <w:rPr>
          <w:rFonts w:hint="eastAsia" w:ascii="Times New Roman" w:hAnsi="Times New Roman" w:eastAsia="仿宋_GB2312"/>
          <w:spacing w:val="0"/>
          <w:sz w:val="32"/>
          <w:szCs w:val="32"/>
          <w:lang w:val="en-US" w:eastAsia="zh-CN"/>
        </w:rPr>
        <w:t>31</w:t>
      </w:r>
      <w:r>
        <w:rPr>
          <w:rFonts w:hint="eastAsia" w:ascii="Times New Roman" w:hAnsi="Times New Roman" w:eastAsia="仿宋_GB2312"/>
          <w:spacing w:val="0"/>
          <w:sz w:val="32"/>
          <w:szCs w:val="32"/>
        </w:rPr>
        <w:t>人，内容为</w:t>
      </w:r>
      <w:r>
        <w:rPr>
          <w:rFonts w:hint="eastAsia" w:ascii="Times New Roman" w:hAnsi="Times New Roman" w:eastAsia="仿宋_GB2312"/>
          <w:spacing w:val="0"/>
          <w:sz w:val="32"/>
          <w:szCs w:val="32"/>
          <w:lang w:val="en-US" w:eastAsia="zh-CN"/>
        </w:rPr>
        <w:t>DIP相关经办工作人员能力提升培训；怀化市DIP第二轮论证培训，人数76人，内容为开展DIP支付方式改革第二轮论证的培训；指标解读工作培训，人数34人，内容为医保工作相关指标解读；配合省局开展定点零售药店预飞检工作培训，人数36人，内容为省局预飞检工作培训；2023年医疗保障法制专题培训，人数32人，内容为开展医保系统法制相关人员法律法制相关内容培训；宣传专干培训，人数26人，内容为全市医保系统宣传专干相关能力提升培训；2023年全市医保基金监管行政执法培训，人数53人，内容为</w:t>
      </w:r>
      <w:r>
        <w:rPr>
          <w:rFonts w:hint="eastAsia" w:ascii="Times New Roman" w:hAnsi="Times New Roman" w:eastAsia="仿宋_GB2312"/>
          <w:spacing w:val="0"/>
          <w:sz w:val="32"/>
          <w:szCs w:val="32"/>
        </w:rPr>
        <w:t>内容为全市监管执法培训提升依法行政水平</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全国拒保投诉专题视频培训，人数28人，内容为全国举报投诉相关工作培训；全市医疗保障系统文秘骨干培训，人数41人，内容为全市医保系统文秘骨干能力提升培训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党的二十大集中宣讲，人数52人，内容为党的二十大精神宣讲；2023年医疗保障信息化标准化培训，人数89人，内容为</w:t>
      </w:r>
      <w:r>
        <w:rPr>
          <w:rFonts w:hint="eastAsia" w:ascii="Times New Roman" w:hAnsi="Times New Roman" w:eastAsia="仿宋_GB2312"/>
          <w:spacing w:val="0"/>
          <w:sz w:val="32"/>
          <w:szCs w:val="32"/>
        </w:rPr>
        <w:t>平台验收、运维管理、网络和数据安全、数据治理、公共服务、信息业务编码维护和运用、各地全面升化平台应用等</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lang w:val="en-US" w:eastAsia="zh-CN"/>
        </w:rPr>
        <w:t>全市医疗保障政策培训，人数25人，内容为全市医疗保障相关政策的培训；全市医保基金直接结算集中带量采购中选产品医保货款经办业务培训，人数86人，内容为带量集中采购相关业务培训等等。我单位</w:t>
      </w:r>
      <w:r>
        <w:rPr>
          <w:rFonts w:hint="eastAsia" w:ascii="Times New Roman" w:hAnsi="Times New Roman" w:eastAsia="仿宋_GB2312"/>
          <w:spacing w:val="0"/>
          <w:sz w:val="32"/>
          <w:szCs w:val="32"/>
        </w:rPr>
        <w:t>无举办节庆、晚会、论坛、赛事活动开支。</w:t>
      </w:r>
    </w:p>
    <w:p w14:paraId="6DE5FEA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十</w:t>
      </w:r>
      <w:r>
        <w:rPr>
          <w:rFonts w:hint="eastAsia" w:ascii="Times New Roman" w:hAnsi="Times New Roman" w:cs="黑体"/>
          <w:b w:val="0"/>
          <w:bCs/>
          <w:spacing w:val="0"/>
          <w:sz w:val="32"/>
          <w:szCs w:val="32"/>
          <w:lang w:val="en-US" w:eastAsia="zh-CN"/>
        </w:rPr>
        <w:t>二</w:t>
      </w:r>
      <w:r>
        <w:rPr>
          <w:rFonts w:hint="eastAsia" w:ascii="Times New Roman" w:hAnsi="Times New Roman" w:eastAsia="黑体" w:cs="黑体"/>
          <w:b w:val="0"/>
          <w:bCs/>
          <w:spacing w:val="0"/>
          <w:sz w:val="32"/>
          <w:szCs w:val="32"/>
        </w:rPr>
        <w:t>、关于政府采购支出说明</w:t>
      </w:r>
    </w:p>
    <w:p w14:paraId="2DA9830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rPr>
        <w:t>本部门202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年度政府采购支出总额</w:t>
      </w:r>
      <w:r>
        <w:rPr>
          <w:rFonts w:hint="eastAsia" w:ascii="Times New Roman" w:hAnsi="Times New Roman" w:eastAsia="仿宋_GB2312"/>
          <w:spacing w:val="0"/>
          <w:sz w:val="32"/>
          <w:szCs w:val="32"/>
          <w:lang w:val="en-US" w:eastAsia="zh-CN"/>
        </w:rPr>
        <w:t>34.76</w:t>
      </w:r>
      <w:r>
        <w:rPr>
          <w:rFonts w:hint="eastAsia" w:ascii="Times New Roman" w:hAnsi="Times New Roman" w:eastAsia="仿宋_GB2312"/>
          <w:spacing w:val="0"/>
          <w:sz w:val="32"/>
          <w:szCs w:val="32"/>
        </w:rPr>
        <w:t>万元，其中：政府采购货物支出</w:t>
      </w:r>
      <w:r>
        <w:rPr>
          <w:rFonts w:hint="eastAsia" w:ascii="Times New Roman" w:hAnsi="Times New Roman" w:eastAsia="仿宋_GB2312"/>
          <w:spacing w:val="0"/>
          <w:sz w:val="32"/>
          <w:szCs w:val="32"/>
          <w:lang w:val="en-US" w:eastAsia="zh-CN"/>
        </w:rPr>
        <w:t>27</w:t>
      </w:r>
      <w:r>
        <w:rPr>
          <w:rFonts w:hint="eastAsia" w:ascii="Times New Roman" w:hAnsi="Times New Roman" w:eastAsia="仿宋_GB2312"/>
          <w:spacing w:val="0"/>
          <w:sz w:val="32"/>
          <w:szCs w:val="32"/>
        </w:rPr>
        <w:t>万元、政府采购工程支出</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万元、政府采购服务支出</w:t>
      </w:r>
      <w:r>
        <w:rPr>
          <w:rFonts w:hint="eastAsia" w:ascii="Times New Roman" w:hAnsi="Times New Roman" w:eastAsia="仿宋_GB2312"/>
          <w:spacing w:val="0"/>
          <w:sz w:val="32"/>
          <w:szCs w:val="32"/>
          <w:lang w:val="en-US" w:eastAsia="zh-CN"/>
        </w:rPr>
        <w:t>7.76</w:t>
      </w:r>
      <w:r>
        <w:rPr>
          <w:rFonts w:hint="eastAsia" w:ascii="Times New Roman" w:hAnsi="Times New Roman" w:eastAsia="仿宋_GB2312"/>
          <w:spacing w:val="0"/>
          <w:sz w:val="32"/>
          <w:szCs w:val="32"/>
        </w:rPr>
        <w:t>万元。授予中小企业合同金额</w:t>
      </w:r>
      <w:r>
        <w:rPr>
          <w:rFonts w:hint="eastAsia" w:ascii="Times New Roman" w:hAnsi="Times New Roman" w:eastAsia="仿宋_GB2312"/>
          <w:spacing w:val="0"/>
          <w:sz w:val="32"/>
          <w:szCs w:val="32"/>
          <w:lang w:val="en-US" w:eastAsia="zh-CN"/>
        </w:rPr>
        <w:t>34.76</w:t>
      </w:r>
      <w:r>
        <w:rPr>
          <w:rFonts w:hint="eastAsia" w:ascii="Times New Roman" w:hAnsi="Times New Roman" w:eastAsia="仿宋_GB2312"/>
          <w:spacing w:val="0"/>
          <w:sz w:val="32"/>
          <w:szCs w:val="32"/>
        </w:rPr>
        <w:t>万元，占政府采购支出总额的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%，其中：授予小微企业合同金额</w:t>
      </w:r>
      <w:r>
        <w:rPr>
          <w:rFonts w:hint="eastAsia" w:ascii="Times New Roman" w:hAnsi="Times New Roman" w:eastAsia="仿宋_GB2312"/>
          <w:spacing w:val="0"/>
          <w:sz w:val="32"/>
          <w:szCs w:val="32"/>
          <w:lang w:val="en-US" w:eastAsia="zh-CN"/>
        </w:rPr>
        <w:t>34.76</w:t>
      </w:r>
      <w:r>
        <w:rPr>
          <w:rFonts w:hint="eastAsia" w:ascii="Times New Roman" w:hAnsi="Times New Roman" w:eastAsia="仿宋_GB2312"/>
          <w:spacing w:val="0"/>
          <w:sz w:val="32"/>
          <w:szCs w:val="32"/>
        </w:rPr>
        <w:t>万元，占</w:t>
      </w:r>
      <w:r>
        <w:rPr>
          <w:rFonts w:hint="eastAsia" w:ascii="Times New Roman" w:hAnsi="Times New Roman" w:eastAsia="仿宋_GB2312"/>
          <w:spacing w:val="0"/>
          <w:sz w:val="32"/>
          <w:szCs w:val="32"/>
          <w:lang w:eastAsia="zh-CN"/>
        </w:rPr>
        <w:t>授予中小企业合同金额</w:t>
      </w:r>
      <w:r>
        <w:rPr>
          <w:rFonts w:hint="eastAsia" w:ascii="Times New Roman" w:hAnsi="Times New Roman" w:eastAsia="仿宋_GB2312"/>
          <w:spacing w:val="0"/>
          <w:sz w:val="32"/>
          <w:szCs w:val="32"/>
        </w:rPr>
        <w:t>的</w:t>
      </w:r>
      <w:r>
        <w:rPr>
          <w:rFonts w:hint="eastAsia" w:ascii="Times New Roman" w:hAnsi="Times New Roman" w:eastAsia="仿宋_GB2312"/>
          <w:spacing w:val="0"/>
          <w:sz w:val="32"/>
          <w:szCs w:val="32"/>
          <w:lang w:val="en-US" w:eastAsia="zh-CN"/>
        </w:rPr>
        <w:t>100</w:t>
      </w:r>
      <w:r>
        <w:rPr>
          <w:rFonts w:hint="eastAsia" w:ascii="Times New Roman" w:hAnsi="Times New Roman" w:eastAsia="仿宋_GB2312"/>
          <w:spacing w:val="0"/>
          <w:sz w:val="32"/>
          <w:szCs w:val="32"/>
        </w:rPr>
        <w:t>%。货物采购授予中小企业合同金额占货物支出金额的</w:t>
      </w:r>
      <w:r>
        <w:rPr>
          <w:rFonts w:hint="eastAsia" w:ascii="Times New Roman" w:hAnsi="Times New Roman" w:eastAsia="仿宋_GB2312"/>
          <w:spacing w:val="0"/>
          <w:sz w:val="32"/>
          <w:szCs w:val="32"/>
          <w:lang w:val="en-US" w:eastAsia="zh-CN"/>
        </w:rPr>
        <w:t>77.68</w:t>
      </w:r>
      <w:r>
        <w:rPr>
          <w:rFonts w:hint="eastAsia" w:ascii="Times New Roman" w:hAnsi="Times New Roman" w:eastAsia="仿宋_GB2312"/>
          <w:spacing w:val="0"/>
          <w:sz w:val="32"/>
          <w:szCs w:val="32"/>
        </w:rPr>
        <w:t>%，工程采购授予中小企业合同金额占工程支出金额的</w:t>
      </w:r>
      <w:r>
        <w:rPr>
          <w:rFonts w:hint="eastAsia" w:ascii="Times New Roman" w:hAnsi="Times New Roman" w:eastAsia="仿宋_GB2312"/>
          <w:spacing w:val="0"/>
          <w:sz w:val="32"/>
          <w:szCs w:val="32"/>
          <w:lang w:val="en-US" w:eastAsia="zh-CN"/>
        </w:rPr>
        <w:t>0</w:t>
      </w:r>
      <w:r>
        <w:rPr>
          <w:rFonts w:hint="eastAsia" w:ascii="Times New Roman" w:hAnsi="Times New Roman" w:eastAsia="仿宋_GB2312"/>
          <w:spacing w:val="0"/>
          <w:sz w:val="32"/>
          <w:szCs w:val="32"/>
        </w:rPr>
        <w:t>%，服务采购授予中小企业合同金额占服务支出金额的</w:t>
      </w:r>
      <w:r>
        <w:rPr>
          <w:rFonts w:hint="eastAsia" w:ascii="Times New Roman" w:hAnsi="Times New Roman" w:eastAsia="仿宋_GB2312"/>
          <w:spacing w:val="0"/>
          <w:sz w:val="32"/>
          <w:szCs w:val="32"/>
          <w:lang w:val="en-US" w:eastAsia="zh-CN"/>
        </w:rPr>
        <w:t>22.32</w:t>
      </w:r>
      <w:r>
        <w:rPr>
          <w:rFonts w:hint="eastAsia" w:ascii="Times New Roman" w:hAnsi="Times New Roman" w:eastAsia="仿宋_GB2312"/>
          <w:spacing w:val="0"/>
          <w:sz w:val="32"/>
          <w:szCs w:val="32"/>
        </w:rPr>
        <w:t>%。</w:t>
      </w:r>
    </w:p>
    <w:p w14:paraId="586A7EC6">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十</w:t>
      </w:r>
      <w:r>
        <w:rPr>
          <w:rFonts w:hint="eastAsia" w:ascii="Times New Roman" w:hAnsi="Times New Roman" w:cs="黑体"/>
          <w:b w:val="0"/>
          <w:bCs/>
          <w:spacing w:val="0"/>
          <w:sz w:val="32"/>
          <w:szCs w:val="32"/>
          <w:lang w:val="en-US" w:eastAsia="zh-CN"/>
        </w:rPr>
        <w:t>三</w:t>
      </w:r>
      <w:r>
        <w:rPr>
          <w:rFonts w:hint="eastAsia" w:ascii="Times New Roman" w:hAnsi="Times New Roman" w:eastAsia="黑体" w:cs="黑体"/>
          <w:b w:val="0"/>
          <w:bCs/>
          <w:spacing w:val="0"/>
          <w:sz w:val="32"/>
          <w:szCs w:val="32"/>
        </w:rPr>
        <w:t>、关于国有资产占用情况说明</w:t>
      </w:r>
    </w:p>
    <w:p w14:paraId="7460E79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截至202</w:t>
      </w:r>
      <w:r>
        <w:rPr>
          <w:rFonts w:hint="eastAsia" w:ascii="Times New Roman" w:hAnsi="Times New Roman" w:eastAsia="仿宋_GB2312"/>
          <w:spacing w:val="0"/>
          <w:sz w:val="32"/>
          <w:szCs w:val="32"/>
          <w:lang w:val="en-US" w:eastAsia="zh-CN"/>
        </w:rPr>
        <w:t>3</w:t>
      </w:r>
      <w:r>
        <w:rPr>
          <w:rFonts w:hint="eastAsia" w:ascii="Times New Roman" w:hAnsi="Times New Roman" w:eastAsia="仿宋_GB2312"/>
          <w:spacing w:val="0"/>
          <w:sz w:val="32"/>
          <w:szCs w:val="32"/>
        </w:rPr>
        <w:t>年12月31日，</w:t>
      </w:r>
      <w:r>
        <w:rPr>
          <w:rFonts w:hint="eastAsia" w:ascii="Times New Roman" w:hAnsi="Times New Roman" w:eastAsia="仿宋_GB2312"/>
          <w:spacing w:val="0"/>
          <w:sz w:val="32"/>
          <w:szCs w:val="32"/>
          <w:lang w:val="en-US" w:eastAsia="zh-CN"/>
        </w:rPr>
        <w:t>我单位</w:t>
      </w:r>
      <w:r>
        <w:rPr>
          <w:rFonts w:hint="eastAsia" w:ascii="Times New Roman" w:hAnsi="Times New Roman" w:eastAsia="仿宋_GB2312"/>
          <w:spacing w:val="0"/>
          <w:sz w:val="32"/>
          <w:szCs w:val="32"/>
        </w:rPr>
        <w:t>共有车辆</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辆，其中</w:t>
      </w:r>
      <w:r>
        <w:rPr>
          <w:rFonts w:hint="eastAsia" w:ascii="Times New Roman" w:hAnsi="Times New Roman" w:eastAsia="仿宋_GB2312"/>
          <w:spacing w:val="0"/>
          <w:sz w:val="32"/>
          <w:szCs w:val="32"/>
          <w:lang w:eastAsia="zh-CN"/>
        </w:rPr>
        <w:t>，</w:t>
      </w:r>
      <w:r>
        <w:rPr>
          <w:rFonts w:hint="eastAsia" w:ascii="Times New Roman" w:hAnsi="Times New Roman" w:eastAsia="仿宋_GB2312"/>
          <w:spacing w:val="0"/>
          <w:sz w:val="32"/>
          <w:szCs w:val="32"/>
        </w:rPr>
        <w:t>其他用车</w:t>
      </w:r>
      <w:r>
        <w:rPr>
          <w:rFonts w:hint="eastAsia" w:ascii="Times New Roman" w:hAnsi="Times New Roman" w:eastAsia="仿宋_GB2312"/>
          <w:spacing w:val="0"/>
          <w:sz w:val="32"/>
          <w:szCs w:val="32"/>
          <w:lang w:val="en-US" w:eastAsia="zh-CN"/>
        </w:rPr>
        <w:t>1</w:t>
      </w:r>
      <w:r>
        <w:rPr>
          <w:rFonts w:hint="eastAsia" w:ascii="Times New Roman" w:hAnsi="Times New Roman" w:eastAsia="仿宋_GB2312"/>
          <w:spacing w:val="0"/>
          <w:sz w:val="32"/>
          <w:szCs w:val="32"/>
        </w:rPr>
        <w:t>辆，其他用车主要是</w:t>
      </w:r>
      <w:r>
        <w:rPr>
          <w:rFonts w:hint="eastAsia" w:ascii="Times New Roman" w:hAnsi="Times New Roman" w:eastAsia="仿宋_GB2312"/>
          <w:spacing w:val="0"/>
          <w:sz w:val="32"/>
          <w:szCs w:val="32"/>
          <w:lang w:val="en-US" w:eastAsia="zh-CN"/>
        </w:rPr>
        <w:t>用于单位日常工作派车</w:t>
      </w:r>
      <w:r>
        <w:rPr>
          <w:rFonts w:hint="eastAsia" w:ascii="Times New Roman" w:hAnsi="Times New Roman" w:eastAsia="仿宋_GB2312"/>
          <w:spacing w:val="0"/>
          <w:sz w:val="32"/>
          <w:szCs w:val="32"/>
        </w:rPr>
        <w:t>；</w:t>
      </w:r>
      <w:r>
        <w:rPr>
          <w:rFonts w:hint="eastAsia" w:ascii="Times New Roman" w:hAnsi="Times New Roman" w:eastAsia="仿宋_GB2312"/>
          <w:spacing w:val="0"/>
          <w:sz w:val="32"/>
          <w:szCs w:val="32"/>
          <w:lang w:val="en-US" w:eastAsia="zh-CN"/>
        </w:rPr>
        <w:t>我单位无</w:t>
      </w:r>
      <w:r>
        <w:rPr>
          <w:rFonts w:hint="eastAsia" w:ascii="Times New Roman" w:hAnsi="Times New Roman" w:eastAsia="仿宋_GB2312"/>
          <w:spacing w:val="0"/>
          <w:sz w:val="32"/>
          <w:szCs w:val="32"/>
        </w:rPr>
        <w:t>单位价值100万元以上设备</w:t>
      </w:r>
      <w:r>
        <w:rPr>
          <w:rFonts w:hint="eastAsia" w:ascii="Times New Roman" w:hAnsi="Times New Roman" w:eastAsia="仿宋_GB2312"/>
          <w:spacing w:val="0"/>
          <w:sz w:val="32"/>
          <w:szCs w:val="32"/>
          <w:lang w:eastAsia="zh-CN"/>
        </w:rPr>
        <w:t>（不含车辆）</w:t>
      </w:r>
      <w:r>
        <w:rPr>
          <w:rFonts w:hint="eastAsia" w:ascii="Times New Roman" w:hAnsi="Times New Roman" w:eastAsia="仿宋_GB2312"/>
          <w:spacing w:val="0"/>
          <w:sz w:val="32"/>
          <w:szCs w:val="32"/>
        </w:rPr>
        <w:t>。</w:t>
      </w:r>
    </w:p>
    <w:p w14:paraId="54C3DA6F">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黑体" w:cs="黑体"/>
          <w:b w:val="0"/>
          <w:bCs/>
          <w:spacing w:val="0"/>
          <w:sz w:val="32"/>
          <w:szCs w:val="32"/>
        </w:rPr>
      </w:pPr>
      <w:r>
        <w:rPr>
          <w:rFonts w:hint="eastAsia" w:ascii="Times New Roman" w:hAnsi="Times New Roman" w:eastAsia="黑体" w:cs="黑体"/>
          <w:b w:val="0"/>
          <w:bCs/>
          <w:spacing w:val="0"/>
          <w:sz w:val="32"/>
          <w:szCs w:val="32"/>
        </w:rPr>
        <w:t>十</w:t>
      </w:r>
      <w:r>
        <w:rPr>
          <w:rFonts w:hint="eastAsia" w:ascii="Times New Roman" w:hAnsi="Times New Roman" w:cs="黑体"/>
          <w:b w:val="0"/>
          <w:bCs/>
          <w:spacing w:val="0"/>
          <w:sz w:val="32"/>
          <w:szCs w:val="32"/>
          <w:lang w:val="en-US" w:eastAsia="zh-CN"/>
        </w:rPr>
        <w:t>四</w:t>
      </w:r>
      <w:r>
        <w:rPr>
          <w:rFonts w:hint="eastAsia" w:ascii="Times New Roman" w:hAnsi="Times New Roman" w:eastAsia="黑体" w:cs="黑体"/>
          <w:b w:val="0"/>
          <w:bCs/>
          <w:spacing w:val="0"/>
          <w:sz w:val="32"/>
          <w:szCs w:val="32"/>
        </w:rPr>
        <w:t>、关于202</w:t>
      </w:r>
      <w:r>
        <w:rPr>
          <w:rFonts w:hint="eastAsia" w:ascii="Times New Roman" w:hAnsi="Times New Roman" w:eastAsia="黑体" w:cs="黑体"/>
          <w:b w:val="0"/>
          <w:bCs/>
          <w:spacing w:val="0"/>
          <w:sz w:val="32"/>
          <w:szCs w:val="32"/>
          <w:lang w:val="en-US" w:eastAsia="zh-CN"/>
        </w:rPr>
        <w:t>3</w:t>
      </w:r>
      <w:r>
        <w:rPr>
          <w:rFonts w:hint="eastAsia" w:ascii="Times New Roman" w:hAnsi="Times New Roman" w:eastAsia="黑体" w:cs="黑体"/>
          <w:b w:val="0"/>
          <w:bCs/>
          <w:spacing w:val="0"/>
          <w:sz w:val="32"/>
          <w:szCs w:val="32"/>
        </w:rPr>
        <w:t>年度</w:t>
      </w:r>
      <w:r>
        <w:rPr>
          <w:rFonts w:hint="eastAsia" w:ascii="Times New Roman" w:hAnsi="Times New Roman" w:eastAsia="黑体" w:cs="黑体"/>
          <w:b w:val="0"/>
          <w:bCs/>
          <w:spacing w:val="0"/>
          <w:sz w:val="32"/>
          <w:szCs w:val="32"/>
          <w:lang w:eastAsia="zh-CN"/>
        </w:rPr>
        <w:t>预算</w:t>
      </w:r>
      <w:r>
        <w:rPr>
          <w:rFonts w:hint="eastAsia" w:ascii="Times New Roman" w:hAnsi="Times New Roman" w:eastAsia="黑体" w:cs="黑体"/>
          <w:b w:val="0"/>
          <w:bCs/>
          <w:spacing w:val="0"/>
          <w:sz w:val="32"/>
          <w:szCs w:val="32"/>
        </w:rPr>
        <w:t>绩效情况的说明</w:t>
      </w:r>
    </w:p>
    <w:p w14:paraId="25ECA3DD">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lang w:eastAsia="zh-CN"/>
        </w:rPr>
      </w:pPr>
      <w:r>
        <w:rPr>
          <w:rFonts w:hint="eastAsia" w:ascii="Times New Roman" w:hAnsi="Times New Roman" w:eastAsia="楷体_GB2312" w:cs="楷体_GB2312"/>
          <w:b/>
          <w:bCs w:val="0"/>
          <w:spacing w:val="0"/>
          <w:sz w:val="32"/>
          <w:szCs w:val="32"/>
          <w:lang w:eastAsia="zh-CN"/>
        </w:rPr>
        <w:t>（一）绩效管理工作开展情况</w:t>
      </w:r>
    </w:p>
    <w:p w14:paraId="073DA5F4">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lang w:val="en-US" w:eastAsia="zh-CN"/>
        </w:rPr>
        <w:t>根据预算绩效管理要求，我部门组织对2023年度一般公共预算项目支出全面开展绩效自评，共涉及资金899.51万元，占一般公共预算项目支出总额的100%。我单位无政府性基金预算项目支出，无国有资本经营预算项目支出。</w:t>
      </w:r>
    </w:p>
    <w:p w14:paraId="499952E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eastAsia="zh-CN"/>
        </w:rPr>
      </w:pPr>
      <w:r>
        <w:rPr>
          <w:rFonts w:hint="eastAsia" w:ascii="Times New Roman" w:hAnsi="Times New Roman" w:eastAsia="仿宋_GB2312"/>
          <w:spacing w:val="0"/>
          <w:sz w:val="32"/>
          <w:szCs w:val="32"/>
          <w:lang w:val="en-US" w:eastAsia="zh-CN"/>
        </w:rPr>
        <w:t>组织对“医疗保障服务与保障能力提升资金”“基金监管”等5个项目开展了部门评价，涉及一般公共预算支出607.08万元，无政府性基金预算支出，无国有资本经营预算支出。从评价情况来看，2023年我单位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严格执行财政预算评审、招投标、合同签订、过程管理、竣工验收、财政结算评审等程序；费用支出严格按照《财务会计制度》等制度规定的开支范围、标准、审批权限、审批流程、报销要求等进行审核。</w:t>
      </w:r>
    </w:p>
    <w:p w14:paraId="1D76A5B8">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lang w:val="en-US" w:eastAsia="zh-CN"/>
        </w:rPr>
        <w:t>（二）</w:t>
      </w:r>
      <w:r>
        <w:rPr>
          <w:rFonts w:hint="eastAsia" w:ascii="Times New Roman" w:hAnsi="Times New Roman" w:eastAsia="楷体_GB2312" w:cs="楷体_GB2312"/>
          <w:b/>
          <w:bCs w:val="0"/>
          <w:spacing w:val="0"/>
          <w:sz w:val="32"/>
          <w:szCs w:val="32"/>
        </w:rPr>
        <w:t>部门</w:t>
      </w:r>
      <w:r>
        <w:rPr>
          <w:rFonts w:hint="eastAsia" w:ascii="Times New Roman" w:hAnsi="Times New Roman" w:eastAsia="楷体_GB2312" w:cs="楷体_GB2312"/>
          <w:b/>
          <w:bCs w:val="0"/>
          <w:spacing w:val="0"/>
          <w:sz w:val="32"/>
          <w:szCs w:val="32"/>
          <w:lang w:eastAsia="zh-CN"/>
        </w:rPr>
        <w:t>（单位）</w:t>
      </w:r>
      <w:r>
        <w:rPr>
          <w:rFonts w:hint="eastAsia" w:ascii="Times New Roman" w:hAnsi="Times New Roman" w:eastAsia="楷体_GB2312" w:cs="楷体_GB2312"/>
          <w:b/>
          <w:bCs w:val="0"/>
          <w:spacing w:val="0"/>
          <w:sz w:val="32"/>
          <w:szCs w:val="32"/>
        </w:rPr>
        <w:t>整体支出绩效情况</w:t>
      </w:r>
    </w:p>
    <w:p w14:paraId="07DC5BB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lang w:val="en-US" w:eastAsia="zh-CN"/>
        </w:rPr>
        <w:t>2023年，我局坚持以习近平新时代中国特色社会主义思想为指引，全面贯彻落实党的二十大精神，在市委、市政府的坚强领导和省医疗保障局的精心指导下，坚持以人民健康为中心，踔厉奋发、勇毅前行，推动了医疗保障事业高质量可持续发展。2023年，全市职工医保基金收入21.94亿元，支出18.37亿元，累计结余33.7亿元（其中个人账户结余16.04亿元，统筹基金结余17.69亿元）；城乡居民医保基金收入41.27亿元，支出40.04亿元，累计结余27.3亿元，运行总体安全平稳。2023年1月，我市医保管理服务工作获省政府督查激励表彰。本年来紧紧围绕工作重心，不断加强党员和职工队伍建设，努力提高服务管理水平，顺利完成全年的各项目标任务。</w:t>
      </w:r>
    </w:p>
    <w:p w14:paraId="40943F8B">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1、</w:t>
      </w:r>
      <w:r>
        <w:rPr>
          <w:rFonts w:hint="eastAsia" w:ascii="Times New Roman" w:hAnsi="Times New Roman" w:eastAsia="仿宋_GB2312"/>
          <w:b/>
          <w:bCs/>
          <w:spacing w:val="0"/>
          <w:sz w:val="32"/>
          <w:szCs w:val="32"/>
        </w:rPr>
        <w:t>突出服务大局，职能优势充分发挥</w:t>
      </w:r>
    </w:p>
    <w:p w14:paraId="5641DE68">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一是助力中医药产业发展。</w:t>
      </w:r>
      <w:r>
        <w:rPr>
          <w:rFonts w:hint="eastAsia" w:ascii="Times New Roman" w:hAnsi="Times New Roman" w:eastAsia="仿宋_GB2312"/>
          <w:spacing w:val="0"/>
          <w:sz w:val="32"/>
          <w:szCs w:val="32"/>
          <w:lang w:val="en-US" w:eastAsia="zh-CN"/>
        </w:rPr>
        <w:t>全面落实医保支持中医药传承创新发展的各项举措，开展中医特色治疗项目13293人次，推动正清集团“风湿与疼痛三联序贯疗法”医疗服务项目在我市12家中医医院累计应用1457人次，指导9家定点医疗机构192种自制药剂获批入选省制剂目录，入选数量位居全省各市州第一；指导帮扶我市鸿源药业回收货款426万元、获评湖南省高新技术企业，帮扶正清集团获各类政策支持285万元。</w:t>
      </w:r>
      <w:r>
        <w:rPr>
          <w:rFonts w:hint="eastAsia" w:ascii="Times New Roman" w:hAnsi="Times New Roman" w:eastAsia="仿宋_GB2312"/>
          <w:b/>
          <w:bCs/>
          <w:spacing w:val="0"/>
          <w:sz w:val="32"/>
          <w:szCs w:val="32"/>
        </w:rPr>
        <w:t>二是助力区域医疗中心建设。</w:t>
      </w:r>
      <w:r>
        <w:rPr>
          <w:rFonts w:hint="eastAsia" w:ascii="Times New Roman" w:hAnsi="Times New Roman" w:eastAsia="仿宋_GB2312"/>
          <w:spacing w:val="0"/>
          <w:sz w:val="32"/>
          <w:szCs w:val="32"/>
        </w:rPr>
        <w:t>制定了我市DIP支付医院综合权重系数方案，对已建成的9个国家级和省级临床重点专科，提高其综合权重系数0.01，倾斜基金*万元。</w:t>
      </w:r>
      <w:r>
        <w:rPr>
          <w:rFonts w:hint="eastAsia" w:ascii="Times New Roman" w:hAnsi="Times New Roman" w:eastAsia="仿宋_GB2312"/>
          <w:b/>
          <w:bCs/>
          <w:spacing w:val="0"/>
          <w:sz w:val="32"/>
          <w:szCs w:val="32"/>
        </w:rPr>
        <w:t>三是助力疫情防控。</w:t>
      </w:r>
      <w:r>
        <w:rPr>
          <w:rFonts w:hint="eastAsia" w:ascii="Times New Roman" w:hAnsi="Times New Roman" w:eastAsia="仿宋_GB2312"/>
          <w:spacing w:val="0"/>
          <w:sz w:val="32"/>
          <w:szCs w:val="32"/>
        </w:rPr>
        <w:t>全面落实“乙类乙管政策”，39425人次享受了“乙类乙管”住院待遇，医保基金支付1.18亿元，财政补贴3631.76万元。累计结算疫苗及接种费用5.7亿元。</w:t>
      </w:r>
    </w:p>
    <w:p w14:paraId="4E76E2E7">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2、</w:t>
      </w:r>
      <w:r>
        <w:rPr>
          <w:rFonts w:hint="eastAsia" w:ascii="Times New Roman" w:hAnsi="Times New Roman" w:eastAsia="仿宋_GB2312"/>
          <w:b/>
          <w:bCs/>
          <w:spacing w:val="0"/>
          <w:sz w:val="32"/>
          <w:szCs w:val="32"/>
        </w:rPr>
        <w:t>突出民生福祉，保障体系日趋完善</w:t>
      </w:r>
    </w:p>
    <w:p w14:paraId="295DC1B2">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一是实现应保尽保。</w:t>
      </w:r>
      <w:r>
        <w:rPr>
          <w:rFonts w:hint="eastAsia" w:ascii="Times New Roman" w:hAnsi="Times New Roman" w:eastAsia="仿宋_GB2312"/>
          <w:spacing w:val="0"/>
          <w:sz w:val="32"/>
          <w:szCs w:val="32"/>
        </w:rPr>
        <w:t>2023年全市参保人数442.88万，常住人口参保率为97.97%。麻阳、辰溪等4个县被评为全省城乡居民基本医疗保险费征收工作表现突出单位。二</w:t>
      </w:r>
      <w:r>
        <w:rPr>
          <w:rFonts w:hint="eastAsia" w:ascii="Times New Roman" w:hAnsi="Times New Roman" w:eastAsia="仿宋_GB2312"/>
          <w:b/>
          <w:bCs/>
          <w:spacing w:val="0"/>
          <w:sz w:val="32"/>
          <w:szCs w:val="32"/>
        </w:rPr>
        <w:t>是实现应享尽享。</w:t>
      </w:r>
      <w:r>
        <w:rPr>
          <w:rFonts w:hint="eastAsia" w:ascii="Times New Roman" w:hAnsi="Times New Roman" w:eastAsia="仿宋_GB2312"/>
          <w:spacing w:val="0"/>
          <w:sz w:val="32"/>
          <w:szCs w:val="32"/>
        </w:rPr>
        <w:t>全面推进“三重保障”待遇落实，266家定点零售药店开通门诊统筹结算。全市828.56万人次享受门诊待遇，基金支付 9.22 亿元；住院就诊128.32万人次，基金支付42.09亿元。</w:t>
      </w:r>
      <w:r>
        <w:rPr>
          <w:rFonts w:hint="eastAsia" w:ascii="Times New Roman" w:hAnsi="Times New Roman" w:eastAsia="仿宋_GB2312"/>
          <w:b/>
          <w:bCs/>
          <w:spacing w:val="0"/>
          <w:sz w:val="32"/>
          <w:szCs w:val="32"/>
        </w:rPr>
        <w:t>三是实现应助尽助。</w:t>
      </w:r>
      <w:r>
        <w:rPr>
          <w:rFonts w:hint="eastAsia" w:ascii="Times New Roman" w:hAnsi="Times New Roman" w:eastAsia="仿宋_GB2312"/>
          <w:spacing w:val="0"/>
          <w:sz w:val="32"/>
          <w:szCs w:val="32"/>
        </w:rPr>
        <w:t>医疗救助45.04万人次，基金支付1.72亿元，实时动态更新困难人员标识，2023年共资助困难人员参保27.34万人，资助金额5371.8万元；在会同县蒲稳乡集镇安置区、新晃县扶罗镇圭界村开展乡村振兴驻村帮扶。我局在全省医疗保障工作会议上做乡村振兴工作交流发言，洪江市“五个全覆盖”做实特殊人群医疗救助工作得到省政府肯定，沅陵、溆浦等7个县市区被省医保局授予乡村振兴工作表现突出单位。</w:t>
      </w:r>
    </w:p>
    <w:p w14:paraId="0A1286B5">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3、</w:t>
      </w:r>
      <w:r>
        <w:rPr>
          <w:rFonts w:hint="eastAsia" w:ascii="Times New Roman" w:hAnsi="Times New Roman" w:eastAsia="仿宋_GB2312"/>
          <w:b/>
          <w:bCs/>
          <w:spacing w:val="0"/>
          <w:sz w:val="32"/>
          <w:szCs w:val="32"/>
        </w:rPr>
        <w:t>突出从严监管，基金运行平稳有序</w:t>
      </w:r>
    </w:p>
    <w:p w14:paraId="2EC7B0F0">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一是加强日常监管。</w:t>
      </w:r>
      <w:r>
        <w:rPr>
          <w:rFonts w:hint="eastAsia" w:ascii="Times New Roman" w:hAnsi="Times New Roman" w:eastAsia="仿宋_GB2312"/>
          <w:spacing w:val="0"/>
          <w:sz w:val="32"/>
          <w:szCs w:val="32"/>
        </w:rPr>
        <w:t>实现监督检查全覆盖，积极探索门诊共济改革后零售药店、重点医疗机构监管新模式。2023年，全市共现场检查定点医药机构3009家，行政处罚62家、解除医保协议11家、暂停医保结算15家，追回医保基金及处罚金共计4260.47万元，居全省前列。</w:t>
      </w:r>
      <w:r>
        <w:rPr>
          <w:rFonts w:hint="eastAsia" w:ascii="Times New Roman" w:hAnsi="Times New Roman" w:eastAsia="仿宋_GB2312"/>
          <w:b/>
          <w:bCs/>
          <w:spacing w:val="0"/>
          <w:sz w:val="32"/>
          <w:szCs w:val="32"/>
        </w:rPr>
        <w:t>二是加强创新监管。</w:t>
      </w:r>
      <w:r>
        <w:rPr>
          <w:rFonts w:hint="eastAsia" w:ascii="Times New Roman" w:hAnsi="Times New Roman" w:eastAsia="仿宋_GB2312"/>
          <w:spacing w:val="0"/>
          <w:sz w:val="32"/>
          <w:szCs w:val="32"/>
        </w:rPr>
        <w:t>上线使用41条智能审核规则，确认违规数据扣款46.38万元；投入300余万元推进全市定点医疗机构重点领域场景监控建设，鹤城区有序推进省级基层综合监管试点建设，积极探索异地就医监管实践路径，成功召开湘黔两省“两市一州”毗邻区域跨省异地就医基金监管协作磋商会，新晃县率先在湘黔两省8县（区）实行“131”监管模式获省政府和国家医保局认可。</w:t>
      </w:r>
      <w:r>
        <w:rPr>
          <w:rFonts w:hint="eastAsia" w:ascii="Times New Roman" w:hAnsi="Times New Roman" w:eastAsia="仿宋_GB2312"/>
          <w:b/>
          <w:bCs/>
          <w:spacing w:val="0"/>
          <w:sz w:val="32"/>
          <w:szCs w:val="32"/>
        </w:rPr>
        <w:t>三是加强社会监督。</w:t>
      </w:r>
      <w:r>
        <w:rPr>
          <w:rFonts w:hint="eastAsia" w:ascii="Times New Roman" w:hAnsi="Times New Roman" w:eastAsia="仿宋_GB2312"/>
          <w:spacing w:val="0"/>
          <w:sz w:val="32"/>
          <w:szCs w:val="32"/>
        </w:rPr>
        <w:t>举行聘任仪式暨政策业务培训会，市县医保部门共聘请医保基金社会监督员180名，积极参与医保部门组织开展的定点医药机构现场检查和市级医保基金监管交叉检查，提出了被医保部门采纳的意见建议12条，有效增强监管合力。</w:t>
      </w:r>
    </w:p>
    <w:p w14:paraId="4D21CB57">
      <w:pPr>
        <w:pStyle w:val="15"/>
        <w:keepNext w:val="0"/>
        <w:keepLines w:val="0"/>
        <w:pageBreakBefore w:val="0"/>
        <w:widowControl w:val="0"/>
        <w:kinsoku/>
        <w:wordWrap/>
        <w:overflowPunct/>
        <w:topLinePunct w:val="0"/>
        <w:autoSpaceDE/>
        <w:autoSpaceDN/>
        <w:bidi w:val="0"/>
        <w:snapToGrid/>
        <w:spacing w:afterAutospacing="0" w:line="62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4、</w:t>
      </w:r>
      <w:r>
        <w:rPr>
          <w:rFonts w:hint="eastAsia" w:ascii="Times New Roman" w:hAnsi="Times New Roman" w:eastAsia="仿宋_GB2312"/>
          <w:b/>
          <w:bCs/>
          <w:spacing w:val="0"/>
          <w:sz w:val="32"/>
          <w:szCs w:val="32"/>
        </w:rPr>
        <w:t>突出改革创新，医保效能稳步增强</w:t>
      </w:r>
    </w:p>
    <w:p w14:paraId="30B7CAA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一是深化DIP支付方式改革。</w:t>
      </w:r>
      <w:r>
        <w:rPr>
          <w:rFonts w:hint="eastAsia" w:ascii="Times New Roman" w:hAnsi="Times New Roman" w:eastAsia="仿宋_GB2312"/>
          <w:spacing w:val="0"/>
          <w:sz w:val="32"/>
          <w:szCs w:val="32"/>
        </w:rPr>
        <w:t>提前一年实现了13个县市区，425家定点医院、95%以上病种、90%以上住院基金全覆盖，病案数据上传率、质控通过率、CMI指数、医保基金支付率大幅提升，基金支出、人均住院费用、人均住院天次、统筹基金支出明显减少。我局在全国CHS-DRG/DIP支付方式改革大会上做交流发言。</w:t>
      </w:r>
      <w:r>
        <w:rPr>
          <w:rFonts w:hint="eastAsia" w:ascii="Times New Roman" w:hAnsi="Times New Roman" w:eastAsia="仿宋_GB2312"/>
          <w:b/>
          <w:bCs/>
          <w:spacing w:val="0"/>
          <w:sz w:val="32"/>
          <w:szCs w:val="32"/>
        </w:rPr>
        <w:t>二是深化药耗集采改革。</w:t>
      </w:r>
      <w:r>
        <w:rPr>
          <w:rFonts w:hint="eastAsia" w:ascii="Times New Roman" w:hAnsi="Times New Roman" w:eastAsia="仿宋_GB2312"/>
          <w:spacing w:val="0"/>
          <w:sz w:val="32"/>
          <w:szCs w:val="32"/>
        </w:rPr>
        <w:t>全面落实国家、省集采任务，积极参与省、市医药集采联盟，现已执行集采药品有480种，耗材22大类，支付医疗机构结余留用资金766.6万元，集采药品平均降价53%，耗材平均降价80%，每年节约药品耗材费用1.43亿元，累计节约超4亿元。</w:t>
      </w:r>
      <w:r>
        <w:rPr>
          <w:rFonts w:hint="eastAsia" w:ascii="Times New Roman" w:hAnsi="Times New Roman" w:eastAsia="仿宋_GB2312"/>
          <w:b/>
          <w:bCs/>
          <w:spacing w:val="0"/>
          <w:sz w:val="32"/>
          <w:szCs w:val="32"/>
        </w:rPr>
        <w:t>三是深化医疗服务项目价格管理。</w:t>
      </w:r>
      <w:r>
        <w:rPr>
          <w:rFonts w:hint="eastAsia" w:ascii="Times New Roman" w:hAnsi="Times New Roman" w:eastAsia="仿宋_GB2312"/>
          <w:spacing w:val="0"/>
          <w:sz w:val="32"/>
          <w:szCs w:val="32"/>
        </w:rPr>
        <w:t>建立医疗服务价格动态调整监测评估制度，对我市公立医疗机构4496个医疗服务项目，进行了价格规范和结构优化，共调整357个医疗服务项目价格，将90个中医类医疗服务项目价格进行上调。</w:t>
      </w:r>
    </w:p>
    <w:p w14:paraId="75E2916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5、</w:t>
      </w:r>
      <w:r>
        <w:rPr>
          <w:rFonts w:hint="eastAsia" w:ascii="Times New Roman" w:hAnsi="Times New Roman" w:eastAsia="仿宋_GB2312"/>
          <w:b/>
          <w:bCs/>
          <w:spacing w:val="0"/>
          <w:sz w:val="32"/>
          <w:szCs w:val="32"/>
        </w:rPr>
        <w:t>突出提质增效，服务路径不断拓展</w:t>
      </w:r>
    </w:p>
    <w:p w14:paraId="5B1A7730">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一是抓好信息化建设。</w:t>
      </w:r>
      <w:r>
        <w:rPr>
          <w:rFonts w:hint="eastAsia" w:ascii="Times New Roman" w:hAnsi="Times New Roman" w:eastAsia="仿宋_GB2312"/>
          <w:spacing w:val="0"/>
          <w:sz w:val="32"/>
          <w:szCs w:val="32"/>
        </w:rPr>
        <w:t>积极推动医保电子处方流转，在8家市本级医院开展智能场景监控应用试点，持续做好编码贯标和接口改造等基础工作，推动医保信息系统全功能应用，加快电子医保码应用，我市电子凭证激活率达71.07%，居全省前列。开通临时外出就医人员异地住院“免备案”和电子服务协议网签服务，全市医保服务协议进入“网签时代”。</w:t>
      </w:r>
      <w:r>
        <w:rPr>
          <w:rFonts w:hint="eastAsia" w:ascii="Times New Roman" w:hAnsi="Times New Roman" w:eastAsia="仿宋_GB2312"/>
          <w:b/>
          <w:bCs/>
          <w:spacing w:val="0"/>
          <w:sz w:val="32"/>
          <w:szCs w:val="32"/>
        </w:rPr>
        <w:t>二是抓好重点民生实事项目。</w:t>
      </w:r>
      <w:r>
        <w:rPr>
          <w:rFonts w:hint="eastAsia" w:ascii="Times New Roman" w:hAnsi="Times New Roman" w:eastAsia="仿宋_GB2312"/>
          <w:spacing w:val="0"/>
          <w:sz w:val="32"/>
          <w:szCs w:val="32"/>
        </w:rPr>
        <w:t>重点民生实事任务完成率100%，实现2455个行政村卫生室开通医保定点、82家二级以上定点医疗机构开通普通门诊异地结算全覆盖、全部43个门诊慢特病治疗费用省内异地直接结算、204个乡镇（街道）和2772个村（社区）医保经办服务事项直办帮办代办，完成时间居全省前列。麻阳县在全省医疗保障重点民生实事项目总结会上做经验交流发言。</w:t>
      </w:r>
      <w:r>
        <w:rPr>
          <w:rFonts w:hint="eastAsia" w:ascii="Times New Roman" w:hAnsi="Times New Roman" w:eastAsia="仿宋_GB2312"/>
          <w:b/>
          <w:bCs/>
          <w:spacing w:val="0"/>
          <w:sz w:val="32"/>
          <w:szCs w:val="32"/>
        </w:rPr>
        <w:t>三是抓好全市医保经办系统练兵比武活动。</w:t>
      </w:r>
      <w:r>
        <w:rPr>
          <w:rFonts w:hint="eastAsia" w:ascii="Times New Roman" w:hAnsi="Times New Roman" w:eastAsia="仿宋_GB2312"/>
          <w:spacing w:val="0"/>
          <w:sz w:val="32"/>
          <w:szCs w:val="32"/>
        </w:rPr>
        <w:t>以“岗位练兵优服务 业务比武强规范”为主题，积极开展全市医保经办比武，组织市、县两级医保系统培训122场，3336名医保经办工作人员、1636家医院药店及保险公司相关工作人员全程参与，有效提升干部职工业务能力。</w:t>
      </w:r>
      <w:r>
        <w:rPr>
          <w:rFonts w:hint="eastAsia" w:ascii="Times New Roman" w:hAnsi="Times New Roman" w:eastAsia="仿宋_GB2312"/>
          <w:b/>
          <w:bCs/>
          <w:spacing w:val="0"/>
          <w:sz w:val="32"/>
          <w:szCs w:val="32"/>
        </w:rPr>
        <w:t>四是抓好鹤中一体化建设。</w:t>
      </w:r>
      <w:r>
        <w:rPr>
          <w:rFonts w:hint="eastAsia" w:ascii="Times New Roman" w:hAnsi="Times New Roman" w:eastAsia="仿宋_GB2312"/>
          <w:spacing w:val="0"/>
          <w:sz w:val="32"/>
          <w:szCs w:val="32"/>
        </w:rPr>
        <w:t>紧紧围绕鹤中政务服务一体化建设要求，做到工作专班、工作机制、办理事项、人员设置“四个明确”，落实受理标准、办件跟踪、办理流程、业务培训“四个统一”，实现了我市鹤城区、陆港经开区、高新区、中方县医保业务跨区域互联互通互办，先后办理“鹤中一体化”医保业务1772件。</w:t>
      </w:r>
    </w:p>
    <w:p w14:paraId="068C870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lang w:val="en-US" w:eastAsia="zh-CN"/>
        </w:rPr>
        <w:t>6、</w:t>
      </w:r>
      <w:r>
        <w:rPr>
          <w:rFonts w:hint="eastAsia" w:ascii="Times New Roman" w:hAnsi="Times New Roman" w:eastAsia="仿宋_GB2312"/>
          <w:b/>
          <w:bCs/>
          <w:spacing w:val="0"/>
          <w:sz w:val="32"/>
          <w:szCs w:val="32"/>
        </w:rPr>
        <w:t>突出政治引领，锻造过硬干部队伍</w:t>
      </w:r>
    </w:p>
    <w:p w14:paraId="616C73E7">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一是强化政治引领。</w:t>
      </w:r>
      <w:r>
        <w:rPr>
          <w:rFonts w:hint="eastAsia" w:ascii="Times New Roman" w:hAnsi="Times New Roman" w:eastAsia="仿宋_GB2312"/>
          <w:spacing w:val="0"/>
          <w:sz w:val="32"/>
          <w:szCs w:val="32"/>
        </w:rPr>
        <w:t>深入学习贯彻习近平新时代中国特色社会主义思想、党的二十大精神、习近平总书记关于医疗保障工作重要论述，忠诚拥护“两个确立”，坚决做到“两个维护”。全面落实学习贯彻习近平新时代中国特色社会主义思想主题教育活动任务，深入开展“以学铸魂”“以学增智”“以学正风”“以学促干”四个专题研讨，切实推进“走找想促”“四下基层”活动，局领导干部深入基层60余次，走访调研帮扶点、医院、企业200余家次，收集并解决问题49。</w:t>
      </w:r>
      <w:r>
        <w:rPr>
          <w:rFonts w:hint="eastAsia" w:ascii="Times New Roman" w:hAnsi="Times New Roman" w:eastAsia="仿宋_GB2312"/>
          <w:b/>
          <w:bCs/>
          <w:spacing w:val="0"/>
          <w:sz w:val="32"/>
          <w:szCs w:val="32"/>
        </w:rPr>
        <w:t>二是强化主体责任。</w:t>
      </w:r>
      <w:r>
        <w:rPr>
          <w:rFonts w:hint="eastAsia" w:ascii="Times New Roman" w:hAnsi="Times New Roman" w:eastAsia="仿宋_GB2312"/>
          <w:spacing w:val="0"/>
          <w:sz w:val="32"/>
          <w:szCs w:val="32"/>
        </w:rPr>
        <w:t>认真落实局党组“第一议题”制度，党组理论学习中心组学习12次，党组书记、班子成员、支部书记上专题党课8次，所属支部分别开展“一月一课一片一实践”主题党日活动和集中学习12次，结合“谋一策、办一事、解一难”“学习身边榜样”活动为群众办实事30余件。完成机关党总支和所属机关支部、中心支部的换届工作，持续开展“三走三促”医保政策宣传特色党建品牌创建，组织召开各类业务政策培训会12次，培训1500余人次。</w:t>
      </w:r>
      <w:r>
        <w:rPr>
          <w:rFonts w:hint="eastAsia" w:ascii="Times New Roman" w:hAnsi="Times New Roman" w:eastAsia="仿宋_GB2312"/>
          <w:b/>
          <w:bCs/>
          <w:spacing w:val="0"/>
          <w:sz w:val="32"/>
          <w:szCs w:val="32"/>
        </w:rPr>
        <w:t>三是强化清廉建设。</w:t>
      </w:r>
      <w:r>
        <w:rPr>
          <w:rFonts w:hint="eastAsia" w:ascii="Times New Roman" w:hAnsi="Times New Roman" w:eastAsia="仿宋_GB2312"/>
          <w:spacing w:val="0"/>
          <w:sz w:val="32"/>
          <w:szCs w:val="32"/>
        </w:rPr>
        <w:t>出台《怀化市清廉医保建设实施方案》，集中观看《初心与蜕变》警示教育片，签订廉政承诺书 52份，开展廉政家访45人次，组织谈心谈话40余人次。全面完成了省审计厅三医联动专项审计问题整改、“未巡先改”、省委巡视组交办信访件、市委巡察整改等工作。我局被市纪委监委授予“怀化市清廉机关”称号，分别在全省全面从严治党暨党风廉政建设工作会、全市“清廉机关”推进会作典型发言。</w:t>
      </w:r>
    </w:p>
    <w:p w14:paraId="4D0CF83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楷体_GB2312" w:cs="楷体_GB2312"/>
          <w:b/>
          <w:bCs w:val="0"/>
          <w:spacing w:val="0"/>
          <w:sz w:val="32"/>
          <w:szCs w:val="32"/>
        </w:rPr>
      </w:pPr>
      <w:r>
        <w:rPr>
          <w:rFonts w:hint="eastAsia" w:ascii="Times New Roman" w:hAnsi="Times New Roman" w:eastAsia="楷体_GB2312" w:cs="楷体_GB2312"/>
          <w:b/>
          <w:bCs w:val="0"/>
          <w:spacing w:val="0"/>
          <w:sz w:val="32"/>
          <w:szCs w:val="32"/>
          <w:lang w:eastAsia="zh-CN"/>
        </w:rPr>
        <w:t>（三）</w:t>
      </w:r>
      <w:r>
        <w:rPr>
          <w:rFonts w:hint="eastAsia" w:ascii="Times New Roman" w:hAnsi="Times New Roman" w:eastAsia="楷体_GB2312" w:cs="楷体_GB2312"/>
          <w:b/>
          <w:bCs w:val="0"/>
          <w:spacing w:val="0"/>
          <w:sz w:val="32"/>
          <w:szCs w:val="32"/>
        </w:rPr>
        <w:t>存在的问题及原因分析</w:t>
      </w:r>
    </w:p>
    <w:p w14:paraId="2EA33ED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1、年初预算安排与工作任务不匹配，经费缺口较大。专项工作任务重，事务繁杂，项目经费略显不足。</w:t>
      </w:r>
    </w:p>
    <w:p w14:paraId="2C9DFD55">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default" w:ascii="Times New Roman" w:hAnsi="Times New Roman" w:eastAsia="仿宋_GB2312"/>
          <w:spacing w:val="0"/>
          <w:sz w:val="32"/>
          <w:szCs w:val="32"/>
        </w:rPr>
      </w:pPr>
      <w:r>
        <w:rPr>
          <w:rFonts w:hint="eastAsia" w:ascii="Times New Roman" w:hAnsi="Times New Roman" w:eastAsia="仿宋_GB2312"/>
          <w:spacing w:val="0"/>
          <w:sz w:val="32"/>
          <w:szCs w:val="32"/>
        </w:rPr>
        <w:t>2、部分预算资金下达较迟，为保证专项工作顺利开展，只能以公用经费垫付，导致年末公用经费紧张。</w:t>
      </w:r>
    </w:p>
    <w:p w14:paraId="5254CFD4">
      <w:pPr>
        <w:pStyle w:val="15"/>
        <w:jc w:val="both"/>
        <w:rPr>
          <w:sz w:val="72"/>
          <w:szCs w:val="72"/>
        </w:rPr>
      </w:pPr>
    </w:p>
    <w:p w14:paraId="4F236B6F">
      <w:pPr>
        <w:pStyle w:val="15"/>
        <w:jc w:val="center"/>
        <w:rPr>
          <w:sz w:val="72"/>
          <w:szCs w:val="72"/>
        </w:rPr>
      </w:pPr>
    </w:p>
    <w:p w14:paraId="1E4C4CB7">
      <w:pPr>
        <w:pStyle w:val="15"/>
        <w:jc w:val="center"/>
        <w:rPr>
          <w:sz w:val="72"/>
          <w:szCs w:val="72"/>
        </w:rPr>
      </w:pPr>
    </w:p>
    <w:p w14:paraId="6BEC757A">
      <w:pPr>
        <w:pStyle w:val="15"/>
        <w:jc w:val="center"/>
        <w:rPr>
          <w:sz w:val="72"/>
          <w:szCs w:val="72"/>
        </w:rPr>
      </w:pPr>
    </w:p>
    <w:p w14:paraId="1539F8A8">
      <w:pPr>
        <w:pStyle w:val="15"/>
        <w:jc w:val="center"/>
        <w:rPr>
          <w:sz w:val="72"/>
          <w:szCs w:val="72"/>
        </w:rPr>
      </w:pPr>
    </w:p>
    <w:p w14:paraId="3DBAAAA3">
      <w:pPr>
        <w:pStyle w:val="15"/>
        <w:jc w:val="center"/>
        <w:rPr>
          <w:sz w:val="72"/>
          <w:szCs w:val="72"/>
        </w:rPr>
      </w:pPr>
    </w:p>
    <w:p w14:paraId="6297D370">
      <w:pPr>
        <w:pStyle w:val="15"/>
        <w:jc w:val="center"/>
        <w:rPr>
          <w:sz w:val="72"/>
          <w:szCs w:val="72"/>
        </w:rPr>
      </w:pPr>
    </w:p>
    <w:p w14:paraId="47E2BAB2">
      <w:pPr>
        <w:pStyle w:val="15"/>
        <w:jc w:val="center"/>
        <w:rPr>
          <w:sz w:val="72"/>
          <w:szCs w:val="72"/>
        </w:rPr>
      </w:pPr>
    </w:p>
    <w:p w14:paraId="24444300">
      <w:pPr>
        <w:pStyle w:val="15"/>
        <w:jc w:val="center"/>
        <w:rPr>
          <w:sz w:val="72"/>
          <w:szCs w:val="72"/>
        </w:rPr>
      </w:pPr>
    </w:p>
    <w:p w14:paraId="6109A44A">
      <w:pPr>
        <w:pStyle w:val="15"/>
        <w:jc w:val="center"/>
        <w:rPr>
          <w:sz w:val="72"/>
          <w:szCs w:val="72"/>
        </w:rPr>
      </w:pPr>
    </w:p>
    <w:p w14:paraId="7E66C955">
      <w:pPr>
        <w:pStyle w:val="15"/>
        <w:jc w:val="center"/>
        <w:rPr>
          <w:sz w:val="72"/>
          <w:szCs w:val="72"/>
        </w:rPr>
      </w:pPr>
    </w:p>
    <w:p w14:paraId="77AFD2FC">
      <w:pPr>
        <w:pStyle w:val="15"/>
        <w:jc w:val="center"/>
        <w:rPr>
          <w:sz w:val="72"/>
          <w:szCs w:val="72"/>
        </w:rPr>
      </w:pPr>
      <w:bookmarkStart w:id="3" w:name="_GoBack"/>
      <w:bookmarkEnd w:id="3"/>
    </w:p>
    <w:p w14:paraId="1E46487B">
      <w:pPr>
        <w:pStyle w:val="15"/>
        <w:jc w:val="both"/>
        <w:rPr>
          <w:rFonts w:hint="eastAsia" w:ascii="方正小标宋_GBK" w:hAnsi="方正小标宋_GBK" w:eastAsia="方正小标宋_GBK" w:cs="方正小标宋_GBK"/>
          <w:sz w:val="72"/>
          <w:szCs w:val="72"/>
        </w:rPr>
      </w:pPr>
    </w:p>
    <w:p w14:paraId="383A3041">
      <w:pPr>
        <w:pStyle w:val="15"/>
        <w:jc w:val="center"/>
        <w:rPr>
          <w:rFonts w:hint="eastAsia" w:ascii="方正小标宋_GBK" w:hAnsi="方正小标宋_GBK" w:eastAsia="方正小标宋_GBK" w:cs="方正小标宋_GBK"/>
          <w:sz w:val="72"/>
          <w:szCs w:val="72"/>
        </w:rPr>
      </w:pPr>
    </w:p>
    <w:p w14:paraId="08EC6CF9">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300D06D">
      <w:pPr>
        <w:jc w:val="center"/>
        <w:rPr>
          <w:rFonts w:hint="eastAsia" w:ascii="方正小标宋_GBK" w:hAnsi="方正小标宋_GBK" w:eastAsia="方正小标宋_GBK" w:cs="方正小标宋_GBK"/>
          <w:color w:val="000000"/>
          <w:kern w:val="0"/>
          <w:sz w:val="70"/>
          <w:szCs w:val="70"/>
        </w:rPr>
      </w:pPr>
    </w:p>
    <w:p w14:paraId="35F159CD">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655BF6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FC33E32">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黑体" w:hAnsi="黑体" w:eastAsia="黑体" w:cs="黑体"/>
          <w:spacing w:val="0"/>
          <w:sz w:val="32"/>
          <w:szCs w:val="32"/>
        </w:rPr>
        <w:t>一、机关运行经费：</w:t>
      </w:r>
      <w:r>
        <w:rPr>
          <w:rFonts w:hint="eastAsia" w:ascii="Times New Roman" w:hAnsi="Times New Roman" w:eastAsia="仿宋_GB2312"/>
          <w:spacing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1FB068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default" w:ascii="Times New Roman" w:hAnsi="Times New Roman" w:eastAsia="仿宋_GB2312"/>
          <w:spacing w:val="0"/>
          <w:sz w:val="32"/>
          <w:szCs w:val="32"/>
        </w:rPr>
      </w:pPr>
      <w:r>
        <w:rPr>
          <w:rFonts w:hint="eastAsia" w:ascii="黑体" w:hAnsi="黑体" w:eastAsia="黑体" w:cs="黑体"/>
          <w:spacing w:val="0"/>
          <w:sz w:val="32"/>
          <w:szCs w:val="32"/>
        </w:rPr>
        <w:t>二、“三公”经费：</w:t>
      </w:r>
      <w:r>
        <w:rPr>
          <w:rFonts w:hint="eastAsia" w:ascii="Times New Roman" w:hAnsi="Times New Roman" w:eastAsia="仿宋_GB2312"/>
          <w:spacing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2E3973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p>
    <w:p w14:paraId="5134E1D7">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p>
    <w:p w14:paraId="741AFBFF">
      <w:pP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br w:type="page"/>
      </w:r>
    </w:p>
    <w:p w14:paraId="6D813B9E">
      <w:pPr>
        <w:pStyle w:val="15"/>
        <w:jc w:val="center"/>
        <w:rPr>
          <w:rFonts w:hint="eastAsia" w:ascii="方正小标宋_GBK" w:hAnsi="方正小标宋_GBK" w:eastAsia="方正小标宋_GBK" w:cs="方正小标宋_GBK"/>
          <w:sz w:val="72"/>
          <w:szCs w:val="72"/>
        </w:rPr>
      </w:pPr>
    </w:p>
    <w:p w14:paraId="46A18883">
      <w:pPr>
        <w:pStyle w:val="15"/>
        <w:jc w:val="center"/>
        <w:rPr>
          <w:rFonts w:hint="eastAsia" w:ascii="方正小标宋_GBK" w:hAnsi="方正小标宋_GBK" w:eastAsia="方正小标宋_GBK" w:cs="方正小标宋_GBK"/>
          <w:sz w:val="72"/>
          <w:szCs w:val="72"/>
        </w:rPr>
      </w:pPr>
    </w:p>
    <w:p w14:paraId="00A8C66B">
      <w:pPr>
        <w:pStyle w:val="15"/>
        <w:jc w:val="center"/>
        <w:rPr>
          <w:rFonts w:hint="eastAsia" w:ascii="方正小标宋_GBK" w:hAnsi="方正小标宋_GBK" w:eastAsia="方正小标宋_GBK" w:cs="方正小标宋_GBK"/>
          <w:sz w:val="72"/>
          <w:szCs w:val="72"/>
        </w:rPr>
      </w:pPr>
    </w:p>
    <w:p w14:paraId="0A8ED7AF">
      <w:pPr>
        <w:pStyle w:val="15"/>
        <w:jc w:val="center"/>
        <w:rPr>
          <w:rFonts w:hint="eastAsia" w:ascii="方正小标宋_GBK" w:hAnsi="方正小标宋_GBK" w:eastAsia="方正小标宋_GBK" w:cs="方正小标宋_GBK"/>
          <w:sz w:val="72"/>
          <w:szCs w:val="72"/>
        </w:rPr>
      </w:pPr>
    </w:p>
    <w:p w14:paraId="4A82DF2F">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AB5EA5E">
      <w:pPr>
        <w:pStyle w:val="15"/>
        <w:jc w:val="center"/>
        <w:rPr>
          <w:rFonts w:hint="eastAsia" w:ascii="方正小标宋_GBK" w:hAnsi="方正小标宋_GBK" w:eastAsia="方正小标宋_GBK" w:cs="方正小标宋_GBK"/>
          <w:sz w:val="70"/>
          <w:szCs w:val="70"/>
        </w:rPr>
      </w:pPr>
    </w:p>
    <w:p w14:paraId="0936FD59">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F91A5C1">
      <w:pPr>
        <w:rPr>
          <w:sz w:val="72"/>
          <w:szCs w:val="72"/>
        </w:rPr>
      </w:pPr>
      <w:r>
        <w:rPr>
          <w:sz w:val="72"/>
          <w:szCs w:val="72"/>
        </w:rPr>
        <w:br w:type="page"/>
      </w:r>
    </w:p>
    <w:p w14:paraId="47923D4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Arial Unicode MS" w:hAnsi="Arial Unicode MS" w:eastAsia="Arial Unicode MS" w:cs="Arial Unicode MS"/>
          <w:b w:val="0"/>
          <w:bCs/>
          <w:w w:val="100"/>
          <w:sz w:val="44"/>
          <w:szCs w:val="44"/>
        </w:rPr>
      </w:pPr>
      <w:r>
        <w:rPr>
          <w:rFonts w:hint="eastAsia" w:ascii="Arial Unicode MS" w:hAnsi="Arial Unicode MS" w:eastAsia="Arial Unicode MS" w:cs="Arial Unicode MS"/>
          <w:b w:val="0"/>
          <w:bCs/>
          <w:w w:val="100"/>
          <w:sz w:val="44"/>
          <w:szCs w:val="44"/>
          <w:lang w:val="en-US" w:eastAsia="zh-CN"/>
        </w:rPr>
        <w:t>怀化市医疗保障局2023年度</w:t>
      </w:r>
      <w:r>
        <w:rPr>
          <w:rFonts w:hint="eastAsia" w:ascii="Arial Unicode MS" w:hAnsi="Arial Unicode MS" w:eastAsia="Arial Unicode MS" w:cs="Arial Unicode MS"/>
          <w:b w:val="0"/>
          <w:bCs/>
          <w:w w:val="100"/>
          <w:sz w:val="44"/>
          <w:szCs w:val="44"/>
        </w:rPr>
        <w:t>部门</w:t>
      </w:r>
    </w:p>
    <w:p w14:paraId="4937880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Arial Unicode MS" w:hAnsi="Arial Unicode MS" w:eastAsia="Arial Unicode MS" w:cs="Arial Unicode MS"/>
          <w:b w:val="0"/>
          <w:bCs/>
          <w:w w:val="100"/>
          <w:sz w:val="44"/>
          <w:szCs w:val="44"/>
        </w:rPr>
      </w:pPr>
      <w:r>
        <w:rPr>
          <w:rFonts w:hint="eastAsia" w:ascii="Arial Unicode MS" w:hAnsi="Arial Unicode MS" w:eastAsia="Arial Unicode MS" w:cs="Arial Unicode MS"/>
          <w:b w:val="0"/>
          <w:bCs/>
          <w:w w:val="100"/>
          <w:sz w:val="44"/>
          <w:szCs w:val="44"/>
        </w:rPr>
        <w:t>整体支出绩效自评报告</w:t>
      </w:r>
    </w:p>
    <w:p w14:paraId="5449B086">
      <w:pPr>
        <w:ind w:firstLine="646" w:firstLineChars="202"/>
        <w:rPr>
          <w:rFonts w:hint="eastAsia"/>
          <w:w w:val="100"/>
          <w:sz w:val="32"/>
          <w:szCs w:val="32"/>
        </w:rPr>
      </w:pPr>
    </w:p>
    <w:p w14:paraId="59FAD821">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一、部门、单位基本情况</w:t>
      </w:r>
    </w:p>
    <w:p w14:paraId="663C2AF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（一）机构设置情况</w:t>
      </w:r>
    </w:p>
    <w:p w14:paraId="01052FB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怀化市医疗保障局作为一级部门预算单位，内设科室为：办公室、规划财务和法规科、待遇保障科、医药服务和定价采购科、基金监管科。</w:t>
      </w:r>
    </w:p>
    <w:p w14:paraId="35A8394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（二）人员编制情况</w:t>
      </w:r>
    </w:p>
    <w:p w14:paraId="06E43E2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根据编委核定，截止2023年末，怀化市医疗保障局共有编制33人，实际在职人员19人。</w:t>
      </w:r>
    </w:p>
    <w:p w14:paraId="33C45CE4">
      <w:pPr>
        <w:pStyle w:val="15"/>
        <w:keepNext w:val="0"/>
        <w:keepLines w:val="0"/>
        <w:pageBreakBefore w:val="0"/>
        <w:widowControl w:val="0"/>
        <w:numPr>
          <w:ilvl w:val="0"/>
          <w:numId w:val="2"/>
        </w:numPr>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主要职能职责</w:t>
      </w:r>
    </w:p>
    <w:p w14:paraId="0459A8C5">
      <w:pPr>
        <w:pStyle w:val="15"/>
        <w:keepNext w:val="0"/>
        <w:keepLines w:val="0"/>
        <w:pageBreakBefore w:val="0"/>
        <w:widowControl w:val="0"/>
        <w:numPr>
          <w:ilvl w:val="0"/>
          <w:numId w:val="0"/>
        </w:numPr>
        <w:kinsoku/>
        <w:wordWrap/>
        <w:overflowPunct/>
        <w:topLinePunct w:val="0"/>
        <w:autoSpaceDE/>
        <w:autoSpaceDN/>
        <w:bidi w:val="0"/>
        <w:adjustRightInd w:val="0"/>
        <w:snapToGrid/>
        <w:spacing w:afterAutospacing="0" w:line="600" w:lineRule="exact"/>
        <w:ind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val="en-US" w:eastAsia="zh-CN"/>
        </w:rPr>
        <w:t>我单位</w:t>
      </w:r>
      <w:r>
        <w:rPr>
          <w:rFonts w:hint="eastAsia" w:ascii="Times New Roman" w:hAnsi="Times New Roman" w:eastAsia="仿宋_GB2312"/>
          <w:spacing w:val="0"/>
          <w:sz w:val="32"/>
          <w:szCs w:val="32"/>
        </w:rPr>
        <w:t>主要职责是：</w:t>
      </w:r>
    </w:p>
    <w:p w14:paraId="47ECA365">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1、拟订全市医疗保险、生育保险、医疗救助等医疗保障制度的规范性文件、规划和标准，并组织实施。</w:t>
      </w:r>
    </w:p>
    <w:p w14:paraId="29AFE85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2、组织制定并实施全市医疗保障基金监督管理办法，监督管理相关医疗保障基金，建立健全医疗保障基金安全防控机制，推进医疗保障基金支付方式改革。</w:t>
      </w:r>
    </w:p>
    <w:p w14:paraId="2E187A60">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3、组织制定全市医疗保障筹资和待遇实施办法，完善动态调整和区域调剂平衡机制，统筹城乡医疗保障待遇标准，建立健全与筹资水平相适应的待遇调整机制，组织拟订并实施长期护理保险制度改革方案。</w:t>
      </w:r>
    </w:p>
    <w:p w14:paraId="6B1202D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4、组织制定全市城乡统一的药品、医用耗材、医疗服务项目、医疗服务设施等医保目录和支付标准，建立动态调整机制，制定医保目录准入谈判规则并组织实施。</w:t>
      </w:r>
    </w:p>
    <w:p w14:paraId="571E12BF">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5、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29D3455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6、制定全市药品、医用耗材的招标采购办法并监督实施，指导药品、医用耗材招标采购平台建设。</w:t>
      </w:r>
    </w:p>
    <w:p w14:paraId="53DFC672">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7、制定全市定点医药机构协议和支付管理办法并组织实施，建立健全医疗保障信用评价体系和信息披露制度，监督管理纳入医保范围内的医疗服务行为和医疗费用，依法查处医疗保障领域违法违规行为。</w:t>
      </w:r>
    </w:p>
    <w:p w14:paraId="514F6BC5">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8、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14:paraId="7E6A4E7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9、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14:paraId="0265DC6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10、与市卫生健康委等部门在医疗、医保、医药等方面加强制度、政策衔接，建立沟通协商机制，协同推进改革，提高医疗资源使用效率和医疗保障水平。</w:t>
      </w:r>
    </w:p>
    <w:p w14:paraId="61A1244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11、完成市委、市政府交办的其他任务。</w:t>
      </w:r>
    </w:p>
    <w:p w14:paraId="3B259019">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（四）绩效目标设定情况</w:t>
      </w:r>
    </w:p>
    <w:p w14:paraId="34923C3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推进三个重点，即配合推进药品耗材采购，推进服务价格调整，推进DIP支付方式改革。突破四个难点，即突破基金监管难点，突破市本级统筹难点，突破系统上线难点，突破争先创优难点。</w:t>
      </w:r>
    </w:p>
    <w:p w14:paraId="53A99EC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二、部门整体支出管理及使用情况</w:t>
      </w:r>
    </w:p>
    <w:p w14:paraId="71B8297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（一）预算执行、使用、管理总体情况。</w:t>
      </w:r>
    </w:p>
    <w:p w14:paraId="569B79C7">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2023年，我局坚持以习近平新时代中国特色社会主义思想为指引，全面贯彻落实党的二十大精神，在市委、市政府的坚强领导和省医疗保障局的精心指导下，坚持以人民健康为中心，踔厉奋发、勇毅前行，推动了医疗保障事业高质量可持续发展。2023年，全市职工医保基金收入21.94亿元，支出18.37亿元，累计结余33.7亿元（其中个人账户结余16.04亿元，统筹基金结余17.69亿元）；城乡居民医保基金收入41.27亿元，支出40.04亿元，累计结余27.3亿元，运行总体安全平稳。2023年1月，我市医保管理服务工作获省政府督查激励表彰。本年来紧紧围绕工作重心，不断加强党员和职工队伍建设，努力提高服务管理水平，顺利完成全年的各项目标任务。</w:t>
      </w:r>
    </w:p>
    <w:p w14:paraId="6843BF41">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2023年，我中心部门年初预算支出544.13万元，其中基本支出331.63万元，项目支出212.50万元。全年预算数899.51万元。部门年度总支出899.51万元，其中基本支出292.43万元，项目支出607.08万元。基本支出中用于工资福利的支出250.78万元，商品和服务支出40.57万元，对个人和家庭的补助支出1.08万元。项目支出中用于工资福利支出14.63万元，商品和服务支出590.06万元，对个人和家庭的补助支出0.30万元，资本性支出2.09万元。</w:t>
      </w:r>
    </w:p>
    <w:p w14:paraId="002C757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（二）部门预算执行情况</w:t>
      </w:r>
    </w:p>
    <w:p w14:paraId="5DD4194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rPr>
        <w:t>1.基本支出情况</w:t>
      </w:r>
    </w:p>
    <w:p w14:paraId="386282C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2023年，部门基本支出420.44万元，包括：①人员经费250.78万元，其中基本工资99.16万元、津贴补贴51.55万元、奖金56.88万元、机关事业单位基本养老保险缴费29.45万元、职工基本医疗保险缴费11.47万元、其他社会保障缴费2.24万元、其他工资福利支出0.02万元。②公用经费40.57万元，其中办公费2.49万元、劳务费0.30万元、工会经费20.70万元、其他交通费用17.09万元。</w:t>
      </w: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\o\ac(○,3)</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对个人和家庭的补助1.08万元，其中生活补助0.76万元、救济费0.20万元、奖励金0.12万元。</w:t>
      </w:r>
    </w:p>
    <w:p w14:paraId="7A0C2DC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rPr>
        <w:t>2.项目支出情况</w:t>
      </w:r>
    </w:p>
    <w:p w14:paraId="71CED0E8">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（1）专项资金安排落实及总投入情况</w:t>
      </w:r>
    </w:p>
    <w:p w14:paraId="3A044BC2">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\o\ac(○,1)</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真抓实干督查激励奖励金财政拨款收入0.30万元，支出0.30万元，执行率为100%。</w:t>
      </w:r>
    </w:p>
    <w:p w14:paraId="445637C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\o\ac(○,2)</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医疗保障服务与保障能力提升资金</w:t>
      </w:r>
      <w:r>
        <w:rPr>
          <w:rFonts w:hint="eastAsia" w:ascii="Times New Roman" w:hAnsi="Times New Roman" w:eastAsia="仿宋_GB2312"/>
          <w:spacing w:val="0"/>
          <w:sz w:val="32"/>
          <w:szCs w:val="32"/>
        </w:rPr>
        <w:tab/>
      </w:r>
      <w:r>
        <w:rPr>
          <w:rFonts w:hint="eastAsia" w:ascii="Times New Roman" w:hAnsi="Times New Roman" w:eastAsia="仿宋_GB2312"/>
          <w:spacing w:val="0"/>
          <w:sz w:val="32"/>
          <w:szCs w:val="32"/>
        </w:rPr>
        <w:t>财政拨款收入519.97万元，支出519.97万元，执行率为100%。</w:t>
      </w:r>
    </w:p>
    <w:p w14:paraId="299CFCB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\o\ac(○,3)</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医疗服务价格动态监测管理专项经费财政拨款收入2.50万元，支出2.50万元，执行率为100%。</w:t>
      </w:r>
    </w:p>
    <w:p w14:paraId="32C14BD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\o\ac(○,4)</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基本医疗保险市级统筹奖补资金财政拨款收入20.00万元，支出20.00万元，执行率为100%。</w:t>
      </w:r>
    </w:p>
    <w:p w14:paraId="5F77157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\o\ac(○,5)</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基金监管财政拨款收入64.31万元，支出64.31万元，执行率为100%。</w:t>
      </w:r>
    </w:p>
    <w:p w14:paraId="6FD66384">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 xml:space="preserve">（2）专项资金使用情况分析 </w:t>
      </w:r>
    </w:p>
    <w:p w14:paraId="15BD61A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\o\ac(○,1)</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真抓实干督查激励奖励金财政拨款收入0.30万元，支出0.30万元，执行率为100%。主要用于：奖金0.30万元。</w:t>
      </w:r>
    </w:p>
    <w:p w14:paraId="76622E8F">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\o\ac(○,2)</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医疗保障服务与保障能力提升资金财政拨款收入519.97万元，支出519.97万元，执行率为100%。主要用于：职工基本医疗保险缴费0.06万元、其他社会保障缴费3.33万元、办公费17.51万元、印刷费58.44万元、咨询费2.00万元、水费0.03万元、邮电费5.77万元、物业管理费5.57万元、差旅费18.98万元、维修（护）费0.45万元、会议费5.51万元、培训费22.37万元、公务接待费2.98万元、劳务费2.00万元、委托业务费218.58万元、公务用车运行维护费0.38万元、其他交通费用0.16万元、其他商品和服务支出153.77万元、办公设备购置2.09万元。</w:t>
      </w:r>
    </w:p>
    <w:p w14:paraId="55014927">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\o\ac(○,3)</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医疗服务价格动态监测管理专项经费财政拨款收入2.50万元，支出2.50万元，执行率为100%。主要用于：办公费1.01万元、印刷费0.63万元、邮电费0.18万元、差旅费0.53万元、其他交通费用0.15万元。</w:t>
      </w:r>
    </w:p>
    <w:p w14:paraId="3F6081E4">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\o\ac(○,4)</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基本医疗保险市级统筹奖补资金财政拨款收入20.00万元，支出20.00万元，执行率为100%。主要用于：办公费7.28万元、咨询费2.00万元、电费5.40万元、邮电费1.55万元、物业管理费1.12万元、差旅费0.64万元、维修（护）费0.12万元、培训费0.10万元、委托业务费1.08万元、其他商品和服务支出0.71万元。</w:t>
      </w:r>
    </w:p>
    <w:p w14:paraId="783E755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fldChar w:fldCharType="begin"/>
      </w:r>
      <w:r>
        <w:rPr>
          <w:rFonts w:hint="eastAsia" w:ascii="Times New Roman" w:hAnsi="Times New Roman" w:eastAsia="仿宋_GB2312"/>
          <w:spacing w:val="0"/>
          <w:sz w:val="32"/>
          <w:szCs w:val="32"/>
        </w:rPr>
        <w:instrText xml:space="preserve"> eq \o\ac(○,5)</w:instrText>
      </w:r>
      <w:r>
        <w:rPr>
          <w:rFonts w:hint="eastAsia" w:ascii="Times New Roman" w:hAnsi="Times New Roman" w:eastAsia="仿宋_GB2312"/>
          <w:spacing w:val="0"/>
          <w:sz w:val="32"/>
          <w:szCs w:val="32"/>
        </w:rPr>
        <w:fldChar w:fldCharType="end"/>
      </w:r>
      <w:r>
        <w:rPr>
          <w:rFonts w:hint="eastAsia" w:ascii="Times New Roman" w:hAnsi="Times New Roman" w:eastAsia="仿宋_GB2312"/>
          <w:spacing w:val="0"/>
          <w:sz w:val="32"/>
          <w:szCs w:val="32"/>
        </w:rPr>
        <w:t>基金监管财政拨款收入64.31万元，支出64.31万元，执行率为100%。主要用于：职工基本医疗保险缴费8.89万元、其他社会保障缴费2.06万元、办公费18.28万元、水费5.00万元、电费5.35万元、邮电费0.30万元、物业管理费2.80万元、差旅费2.19万元、维修（护）费0.94万元、会议费1.14万元、培训费0.40万元、劳务费1.50万元、委托业务费0.20万元、公务用车运行维护费5.75万元、其他交通费用0.22万元、其他商品和服务支出9.00万元、救济费0.30万元。</w:t>
      </w:r>
    </w:p>
    <w:p w14:paraId="2E019014">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（三）"三公"经费使用和管理情况</w:t>
      </w:r>
    </w:p>
    <w:p w14:paraId="4192329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2023年部门预算“三公”经费年初预算9.00万元，其中公务用车运行费6.00万元，公务接待费3.00万元，实际支出公务用车运行费6.14万元，公务接待费2.98万元。实际公车所需维修费用增多，所需三公经费约9.5万元，下一年度将根据实际情况向市财政局申请三公经费控制数，我单位也会厉行节约，严格控制三公经费支出。</w:t>
      </w:r>
    </w:p>
    <w:p w14:paraId="6CCB8E4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三、政府性基金预算支出情况</w:t>
      </w:r>
    </w:p>
    <w:p w14:paraId="0632F928">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无。</w:t>
      </w:r>
    </w:p>
    <w:p w14:paraId="6431431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四、国有资本经营预算支出情况</w:t>
      </w:r>
    </w:p>
    <w:p w14:paraId="2FFF8762">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无</w:t>
      </w:r>
    </w:p>
    <w:p w14:paraId="5282D1C4">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五、社会保险基金预算支出情况</w:t>
      </w:r>
    </w:p>
    <w:p w14:paraId="609E987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无</w:t>
      </w:r>
    </w:p>
    <w:p w14:paraId="12E5C31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六、部门整体支出绩效情况</w:t>
      </w:r>
    </w:p>
    <w:p w14:paraId="48BCBA34">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（一）综合评价结论。</w:t>
      </w:r>
      <w:r>
        <w:rPr>
          <w:rFonts w:hint="eastAsia" w:ascii="Times New Roman" w:hAnsi="Times New Roman" w:eastAsia="仿宋_GB2312"/>
          <w:spacing w:val="0"/>
          <w:sz w:val="32"/>
          <w:szCs w:val="32"/>
        </w:rPr>
        <w:t>反映自评得分及评价等级。</w:t>
      </w:r>
    </w:p>
    <w:p w14:paraId="0D1DD46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hAnsi="黑体" w:cs="黑体"/>
          <w:spacing w:val="0"/>
          <w:sz w:val="32"/>
          <w:szCs w:val="32"/>
          <w:lang w:eastAsia="zh-CN"/>
        </w:rPr>
        <w:t>七</w:t>
      </w:r>
      <w:r>
        <w:rPr>
          <w:rFonts w:hint="eastAsia" w:ascii="黑体" w:hAnsi="黑体" w:eastAsia="黑体" w:cs="黑体"/>
          <w:spacing w:val="0"/>
          <w:sz w:val="32"/>
          <w:szCs w:val="32"/>
        </w:rPr>
        <w:t>、2023年所做的主要工作</w:t>
      </w:r>
    </w:p>
    <w:p w14:paraId="7011CD9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（一）突出服务大局，职能优势充分发挥</w:t>
      </w:r>
    </w:p>
    <w:p w14:paraId="026997A8">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一是助力中医药产业发展。</w:t>
      </w:r>
      <w:r>
        <w:rPr>
          <w:rFonts w:hint="eastAsia" w:ascii="Times New Roman" w:hAnsi="Times New Roman" w:eastAsia="仿宋_GB2312"/>
          <w:spacing w:val="0"/>
          <w:sz w:val="32"/>
          <w:szCs w:val="32"/>
        </w:rPr>
        <w:t>全面落实医保支持中医药传承创新发展的各项举措，开展中医特色治疗项目13293人次，推动正清集团“风湿与疼痛三联序贯疗法”医疗服务项目在我市12家中医医院累计应用1457人次，指导9家定点医疗机构192种自制药剂获批入选省制剂目录，入选数量位居全省各市州第一；指导帮扶我市鸿源药业回收货款426万元、获评湖南省高新技术企业，帮扶正清集团获各类政策支持285万元。</w:t>
      </w:r>
      <w:r>
        <w:rPr>
          <w:rFonts w:hint="eastAsia" w:ascii="Times New Roman" w:hAnsi="Times New Roman" w:eastAsia="仿宋_GB2312"/>
          <w:b/>
          <w:bCs/>
          <w:spacing w:val="0"/>
          <w:sz w:val="32"/>
          <w:szCs w:val="32"/>
        </w:rPr>
        <w:t>二是助力区域医疗中心建设。</w:t>
      </w:r>
      <w:r>
        <w:rPr>
          <w:rFonts w:hint="eastAsia" w:ascii="Times New Roman" w:hAnsi="Times New Roman" w:eastAsia="仿宋_GB2312"/>
          <w:spacing w:val="0"/>
          <w:sz w:val="32"/>
          <w:szCs w:val="32"/>
        </w:rPr>
        <w:t>制定了我市DIP支付医院综合权重系数方案，对已建成的9个国家级和省级临床重点专科，提高其综合权重系数0.01，倾斜基金*万元。</w:t>
      </w:r>
      <w:r>
        <w:rPr>
          <w:rFonts w:hint="eastAsia" w:ascii="Times New Roman" w:hAnsi="Times New Roman" w:eastAsia="仿宋_GB2312"/>
          <w:b/>
          <w:bCs/>
          <w:spacing w:val="0"/>
          <w:sz w:val="32"/>
          <w:szCs w:val="32"/>
        </w:rPr>
        <w:t>三是助力疫情防控。</w:t>
      </w:r>
      <w:r>
        <w:rPr>
          <w:rFonts w:hint="eastAsia" w:ascii="Times New Roman" w:hAnsi="Times New Roman" w:eastAsia="仿宋_GB2312"/>
          <w:spacing w:val="0"/>
          <w:sz w:val="32"/>
          <w:szCs w:val="32"/>
        </w:rPr>
        <w:t>全面落实“乙类乙管政策”，39425人次享受了“乙类乙管”住院待遇，医保基金支付1.18亿元，财政补贴3631.76万元。累计结算疫苗及接种费用5.7亿元。</w:t>
      </w:r>
    </w:p>
    <w:p w14:paraId="780F17A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二</w:t>
      </w:r>
      <w:r>
        <w:rPr>
          <w:rFonts w:hint="eastAsia" w:ascii="楷体_GB2312" w:hAnsi="楷体_GB2312" w:eastAsia="楷体_GB2312" w:cs="楷体_GB2312"/>
          <w:b/>
          <w:bCs/>
          <w:spacing w:val="0"/>
          <w:sz w:val="32"/>
          <w:szCs w:val="32"/>
          <w:lang w:eastAsia="zh-CN"/>
        </w:rPr>
        <w:t>）突出民生福祉，保障体系日趋完善</w:t>
      </w:r>
    </w:p>
    <w:p w14:paraId="5F535E0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一是实现应保尽保。</w:t>
      </w:r>
      <w:r>
        <w:rPr>
          <w:rFonts w:hint="eastAsia" w:ascii="Times New Roman" w:hAnsi="Times New Roman" w:eastAsia="仿宋_GB2312"/>
          <w:spacing w:val="0"/>
          <w:sz w:val="32"/>
          <w:szCs w:val="32"/>
        </w:rPr>
        <w:t>2023年全市参保人数442.88万，常住人口参保率为97.97%。麻阳、辰溪等4个县被评为全省城乡居民基本医疗保险费征收工作表现突出单位。</w:t>
      </w:r>
      <w:r>
        <w:rPr>
          <w:rFonts w:hint="eastAsia" w:ascii="Times New Roman" w:hAnsi="Times New Roman" w:eastAsia="仿宋_GB2312"/>
          <w:b/>
          <w:bCs/>
          <w:spacing w:val="0"/>
          <w:sz w:val="32"/>
          <w:szCs w:val="32"/>
        </w:rPr>
        <w:t>二是实现应享尽享。</w:t>
      </w:r>
      <w:r>
        <w:rPr>
          <w:rFonts w:hint="eastAsia" w:ascii="Times New Roman" w:hAnsi="Times New Roman" w:eastAsia="仿宋_GB2312"/>
          <w:spacing w:val="0"/>
          <w:sz w:val="32"/>
          <w:szCs w:val="32"/>
        </w:rPr>
        <w:t>全面推进“三重保障”待遇落实，266家定点零售药店开通门诊统筹结算。全市828.56万人次享受门诊待遇，基金支付 9.22 亿元；住院就诊128.32万人次，基金支付42.09亿元。</w:t>
      </w:r>
      <w:r>
        <w:rPr>
          <w:rFonts w:hint="eastAsia" w:ascii="Times New Roman" w:hAnsi="Times New Roman" w:eastAsia="仿宋_GB2312"/>
          <w:b/>
          <w:bCs/>
          <w:spacing w:val="0"/>
          <w:sz w:val="32"/>
          <w:szCs w:val="32"/>
        </w:rPr>
        <w:t>三是实现应助尽助。</w:t>
      </w:r>
      <w:r>
        <w:rPr>
          <w:rFonts w:hint="eastAsia" w:ascii="Times New Roman" w:hAnsi="Times New Roman" w:eastAsia="仿宋_GB2312"/>
          <w:spacing w:val="0"/>
          <w:sz w:val="32"/>
          <w:szCs w:val="32"/>
        </w:rPr>
        <w:t>医疗救助45.04万人次，基金支付1.72亿元，实时动态更新困难人员标识，2023年共资助困难人员参保27.34万人，资助金额5371.8万元；在会同县蒲稳乡集镇安置区、新晃县扶罗镇圭界村开展乡村振兴驻村帮扶。我局在全省医疗保障工作会议上做乡村振兴工作交流发言，洪江市“五个全覆盖”做实特殊人群医疗救助工作得到省政府肯定，沅陵、溆浦等7个县市区被省医保局授予乡村振兴工作表现突出单位。</w:t>
      </w:r>
    </w:p>
    <w:p w14:paraId="430C4E8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三</w:t>
      </w:r>
      <w:r>
        <w:rPr>
          <w:rFonts w:hint="eastAsia" w:ascii="楷体_GB2312" w:hAnsi="楷体_GB2312" w:eastAsia="楷体_GB2312" w:cs="楷体_GB2312"/>
          <w:b/>
          <w:bCs/>
          <w:spacing w:val="0"/>
          <w:sz w:val="32"/>
          <w:szCs w:val="32"/>
          <w:lang w:eastAsia="zh-CN"/>
        </w:rPr>
        <w:t>）突出从严监管，基金运行平稳有序</w:t>
      </w:r>
    </w:p>
    <w:p w14:paraId="1B4E4D4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一是加强日常监管。</w:t>
      </w:r>
      <w:r>
        <w:rPr>
          <w:rFonts w:hint="eastAsia" w:ascii="Times New Roman" w:hAnsi="Times New Roman" w:eastAsia="仿宋_GB2312"/>
          <w:spacing w:val="0"/>
          <w:sz w:val="32"/>
          <w:szCs w:val="32"/>
        </w:rPr>
        <w:t>实现监督检查全覆盖，积极探索门诊共济改革后零售药店、重点医疗机构监管新模式。2023年，全市共现场检查定点医药机构3009家，行政处罚62家、解除医保协议11家、暂停医保结算15家，追回医保基金及处罚金共计4260.47万元，居全省前列。</w:t>
      </w:r>
      <w:r>
        <w:rPr>
          <w:rFonts w:hint="eastAsia" w:ascii="Times New Roman" w:hAnsi="Times New Roman" w:eastAsia="仿宋_GB2312"/>
          <w:b/>
          <w:bCs/>
          <w:spacing w:val="0"/>
          <w:sz w:val="32"/>
          <w:szCs w:val="32"/>
        </w:rPr>
        <w:t>二是加强创新监管。</w:t>
      </w:r>
      <w:r>
        <w:rPr>
          <w:rFonts w:hint="eastAsia" w:ascii="Times New Roman" w:hAnsi="Times New Roman" w:eastAsia="仿宋_GB2312"/>
          <w:spacing w:val="0"/>
          <w:sz w:val="32"/>
          <w:szCs w:val="32"/>
        </w:rPr>
        <w:t>上线使用41条智能审核规则，确认违规数据扣款46.38万元；投入300余万元推进全市定点医疗机构重点领域场景监控建设，鹤城区有序推进省级基层综合监管试点建设，积极探索异地就医监管实践路径，成功召开湘黔两省“两市一州”毗邻区域跨省异地就医基金监管协作磋商会，新晃县率先在湘黔两省8县（区）实行“131”监管模式获省政府和国家医保局认可。</w:t>
      </w:r>
      <w:r>
        <w:rPr>
          <w:rFonts w:hint="eastAsia" w:ascii="Times New Roman" w:hAnsi="Times New Roman" w:eastAsia="仿宋_GB2312"/>
          <w:b/>
          <w:bCs/>
          <w:spacing w:val="0"/>
          <w:sz w:val="32"/>
          <w:szCs w:val="32"/>
        </w:rPr>
        <w:t>三是加强社会监督。</w:t>
      </w:r>
      <w:r>
        <w:rPr>
          <w:rFonts w:hint="eastAsia" w:ascii="Times New Roman" w:hAnsi="Times New Roman" w:eastAsia="仿宋_GB2312"/>
          <w:spacing w:val="0"/>
          <w:sz w:val="32"/>
          <w:szCs w:val="32"/>
        </w:rPr>
        <w:t>举行聘任仪式暨政策业务培训会，市县医保部门共聘请医保基金社会监督员180名，积极参与医保部门组织开展的定点医药机构现场检查和市级医保基金监管交叉检查，提出了被医保部门采纳的意见建议12条，有效增强监管合力。</w:t>
      </w:r>
    </w:p>
    <w:p w14:paraId="60AC216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四</w:t>
      </w:r>
      <w:r>
        <w:rPr>
          <w:rFonts w:hint="eastAsia" w:ascii="楷体_GB2312" w:hAnsi="楷体_GB2312" w:eastAsia="楷体_GB2312" w:cs="楷体_GB2312"/>
          <w:b/>
          <w:bCs/>
          <w:spacing w:val="0"/>
          <w:sz w:val="32"/>
          <w:szCs w:val="32"/>
          <w:lang w:eastAsia="zh-CN"/>
        </w:rPr>
        <w:t>）突出改革创新，医保效能稳步增强</w:t>
      </w:r>
    </w:p>
    <w:p w14:paraId="355E70BC">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一是深化DIP支付方式改革。</w:t>
      </w:r>
      <w:r>
        <w:rPr>
          <w:rFonts w:hint="eastAsia" w:ascii="Times New Roman" w:hAnsi="Times New Roman" w:eastAsia="仿宋_GB2312"/>
          <w:spacing w:val="0"/>
          <w:sz w:val="32"/>
          <w:szCs w:val="32"/>
        </w:rPr>
        <w:t>提前一年实现了13个县市区，425家定点医院、95%以上病种、90%以上住院基金全覆盖，病案数据上传率、质控通过率、CMI指数、医保基金支付率大幅提升，基金支出、人均住院费用、人均住院天次、统筹基金支出明显减少。我局在全国CHS-DRG/DIP支付方式改革大会上做交流发言。</w:t>
      </w:r>
      <w:r>
        <w:rPr>
          <w:rFonts w:hint="eastAsia" w:ascii="Times New Roman" w:hAnsi="Times New Roman" w:eastAsia="仿宋_GB2312"/>
          <w:b/>
          <w:bCs/>
          <w:spacing w:val="0"/>
          <w:sz w:val="32"/>
          <w:szCs w:val="32"/>
        </w:rPr>
        <w:t>二是深化药耗集采改革。</w:t>
      </w:r>
      <w:r>
        <w:rPr>
          <w:rFonts w:hint="eastAsia" w:ascii="Times New Roman" w:hAnsi="Times New Roman" w:eastAsia="仿宋_GB2312"/>
          <w:spacing w:val="0"/>
          <w:sz w:val="32"/>
          <w:szCs w:val="32"/>
        </w:rPr>
        <w:t>全面落实国家、省集采任务，积极参与省、市医药集采联盟，现已执行集采药品有480种，耗材22大类，支付医疗机构结余留用资金766.6万元，集采药品平均降价53%，耗材平均降价80%，每年节约药品耗材费用1.43亿元，累计节约超4亿元。</w:t>
      </w:r>
      <w:r>
        <w:rPr>
          <w:rFonts w:hint="eastAsia" w:ascii="Times New Roman" w:hAnsi="Times New Roman" w:eastAsia="仿宋_GB2312"/>
          <w:b/>
          <w:bCs/>
          <w:spacing w:val="0"/>
          <w:sz w:val="32"/>
          <w:szCs w:val="32"/>
        </w:rPr>
        <w:t>三是深化医疗服务项目价格管理。</w:t>
      </w:r>
      <w:r>
        <w:rPr>
          <w:rFonts w:hint="eastAsia" w:ascii="Times New Roman" w:hAnsi="Times New Roman" w:eastAsia="仿宋_GB2312"/>
          <w:spacing w:val="0"/>
          <w:sz w:val="32"/>
          <w:szCs w:val="32"/>
        </w:rPr>
        <w:t>建立医疗服务价格动态调整监测评估制度，对我市公立医疗机构4496个医疗服务项目，进行了价格规范和结构优化，共调整357个医疗服务项目价格，将90个中医类医疗服务项目价格进行上调。</w:t>
      </w:r>
    </w:p>
    <w:p w14:paraId="1AF2E412">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五</w:t>
      </w: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rPr>
        <w:t>突出提质增效，服务路径不断拓展</w:t>
      </w:r>
    </w:p>
    <w:p w14:paraId="41FE0238">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一是抓好信息化建设。</w:t>
      </w:r>
      <w:r>
        <w:rPr>
          <w:rFonts w:hint="eastAsia" w:ascii="Times New Roman" w:hAnsi="Times New Roman" w:eastAsia="仿宋_GB2312"/>
          <w:spacing w:val="0"/>
          <w:sz w:val="32"/>
          <w:szCs w:val="32"/>
        </w:rPr>
        <w:t>积极推动医保电子处方流转，在8家市本级医院开展智能场景监控应用试点，持续做好编码贯标和接口改造等基础工作，推动医保信息系统全功能应用，加快电子医保码应用，我市电子凭证激活率达71.07%，居全省前列。开通临时外出就医人员异地住院“免备案”和电子服务协议网签服务，全市医保服务协议进入“网签时代”。</w:t>
      </w:r>
      <w:r>
        <w:rPr>
          <w:rFonts w:hint="eastAsia" w:ascii="Times New Roman" w:hAnsi="Times New Roman" w:eastAsia="仿宋_GB2312"/>
          <w:b/>
          <w:bCs/>
          <w:spacing w:val="0"/>
          <w:sz w:val="32"/>
          <w:szCs w:val="32"/>
        </w:rPr>
        <w:t>二是抓好重点民生实事项目。</w:t>
      </w:r>
      <w:r>
        <w:rPr>
          <w:rFonts w:hint="eastAsia" w:ascii="Times New Roman" w:hAnsi="Times New Roman" w:eastAsia="仿宋_GB2312"/>
          <w:spacing w:val="0"/>
          <w:sz w:val="32"/>
          <w:szCs w:val="32"/>
        </w:rPr>
        <w:t>重点民生实事任务完成率100%，实现2455个行政村卫生室开通医保定点、82家二级以上定点医疗机构开通普通门诊异地结算全覆盖、全部43个门诊慢特病治疗费用省内异地直接结算、204个乡镇（街道）和2772个村（社区）医保经办服务事项直办帮办代办，完成时间居全省前列。麻阳县在全省医疗保障重点民生实事项目总结会上做经验交流发言。</w:t>
      </w:r>
      <w:r>
        <w:rPr>
          <w:rFonts w:hint="eastAsia" w:ascii="Times New Roman" w:hAnsi="Times New Roman" w:eastAsia="仿宋_GB2312"/>
          <w:b/>
          <w:bCs/>
          <w:spacing w:val="0"/>
          <w:sz w:val="32"/>
          <w:szCs w:val="32"/>
        </w:rPr>
        <w:t>三是抓好全市医保经办系统练兵比武活动。</w:t>
      </w:r>
      <w:r>
        <w:rPr>
          <w:rFonts w:hint="eastAsia" w:ascii="Times New Roman" w:hAnsi="Times New Roman" w:eastAsia="仿宋_GB2312"/>
          <w:spacing w:val="0"/>
          <w:sz w:val="32"/>
          <w:szCs w:val="32"/>
        </w:rPr>
        <w:t>以“岗位练兵优服务 业务比武强规范”为主题，积极开展全市医保经办比武，组织市、县两级医保系统培训122场，3336名医保经办工作人员、1636家医院药店及保险公司相关工作人员全程参与，有效提升干部职工业务能力。四是抓好鹤中一体化建设。紧紧围绕鹤中政务服务一体化建设要求，做到工作专班、工作机制、办理事项、人员设置“四个明确”，落实受理标准、办件跟踪、办理流程、业务培训“四个统一”，实现了我市鹤城区、陆港经开区、高新区、中方县医保业务跨区域互联互通互办，先后办理“鹤中一体化”医保业务1772件。</w:t>
      </w:r>
    </w:p>
    <w:p w14:paraId="50818817">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六</w:t>
      </w:r>
      <w:r>
        <w:rPr>
          <w:rFonts w:hint="eastAsia" w:ascii="楷体_GB2312" w:hAnsi="楷体_GB2312" w:eastAsia="楷体_GB2312" w:cs="楷体_GB2312"/>
          <w:b/>
          <w:bCs/>
          <w:spacing w:val="0"/>
          <w:sz w:val="32"/>
          <w:szCs w:val="32"/>
          <w:lang w:eastAsia="zh-CN"/>
        </w:rPr>
        <w:t>）突出政治引领，锻造过硬干部队伍</w:t>
      </w:r>
    </w:p>
    <w:p w14:paraId="3637A23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b/>
          <w:bCs/>
          <w:spacing w:val="0"/>
          <w:sz w:val="32"/>
          <w:szCs w:val="32"/>
        </w:rPr>
        <w:t>一是强化政治引领。</w:t>
      </w:r>
      <w:r>
        <w:rPr>
          <w:rFonts w:hint="eastAsia" w:ascii="Times New Roman" w:hAnsi="Times New Roman" w:eastAsia="仿宋_GB2312"/>
          <w:spacing w:val="0"/>
          <w:sz w:val="32"/>
          <w:szCs w:val="32"/>
        </w:rPr>
        <w:t>深入学习贯彻习近平新时代中国特色社会主义思想、党的二十大精神、习近平总书记关于医疗保障工作重要论述，忠诚拥护“两个确立”，坚决做到“两个维护”。全面落实学习贯彻习近平新时代中国特色社会主义思想主题教育活动任务，深入开展“以学铸魂”“以学增智”“以学正风”“以学促干”四个专题研讨，切实推进“走找想促”“四下基层”活动，局领导干部深入基层60余次，走访调研帮扶点、医院、企业200余家次，收集并解决问题49。</w:t>
      </w:r>
      <w:r>
        <w:rPr>
          <w:rFonts w:hint="eastAsia" w:ascii="Times New Roman" w:hAnsi="Times New Roman" w:eastAsia="仿宋_GB2312"/>
          <w:b/>
          <w:bCs/>
          <w:spacing w:val="0"/>
          <w:sz w:val="32"/>
          <w:szCs w:val="32"/>
        </w:rPr>
        <w:t>二是强化主体责任。</w:t>
      </w:r>
      <w:r>
        <w:rPr>
          <w:rFonts w:hint="eastAsia" w:ascii="Times New Roman" w:hAnsi="Times New Roman" w:eastAsia="仿宋_GB2312"/>
          <w:spacing w:val="0"/>
          <w:sz w:val="32"/>
          <w:szCs w:val="32"/>
        </w:rPr>
        <w:t>认真落实局党组“第一议题”制度，党组理论学习中心组学习12次，党组书记、班子成员、支部书记上专题党课8次，所属支部分别开展“一月一课一片一实践”主题党日活动和集中学习12次，结合“谋一策、办一事、解一难”“学习身边榜样”活动为群众办实事30余件。完成机关党总支和所属机关支部、中心支部的换届工作，持续开展“三走三促”医保政策宣传特色党建品牌创建，组织召开各类业务政策培训会12次，培训1500余人次。</w:t>
      </w:r>
      <w:r>
        <w:rPr>
          <w:rFonts w:hint="eastAsia" w:ascii="Times New Roman" w:hAnsi="Times New Roman" w:eastAsia="仿宋_GB2312"/>
          <w:b/>
          <w:bCs/>
          <w:spacing w:val="0"/>
          <w:sz w:val="32"/>
          <w:szCs w:val="32"/>
        </w:rPr>
        <w:t>三是强化清廉建设。</w:t>
      </w:r>
      <w:r>
        <w:rPr>
          <w:rFonts w:hint="eastAsia" w:ascii="Times New Roman" w:hAnsi="Times New Roman" w:eastAsia="仿宋_GB2312"/>
          <w:spacing w:val="0"/>
          <w:sz w:val="32"/>
          <w:szCs w:val="32"/>
        </w:rPr>
        <w:t>出台《怀化市清廉医保建设实施方案》，集中观看《初心与蜕变》警示教育片，签订廉政承诺书 52份，开展廉政家访45人次，组织谈心谈话40余人次。全面完成了省审计厅三医联动专项审计问题整改、“未巡先改”、省委巡视组交办信访件、市委巡察整改等工作。我局被市纪委监委授予“怀化市清廉机关”称号，分别在全省全面从严治党暨党风廉政建设工作会、全市“清廉机关”推进会作典型发言。</w:t>
      </w:r>
    </w:p>
    <w:p w14:paraId="763D99F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hAnsi="黑体" w:cs="黑体"/>
          <w:spacing w:val="0"/>
          <w:sz w:val="32"/>
          <w:szCs w:val="32"/>
          <w:lang w:eastAsia="zh-CN"/>
        </w:rPr>
        <w:t>八</w:t>
      </w:r>
      <w:r>
        <w:rPr>
          <w:rFonts w:hint="eastAsia" w:ascii="黑体" w:hAnsi="黑体" w:eastAsia="黑体" w:cs="黑体"/>
          <w:spacing w:val="0"/>
          <w:sz w:val="32"/>
          <w:szCs w:val="32"/>
        </w:rPr>
        <w:t>、存在的问题及原因分析</w:t>
      </w:r>
    </w:p>
    <w:p w14:paraId="05EA1E1B">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rPr>
        <w:t>1. 医保基金监管仍存在薄弱环节</w:t>
      </w:r>
    </w:p>
    <w:p w14:paraId="0C7DE5E6">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对一些隐蔽性较强的欺诈骗保行为发现和查处难度较大。基金监管的协同机制还不够完善，与相关部门的信息共享和联合执法力度有待加强。主要是因为监管技术和方法相对滞后，难以适应复杂多变的医保基金使用情况，基金监管队伍人员不足，专业能力有待提升。</w:t>
      </w:r>
    </w:p>
    <w:p w14:paraId="4AD966E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b/>
          <w:bCs/>
          <w:spacing w:val="0"/>
          <w:sz w:val="32"/>
          <w:szCs w:val="32"/>
        </w:rPr>
      </w:pPr>
      <w:r>
        <w:rPr>
          <w:rFonts w:hint="eastAsia" w:ascii="Times New Roman" w:hAnsi="Times New Roman" w:eastAsia="仿宋_GB2312"/>
          <w:b/>
          <w:bCs/>
          <w:spacing w:val="0"/>
          <w:sz w:val="32"/>
          <w:szCs w:val="32"/>
        </w:rPr>
        <w:t>2. 医保经办服务能力有待进一步提升</w:t>
      </w:r>
    </w:p>
    <w:p w14:paraId="7173A673">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rPr>
        <w:t>基层医保经办人员业务水平参差不齐，服务质量和效率有待提高。医保经办服务的信息化、智能化水平还不能完全满足群众的需求。主要是因为对基层医保经办人员的培训内容和方式不够针对性和实效性，对医保经办服务信息化建设的投入和推进力度不够。</w:t>
      </w:r>
    </w:p>
    <w:p w14:paraId="6ED9B04F">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hAnsi="黑体" w:cs="黑体"/>
          <w:spacing w:val="0"/>
          <w:sz w:val="32"/>
          <w:szCs w:val="32"/>
          <w:lang w:eastAsia="zh-CN"/>
        </w:rPr>
        <w:t>九</w:t>
      </w:r>
      <w:r>
        <w:rPr>
          <w:rFonts w:hint="eastAsia" w:ascii="黑体" w:hAnsi="黑体" w:eastAsia="黑体" w:cs="黑体"/>
          <w:spacing w:val="0"/>
          <w:sz w:val="32"/>
          <w:szCs w:val="32"/>
        </w:rPr>
        <w:t>、下一步改进措施</w:t>
      </w:r>
    </w:p>
    <w:p w14:paraId="0A65EA5F">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（一）聚焦政治引领增合力。</w:t>
      </w:r>
      <w:r>
        <w:rPr>
          <w:rFonts w:hint="eastAsia" w:ascii="Times New Roman" w:hAnsi="Times New Roman" w:eastAsia="仿宋_GB2312"/>
          <w:spacing w:val="0"/>
          <w:sz w:val="32"/>
          <w:szCs w:val="32"/>
        </w:rPr>
        <w:t>以学习贯彻习近平新时代中国特色社会主义思想、党的二十大精神、习近平总书记关于医疗保障工作重要指示批示精神；围绕“五个医保”建设要求，加大人才队伍建设；</w:t>
      </w:r>
      <w:r>
        <w:rPr>
          <w:rFonts w:hint="eastAsia" w:ascii="Times New Roman" w:hAnsi="Times New Roman" w:eastAsia="仿宋_GB2312"/>
          <w:spacing w:val="0"/>
          <w:sz w:val="32"/>
          <w:szCs w:val="32"/>
          <w:lang w:val="zh-CN"/>
        </w:rPr>
        <w:t>聚焦民生关切，</w:t>
      </w:r>
      <w:r>
        <w:rPr>
          <w:rFonts w:hint="eastAsia" w:ascii="Times New Roman" w:hAnsi="Times New Roman" w:eastAsia="仿宋_GB2312"/>
          <w:spacing w:val="0"/>
          <w:sz w:val="32"/>
          <w:szCs w:val="32"/>
        </w:rPr>
        <w:t>持续深化“清廉医保”建设，坚决整治群众身边腐败问题和不正之风。</w:t>
      </w:r>
    </w:p>
    <w:p w14:paraId="13AAD905">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（二）聚焦服务大局助发展。</w:t>
      </w:r>
      <w:r>
        <w:rPr>
          <w:rFonts w:hint="eastAsia" w:ascii="Times New Roman" w:hAnsi="Times New Roman" w:eastAsia="仿宋_GB2312"/>
          <w:spacing w:val="0"/>
          <w:sz w:val="32"/>
          <w:szCs w:val="32"/>
        </w:rPr>
        <w:t>围绕构建“5+N”现代化产业体系，积极助力我市区域医疗中心建设、中医药改革示范区先导区建设，全面落实医疗保障大力支持中医药传承创新发展</w:t>
      </w:r>
      <w:r>
        <w:rPr>
          <w:rFonts w:hint="eastAsia" w:ascii="Times New Roman" w:hAnsi="Times New Roman" w:eastAsia="仿宋_GB2312"/>
          <w:spacing w:val="-6"/>
          <w:sz w:val="32"/>
          <w:szCs w:val="32"/>
        </w:rPr>
        <w:t>各项举措，切实做好对我市医药企业药耗产品、医疗服务项目申请纳入医保目录支付范围的指导工作，充分发挥医保综合效能。</w:t>
      </w:r>
    </w:p>
    <w:p w14:paraId="51CEBEA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（三）聚焦健全体系强保障。</w:t>
      </w:r>
      <w:r>
        <w:rPr>
          <w:rFonts w:hint="eastAsia" w:ascii="Times New Roman" w:hAnsi="Times New Roman" w:eastAsia="仿宋_GB2312"/>
          <w:spacing w:val="0"/>
          <w:sz w:val="32"/>
          <w:szCs w:val="32"/>
        </w:rPr>
        <w:t>加大参保征缴力度，确保全市常住人口参保覆盖率达95%以上，实现监测对象等困难群众应保尽保、应助尽助。强化医疗救助资金管理，坚决守住医保领域不发生因病规模性返贫底线。健全多层次医疗保障体系，根据省局要求适时优化调整生育保险制度、出台意外伤害管理办法，规范支持惠民型商业补充医疗保险产品。</w:t>
      </w:r>
    </w:p>
    <w:p w14:paraId="0887D5AE">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（四）聚焦基金安全防风险。</w:t>
      </w:r>
      <w:r>
        <w:rPr>
          <w:rFonts w:hint="eastAsia" w:ascii="Times New Roman" w:hAnsi="Times New Roman" w:eastAsia="仿宋_GB2312"/>
          <w:spacing w:val="0"/>
          <w:sz w:val="32"/>
          <w:szCs w:val="32"/>
        </w:rPr>
        <w:t>深化医保基金基层综合监管试点建设，积极开展专项整治、交叉检查。扎实推进智能监管子系统建设，超过80%的县市区落地应用智能场景监控系统。加快推进信用管理，完成3类医保信用主体的信用评价体系建设。围绕基金预决算和总额管理，规范基金支出管理，统筹解决洪江区职工医保政策性缺口问题。</w:t>
      </w:r>
    </w:p>
    <w:p w14:paraId="25C0ECFD">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（五）聚焦三医协同促改革。实</w:t>
      </w:r>
      <w:r>
        <w:rPr>
          <w:rFonts w:hint="eastAsia" w:ascii="Times New Roman" w:hAnsi="Times New Roman" w:eastAsia="仿宋_GB2312"/>
          <w:spacing w:val="0"/>
          <w:sz w:val="32"/>
          <w:szCs w:val="32"/>
        </w:rPr>
        <w:t>现我市符合条件的医疗机构DIP支付方式改革试点全覆盖，加快构建多元医保支付体系。积极参与省、市际医药集采联盟，进一步扩大集采范围，推动低值耗材集采。完善医疗服务项目价格动态调整机制，加强医疗服务价格监测评估，推进医药货款直接结算。</w:t>
      </w:r>
    </w:p>
    <w:p w14:paraId="51A275CA">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楷体_GB2312" w:hAnsi="楷体_GB2312" w:eastAsia="楷体_GB2312" w:cs="楷体_GB2312"/>
          <w:b/>
          <w:bCs/>
          <w:spacing w:val="0"/>
          <w:sz w:val="32"/>
          <w:szCs w:val="32"/>
          <w:lang w:eastAsia="zh-CN"/>
        </w:rPr>
        <w:t>（六）聚焦便民利民优服务。</w:t>
      </w:r>
      <w:r>
        <w:rPr>
          <w:rFonts w:hint="eastAsia" w:ascii="Times New Roman" w:hAnsi="Times New Roman" w:eastAsia="仿宋_GB2312"/>
          <w:spacing w:val="0"/>
          <w:sz w:val="32"/>
          <w:szCs w:val="32"/>
        </w:rPr>
        <w:t>全面推行综合柜员制，进一步提升鹤中一体化经办服务水平；逐步健全四级医保经办体系，全力打通服务群众最后一公里。不断提高我市村卫医保门诊医保结算率。全面完成十四五规划布局。着力将异地就医直</w:t>
      </w:r>
      <w:r>
        <w:rPr>
          <w:rFonts w:hint="eastAsia" w:ascii="Times New Roman" w:hAnsi="Times New Roman" w:eastAsia="仿宋_GB2312"/>
          <w:spacing w:val="-6"/>
          <w:sz w:val="32"/>
          <w:szCs w:val="32"/>
        </w:rPr>
        <w:t>接结算、智能监管和基层医疗保障服务覆盖率提升至90%左右。</w:t>
      </w:r>
    </w:p>
    <w:p w14:paraId="75DDD1FF">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黑体" w:hAnsi="黑体" w:eastAsia="黑体" w:cs="黑体"/>
          <w:spacing w:val="0"/>
          <w:sz w:val="32"/>
          <w:szCs w:val="32"/>
        </w:rPr>
      </w:pPr>
      <w:r>
        <w:rPr>
          <w:rFonts w:hint="eastAsia" w:hAnsi="黑体" w:cs="黑体"/>
          <w:spacing w:val="0"/>
          <w:sz w:val="32"/>
          <w:szCs w:val="32"/>
          <w:lang w:eastAsia="zh-CN"/>
        </w:rPr>
        <w:t>十</w:t>
      </w:r>
      <w:r>
        <w:rPr>
          <w:rFonts w:hint="eastAsia" w:ascii="黑体" w:hAnsi="黑体" w:eastAsia="黑体" w:cs="黑体"/>
          <w:spacing w:val="0"/>
          <w:sz w:val="32"/>
          <w:szCs w:val="32"/>
        </w:rPr>
        <w:t>、其他需要说明的情况</w:t>
      </w:r>
    </w:p>
    <w:p w14:paraId="7896AEA0">
      <w:pPr>
        <w:pStyle w:val="15"/>
        <w:keepNext w:val="0"/>
        <w:keepLines w:val="0"/>
        <w:pageBreakBefore w:val="0"/>
        <w:widowControl w:val="0"/>
        <w:kinsoku/>
        <w:wordWrap/>
        <w:overflowPunct/>
        <w:topLinePunct w:val="0"/>
        <w:autoSpaceDE/>
        <w:autoSpaceDN/>
        <w:bidi w:val="0"/>
        <w:adjustRightInd w:val="0"/>
        <w:snapToGrid/>
        <w:spacing w:afterAutospacing="0" w:line="600" w:lineRule="exact"/>
        <w:ind w:leftChars="0" w:firstLine="640" w:firstLineChars="200"/>
        <w:jc w:val="both"/>
        <w:textAlignment w:val="auto"/>
        <w:rPr>
          <w:rFonts w:hint="eastAsia" w:ascii="Times New Roman" w:hAnsi="Times New Roman" w:eastAsia="仿宋_GB2312"/>
          <w:spacing w:val="0"/>
          <w:sz w:val="32"/>
          <w:szCs w:val="32"/>
        </w:rPr>
      </w:pPr>
      <w:r>
        <w:rPr>
          <w:rFonts w:hint="eastAsia" w:ascii="Times New Roman" w:hAnsi="Times New Roman" w:eastAsia="仿宋_GB2312"/>
          <w:spacing w:val="0"/>
          <w:sz w:val="32"/>
          <w:szCs w:val="32"/>
          <w:lang w:eastAsia="zh-CN"/>
        </w:rPr>
        <w:t>无</w:t>
      </w:r>
    </w:p>
    <w:sectPr>
      <w:footerReference r:id="rId8" w:type="default"/>
      <w:pgSz w:w="11906" w:h="16838"/>
      <w:pgMar w:top="1701" w:right="1701" w:bottom="1701" w:left="1701"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6B8536-B03F-4923-BBB5-496003F6F5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A7224C7-4B26-478A-8B4A-3BF17A7B0178}"/>
  </w:font>
  <w:font w:name="楷体">
    <w:panose1 w:val="02010609060101010101"/>
    <w:charset w:val="86"/>
    <w:family w:val="auto"/>
    <w:pitch w:val="default"/>
    <w:sig w:usb0="800002BF" w:usb1="38CF7CFA" w:usb2="00000016" w:usb3="00000000" w:csb0="00040001" w:csb1="00000000"/>
    <w:embedRegular r:id="rId3" w:fontKey="{FCDC3679-E0AB-41FB-B152-E4314C9924F3}"/>
  </w:font>
  <w:font w:name="Arial Unicode MS">
    <w:panose1 w:val="020B0604020202020204"/>
    <w:charset w:val="86"/>
    <w:family w:val="auto"/>
    <w:pitch w:val="default"/>
    <w:sig w:usb0="FFFFFFFF" w:usb1="E9FFFFFF" w:usb2="0000003F" w:usb3="00000000" w:csb0="603F01FF" w:csb1="FFFF0000"/>
    <w:embedRegular r:id="rId4" w:fontKey="{EDA5A39F-AAA8-44E4-9579-F4624785D02F}"/>
  </w:font>
  <w:font w:name="仿宋_GB2312">
    <w:panose1 w:val="02010609030101010101"/>
    <w:charset w:val="86"/>
    <w:family w:val="modern"/>
    <w:pitch w:val="default"/>
    <w:sig w:usb0="00000001" w:usb1="080E0000" w:usb2="00000000" w:usb3="00000000" w:csb0="00040000" w:csb1="00000000"/>
    <w:embedRegular r:id="rId5" w:fontKey="{E039855F-0EB7-4762-A550-1DE6CDAE4C53}"/>
  </w:font>
  <w:font w:name="方正小标宋_GBK">
    <w:panose1 w:val="02000000000000000000"/>
    <w:charset w:val="86"/>
    <w:family w:val="script"/>
    <w:pitch w:val="default"/>
    <w:sig w:usb0="A00002BF" w:usb1="38CF7CFA" w:usb2="00082016" w:usb3="00000000" w:csb0="00040001" w:csb1="00000000"/>
    <w:embedRegular r:id="rId6" w:fontKey="{ACAB6917-BDFF-4327-A236-F1FC71A2ACDF}"/>
  </w:font>
  <w:font w:name="仿宋">
    <w:panose1 w:val="02010609060101010101"/>
    <w:charset w:val="86"/>
    <w:family w:val="auto"/>
    <w:pitch w:val="default"/>
    <w:sig w:usb0="800002BF" w:usb1="38CF7CFA" w:usb2="00000016" w:usb3="00000000" w:csb0="00040001" w:csb1="00000000"/>
    <w:embedRegular r:id="rId7" w:fontKey="{11787D55-5F82-40C0-A5C5-34DED8A0686F}"/>
  </w:font>
  <w:font w:name="楷体_GB2312">
    <w:panose1 w:val="02010609030101010101"/>
    <w:charset w:val="86"/>
    <w:family w:val="auto"/>
    <w:pitch w:val="default"/>
    <w:sig w:usb0="00000001" w:usb1="080E0000" w:usb2="00000000" w:usb3="00000000" w:csb0="00040000" w:csb1="00000000"/>
    <w:embedRegular r:id="rId8" w:fontKey="{5B393406-96B5-483C-BB9E-6480AEC1E805}"/>
  </w:font>
  <w:font w:name="华文中宋">
    <w:panose1 w:val="02010600040101010101"/>
    <w:charset w:val="86"/>
    <w:family w:val="auto"/>
    <w:pitch w:val="default"/>
    <w:sig w:usb0="00000287" w:usb1="080F0000" w:usb2="00000000" w:usb3="00000000" w:csb0="0004009F" w:csb1="DFD70000"/>
    <w:embedRegular r:id="rId9" w:fontKey="{E9E1CDAE-3A30-4512-98BE-82574F96E6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38CB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CE62">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A27A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9B0F9">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48F17">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725EC">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76B83"/>
    <w:multiLevelType w:val="singleLevel"/>
    <w:tmpl w:val="0D476B83"/>
    <w:lvl w:ilvl="0" w:tentative="0">
      <w:start w:val="3"/>
      <w:numFmt w:val="chineseCounting"/>
      <w:suff w:val="nothing"/>
      <w:lvlText w:val="（%1）"/>
      <w:lvlJc w:val="left"/>
      <w:rPr>
        <w:rFonts w:hint="eastAsia"/>
      </w:rPr>
    </w:lvl>
  </w:abstractNum>
  <w:abstractNum w:abstractNumId="1">
    <w:nsid w:val="1DC396C2"/>
    <w:multiLevelType w:val="singleLevel"/>
    <w:tmpl w:val="1DC396C2"/>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wOWMwM2Q5Y2VkY2Y4ZDY2ZjQ5NTBlZWNhNjY3ZT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40E5"/>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794B90"/>
    <w:rsid w:val="093D137F"/>
    <w:rsid w:val="09BB3687"/>
    <w:rsid w:val="0E2A13FA"/>
    <w:rsid w:val="0E804A48"/>
    <w:rsid w:val="105B53E4"/>
    <w:rsid w:val="197264EE"/>
    <w:rsid w:val="1B3F6297"/>
    <w:rsid w:val="1D97DEFF"/>
    <w:rsid w:val="1DFF72E5"/>
    <w:rsid w:val="1EFC6F07"/>
    <w:rsid w:val="24EC7B7F"/>
    <w:rsid w:val="25184E18"/>
    <w:rsid w:val="26D0702D"/>
    <w:rsid w:val="26F35B5F"/>
    <w:rsid w:val="27C469F6"/>
    <w:rsid w:val="285C5712"/>
    <w:rsid w:val="2A864D1F"/>
    <w:rsid w:val="2BD876B2"/>
    <w:rsid w:val="2EFD5138"/>
    <w:rsid w:val="2FDF85B8"/>
    <w:rsid w:val="2FFFEE04"/>
    <w:rsid w:val="309C5261"/>
    <w:rsid w:val="33F1022D"/>
    <w:rsid w:val="34DF85B0"/>
    <w:rsid w:val="3586192A"/>
    <w:rsid w:val="361C5DEB"/>
    <w:rsid w:val="38C904AC"/>
    <w:rsid w:val="39E41315"/>
    <w:rsid w:val="3A1D082F"/>
    <w:rsid w:val="3B8F36BC"/>
    <w:rsid w:val="3D606F05"/>
    <w:rsid w:val="40B63274"/>
    <w:rsid w:val="40BA692C"/>
    <w:rsid w:val="445A7AEA"/>
    <w:rsid w:val="46751420"/>
    <w:rsid w:val="47EB0F4F"/>
    <w:rsid w:val="491FF225"/>
    <w:rsid w:val="4E683E6B"/>
    <w:rsid w:val="4FFD214C"/>
    <w:rsid w:val="543D1653"/>
    <w:rsid w:val="5591749D"/>
    <w:rsid w:val="5777D4F5"/>
    <w:rsid w:val="58354DBE"/>
    <w:rsid w:val="59DD8326"/>
    <w:rsid w:val="5B1E6FE3"/>
    <w:rsid w:val="5DEF592A"/>
    <w:rsid w:val="5F3D09FC"/>
    <w:rsid w:val="5FC6BB1E"/>
    <w:rsid w:val="5FDF3601"/>
    <w:rsid w:val="5FF720F1"/>
    <w:rsid w:val="615A27C1"/>
    <w:rsid w:val="662A06EE"/>
    <w:rsid w:val="67FF5C0B"/>
    <w:rsid w:val="6A402C68"/>
    <w:rsid w:val="6CBF0EFA"/>
    <w:rsid w:val="6E963C85"/>
    <w:rsid w:val="6EFC0924"/>
    <w:rsid w:val="6FA42DA0"/>
    <w:rsid w:val="6FB74722"/>
    <w:rsid w:val="6FEF8B7E"/>
    <w:rsid w:val="71203BBC"/>
    <w:rsid w:val="71A6591B"/>
    <w:rsid w:val="737D59BA"/>
    <w:rsid w:val="75A82C1C"/>
    <w:rsid w:val="7722255A"/>
    <w:rsid w:val="77505319"/>
    <w:rsid w:val="77C37683"/>
    <w:rsid w:val="7864444A"/>
    <w:rsid w:val="790D3630"/>
    <w:rsid w:val="79FF515B"/>
    <w:rsid w:val="7B205002"/>
    <w:rsid w:val="7E9E1962"/>
    <w:rsid w:val="7E9F11B4"/>
    <w:rsid w:val="7F37EC1E"/>
    <w:rsid w:val="7F7DCD9D"/>
    <w:rsid w:val="7F970A6F"/>
    <w:rsid w:val="7F9F2EDB"/>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semiHidden/>
    <w:qFormat/>
    <w:uiPriority w:val="99"/>
    <w:pPr>
      <w:ind w:left="168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toc 5"/>
    <w:basedOn w:val="1"/>
    <w:next w:val="1"/>
    <w:qFormat/>
    <w:uiPriority w:val="0"/>
    <w:pPr>
      <w:ind w:left="1680" w:leftChars="800"/>
    </w:pPr>
    <w:rPr>
      <w:rFonts w:ascii="Calibri" w:hAnsi="Calibri" w:eastAsia="宋体" w:cs="Times New Roman"/>
      <w:w w:val="100"/>
      <w:sz w:val="21"/>
    </w:r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4"/>
    <w:semiHidden/>
    <w:qFormat/>
    <w:uiPriority w:val="0"/>
    <w:pPr>
      <w:snapToGrid w:val="0"/>
      <w:jc w:val="left"/>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2">
    <w:name w:val="正文1"/>
    <w:basedOn w:val="1"/>
    <w:qFormat/>
    <w:uiPriority w:val="0"/>
    <w:rPr>
      <w:rFonts w:ascii="宋体" w:hAnsi="宋体" w:eastAsia="宋体" w:cs="宋体"/>
      <w:w w:val="1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18708</Words>
  <Characters>22401</Characters>
  <Lines>63</Lines>
  <Paragraphs>18</Paragraphs>
  <TotalTime>2</TotalTime>
  <ScaleCrop>false</ScaleCrop>
  <LinksUpToDate>false</LinksUpToDate>
  <CharactersWithSpaces>24288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下午两点</cp:lastModifiedBy>
  <cp:lastPrinted>2024-09-14T00:59:00Z</cp:lastPrinted>
  <dcterms:modified xsi:type="dcterms:W3CDTF">2024-09-23T02:22:07Z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68DCF8C6868D48F3BCDB8E85D06BF576_13</vt:lpwstr>
  </property>
</Properties>
</file>