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2"/>
        <w:jc w:val="center"/>
        <w:rPr>
          <w:sz w:val="56"/>
          <w:szCs w:val="56"/>
        </w:rPr>
      </w:pPr>
    </w:p>
    <w:p>
      <w:pPr>
        <w:pStyle w:val="12"/>
        <w:jc w:val="center"/>
        <w:rPr>
          <w:sz w:val="56"/>
          <w:szCs w:val="56"/>
        </w:rPr>
      </w:pPr>
    </w:p>
    <w:p>
      <w:pPr>
        <w:pStyle w:val="12"/>
        <w:jc w:val="center"/>
        <w:rPr>
          <w:sz w:val="84"/>
          <w:szCs w:val="84"/>
        </w:rPr>
      </w:pPr>
    </w:p>
    <w:p>
      <w:pPr>
        <w:pStyle w:val="12"/>
        <w:jc w:val="center"/>
        <w:rPr>
          <w:sz w:val="84"/>
          <w:szCs w:val="84"/>
        </w:rPr>
      </w:pPr>
    </w:p>
    <w:p>
      <w:pPr>
        <w:pStyle w:val="12"/>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202</w:t>
      </w:r>
      <w:r>
        <w:rPr>
          <w:rFonts w:hint="eastAsia" w:ascii="方正小标宋_GBK" w:hAnsi="方正小标宋_GBK" w:eastAsia="方正小标宋_GBK" w:cs="方正小标宋_GBK"/>
          <w:sz w:val="84"/>
          <w:szCs w:val="84"/>
          <w:lang w:val="en-US" w:eastAsia="zh-CN"/>
        </w:rPr>
        <w:t>2</w:t>
      </w:r>
      <w:r>
        <w:rPr>
          <w:rFonts w:hint="eastAsia" w:ascii="方正小标宋_GBK" w:hAnsi="方正小标宋_GBK" w:eastAsia="方正小标宋_GBK" w:cs="方正小标宋_GBK"/>
          <w:sz w:val="84"/>
          <w:szCs w:val="84"/>
        </w:rPr>
        <w:t>年度</w:t>
      </w:r>
    </w:p>
    <w:p>
      <w:pPr>
        <w:pStyle w:val="12"/>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lang w:val="en-US" w:eastAsia="zh-CN"/>
        </w:rPr>
        <w:t>怀化市实验小学</w:t>
      </w:r>
      <w:r>
        <w:rPr>
          <w:rFonts w:hint="eastAsia" w:ascii="方正小标宋_GBK" w:hAnsi="方正小标宋_GBK" w:eastAsia="方正小标宋_GBK" w:cs="方正小标宋_GBK"/>
          <w:sz w:val="84"/>
          <w:szCs w:val="84"/>
        </w:rPr>
        <w:t>部门决算</w:t>
      </w:r>
    </w:p>
    <w:p>
      <w:pPr>
        <w:pStyle w:val="12"/>
        <w:jc w:val="center"/>
        <w:rPr>
          <w:rFonts w:hint="eastAsia" w:ascii="方正小标宋_GBK" w:hAnsi="方正小标宋_GBK" w:eastAsia="方正小标宋_GBK" w:cs="方正小标宋_GBK"/>
          <w:sz w:val="56"/>
          <w:szCs w:val="56"/>
        </w:rPr>
      </w:pPr>
    </w:p>
    <w:p>
      <w:pPr>
        <w:pStyle w:val="12"/>
        <w:jc w:val="center"/>
        <w:rPr>
          <w:sz w:val="56"/>
          <w:szCs w:val="56"/>
        </w:rPr>
      </w:pPr>
    </w:p>
    <w:p>
      <w:pPr>
        <w:pStyle w:val="12"/>
        <w:jc w:val="center"/>
        <w:rPr>
          <w:sz w:val="56"/>
          <w:szCs w:val="56"/>
        </w:rPr>
      </w:pPr>
    </w:p>
    <w:p>
      <w:pPr>
        <w:pStyle w:val="12"/>
        <w:jc w:val="center"/>
        <w:rPr>
          <w:sz w:val="56"/>
          <w:szCs w:val="56"/>
        </w:rPr>
      </w:pPr>
    </w:p>
    <w:p>
      <w:pPr>
        <w:pStyle w:val="12"/>
        <w:jc w:val="center"/>
        <w:rPr>
          <w:sz w:val="32"/>
          <w:szCs w:val="32"/>
        </w:rPr>
      </w:pPr>
    </w:p>
    <w:p>
      <w:pPr>
        <w:pStyle w:val="12"/>
        <w:jc w:val="center"/>
        <w:rPr>
          <w:sz w:val="32"/>
          <w:szCs w:val="32"/>
        </w:rPr>
      </w:pPr>
    </w:p>
    <w:p>
      <w:pPr>
        <w:pStyle w:val="12"/>
        <w:jc w:val="center"/>
        <w:rPr>
          <w:sz w:val="32"/>
          <w:szCs w:val="32"/>
        </w:rPr>
      </w:pPr>
    </w:p>
    <w:p>
      <w:pPr>
        <w:pStyle w:val="12"/>
        <w:jc w:val="center"/>
        <w:rPr>
          <w:sz w:val="32"/>
          <w:szCs w:val="32"/>
        </w:rPr>
      </w:pPr>
    </w:p>
    <w:p>
      <w:pPr>
        <w:pStyle w:val="12"/>
        <w:jc w:val="center"/>
        <w:rPr>
          <w:sz w:val="32"/>
          <w:szCs w:val="32"/>
        </w:rPr>
      </w:pPr>
    </w:p>
    <w:p>
      <w:pPr>
        <w:pStyle w:val="12"/>
        <w:spacing w:line="540" w:lineRule="exact"/>
        <w:jc w:val="center"/>
        <w:rPr>
          <w:sz w:val="56"/>
          <w:szCs w:val="56"/>
        </w:rPr>
      </w:pPr>
    </w:p>
    <w:p>
      <w:pPr>
        <w:pStyle w:val="12"/>
        <w:spacing w:line="500" w:lineRule="exact"/>
        <w:jc w:val="both"/>
        <w:rPr>
          <w:b/>
          <w:sz w:val="36"/>
          <w:szCs w:val="28"/>
        </w:rPr>
      </w:pPr>
    </w:p>
    <w:p>
      <w:pPr>
        <w:pStyle w:val="12"/>
        <w:spacing w:line="500" w:lineRule="exact"/>
        <w:jc w:val="center"/>
        <w:rPr>
          <w:b/>
          <w:sz w:val="36"/>
          <w:szCs w:val="28"/>
        </w:rPr>
      </w:pPr>
      <w:r>
        <w:rPr>
          <w:rFonts w:hint="eastAsia"/>
          <w:b/>
          <w:sz w:val="36"/>
          <w:szCs w:val="28"/>
        </w:rPr>
        <w:t>目录</w:t>
      </w:r>
    </w:p>
    <w:p>
      <w:pPr>
        <w:pStyle w:val="12"/>
        <w:spacing w:line="500" w:lineRule="exact"/>
        <w:rPr>
          <w:rFonts w:hint="eastAsia" w:ascii="黑体" w:hAnsi="黑体" w:eastAsia="黑体" w:cs="黑体"/>
          <w:b w:val="0"/>
          <w:bCs/>
          <w:sz w:val="28"/>
          <w:szCs w:val="28"/>
        </w:rPr>
      </w:pPr>
      <w:r>
        <w:rPr>
          <w:rFonts w:hint="eastAsia" w:ascii="黑体" w:hAnsi="黑体" w:eastAsia="黑体" w:cs="黑体"/>
          <w:b w:val="0"/>
          <w:bCs/>
          <w:sz w:val="28"/>
          <w:szCs w:val="28"/>
        </w:rPr>
        <w:t>第一部分</w:t>
      </w:r>
      <w:r>
        <w:rPr>
          <w:rFonts w:hint="eastAsia" w:ascii="黑体" w:hAnsi="黑体" w:eastAsia="黑体" w:cs="黑体"/>
          <w:b w:val="0"/>
          <w:bCs/>
          <w:sz w:val="28"/>
          <w:szCs w:val="28"/>
          <w:lang w:val="en-US" w:eastAsia="zh-CN"/>
        </w:rPr>
        <w:t xml:space="preserve"> 怀化市实验小学</w:t>
      </w:r>
      <w:r>
        <w:rPr>
          <w:rFonts w:hint="eastAsia" w:ascii="黑体" w:hAnsi="黑体" w:eastAsia="黑体" w:cs="黑体"/>
          <w:b w:val="0"/>
          <w:bCs/>
          <w:sz w:val="28"/>
          <w:szCs w:val="28"/>
        </w:rPr>
        <w:t>概况</w:t>
      </w:r>
    </w:p>
    <w:p>
      <w:pPr>
        <w:pStyle w:val="12"/>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一、部门职责</w:t>
      </w:r>
    </w:p>
    <w:p>
      <w:pPr>
        <w:pStyle w:val="12"/>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二、机构设置</w:t>
      </w:r>
    </w:p>
    <w:p>
      <w:pPr>
        <w:pStyle w:val="12"/>
        <w:spacing w:line="500" w:lineRule="exact"/>
        <w:rPr>
          <w:rFonts w:hint="eastAsia" w:ascii="黑体" w:hAnsi="黑体" w:eastAsia="黑体" w:cs="黑体"/>
          <w:b w:val="0"/>
          <w:bCs/>
          <w:sz w:val="28"/>
          <w:szCs w:val="28"/>
        </w:rPr>
      </w:pPr>
      <w:r>
        <w:rPr>
          <w:rFonts w:hint="eastAsia" w:ascii="黑体" w:hAnsi="黑体" w:eastAsia="黑体" w:cs="黑体"/>
          <w:b w:val="0"/>
          <w:bCs/>
          <w:sz w:val="28"/>
          <w:szCs w:val="28"/>
        </w:rPr>
        <w:t>第二部分</w:t>
      </w:r>
      <w:r>
        <w:rPr>
          <w:rFonts w:hint="eastAsia" w:ascii="黑体" w:hAnsi="黑体" w:eastAsia="黑体" w:cs="黑体"/>
          <w:b w:val="0"/>
          <w:bCs/>
          <w:sz w:val="28"/>
          <w:szCs w:val="28"/>
          <w:lang w:val="en-US" w:eastAsia="zh-CN"/>
        </w:rPr>
        <w:t xml:space="preserve"> </w:t>
      </w:r>
      <w:r>
        <w:rPr>
          <w:rFonts w:hint="eastAsia" w:ascii="黑体" w:hAnsi="黑体" w:eastAsia="黑体" w:cs="黑体"/>
          <w:b w:val="0"/>
          <w:bCs/>
          <w:sz w:val="28"/>
          <w:szCs w:val="28"/>
        </w:rPr>
        <w:t>部门决算表</w:t>
      </w:r>
    </w:p>
    <w:p>
      <w:pPr>
        <w:pStyle w:val="12"/>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一、收入支出决算总表</w:t>
      </w:r>
    </w:p>
    <w:p>
      <w:pPr>
        <w:pStyle w:val="12"/>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二、收入决算表</w:t>
      </w:r>
    </w:p>
    <w:p>
      <w:pPr>
        <w:pStyle w:val="12"/>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三、支出决算表</w:t>
      </w:r>
    </w:p>
    <w:p>
      <w:pPr>
        <w:pStyle w:val="12"/>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四、财政拨款收入支出决算总表</w:t>
      </w:r>
    </w:p>
    <w:p>
      <w:pPr>
        <w:pStyle w:val="12"/>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五、一般公共预算财政拨款支出决算表</w:t>
      </w:r>
    </w:p>
    <w:p>
      <w:pPr>
        <w:pStyle w:val="12"/>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六、一般公共预算财政拨款基本支出决算明细表</w:t>
      </w:r>
    </w:p>
    <w:p>
      <w:pPr>
        <w:pStyle w:val="12"/>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七</w:t>
      </w:r>
      <w:r>
        <w:rPr>
          <w:rFonts w:hint="eastAsia" w:ascii="仿宋_GB2312" w:hAnsi="仿宋_GB2312" w:eastAsia="仿宋_GB2312" w:cs="仿宋_GB2312"/>
          <w:sz w:val="28"/>
          <w:szCs w:val="28"/>
        </w:rPr>
        <w:t>、财政拨款“三公”经费支出决算表</w:t>
      </w:r>
    </w:p>
    <w:p>
      <w:pPr>
        <w:pStyle w:val="12"/>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八</w:t>
      </w:r>
      <w:r>
        <w:rPr>
          <w:rFonts w:hint="eastAsia" w:ascii="仿宋_GB2312" w:hAnsi="仿宋_GB2312" w:eastAsia="仿宋_GB2312" w:cs="仿宋_GB2312"/>
          <w:sz w:val="28"/>
          <w:szCs w:val="28"/>
        </w:rPr>
        <w:t>、政府性基金预算财政拨款收入支出决算表</w:t>
      </w:r>
    </w:p>
    <w:p>
      <w:pPr>
        <w:pStyle w:val="12"/>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九</w:t>
      </w:r>
      <w:r>
        <w:rPr>
          <w:rFonts w:hint="eastAsia" w:ascii="仿宋_GB2312" w:hAnsi="仿宋_GB2312" w:eastAsia="仿宋_GB2312" w:cs="仿宋_GB2312"/>
          <w:sz w:val="28"/>
          <w:szCs w:val="28"/>
        </w:rPr>
        <w:t>、国有资本经营预算财政拨款支出决算表</w:t>
      </w:r>
    </w:p>
    <w:p>
      <w:pPr>
        <w:pStyle w:val="12"/>
        <w:spacing w:line="500" w:lineRule="exact"/>
        <w:rPr>
          <w:rFonts w:hint="eastAsia" w:ascii="黑体" w:hAnsi="黑体" w:eastAsia="黑体" w:cs="黑体"/>
          <w:b w:val="0"/>
          <w:bCs/>
          <w:sz w:val="28"/>
          <w:szCs w:val="28"/>
        </w:rPr>
      </w:pPr>
      <w:r>
        <w:rPr>
          <w:rFonts w:hint="eastAsia" w:ascii="黑体" w:hAnsi="黑体" w:eastAsia="黑体" w:cs="黑体"/>
          <w:b w:val="0"/>
          <w:bCs/>
          <w:sz w:val="28"/>
          <w:szCs w:val="28"/>
        </w:rPr>
        <w:t>第三部分</w:t>
      </w:r>
      <w:r>
        <w:rPr>
          <w:rFonts w:hint="eastAsia" w:ascii="黑体" w:hAnsi="黑体" w:eastAsia="黑体" w:cs="黑体"/>
          <w:b w:val="0"/>
          <w:bCs/>
          <w:sz w:val="28"/>
          <w:szCs w:val="28"/>
          <w:lang w:val="en-US" w:eastAsia="zh-CN"/>
        </w:rPr>
        <w:t xml:space="preserve"> </w:t>
      </w:r>
      <w:r>
        <w:rPr>
          <w:rFonts w:hint="eastAsia" w:ascii="黑体" w:hAnsi="黑体" w:eastAsia="黑体" w:cs="黑体"/>
          <w:b w:val="0"/>
          <w:bCs/>
          <w:sz w:val="28"/>
          <w:szCs w:val="28"/>
        </w:rPr>
        <w:t>部门决算情况说明</w:t>
      </w:r>
    </w:p>
    <w:p>
      <w:pPr>
        <w:pStyle w:val="12"/>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一、收入支出决算总体情况说明</w:t>
      </w:r>
    </w:p>
    <w:p>
      <w:pPr>
        <w:spacing w:line="500" w:lineRule="exact"/>
        <w:ind w:firstLine="700" w:firstLineChars="25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二、收入决算情况说明</w:t>
      </w:r>
    </w:p>
    <w:p>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三、支出决算情况说明</w:t>
      </w:r>
    </w:p>
    <w:p>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四、财政拨款收入支出决算总体情况说明</w:t>
      </w:r>
    </w:p>
    <w:p>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五、一般公共预算财政拨款支出决算情况说明</w:t>
      </w:r>
    </w:p>
    <w:p>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六、一般公共预算财政拨款基本支出决算情况说明</w:t>
      </w:r>
    </w:p>
    <w:p>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七、一般公共预算财政拨款三公经费支出决算情况说明</w:t>
      </w:r>
    </w:p>
    <w:p>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八、政府性基金预算收入支出决算情况</w:t>
      </w:r>
    </w:p>
    <w:p>
      <w:pPr>
        <w:pStyle w:val="12"/>
        <w:keepNext w:val="0"/>
        <w:keepLines w:val="0"/>
        <w:pageBreakBefore w:val="0"/>
        <w:kinsoku/>
        <w:wordWrap/>
        <w:overflowPunct/>
        <w:topLinePunct w:val="0"/>
        <w:bidi w:val="0"/>
        <w:snapToGrid/>
        <w:spacing w:line="600" w:lineRule="exact"/>
        <w:ind w:firstLine="700" w:firstLineChars="250"/>
        <w:textAlignment w:val="auto"/>
        <w:rPr>
          <w:rFonts w:hint="eastAsia" w:ascii="仿宋_GB2312" w:hAnsi="仿宋_GB2312" w:eastAsia="仿宋_GB2312" w:cs="仿宋_GB2312"/>
          <w:color w:val="000000"/>
          <w:kern w:val="0"/>
          <w:sz w:val="28"/>
          <w:szCs w:val="28"/>
          <w:lang w:val="en-US" w:eastAsia="zh-CN" w:bidi="ar-SA"/>
        </w:rPr>
      </w:pPr>
      <w:r>
        <w:rPr>
          <w:rFonts w:hint="eastAsia" w:ascii="仿宋_GB2312" w:hAnsi="仿宋_GB2312" w:eastAsia="仿宋_GB2312" w:cs="仿宋_GB2312"/>
          <w:color w:val="000000"/>
          <w:kern w:val="0"/>
          <w:sz w:val="28"/>
          <w:szCs w:val="28"/>
          <w:lang w:val="en-US" w:eastAsia="zh-CN" w:bidi="ar-SA"/>
        </w:rPr>
        <w:t>九、国有资本经营预算财政拨款收入支出决算情况说明</w:t>
      </w:r>
    </w:p>
    <w:p>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lang w:val="en-US" w:eastAsia="zh-CN"/>
        </w:rPr>
        <w:t>十</w:t>
      </w:r>
      <w:r>
        <w:rPr>
          <w:rFonts w:hint="eastAsia" w:ascii="仿宋_GB2312" w:hAnsi="仿宋_GB2312" w:eastAsia="仿宋_GB2312" w:cs="仿宋_GB2312"/>
          <w:color w:val="000000"/>
          <w:kern w:val="0"/>
          <w:sz w:val="28"/>
          <w:szCs w:val="28"/>
        </w:rPr>
        <w:t>、关于机关运行经费支出说明</w:t>
      </w:r>
    </w:p>
    <w:p>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十</w:t>
      </w:r>
      <w:r>
        <w:rPr>
          <w:rFonts w:hint="eastAsia" w:ascii="仿宋_GB2312" w:hAnsi="仿宋_GB2312" w:eastAsia="仿宋_GB2312" w:cs="仿宋_GB2312"/>
          <w:color w:val="000000"/>
          <w:kern w:val="0"/>
          <w:sz w:val="28"/>
          <w:szCs w:val="28"/>
          <w:lang w:val="en-US" w:eastAsia="zh-CN"/>
        </w:rPr>
        <w:t>一</w:t>
      </w:r>
      <w:r>
        <w:rPr>
          <w:rFonts w:hint="eastAsia" w:ascii="仿宋_GB2312" w:hAnsi="仿宋_GB2312" w:eastAsia="仿宋_GB2312" w:cs="仿宋_GB2312"/>
          <w:color w:val="000000"/>
          <w:kern w:val="0"/>
          <w:sz w:val="28"/>
          <w:szCs w:val="28"/>
        </w:rPr>
        <w:t>、一般性支出情况说明</w:t>
      </w:r>
    </w:p>
    <w:p>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十</w:t>
      </w:r>
      <w:r>
        <w:rPr>
          <w:rFonts w:hint="eastAsia" w:ascii="仿宋_GB2312" w:hAnsi="仿宋_GB2312" w:eastAsia="仿宋_GB2312" w:cs="仿宋_GB2312"/>
          <w:color w:val="000000"/>
          <w:kern w:val="0"/>
          <w:sz w:val="28"/>
          <w:szCs w:val="28"/>
          <w:lang w:val="en-US" w:eastAsia="zh-CN"/>
        </w:rPr>
        <w:t>二</w:t>
      </w:r>
      <w:r>
        <w:rPr>
          <w:rFonts w:hint="eastAsia" w:ascii="仿宋_GB2312" w:hAnsi="仿宋_GB2312" w:eastAsia="仿宋_GB2312" w:cs="仿宋_GB2312"/>
          <w:color w:val="000000"/>
          <w:kern w:val="0"/>
          <w:sz w:val="28"/>
          <w:szCs w:val="28"/>
        </w:rPr>
        <w:t>、关于政府采购支出说明</w:t>
      </w:r>
    </w:p>
    <w:p>
      <w:pPr>
        <w:pStyle w:val="12"/>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十</w:t>
      </w:r>
      <w:r>
        <w:rPr>
          <w:rFonts w:hint="eastAsia" w:ascii="仿宋_GB2312" w:hAnsi="仿宋_GB2312" w:eastAsia="仿宋_GB2312" w:cs="仿宋_GB2312"/>
          <w:sz w:val="28"/>
          <w:szCs w:val="28"/>
          <w:lang w:val="en-US" w:eastAsia="zh-CN"/>
        </w:rPr>
        <w:t>三</w:t>
      </w:r>
      <w:r>
        <w:rPr>
          <w:rFonts w:hint="eastAsia" w:ascii="仿宋_GB2312" w:hAnsi="仿宋_GB2312" w:eastAsia="仿宋_GB2312" w:cs="仿宋_GB2312"/>
          <w:sz w:val="28"/>
          <w:szCs w:val="28"/>
        </w:rPr>
        <w:t>、关于国有资产占用情况说明</w:t>
      </w:r>
    </w:p>
    <w:p>
      <w:pPr>
        <w:pStyle w:val="12"/>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十</w:t>
      </w:r>
      <w:r>
        <w:rPr>
          <w:rFonts w:hint="eastAsia" w:ascii="仿宋_GB2312" w:hAnsi="仿宋_GB2312" w:eastAsia="仿宋_GB2312" w:cs="仿宋_GB2312"/>
          <w:sz w:val="28"/>
          <w:szCs w:val="28"/>
          <w:lang w:val="en-US" w:eastAsia="zh-CN"/>
        </w:rPr>
        <w:t>四</w:t>
      </w:r>
      <w:r>
        <w:rPr>
          <w:rFonts w:hint="eastAsia" w:ascii="仿宋_GB2312" w:hAnsi="仿宋_GB2312" w:eastAsia="仿宋_GB2312" w:cs="仿宋_GB2312"/>
          <w:sz w:val="28"/>
          <w:szCs w:val="28"/>
        </w:rPr>
        <w:t>、关于预算绩效情况的说明</w:t>
      </w:r>
    </w:p>
    <w:p>
      <w:pPr>
        <w:pStyle w:val="12"/>
        <w:spacing w:line="500" w:lineRule="exact"/>
        <w:rPr>
          <w:rFonts w:hint="eastAsia" w:ascii="黑体" w:hAnsi="黑体" w:eastAsia="黑体" w:cs="黑体"/>
          <w:b w:val="0"/>
          <w:bCs/>
          <w:sz w:val="28"/>
          <w:szCs w:val="28"/>
        </w:rPr>
      </w:pPr>
      <w:r>
        <w:rPr>
          <w:rFonts w:hint="eastAsia" w:ascii="黑体" w:hAnsi="黑体" w:eastAsia="黑体" w:cs="黑体"/>
          <w:b w:val="0"/>
          <w:bCs/>
          <w:sz w:val="28"/>
          <w:szCs w:val="28"/>
        </w:rPr>
        <w:t>第四部分</w:t>
      </w:r>
      <w:r>
        <w:rPr>
          <w:rFonts w:hint="eastAsia" w:ascii="黑体" w:hAnsi="黑体" w:eastAsia="黑体" w:cs="黑体"/>
          <w:b w:val="0"/>
          <w:bCs/>
          <w:sz w:val="28"/>
          <w:szCs w:val="28"/>
          <w:lang w:val="en-US" w:eastAsia="zh-CN"/>
        </w:rPr>
        <w:t xml:space="preserve"> </w:t>
      </w:r>
      <w:r>
        <w:rPr>
          <w:rFonts w:hint="eastAsia" w:ascii="黑体" w:hAnsi="黑体" w:eastAsia="黑体" w:cs="黑体"/>
          <w:b w:val="0"/>
          <w:bCs/>
          <w:sz w:val="28"/>
          <w:szCs w:val="28"/>
        </w:rPr>
        <w:t>名词解释</w:t>
      </w:r>
    </w:p>
    <w:p>
      <w:pPr>
        <w:jc w:val="center"/>
        <w:rPr>
          <w:sz w:val="72"/>
          <w:szCs w:val="72"/>
        </w:rPr>
      </w:pPr>
    </w:p>
    <w:p>
      <w:pPr>
        <w:jc w:val="center"/>
        <w:rPr>
          <w:sz w:val="72"/>
          <w:szCs w:val="72"/>
        </w:rPr>
      </w:pPr>
    </w:p>
    <w:p>
      <w:pPr>
        <w:jc w:val="center"/>
        <w:rPr>
          <w:sz w:val="72"/>
          <w:szCs w:val="72"/>
        </w:rPr>
      </w:pPr>
    </w:p>
    <w:p>
      <w:pPr>
        <w:jc w:val="center"/>
        <w:rPr>
          <w:sz w:val="72"/>
          <w:szCs w:val="72"/>
        </w:rPr>
      </w:pPr>
    </w:p>
    <w:p>
      <w:pPr>
        <w:rPr>
          <w:rFonts w:hint="eastAsia" w:ascii="方正小标宋_GBK" w:hAnsi="方正小标宋_GBK" w:eastAsia="方正小标宋_GBK" w:cs="方正小标宋_GBK"/>
          <w:sz w:val="72"/>
          <w:szCs w:val="72"/>
        </w:rPr>
      </w:pPr>
    </w:p>
    <w:p>
      <w:pPr>
        <w:pStyle w:val="12"/>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 xml:space="preserve">第一部分 </w:t>
      </w:r>
    </w:p>
    <w:p>
      <w:pPr>
        <w:pStyle w:val="12"/>
        <w:jc w:val="center"/>
        <w:rPr>
          <w:rFonts w:hint="eastAsia" w:ascii="方正小标宋_GBK" w:hAnsi="方正小标宋_GBK" w:eastAsia="方正小标宋_GBK" w:cs="方正小标宋_GBK"/>
          <w:sz w:val="84"/>
          <w:szCs w:val="84"/>
        </w:rPr>
      </w:pPr>
    </w:p>
    <w:p>
      <w:pPr>
        <w:pStyle w:val="12"/>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lang w:val="en-US" w:eastAsia="zh-CN"/>
        </w:rPr>
        <w:t>怀化市实验小学</w:t>
      </w:r>
      <w:r>
        <w:rPr>
          <w:rFonts w:hint="eastAsia" w:ascii="方正小标宋_GBK" w:hAnsi="方正小标宋_GBK" w:eastAsia="方正小标宋_GBK" w:cs="方正小标宋_GBK"/>
          <w:sz w:val="84"/>
          <w:szCs w:val="84"/>
        </w:rPr>
        <w:t>概况</w:t>
      </w:r>
    </w:p>
    <w:p>
      <w:pPr>
        <w:pStyle w:val="12"/>
        <w:jc w:val="center"/>
        <w:rPr>
          <w:rFonts w:hint="eastAsia" w:ascii="方正小标宋_GBK" w:hAnsi="方正小标宋_GBK" w:eastAsia="方正小标宋_GBK" w:cs="方正小标宋_GBK"/>
          <w:sz w:val="84"/>
          <w:szCs w:val="84"/>
        </w:rPr>
      </w:pPr>
    </w:p>
    <w:p>
      <w:pPr>
        <w:jc w:val="center"/>
        <w:rPr>
          <w:rFonts w:hint="eastAsia" w:ascii="方正小标宋_GBK" w:hAnsi="方正小标宋_GBK" w:eastAsia="方正小标宋_GBK" w:cs="方正小标宋_GBK"/>
          <w:sz w:val="72"/>
          <w:szCs w:val="72"/>
        </w:rPr>
      </w:pPr>
    </w:p>
    <w:p>
      <w:pPr>
        <w:jc w:val="center"/>
        <w:rPr>
          <w:rFonts w:hint="eastAsia" w:ascii="方正小标宋_GBK" w:hAnsi="方正小标宋_GBK" w:eastAsia="方正小标宋_GBK" w:cs="方正小标宋_GBK"/>
          <w:sz w:val="72"/>
          <w:szCs w:val="72"/>
        </w:rPr>
      </w:pPr>
    </w:p>
    <w:p>
      <w:pPr>
        <w:jc w:val="center"/>
        <w:rPr>
          <w:sz w:val="72"/>
          <w:szCs w:val="72"/>
        </w:rPr>
      </w:pPr>
    </w:p>
    <w:p>
      <w:pPr>
        <w:jc w:val="center"/>
        <w:rPr>
          <w:sz w:val="72"/>
          <w:szCs w:val="72"/>
        </w:rPr>
      </w:pPr>
    </w:p>
    <w:p>
      <w:pPr>
        <w:jc w:val="center"/>
        <w:rPr>
          <w:sz w:val="72"/>
          <w:szCs w:val="72"/>
        </w:rPr>
      </w:pPr>
    </w:p>
    <w:p>
      <w:pPr>
        <w:pStyle w:val="13"/>
        <w:numPr>
          <w:ilvl w:val="0"/>
          <w:numId w:val="1"/>
        </w:numPr>
        <w:ind w:firstLineChars="0"/>
        <w:jc w:val="left"/>
        <w:rPr>
          <w:rFonts w:hint="eastAsia" w:ascii="黑体" w:hAnsi="黑体" w:eastAsia="黑体" w:cs="黑体"/>
          <w:b w:val="0"/>
          <w:bCs w:val="0"/>
          <w:sz w:val="32"/>
          <w:szCs w:val="32"/>
        </w:rPr>
      </w:pPr>
      <w:r>
        <w:rPr>
          <w:rFonts w:hint="eastAsia" w:ascii="黑体" w:hAnsi="黑体" w:eastAsia="黑体" w:cs="黑体"/>
          <w:b w:val="0"/>
          <w:bCs w:val="0"/>
          <w:sz w:val="32"/>
          <w:szCs w:val="32"/>
        </w:rPr>
        <w:t>部门职责</w:t>
      </w:r>
    </w:p>
    <w:p>
      <w:pPr>
        <w:widowControl/>
        <w:spacing w:line="600" w:lineRule="exact"/>
        <w:rPr>
          <w:rFonts w:hint="eastAsia" w:ascii="Times New Roman" w:hAnsi="Times New Roman" w:eastAsia="仿宋_GB2312" w:cs="黑体"/>
          <w:color w:val="000000"/>
          <w:kern w:val="0"/>
          <w:sz w:val="32"/>
          <w:szCs w:val="32"/>
          <w:lang w:val="en-US" w:eastAsia="zh-CN" w:bidi="ar-SA"/>
        </w:rPr>
      </w:pPr>
      <w:r>
        <w:rPr>
          <w:rFonts w:hint="eastAsia" w:ascii="Times New Roman" w:hAnsi="Times New Roman" w:eastAsia="仿宋_GB2312" w:cs="仿宋_GB2312"/>
          <w:sz w:val="32"/>
          <w:szCs w:val="32"/>
        </w:rPr>
        <w:t>（</w:t>
      </w:r>
      <w:r>
        <w:rPr>
          <w:rFonts w:hint="eastAsia" w:ascii="Times New Roman" w:hAnsi="Times New Roman" w:eastAsia="仿宋_GB2312" w:cs="黑体"/>
          <w:color w:val="000000"/>
          <w:kern w:val="0"/>
          <w:sz w:val="32"/>
          <w:szCs w:val="32"/>
          <w:lang w:val="en-US" w:eastAsia="zh-CN" w:bidi="ar-SA"/>
        </w:rPr>
        <w:t>一）实施小学义务教育，促进教育事业发展。小学学历教育，教改实验（相关服务）。</w:t>
      </w:r>
    </w:p>
    <w:p>
      <w:pPr>
        <w:widowControl/>
        <w:spacing w:line="600" w:lineRule="exact"/>
        <w:rPr>
          <w:rFonts w:hint="eastAsia" w:ascii="Times New Roman" w:hAnsi="Times New Roman" w:eastAsia="仿宋_GB2312" w:cs="黑体"/>
          <w:color w:val="000000"/>
          <w:kern w:val="0"/>
          <w:sz w:val="32"/>
          <w:szCs w:val="32"/>
          <w:lang w:val="en-US" w:eastAsia="zh-CN" w:bidi="ar-SA"/>
        </w:rPr>
      </w:pPr>
      <w:r>
        <w:rPr>
          <w:rFonts w:hint="eastAsia" w:ascii="Times New Roman" w:hAnsi="Times New Roman" w:eastAsia="仿宋_GB2312" w:cs="黑体"/>
          <w:color w:val="000000"/>
          <w:kern w:val="0"/>
          <w:sz w:val="32"/>
          <w:szCs w:val="32"/>
          <w:lang w:val="en-US" w:eastAsia="zh-CN" w:bidi="ar-SA"/>
        </w:rPr>
        <w:t>（二）负责对教学及其他专项项目的监督管理工作。</w:t>
      </w:r>
    </w:p>
    <w:p>
      <w:pPr>
        <w:widowControl/>
        <w:spacing w:line="600" w:lineRule="exact"/>
        <w:rPr>
          <w:rFonts w:hint="eastAsia" w:ascii="Times New Roman" w:hAnsi="Times New Roman" w:eastAsia="仿宋_GB2312" w:cs="黑体"/>
          <w:color w:val="000000"/>
          <w:kern w:val="0"/>
          <w:sz w:val="32"/>
          <w:szCs w:val="32"/>
          <w:lang w:val="en-US" w:eastAsia="zh-CN" w:bidi="ar-SA"/>
        </w:rPr>
      </w:pPr>
      <w:r>
        <w:rPr>
          <w:rFonts w:hint="eastAsia" w:ascii="Times New Roman" w:hAnsi="Times New Roman" w:eastAsia="仿宋_GB2312" w:cs="黑体"/>
          <w:color w:val="000000"/>
          <w:kern w:val="0"/>
          <w:sz w:val="32"/>
          <w:szCs w:val="32"/>
          <w:lang w:val="en-US" w:eastAsia="zh-CN" w:bidi="ar-SA"/>
        </w:rPr>
        <w:t>（三）完成上级交办的其他工作。</w:t>
      </w:r>
    </w:p>
    <w:p>
      <w:pPr>
        <w:widowControl/>
        <w:spacing w:line="600" w:lineRule="exact"/>
        <w:rPr>
          <w:rFonts w:hint="eastAsia" w:ascii="黑体" w:hAnsi="黑体" w:eastAsia="黑体" w:cs="黑体"/>
          <w:b w:val="0"/>
          <w:bCs/>
          <w:kern w:val="0"/>
          <w:sz w:val="32"/>
          <w:szCs w:val="32"/>
        </w:rPr>
      </w:pPr>
      <w:r>
        <w:rPr>
          <w:rFonts w:hint="eastAsia" w:ascii="黑体" w:hAnsi="黑体" w:eastAsia="黑体" w:cs="黑体"/>
          <w:b w:val="0"/>
          <w:bCs/>
          <w:kern w:val="0"/>
          <w:sz w:val="32"/>
          <w:szCs w:val="32"/>
        </w:rPr>
        <w:t>二、机构设置及决算单位构成</w:t>
      </w:r>
    </w:p>
    <w:p>
      <w:pPr>
        <w:widowControl/>
        <w:spacing w:line="600" w:lineRule="exact"/>
        <w:rPr>
          <w:rFonts w:hint="eastAsia" w:ascii="Times New Roman" w:hAnsi="Times New Roman" w:eastAsia="仿宋_GB2312" w:cs="黑体"/>
          <w:color w:val="000000"/>
          <w:kern w:val="0"/>
          <w:sz w:val="32"/>
          <w:szCs w:val="32"/>
          <w:lang w:val="en-US" w:eastAsia="zh-CN" w:bidi="ar-SA"/>
        </w:rPr>
      </w:pPr>
      <w:r>
        <w:rPr>
          <w:rFonts w:hint="eastAsia" w:ascii="Times New Roman" w:hAnsi="Times New Roman" w:eastAsia="仿宋_GB2312" w:cs="仿宋_GB2312"/>
          <w:bCs/>
          <w:kern w:val="0"/>
          <w:sz w:val="32"/>
          <w:szCs w:val="32"/>
        </w:rPr>
        <w:t>（一）</w:t>
      </w:r>
      <w:r>
        <w:rPr>
          <w:rFonts w:hint="eastAsia" w:ascii="Times New Roman" w:hAnsi="Times New Roman" w:eastAsia="仿宋_GB2312" w:cs="黑体"/>
          <w:color w:val="000000"/>
          <w:kern w:val="0"/>
          <w:sz w:val="32"/>
          <w:szCs w:val="32"/>
          <w:lang w:val="en-US" w:eastAsia="zh-CN" w:bidi="ar-SA"/>
        </w:rPr>
        <w:t>内设机构设置。怀化市实验小学内设机构包括：各学科教研组、教导处、德育处、综治办、少先队大队部、总务处、办公室、财务室等10个部门。</w:t>
      </w:r>
    </w:p>
    <w:p>
      <w:pPr>
        <w:widowControl/>
        <w:spacing w:line="600" w:lineRule="exact"/>
        <w:rPr>
          <w:rFonts w:hint="eastAsia" w:ascii="Times New Roman" w:hAnsi="Times New Roman" w:eastAsia="仿宋_GB2312" w:cs="黑体"/>
          <w:color w:val="000000"/>
          <w:kern w:val="0"/>
          <w:sz w:val="32"/>
          <w:szCs w:val="32"/>
          <w:lang w:val="en-US" w:eastAsia="zh-CN" w:bidi="ar-SA"/>
        </w:rPr>
      </w:pPr>
      <w:r>
        <w:rPr>
          <w:rFonts w:hint="eastAsia" w:ascii="Times New Roman" w:hAnsi="Times New Roman" w:eastAsia="仿宋_GB2312" w:cs="仿宋_GB2312"/>
          <w:bCs/>
          <w:kern w:val="0"/>
          <w:sz w:val="32"/>
          <w:szCs w:val="32"/>
        </w:rPr>
        <w:t>（二）</w:t>
      </w:r>
      <w:r>
        <w:rPr>
          <w:rFonts w:hint="eastAsia" w:ascii="Times New Roman" w:hAnsi="Times New Roman" w:eastAsia="仿宋_GB2312" w:cs="黑体"/>
          <w:color w:val="000000"/>
          <w:kern w:val="0"/>
          <w:sz w:val="32"/>
          <w:szCs w:val="32"/>
          <w:lang w:val="en-US" w:eastAsia="zh-CN" w:bidi="ar-SA"/>
        </w:rPr>
        <w:t>决算单位构成。怀化市实验小学2022年部门决算汇总公开单位构成包括：怀化市实验小学只有本级，没有其他二级预算单位，因此，纳入</w:t>
      </w:r>
      <w:r>
        <w:rPr>
          <w:rFonts w:hint="default" w:ascii="Times New Roman" w:hAnsi="Times New Roman" w:eastAsia="仿宋_GB2312" w:cs="黑体"/>
          <w:color w:val="000000"/>
          <w:kern w:val="0"/>
          <w:sz w:val="32"/>
          <w:szCs w:val="32"/>
          <w:lang w:val="en-US" w:eastAsia="zh-CN" w:bidi="ar-SA"/>
        </w:rPr>
        <w:t>202</w:t>
      </w:r>
      <w:r>
        <w:rPr>
          <w:rFonts w:hint="eastAsia" w:ascii="Times New Roman" w:hAnsi="Times New Roman" w:eastAsia="仿宋_GB2312" w:cs="黑体"/>
          <w:color w:val="000000"/>
          <w:kern w:val="0"/>
          <w:sz w:val="32"/>
          <w:szCs w:val="32"/>
          <w:lang w:val="en-US" w:eastAsia="zh-CN" w:bidi="ar-SA"/>
        </w:rPr>
        <w:t>2</w:t>
      </w:r>
      <w:r>
        <w:rPr>
          <w:rFonts w:hint="default" w:ascii="Times New Roman" w:hAnsi="Times New Roman" w:eastAsia="仿宋_GB2312" w:cs="黑体"/>
          <w:color w:val="000000"/>
          <w:kern w:val="0"/>
          <w:sz w:val="32"/>
          <w:szCs w:val="32"/>
          <w:lang w:val="en-US" w:eastAsia="zh-CN" w:bidi="ar-SA"/>
        </w:rPr>
        <w:t>年部门</w:t>
      </w:r>
      <w:r>
        <w:rPr>
          <w:rFonts w:hint="eastAsia" w:ascii="Times New Roman" w:hAnsi="Times New Roman" w:eastAsia="仿宋_GB2312" w:cs="黑体"/>
          <w:color w:val="000000"/>
          <w:kern w:val="0"/>
          <w:sz w:val="32"/>
          <w:szCs w:val="32"/>
          <w:lang w:val="en-US" w:eastAsia="zh-CN" w:bidi="ar-SA"/>
        </w:rPr>
        <w:t>决算</w:t>
      </w:r>
      <w:r>
        <w:rPr>
          <w:rFonts w:hint="default" w:ascii="Times New Roman" w:hAnsi="Times New Roman" w:eastAsia="仿宋_GB2312" w:cs="黑体"/>
          <w:color w:val="000000"/>
          <w:kern w:val="0"/>
          <w:sz w:val="32"/>
          <w:szCs w:val="32"/>
          <w:lang w:val="en-US" w:eastAsia="zh-CN" w:bidi="ar-SA"/>
        </w:rPr>
        <w:t>编制范围的只有怀化市实验小学本级。</w:t>
      </w:r>
    </w:p>
    <w:p>
      <w:pPr>
        <w:widowControl/>
        <w:spacing w:line="600" w:lineRule="exact"/>
        <w:rPr>
          <w:rFonts w:hint="eastAsia" w:ascii="Times New Roman" w:hAnsi="Times New Roman" w:eastAsia="仿宋_GB2312" w:cs="仿宋_GB2312"/>
          <w:bCs/>
          <w:kern w:val="0"/>
          <w:sz w:val="32"/>
          <w:szCs w:val="32"/>
        </w:rPr>
      </w:pPr>
    </w:p>
    <w:p>
      <w:pPr>
        <w:jc w:val="left"/>
        <w:rPr>
          <w:rFonts w:ascii="仿宋_GB2312" w:eastAsia="仿宋_GB2312" w:hAnsiTheme="minorEastAsia"/>
          <w:sz w:val="28"/>
          <w:szCs w:val="32"/>
        </w:rPr>
      </w:pPr>
    </w:p>
    <w:p>
      <w:pPr>
        <w:jc w:val="center"/>
        <w:rPr>
          <w:rFonts w:ascii="黑体" w:hAnsi="黑体" w:eastAsia="黑体"/>
          <w:sz w:val="28"/>
          <w:szCs w:val="28"/>
        </w:rPr>
      </w:pPr>
    </w:p>
    <w:p>
      <w:pPr>
        <w:jc w:val="center"/>
        <w:rPr>
          <w:rFonts w:ascii="黑体" w:hAnsi="黑体" w:eastAsia="黑体"/>
          <w:sz w:val="28"/>
          <w:szCs w:val="28"/>
        </w:rPr>
      </w:pPr>
    </w:p>
    <w:p>
      <w:pPr>
        <w:jc w:val="center"/>
        <w:rPr>
          <w:rFonts w:ascii="黑体" w:hAnsi="黑体" w:eastAsia="黑体"/>
          <w:sz w:val="28"/>
          <w:szCs w:val="28"/>
        </w:rPr>
      </w:pPr>
    </w:p>
    <w:p>
      <w:pPr>
        <w:jc w:val="center"/>
        <w:rPr>
          <w:rFonts w:ascii="黑体" w:hAnsi="黑体" w:eastAsia="黑体"/>
          <w:sz w:val="28"/>
          <w:szCs w:val="28"/>
        </w:rPr>
      </w:pPr>
    </w:p>
    <w:p>
      <w:pPr>
        <w:jc w:val="center"/>
        <w:rPr>
          <w:rFonts w:ascii="黑体" w:hAnsi="黑体" w:eastAsia="黑体"/>
          <w:sz w:val="28"/>
          <w:szCs w:val="28"/>
        </w:rPr>
      </w:pPr>
    </w:p>
    <w:p>
      <w:pPr>
        <w:jc w:val="center"/>
        <w:rPr>
          <w:rFonts w:ascii="黑体" w:hAnsi="黑体" w:eastAsia="黑体"/>
          <w:sz w:val="28"/>
          <w:szCs w:val="28"/>
        </w:rPr>
      </w:pPr>
    </w:p>
    <w:p>
      <w:pPr>
        <w:jc w:val="both"/>
        <w:rPr>
          <w:sz w:val="72"/>
          <w:szCs w:val="72"/>
        </w:rPr>
      </w:pPr>
    </w:p>
    <w:p>
      <w:pPr>
        <w:jc w:val="center"/>
        <w:rPr>
          <w:sz w:val="72"/>
          <w:szCs w:val="72"/>
        </w:rPr>
      </w:pPr>
    </w:p>
    <w:p>
      <w:pPr>
        <w:pStyle w:val="12"/>
        <w:jc w:val="center"/>
        <w:rPr>
          <w:rFonts w:hint="eastAsia" w:ascii="方正小标宋_GBK" w:hAnsi="方正小标宋_GBK" w:eastAsia="方正小标宋_GBK" w:cs="方正小标宋_GBK"/>
          <w:sz w:val="84"/>
          <w:szCs w:val="84"/>
        </w:rPr>
      </w:pPr>
    </w:p>
    <w:p>
      <w:pPr>
        <w:pStyle w:val="12"/>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第二部分</w:t>
      </w:r>
    </w:p>
    <w:p>
      <w:pPr>
        <w:pStyle w:val="12"/>
        <w:jc w:val="center"/>
        <w:rPr>
          <w:rFonts w:hint="eastAsia" w:ascii="方正小标宋_GBK" w:hAnsi="方正小标宋_GBK" w:eastAsia="方正小标宋_GBK" w:cs="方正小标宋_GBK"/>
          <w:sz w:val="84"/>
          <w:szCs w:val="84"/>
        </w:rPr>
      </w:pPr>
    </w:p>
    <w:p>
      <w:pPr>
        <w:pStyle w:val="12"/>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部门决算表</w:t>
      </w:r>
    </w:p>
    <w:p>
      <w:pPr>
        <w:jc w:val="center"/>
        <w:rPr>
          <w:sz w:val="72"/>
          <w:szCs w:val="72"/>
        </w:rPr>
      </w:pPr>
    </w:p>
    <w:p>
      <w:pPr>
        <w:jc w:val="center"/>
        <w:rPr>
          <w:sz w:val="72"/>
          <w:szCs w:val="72"/>
        </w:rPr>
      </w:pPr>
    </w:p>
    <w:p>
      <w:pPr>
        <w:jc w:val="both"/>
        <w:rPr>
          <w:sz w:val="72"/>
          <w:szCs w:val="72"/>
        </w:rPr>
      </w:pPr>
    </w:p>
    <w:p>
      <w:pPr>
        <w:jc w:val="left"/>
        <w:rPr>
          <w:rFonts w:asciiTheme="minorEastAsia" w:hAnsiTheme="minorEastAsia"/>
          <w:sz w:val="32"/>
          <w:szCs w:val="32"/>
        </w:rPr>
        <w:sectPr>
          <w:pgSz w:w="11906" w:h="16838"/>
          <w:pgMar w:top="720" w:right="720" w:bottom="720" w:left="720" w:header="851" w:footer="992" w:gutter="0"/>
          <w:cols w:space="425" w:num="1"/>
          <w:docGrid w:type="lines" w:linePitch="312" w:charSpace="0"/>
        </w:sectPr>
      </w:pPr>
    </w:p>
    <w:p>
      <w:pPr>
        <w:widowControl/>
        <w:jc w:val="left"/>
        <w:rPr>
          <w:rFonts w:ascii="Times New Roman" w:hAnsi="Times New Roman" w:eastAsia="黑体" w:cs="Times New Roman"/>
          <w:bCs/>
          <w:kern w:val="0"/>
          <w:sz w:val="32"/>
          <w:szCs w:val="32"/>
        </w:rPr>
      </w:pPr>
      <w:r>
        <w:rPr>
          <w:rFonts w:ascii="Times New Roman" w:hAnsi="Times New Roman" w:eastAsia="黑体" w:cs="Times New Roman"/>
          <w:bCs/>
          <w:kern w:val="0"/>
          <w:sz w:val="32"/>
          <w:szCs w:val="32"/>
        </w:rPr>
        <w:t xml:space="preserve"> </w:t>
      </w:r>
    </w:p>
    <w:tbl>
      <w:tblPr>
        <w:tblStyle w:val="7"/>
        <w:tblW w:w="14738" w:type="dxa"/>
        <w:tblInd w:w="98"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4883"/>
        <w:gridCol w:w="857"/>
        <w:gridCol w:w="1432"/>
        <w:gridCol w:w="4595"/>
        <w:gridCol w:w="857"/>
        <w:gridCol w:w="211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0" w:hRule="atLeast"/>
        </w:trPr>
        <w:tc>
          <w:tcPr>
            <w:tcW w:w="14738" w:type="dxa"/>
            <w:gridSpan w:val="6"/>
            <w:tcBorders>
              <w:top w:val="nil"/>
              <w:left w:val="nil"/>
              <w:bottom w:val="nil"/>
              <w:right w:val="nil"/>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30"/>
                <w:szCs w:val="30"/>
                <w:u w:val="none"/>
              </w:rPr>
            </w:pPr>
            <w:r>
              <w:rPr>
                <w:rFonts w:hint="eastAsia" w:ascii="宋体" w:hAnsi="宋体" w:eastAsia="宋体" w:cs="宋体"/>
                <w:i w:val="0"/>
                <w:iCs w:val="0"/>
                <w:color w:val="000000"/>
                <w:kern w:val="0"/>
                <w:sz w:val="30"/>
                <w:szCs w:val="30"/>
                <w:u w:val="none"/>
                <w:lang w:val="en-US" w:eastAsia="zh-CN" w:bidi="ar"/>
              </w:rPr>
              <w:t>收入支出决算总表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trPr>
        <w:tc>
          <w:tcPr>
            <w:tcW w:w="0" w:type="auto"/>
            <w:tcBorders>
              <w:top w:val="nil"/>
              <w:left w:val="nil"/>
              <w:bottom w:val="nil"/>
              <w:right w:val="nil"/>
            </w:tcBorders>
            <w:shd w:val="clear" w:color="auto" w:fill="auto"/>
            <w:noWrap/>
            <w:vAlign w:val="bottom"/>
          </w:tcPr>
          <w:p>
            <w:pPr>
              <w:rPr>
                <w:rFonts w:hint="eastAsia"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pPr>
              <w:keepNext w:val="0"/>
              <w:keepLines w:val="0"/>
              <w:widowControl/>
              <w:suppressLineNumbers w:val="0"/>
              <w:jc w:val="righ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公开01表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trPr>
        <w:tc>
          <w:tcPr>
            <w:tcW w:w="0" w:type="auto"/>
            <w:tcBorders>
              <w:top w:val="nil"/>
              <w:left w:val="nil"/>
              <w:bottom w:val="nil"/>
              <w:right w:val="nil"/>
            </w:tcBorders>
            <w:shd w:val="clear" w:color="auto" w:fill="auto"/>
            <w:noWrap/>
            <w:vAlign w:val="bottom"/>
          </w:tcPr>
          <w:p>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部门：怀化市实验小学</w:t>
            </w: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pPr>
              <w:keepNext w:val="0"/>
              <w:keepLines w:val="0"/>
              <w:widowControl/>
              <w:suppressLineNumbers w:val="0"/>
              <w:jc w:val="righ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金额单位：万元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收入</w:t>
            </w:r>
          </w:p>
        </w:tc>
        <w:tc>
          <w:tcPr>
            <w:tcW w:w="0" w:type="auto"/>
            <w:gridSpan w:val="3"/>
            <w:tcBorders>
              <w:top w:val="single" w:color="000000" w:sz="4" w:space="0"/>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行次</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行次</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栏次</w:t>
            </w:r>
          </w:p>
        </w:tc>
        <w:tc>
          <w:tcPr>
            <w:tcW w:w="0" w:type="auto"/>
            <w:tcBorders>
              <w:top w:val="nil"/>
              <w:left w:val="nil"/>
              <w:bottom w:val="single" w:color="000000" w:sz="4" w:space="0"/>
              <w:right w:val="single" w:color="000000" w:sz="4" w:space="0"/>
            </w:tcBorders>
            <w:shd w:val="clear" w:color="FFFFFF" w:fill="C0C0C0"/>
            <w:noWrap/>
            <w:vAlign w:val="center"/>
          </w:tcPr>
          <w:p>
            <w:pPr>
              <w:jc w:val="center"/>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栏次</w:t>
            </w:r>
          </w:p>
        </w:tc>
        <w:tc>
          <w:tcPr>
            <w:tcW w:w="0" w:type="auto"/>
            <w:tcBorders>
              <w:top w:val="nil"/>
              <w:left w:val="nil"/>
              <w:bottom w:val="single" w:color="000000" w:sz="4" w:space="0"/>
              <w:right w:val="single" w:color="000000" w:sz="4" w:space="0"/>
            </w:tcBorders>
            <w:shd w:val="clear" w:color="FFFFFF" w:fill="C0C0C0"/>
            <w:noWrap/>
            <w:vAlign w:val="center"/>
          </w:tcPr>
          <w:p>
            <w:pPr>
              <w:jc w:val="center"/>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一、一般公共预算财政拨款收入</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2,779.19</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一、一般公共服务支出</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9.40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二、政府性基金预算财政拨款收入</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二、外交支出</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三、国有资本经营预算财政拨款收入</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三、国防支出</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四、上级补助收入</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四、公共安全支出</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五、事业收入</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407.62</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五、教育支出</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2,854.09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六、经营收入</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六、科学技术支出</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37</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七、附属单位上缴收入</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七、文化旅游体育与传媒支出</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八、其他收入</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13.12</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八、社会保障和就业支出</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232.51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九、卫生健康支出</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90.80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十、节能环保支出</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41</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二十三、其他支出</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54</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13.12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pPr>
              <w:jc w:val="center"/>
              <w:rPr>
                <w:rFonts w:hint="eastAsia" w:ascii="宋体" w:hAnsi="宋体" w:eastAsia="宋体" w:cs="宋体"/>
                <w:b/>
                <w:bCs/>
                <w:i w:val="0"/>
                <w:iCs w:val="0"/>
                <w:color w:val="000000"/>
                <w:sz w:val="20"/>
                <w:szCs w:val="20"/>
                <w:u w:val="none"/>
              </w:rPr>
            </w:pP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24</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0"/>
                <w:szCs w:val="20"/>
                <w:u w:val="none"/>
              </w:rPr>
            </w:pP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二十四、债务还本支出</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55</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000000"/>
                <w:sz w:val="20"/>
                <w:szCs w:val="20"/>
                <w:u w:val="none"/>
              </w:rPr>
            </w:pP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0"/>
                <w:szCs w:val="20"/>
                <w:u w:val="none"/>
              </w:rPr>
            </w:pP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二十五、债务付息支出</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56</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000000"/>
                <w:sz w:val="20"/>
                <w:szCs w:val="20"/>
                <w:u w:val="none"/>
              </w:rPr>
            </w:pP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26</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0"/>
                <w:szCs w:val="20"/>
                <w:u w:val="none"/>
              </w:rPr>
            </w:pP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二十六、抗疫特别国债安排的支出</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57</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本年收入合计</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3,199.92</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本年支出合计</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58</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3,199.92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使用非财政拨款结余</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结余分配</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59</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年初结转和结余</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年末结转和结余</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61</w:t>
            </w:r>
          </w:p>
        </w:tc>
        <w:tc>
          <w:tcPr>
            <w:tcW w:w="0" w:type="auto"/>
            <w:tcBorders>
              <w:top w:val="nil"/>
              <w:left w:val="nil"/>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总计</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3,199.92</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总计</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62</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3,199.92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6"/>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注：1.本表反映部门本年度的总收支和年末结转结余情况。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6"/>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2.本套报表金额单位转换时可能存在尾数误差。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6"/>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6"/>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p>
        </w:tc>
      </w:tr>
    </w:tbl>
    <w:p>
      <w:pPr>
        <w:widowControl/>
        <w:jc w:val="left"/>
        <w:rPr>
          <w:rFonts w:ascii="Times New Roman" w:hAnsi="Times New Roman" w:eastAsia="黑体" w:cs="Times New Roman"/>
          <w:bCs/>
          <w:kern w:val="0"/>
          <w:sz w:val="32"/>
          <w:szCs w:val="32"/>
        </w:rPr>
      </w:pPr>
    </w:p>
    <w:tbl>
      <w:tblPr>
        <w:tblStyle w:val="7"/>
        <w:tblW w:w="14980" w:type="dxa"/>
        <w:tblInd w:w="98"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2216"/>
        <w:gridCol w:w="222"/>
        <w:gridCol w:w="222"/>
        <w:gridCol w:w="3956"/>
        <w:gridCol w:w="1449"/>
        <w:gridCol w:w="1443"/>
        <w:gridCol w:w="913"/>
        <w:gridCol w:w="1147"/>
        <w:gridCol w:w="893"/>
        <w:gridCol w:w="913"/>
        <w:gridCol w:w="161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0" w:hRule="atLeast"/>
        </w:trPr>
        <w:tc>
          <w:tcPr>
            <w:tcW w:w="14985" w:type="dxa"/>
            <w:gridSpan w:val="11"/>
            <w:tcBorders>
              <w:top w:val="nil"/>
              <w:left w:val="nil"/>
              <w:bottom w:val="nil"/>
              <w:right w:val="nil"/>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30"/>
                <w:szCs w:val="30"/>
                <w:u w:val="none"/>
              </w:rPr>
            </w:pPr>
            <w:r>
              <w:rPr>
                <w:rFonts w:hint="eastAsia" w:ascii="宋体" w:hAnsi="宋体" w:eastAsia="宋体" w:cs="宋体"/>
                <w:i w:val="0"/>
                <w:iCs w:val="0"/>
                <w:color w:val="000000"/>
                <w:kern w:val="0"/>
                <w:sz w:val="30"/>
                <w:szCs w:val="30"/>
                <w:u w:val="none"/>
                <w:lang w:val="en-US" w:eastAsia="zh-CN" w:bidi="ar"/>
              </w:rPr>
              <w:t>收入决算表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trPr>
        <w:tc>
          <w:tcPr>
            <w:tcW w:w="0" w:type="auto"/>
            <w:tcBorders>
              <w:top w:val="nil"/>
              <w:left w:val="nil"/>
              <w:bottom w:val="nil"/>
              <w:right w:val="nil"/>
            </w:tcBorders>
            <w:shd w:val="clear" w:color="auto" w:fill="auto"/>
            <w:noWrap/>
            <w:vAlign w:val="bottom"/>
          </w:tcPr>
          <w:p>
            <w:pPr>
              <w:rPr>
                <w:rFonts w:hint="eastAsia"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pPr>
              <w:keepNext w:val="0"/>
              <w:keepLines w:val="0"/>
              <w:widowControl/>
              <w:suppressLineNumbers w:val="0"/>
              <w:jc w:val="righ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公开02表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trPr>
        <w:tc>
          <w:tcPr>
            <w:tcW w:w="0" w:type="auto"/>
            <w:tcBorders>
              <w:top w:val="nil"/>
              <w:left w:val="nil"/>
              <w:bottom w:val="nil"/>
              <w:right w:val="nil"/>
            </w:tcBorders>
            <w:shd w:val="clear" w:color="auto" w:fill="auto"/>
            <w:noWrap/>
            <w:vAlign w:val="bottom"/>
          </w:tcPr>
          <w:p>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部门：怀化市实验小学</w:t>
            </w: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pPr>
              <w:keepNext w:val="0"/>
              <w:keepLines w:val="0"/>
              <w:widowControl/>
              <w:suppressLineNumbers w:val="0"/>
              <w:jc w:val="righ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金额单位：万元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4"/>
            <w:tcBorders>
              <w:top w:val="single" w:color="000000" w:sz="4" w:space="0"/>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w:t>
            </w:r>
          </w:p>
        </w:tc>
        <w:tc>
          <w:tcPr>
            <w:tcW w:w="1720" w:type="dxa"/>
            <w:vMerge w:val="restart"/>
            <w:tcBorders>
              <w:top w:val="single" w:color="000000" w:sz="4" w:space="0"/>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本年收入合计</w:t>
            </w:r>
          </w:p>
        </w:tc>
        <w:tc>
          <w:tcPr>
            <w:tcW w:w="1670" w:type="dxa"/>
            <w:vMerge w:val="restart"/>
            <w:tcBorders>
              <w:top w:val="single" w:color="000000" w:sz="4" w:space="0"/>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财政拨款收入</w:t>
            </w:r>
          </w:p>
        </w:tc>
        <w:tc>
          <w:tcPr>
            <w:tcW w:w="1400" w:type="dxa"/>
            <w:vMerge w:val="restart"/>
            <w:tcBorders>
              <w:top w:val="single" w:color="000000" w:sz="4" w:space="0"/>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上级补助收入</w:t>
            </w:r>
          </w:p>
        </w:tc>
        <w:tc>
          <w:tcPr>
            <w:tcW w:w="1280" w:type="dxa"/>
            <w:vMerge w:val="restart"/>
            <w:tcBorders>
              <w:top w:val="single" w:color="000000" w:sz="4" w:space="0"/>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事业收入</w:t>
            </w:r>
          </w:p>
        </w:tc>
        <w:tc>
          <w:tcPr>
            <w:tcW w:w="1240" w:type="dxa"/>
            <w:vMerge w:val="restart"/>
            <w:tcBorders>
              <w:top w:val="single" w:color="000000" w:sz="4" w:space="0"/>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经营收入</w:t>
            </w:r>
          </w:p>
        </w:tc>
        <w:tc>
          <w:tcPr>
            <w:tcW w:w="1400" w:type="dxa"/>
            <w:vMerge w:val="restart"/>
            <w:tcBorders>
              <w:top w:val="single" w:color="000000" w:sz="4" w:space="0"/>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附属单位上缴收入</w:t>
            </w:r>
          </w:p>
        </w:tc>
        <w:tc>
          <w:tcPr>
            <w:tcW w:w="1420" w:type="dxa"/>
            <w:vMerge w:val="restart"/>
            <w:tcBorders>
              <w:top w:val="single" w:color="000000" w:sz="4" w:space="0"/>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其他收入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035" w:type="dxa"/>
            <w:gridSpan w:val="3"/>
            <w:vMerge w:val="restart"/>
            <w:tcBorders>
              <w:top w:val="nil"/>
              <w:left w:val="single" w:color="000000" w:sz="4" w:space="0"/>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科目代码</w:t>
            </w:r>
          </w:p>
        </w:tc>
        <w:tc>
          <w:tcPr>
            <w:tcW w:w="0" w:type="auto"/>
            <w:vMerge w:val="restar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科目名称</w:t>
            </w:r>
          </w:p>
        </w:tc>
        <w:tc>
          <w:tcPr>
            <w:tcW w:w="1720" w:type="dxa"/>
            <w:vMerge w:val="continue"/>
            <w:tcBorders>
              <w:top w:val="single" w:color="000000" w:sz="4" w:space="0"/>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22"/>
                <w:szCs w:val="22"/>
                <w:u w:val="none"/>
              </w:rPr>
            </w:pPr>
          </w:p>
        </w:tc>
        <w:tc>
          <w:tcPr>
            <w:tcW w:w="1670" w:type="dxa"/>
            <w:vMerge w:val="continue"/>
            <w:tcBorders>
              <w:top w:val="single" w:color="000000" w:sz="4" w:space="0"/>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22"/>
                <w:szCs w:val="22"/>
                <w:u w:val="none"/>
              </w:rPr>
            </w:pPr>
          </w:p>
        </w:tc>
        <w:tc>
          <w:tcPr>
            <w:tcW w:w="1400" w:type="dxa"/>
            <w:vMerge w:val="continue"/>
            <w:tcBorders>
              <w:top w:val="single" w:color="000000" w:sz="4" w:space="0"/>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22"/>
                <w:szCs w:val="22"/>
                <w:u w:val="none"/>
              </w:rPr>
            </w:pPr>
          </w:p>
        </w:tc>
        <w:tc>
          <w:tcPr>
            <w:tcW w:w="1280" w:type="dxa"/>
            <w:vMerge w:val="continue"/>
            <w:tcBorders>
              <w:top w:val="single" w:color="000000" w:sz="4" w:space="0"/>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22"/>
                <w:szCs w:val="22"/>
                <w:u w:val="none"/>
              </w:rPr>
            </w:pPr>
          </w:p>
        </w:tc>
        <w:tc>
          <w:tcPr>
            <w:tcW w:w="1240" w:type="dxa"/>
            <w:vMerge w:val="continue"/>
            <w:tcBorders>
              <w:top w:val="single" w:color="000000" w:sz="4" w:space="0"/>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22"/>
                <w:szCs w:val="22"/>
                <w:u w:val="none"/>
              </w:rPr>
            </w:pPr>
          </w:p>
        </w:tc>
        <w:tc>
          <w:tcPr>
            <w:tcW w:w="1400" w:type="dxa"/>
            <w:vMerge w:val="continue"/>
            <w:tcBorders>
              <w:top w:val="single" w:color="000000" w:sz="4" w:space="0"/>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22"/>
                <w:szCs w:val="22"/>
                <w:u w:val="none"/>
              </w:rPr>
            </w:pPr>
          </w:p>
        </w:tc>
        <w:tc>
          <w:tcPr>
            <w:tcW w:w="1420" w:type="dxa"/>
            <w:vMerge w:val="continue"/>
            <w:tcBorders>
              <w:top w:val="single" w:color="000000" w:sz="4" w:space="0"/>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035" w:type="dxa"/>
            <w:gridSpan w:val="3"/>
            <w:vMerge w:val="continue"/>
            <w:tcBorders>
              <w:top w:val="nil"/>
              <w:left w:val="single" w:color="000000" w:sz="4" w:space="0"/>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22"/>
                <w:szCs w:val="22"/>
                <w:u w:val="none"/>
              </w:rPr>
            </w:pPr>
          </w:p>
        </w:tc>
        <w:tc>
          <w:tcPr>
            <w:tcW w:w="0" w:type="auto"/>
            <w:vMerge w:val="continue"/>
            <w:tcBorders>
              <w:top w:val="nil"/>
              <w:left w:val="nil"/>
              <w:bottom w:val="single" w:color="000000" w:sz="4" w:space="0"/>
              <w:right w:val="single" w:color="000000" w:sz="4" w:space="0"/>
            </w:tcBorders>
            <w:shd w:val="clear" w:color="FFFFFF" w:fill="C0C0C0"/>
            <w:noWrap/>
            <w:vAlign w:val="center"/>
          </w:tcPr>
          <w:p>
            <w:pPr>
              <w:jc w:val="center"/>
              <w:rPr>
                <w:rFonts w:hint="eastAsia" w:ascii="宋体" w:hAnsi="宋体" w:eastAsia="宋体" w:cs="宋体"/>
                <w:i w:val="0"/>
                <w:iCs w:val="0"/>
                <w:color w:val="000000"/>
                <w:sz w:val="22"/>
                <w:szCs w:val="22"/>
                <w:u w:val="none"/>
              </w:rPr>
            </w:pPr>
          </w:p>
        </w:tc>
        <w:tc>
          <w:tcPr>
            <w:tcW w:w="1720" w:type="dxa"/>
            <w:vMerge w:val="continue"/>
            <w:tcBorders>
              <w:top w:val="single" w:color="000000" w:sz="4" w:space="0"/>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22"/>
                <w:szCs w:val="22"/>
                <w:u w:val="none"/>
              </w:rPr>
            </w:pPr>
          </w:p>
        </w:tc>
        <w:tc>
          <w:tcPr>
            <w:tcW w:w="1670" w:type="dxa"/>
            <w:vMerge w:val="continue"/>
            <w:tcBorders>
              <w:top w:val="single" w:color="000000" w:sz="4" w:space="0"/>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22"/>
                <w:szCs w:val="22"/>
                <w:u w:val="none"/>
              </w:rPr>
            </w:pPr>
          </w:p>
        </w:tc>
        <w:tc>
          <w:tcPr>
            <w:tcW w:w="1400" w:type="dxa"/>
            <w:vMerge w:val="continue"/>
            <w:tcBorders>
              <w:top w:val="single" w:color="000000" w:sz="4" w:space="0"/>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22"/>
                <w:szCs w:val="22"/>
                <w:u w:val="none"/>
              </w:rPr>
            </w:pPr>
          </w:p>
        </w:tc>
        <w:tc>
          <w:tcPr>
            <w:tcW w:w="1280" w:type="dxa"/>
            <w:vMerge w:val="continue"/>
            <w:tcBorders>
              <w:top w:val="single" w:color="000000" w:sz="4" w:space="0"/>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22"/>
                <w:szCs w:val="22"/>
                <w:u w:val="none"/>
              </w:rPr>
            </w:pPr>
          </w:p>
        </w:tc>
        <w:tc>
          <w:tcPr>
            <w:tcW w:w="1240" w:type="dxa"/>
            <w:vMerge w:val="continue"/>
            <w:tcBorders>
              <w:top w:val="single" w:color="000000" w:sz="4" w:space="0"/>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22"/>
                <w:szCs w:val="22"/>
                <w:u w:val="none"/>
              </w:rPr>
            </w:pPr>
          </w:p>
        </w:tc>
        <w:tc>
          <w:tcPr>
            <w:tcW w:w="1400" w:type="dxa"/>
            <w:vMerge w:val="continue"/>
            <w:tcBorders>
              <w:top w:val="single" w:color="000000" w:sz="4" w:space="0"/>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22"/>
                <w:szCs w:val="22"/>
                <w:u w:val="none"/>
              </w:rPr>
            </w:pPr>
          </w:p>
        </w:tc>
        <w:tc>
          <w:tcPr>
            <w:tcW w:w="1420" w:type="dxa"/>
            <w:vMerge w:val="continue"/>
            <w:tcBorders>
              <w:top w:val="single" w:color="000000" w:sz="4" w:space="0"/>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035" w:type="dxa"/>
            <w:gridSpan w:val="3"/>
            <w:vMerge w:val="continue"/>
            <w:tcBorders>
              <w:top w:val="nil"/>
              <w:left w:val="single" w:color="000000" w:sz="4" w:space="0"/>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22"/>
                <w:szCs w:val="22"/>
                <w:u w:val="none"/>
              </w:rPr>
            </w:pPr>
          </w:p>
        </w:tc>
        <w:tc>
          <w:tcPr>
            <w:tcW w:w="0" w:type="auto"/>
            <w:vMerge w:val="continue"/>
            <w:tcBorders>
              <w:top w:val="nil"/>
              <w:left w:val="nil"/>
              <w:bottom w:val="single" w:color="000000" w:sz="4" w:space="0"/>
              <w:right w:val="single" w:color="000000" w:sz="4" w:space="0"/>
            </w:tcBorders>
            <w:shd w:val="clear" w:color="FFFFFF" w:fill="C0C0C0"/>
            <w:noWrap/>
            <w:vAlign w:val="center"/>
          </w:tcPr>
          <w:p>
            <w:pPr>
              <w:jc w:val="center"/>
              <w:rPr>
                <w:rFonts w:hint="eastAsia" w:ascii="宋体" w:hAnsi="宋体" w:eastAsia="宋体" w:cs="宋体"/>
                <w:i w:val="0"/>
                <w:iCs w:val="0"/>
                <w:color w:val="000000"/>
                <w:sz w:val="22"/>
                <w:szCs w:val="22"/>
                <w:u w:val="none"/>
              </w:rPr>
            </w:pPr>
          </w:p>
        </w:tc>
        <w:tc>
          <w:tcPr>
            <w:tcW w:w="1720" w:type="dxa"/>
            <w:vMerge w:val="continue"/>
            <w:tcBorders>
              <w:top w:val="single" w:color="000000" w:sz="4" w:space="0"/>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22"/>
                <w:szCs w:val="22"/>
                <w:u w:val="none"/>
              </w:rPr>
            </w:pPr>
          </w:p>
        </w:tc>
        <w:tc>
          <w:tcPr>
            <w:tcW w:w="1670" w:type="dxa"/>
            <w:vMerge w:val="continue"/>
            <w:tcBorders>
              <w:top w:val="single" w:color="000000" w:sz="4" w:space="0"/>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22"/>
                <w:szCs w:val="22"/>
                <w:u w:val="none"/>
              </w:rPr>
            </w:pPr>
          </w:p>
        </w:tc>
        <w:tc>
          <w:tcPr>
            <w:tcW w:w="1400" w:type="dxa"/>
            <w:vMerge w:val="continue"/>
            <w:tcBorders>
              <w:top w:val="single" w:color="000000" w:sz="4" w:space="0"/>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22"/>
                <w:szCs w:val="22"/>
                <w:u w:val="none"/>
              </w:rPr>
            </w:pPr>
          </w:p>
        </w:tc>
        <w:tc>
          <w:tcPr>
            <w:tcW w:w="1280" w:type="dxa"/>
            <w:vMerge w:val="continue"/>
            <w:tcBorders>
              <w:top w:val="single" w:color="000000" w:sz="4" w:space="0"/>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22"/>
                <w:szCs w:val="22"/>
                <w:u w:val="none"/>
              </w:rPr>
            </w:pPr>
          </w:p>
        </w:tc>
        <w:tc>
          <w:tcPr>
            <w:tcW w:w="1240" w:type="dxa"/>
            <w:vMerge w:val="continue"/>
            <w:tcBorders>
              <w:top w:val="single" w:color="000000" w:sz="4" w:space="0"/>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22"/>
                <w:szCs w:val="22"/>
                <w:u w:val="none"/>
              </w:rPr>
            </w:pPr>
          </w:p>
        </w:tc>
        <w:tc>
          <w:tcPr>
            <w:tcW w:w="1400" w:type="dxa"/>
            <w:vMerge w:val="continue"/>
            <w:tcBorders>
              <w:top w:val="single" w:color="000000" w:sz="4" w:space="0"/>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22"/>
                <w:szCs w:val="22"/>
                <w:u w:val="none"/>
              </w:rPr>
            </w:pPr>
          </w:p>
        </w:tc>
        <w:tc>
          <w:tcPr>
            <w:tcW w:w="1420" w:type="dxa"/>
            <w:vMerge w:val="continue"/>
            <w:tcBorders>
              <w:top w:val="single" w:color="000000" w:sz="4" w:space="0"/>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4"/>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栏次</w:t>
            </w:r>
          </w:p>
        </w:tc>
        <w:tc>
          <w:tcPr>
            <w:tcW w:w="1720" w:type="dxa"/>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670" w:type="dxa"/>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400" w:type="dxa"/>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1280" w:type="dxa"/>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240" w:type="dxa"/>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1400" w:type="dxa"/>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1420" w:type="dxa"/>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4"/>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3,199.92</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2,779.19</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407.62</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13.12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一般公共服务支出</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9.40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9.40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20132</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组织事务</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9.40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9.40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2013299</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其他组织事务支出</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9.40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9.40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205</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教育支出</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2,854.09</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2,446.48</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407.62</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20502</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普通教育</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2,854.09</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2,446.48</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407.62</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2050202</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小学教育</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2,460.43</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2,052.82</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407.62</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2050299</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其他普通教育支出</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393.66</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393.66</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社会保障和就业支出</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232.51</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232.51</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20805</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行政事业单位养老支出</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232.51</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232.51</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2080505</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机关事业单位基本养老保险缴费支出</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180.64</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180.64</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2080599</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其他行政事业单位养老支出</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51.88</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51.88</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卫生健康支出</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90.80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90.80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21011</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行政事业单位医疗</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90.80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90.80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2101101</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行政单位医疗</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90.80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90.80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229</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其他支出</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13.12</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13.12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22999</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其他支出</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13.12</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13.12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2299999</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其他支出</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13.12</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13.12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11"/>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注：本表反映部门本年度取得的各项收入情况。</w:t>
            </w:r>
          </w:p>
        </w:tc>
      </w:tr>
    </w:tbl>
    <w:p>
      <w:pPr>
        <w:widowControl/>
        <w:rPr>
          <w:rFonts w:ascii="Times New Roman" w:hAnsi="Times New Roman" w:eastAsia="方正小标宋_GBK" w:cs="Times New Roman"/>
          <w:color w:val="000000"/>
          <w:kern w:val="0"/>
          <w:sz w:val="36"/>
          <w:szCs w:val="36"/>
        </w:rPr>
      </w:pPr>
    </w:p>
    <w:p>
      <w:pPr>
        <w:widowControl/>
        <w:rPr>
          <w:rFonts w:ascii="Times New Roman" w:hAnsi="Times New Roman" w:eastAsia="方正小标宋_GBK" w:cs="Times New Roman"/>
          <w:color w:val="000000"/>
          <w:kern w:val="0"/>
          <w:sz w:val="36"/>
          <w:szCs w:val="36"/>
        </w:rPr>
      </w:pPr>
    </w:p>
    <w:tbl>
      <w:tblPr>
        <w:tblStyle w:val="7"/>
        <w:tblW w:w="14530" w:type="dxa"/>
        <w:tblInd w:w="98"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2216"/>
        <w:gridCol w:w="222"/>
        <w:gridCol w:w="222"/>
        <w:gridCol w:w="3956"/>
        <w:gridCol w:w="1545"/>
        <w:gridCol w:w="1539"/>
        <w:gridCol w:w="1306"/>
        <w:gridCol w:w="974"/>
        <w:gridCol w:w="945"/>
        <w:gridCol w:w="161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0" w:hRule="atLeast"/>
        </w:trPr>
        <w:tc>
          <w:tcPr>
            <w:tcW w:w="14537" w:type="dxa"/>
            <w:gridSpan w:val="10"/>
            <w:tcBorders>
              <w:top w:val="nil"/>
              <w:left w:val="nil"/>
              <w:bottom w:val="nil"/>
              <w:right w:val="nil"/>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30"/>
                <w:szCs w:val="30"/>
                <w:u w:val="none"/>
              </w:rPr>
            </w:pPr>
            <w:r>
              <w:rPr>
                <w:rFonts w:hint="eastAsia" w:ascii="宋体" w:hAnsi="宋体" w:eastAsia="宋体" w:cs="宋体"/>
                <w:i w:val="0"/>
                <w:iCs w:val="0"/>
                <w:color w:val="000000"/>
                <w:kern w:val="0"/>
                <w:sz w:val="30"/>
                <w:szCs w:val="30"/>
                <w:u w:val="none"/>
                <w:lang w:val="en-US" w:eastAsia="zh-CN" w:bidi="ar"/>
              </w:rPr>
              <w:t>支出决算表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trPr>
        <w:tc>
          <w:tcPr>
            <w:tcW w:w="0" w:type="auto"/>
            <w:tcBorders>
              <w:top w:val="nil"/>
              <w:left w:val="nil"/>
              <w:bottom w:val="nil"/>
              <w:right w:val="nil"/>
            </w:tcBorders>
            <w:shd w:val="clear" w:color="auto" w:fill="auto"/>
            <w:noWrap/>
            <w:vAlign w:val="bottom"/>
          </w:tcPr>
          <w:p>
            <w:pPr>
              <w:rPr>
                <w:rFonts w:hint="eastAsia"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pPr>
              <w:keepNext w:val="0"/>
              <w:keepLines w:val="0"/>
              <w:widowControl/>
              <w:suppressLineNumbers w:val="0"/>
              <w:jc w:val="righ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公开03表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trPr>
        <w:tc>
          <w:tcPr>
            <w:tcW w:w="0" w:type="auto"/>
            <w:tcBorders>
              <w:top w:val="nil"/>
              <w:left w:val="nil"/>
              <w:bottom w:val="nil"/>
              <w:right w:val="nil"/>
            </w:tcBorders>
            <w:shd w:val="clear" w:color="auto" w:fill="auto"/>
            <w:noWrap/>
            <w:vAlign w:val="bottom"/>
          </w:tcPr>
          <w:p>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部门：怀化市实验小学</w:t>
            </w: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pPr>
              <w:keepNext w:val="0"/>
              <w:keepLines w:val="0"/>
              <w:widowControl/>
              <w:suppressLineNumbers w:val="0"/>
              <w:jc w:val="righ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金额单位：万元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4"/>
            <w:tcBorders>
              <w:top w:val="single" w:color="000000" w:sz="4" w:space="0"/>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w:t>
            </w:r>
          </w:p>
        </w:tc>
        <w:tc>
          <w:tcPr>
            <w:tcW w:w="1780" w:type="dxa"/>
            <w:vMerge w:val="restart"/>
            <w:tcBorders>
              <w:top w:val="single" w:color="000000" w:sz="4" w:space="0"/>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本年支出合计</w:t>
            </w:r>
          </w:p>
        </w:tc>
        <w:tc>
          <w:tcPr>
            <w:tcW w:w="1740" w:type="dxa"/>
            <w:vMerge w:val="restart"/>
            <w:tcBorders>
              <w:top w:val="single" w:color="000000" w:sz="4" w:space="0"/>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基本支出</w:t>
            </w:r>
          </w:p>
        </w:tc>
        <w:tc>
          <w:tcPr>
            <w:tcW w:w="1885" w:type="dxa"/>
            <w:vMerge w:val="restart"/>
            <w:tcBorders>
              <w:top w:val="single" w:color="000000" w:sz="4" w:space="0"/>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项目支出</w:t>
            </w:r>
          </w:p>
        </w:tc>
        <w:tc>
          <w:tcPr>
            <w:tcW w:w="1390" w:type="dxa"/>
            <w:vMerge w:val="restart"/>
            <w:tcBorders>
              <w:top w:val="single" w:color="000000" w:sz="4" w:space="0"/>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上缴上级支出</w:t>
            </w:r>
          </w:p>
        </w:tc>
        <w:tc>
          <w:tcPr>
            <w:tcW w:w="1200" w:type="dxa"/>
            <w:vMerge w:val="restart"/>
            <w:tcBorders>
              <w:top w:val="single" w:color="000000" w:sz="4" w:space="0"/>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经营支出</w:t>
            </w:r>
          </w:p>
        </w:tc>
        <w:tc>
          <w:tcPr>
            <w:tcW w:w="1390" w:type="dxa"/>
            <w:vMerge w:val="restart"/>
            <w:tcBorders>
              <w:top w:val="single" w:color="000000" w:sz="4" w:space="0"/>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对附属单位补助支出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035" w:type="dxa"/>
            <w:gridSpan w:val="3"/>
            <w:vMerge w:val="restart"/>
            <w:tcBorders>
              <w:top w:val="nil"/>
              <w:left w:val="single" w:color="000000" w:sz="4" w:space="0"/>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科目代码</w:t>
            </w:r>
          </w:p>
        </w:tc>
        <w:tc>
          <w:tcPr>
            <w:tcW w:w="0" w:type="auto"/>
            <w:vMerge w:val="restar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科目名称</w:t>
            </w:r>
          </w:p>
        </w:tc>
        <w:tc>
          <w:tcPr>
            <w:tcW w:w="1780" w:type="dxa"/>
            <w:vMerge w:val="continue"/>
            <w:tcBorders>
              <w:top w:val="single" w:color="000000" w:sz="4" w:space="0"/>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22"/>
                <w:szCs w:val="22"/>
                <w:u w:val="none"/>
              </w:rPr>
            </w:pPr>
          </w:p>
        </w:tc>
        <w:tc>
          <w:tcPr>
            <w:tcW w:w="1740" w:type="dxa"/>
            <w:vMerge w:val="continue"/>
            <w:tcBorders>
              <w:top w:val="single" w:color="000000" w:sz="4" w:space="0"/>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22"/>
                <w:szCs w:val="22"/>
                <w:u w:val="none"/>
              </w:rPr>
            </w:pPr>
          </w:p>
        </w:tc>
        <w:tc>
          <w:tcPr>
            <w:tcW w:w="1885" w:type="dxa"/>
            <w:vMerge w:val="continue"/>
            <w:tcBorders>
              <w:top w:val="single" w:color="000000" w:sz="4" w:space="0"/>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22"/>
                <w:szCs w:val="22"/>
                <w:u w:val="none"/>
              </w:rPr>
            </w:pPr>
          </w:p>
        </w:tc>
        <w:tc>
          <w:tcPr>
            <w:tcW w:w="1390" w:type="dxa"/>
            <w:vMerge w:val="continue"/>
            <w:tcBorders>
              <w:top w:val="single" w:color="000000" w:sz="4" w:space="0"/>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22"/>
                <w:szCs w:val="22"/>
                <w:u w:val="none"/>
              </w:rPr>
            </w:pPr>
          </w:p>
        </w:tc>
        <w:tc>
          <w:tcPr>
            <w:tcW w:w="1200" w:type="dxa"/>
            <w:vMerge w:val="continue"/>
            <w:tcBorders>
              <w:top w:val="single" w:color="000000" w:sz="4" w:space="0"/>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22"/>
                <w:szCs w:val="22"/>
                <w:u w:val="none"/>
              </w:rPr>
            </w:pPr>
          </w:p>
        </w:tc>
        <w:tc>
          <w:tcPr>
            <w:tcW w:w="1390" w:type="dxa"/>
            <w:vMerge w:val="continue"/>
            <w:tcBorders>
              <w:top w:val="single" w:color="000000" w:sz="4" w:space="0"/>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035" w:type="dxa"/>
            <w:gridSpan w:val="3"/>
            <w:vMerge w:val="continue"/>
            <w:tcBorders>
              <w:top w:val="nil"/>
              <w:left w:val="single" w:color="000000" w:sz="4" w:space="0"/>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22"/>
                <w:szCs w:val="22"/>
                <w:u w:val="none"/>
              </w:rPr>
            </w:pPr>
          </w:p>
        </w:tc>
        <w:tc>
          <w:tcPr>
            <w:tcW w:w="0" w:type="auto"/>
            <w:vMerge w:val="continue"/>
            <w:tcBorders>
              <w:top w:val="nil"/>
              <w:left w:val="nil"/>
              <w:bottom w:val="single" w:color="000000" w:sz="4" w:space="0"/>
              <w:right w:val="single" w:color="000000" w:sz="4" w:space="0"/>
            </w:tcBorders>
            <w:shd w:val="clear" w:color="FFFFFF" w:fill="C0C0C0"/>
            <w:noWrap/>
            <w:vAlign w:val="center"/>
          </w:tcPr>
          <w:p>
            <w:pPr>
              <w:jc w:val="center"/>
              <w:rPr>
                <w:rFonts w:hint="eastAsia" w:ascii="宋体" w:hAnsi="宋体" w:eastAsia="宋体" w:cs="宋体"/>
                <w:i w:val="0"/>
                <w:iCs w:val="0"/>
                <w:color w:val="000000"/>
                <w:sz w:val="22"/>
                <w:szCs w:val="22"/>
                <w:u w:val="none"/>
              </w:rPr>
            </w:pPr>
          </w:p>
        </w:tc>
        <w:tc>
          <w:tcPr>
            <w:tcW w:w="1780" w:type="dxa"/>
            <w:vMerge w:val="continue"/>
            <w:tcBorders>
              <w:top w:val="single" w:color="000000" w:sz="4" w:space="0"/>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22"/>
                <w:szCs w:val="22"/>
                <w:u w:val="none"/>
              </w:rPr>
            </w:pPr>
          </w:p>
        </w:tc>
        <w:tc>
          <w:tcPr>
            <w:tcW w:w="1740" w:type="dxa"/>
            <w:vMerge w:val="continue"/>
            <w:tcBorders>
              <w:top w:val="single" w:color="000000" w:sz="4" w:space="0"/>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22"/>
                <w:szCs w:val="22"/>
                <w:u w:val="none"/>
              </w:rPr>
            </w:pPr>
          </w:p>
        </w:tc>
        <w:tc>
          <w:tcPr>
            <w:tcW w:w="1885" w:type="dxa"/>
            <w:vMerge w:val="continue"/>
            <w:tcBorders>
              <w:top w:val="single" w:color="000000" w:sz="4" w:space="0"/>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22"/>
                <w:szCs w:val="22"/>
                <w:u w:val="none"/>
              </w:rPr>
            </w:pPr>
          </w:p>
        </w:tc>
        <w:tc>
          <w:tcPr>
            <w:tcW w:w="1390" w:type="dxa"/>
            <w:vMerge w:val="continue"/>
            <w:tcBorders>
              <w:top w:val="single" w:color="000000" w:sz="4" w:space="0"/>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22"/>
                <w:szCs w:val="22"/>
                <w:u w:val="none"/>
              </w:rPr>
            </w:pPr>
          </w:p>
        </w:tc>
        <w:tc>
          <w:tcPr>
            <w:tcW w:w="1200" w:type="dxa"/>
            <w:vMerge w:val="continue"/>
            <w:tcBorders>
              <w:top w:val="single" w:color="000000" w:sz="4" w:space="0"/>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22"/>
                <w:szCs w:val="22"/>
                <w:u w:val="none"/>
              </w:rPr>
            </w:pPr>
          </w:p>
        </w:tc>
        <w:tc>
          <w:tcPr>
            <w:tcW w:w="1390" w:type="dxa"/>
            <w:vMerge w:val="continue"/>
            <w:tcBorders>
              <w:top w:val="single" w:color="000000" w:sz="4" w:space="0"/>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035" w:type="dxa"/>
            <w:gridSpan w:val="3"/>
            <w:vMerge w:val="continue"/>
            <w:tcBorders>
              <w:top w:val="nil"/>
              <w:left w:val="single" w:color="000000" w:sz="4" w:space="0"/>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22"/>
                <w:szCs w:val="22"/>
                <w:u w:val="none"/>
              </w:rPr>
            </w:pPr>
          </w:p>
        </w:tc>
        <w:tc>
          <w:tcPr>
            <w:tcW w:w="0" w:type="auto"/>
            <w:vMerge w:val="continue"/>
            <w:tcBorders>
              <w:top w:val="nil"/>
              <w:left w:val="nil"/>
              <w:bottom w:val="single" w:color="000000" w:sz="4" w:space="0"/>
              <w:right w:val="single" w:color="000000" w:sz="4" w:space="0"/>
            </w:tcBorders>
            <w:shd w:val="clear" w:color="FFFFFF" w:fill="C0C0C0"/>
            <w:noWrap/>
            <w:vAlign w:val="center"/>
          </w:tcPr>
          <w:p>
            <w:pPr>
              <w:jc w:val="center"/>
              <w:rPr>
                <w:rFonts w:hint="eastAsia" w:ascii="宋体" w:hAnsi="宋体" w:eastAsia="宋体" w:cs="宋体"/>
                <w:i w:val="0"/>
                <w:iCs w:val="0"/>
                <w:color w:val="000000"/>
                <w:sz w:val="22"/>
                <w:szCs w:val="22"/>
                <w:u w:val="none"/>
              </w:rPr>
            </w:pPr>
          </w:p>
        </w:tc>
        <w:tc>
          <w:tcPr>
            <w:tcW w:w="1780" w:type="dxa"/>
            <w:vMerge w:val="continue"/>
            <w:tcBorders>
              <w:top w:val="single" w:color="000000" w:sz="4" w:space="0"/>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22"/>
                <w:szCs w:val="22"/>
                <w:u w:val="none"/>
              </w:rPr>
            </w:pPr>
          </w:p>
        </w:tc>
        <w:tc>
          <w:tcPr>
            <w:tcW w:w="1740" w:type="dxa"/>
            <w:vMerge w:val="continue"/>
            <w:tcBorders>
              <w:top w:val="single" w:color="000000" w:sz="4" w:space="0"/>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22"/>
                <w:szCs w:val="22"/>
                <w:u w:val="none"/>
              </w:rPr>
            </w:pPr>
          </w:p>
        </w:tc>
        <w:tc>
          <w:tcPr>
            <w:tcW w:w="1885" w:type="dxa"/>
            <w:vMerge w:val="continue"/>
            <w:tcBorders>
              <w:top w:val="single" w:color="000000" w:sz="4" w:space="0"/>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22"/>
                <w:szCs w:val="22"/>
                <w:u w:val="none"/>
              </w:rPr>
            </w:pPr>
          </w:p>
        </w:tc>
        <w:tc>
          <w:tcPr>
            <w:tcW w:w="1390" w:type="dxa"/>
            <w:vMerge w:val="continue"/>
            <w:tcBorders>
              <w:top w:val="single" w:color="000000" w:sz="4" w:space="0"/>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22"/>
                <w:szCs w:val="22"/>
                <w:u w:val="none"/>
              </w:rPr>
            </w:pPr>
          </w:p>
        </w:tc>
        <w:tc>
          <w:tcPr>
            <w:tcW w:w="1200" w:type="dxa"/>
            <w:vMerge w:val="continue"/>
            <w:tcBorders>
              <w:top w:val="single" w:color="000000" w:sz="4" w:space="0"/>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22"/>
                <w:szCs w:val="22"/>
                <w:u w:val="none"/>
              </w:rPr>
            </w:pPr>
          </w:p>
        </w:tc>
        <w:tc>
          <w:tcPr>
            <w:tcW w:w="1390" w:type="dxa"/>
            <w:vMerge w:val="continue"/>
            <w:tcBorders>
              <w:top w:val="single" w:color="000000" w:sz="4" w:space="0"/>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4"/>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栏次</w:t>
            </w:r>
          </w:p>
        </w:tc>
        <w:tc>
          <w:tcPr>
            <w:tcW w:w="1780" w:type="dxa"/>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740" w:type="dxa"/>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885" w:type="dxa"/>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1390" w:type="dxa"/>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200" w:type="dxa"/>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1390" w:type="dxa"/>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4"/>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3,199.92</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2,638.43</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561.50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一般公共服务支出</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9.40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9.40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20132</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组织事务</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9.40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9.40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2013299</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其他组织事务支出</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9.40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9.40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205</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教育支出</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2,854.09</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2,302.00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552.10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20502</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普通教育</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2,854.09</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2,302.00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552.10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2050202</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小学教育</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2,460.43</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1,948.51</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511.92</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2050299</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其他普通教育支出</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393.66</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353.48</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40.18</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社会保障和就业支出</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232.51</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232.51</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20805</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行政事业单位养老支出</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232.51</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232.51</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2080505</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机关事业单位基本养老保险缴费支出</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180.64</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180.64</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2080599</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其他行政事业单位养老支出</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51.88</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51.88</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卫生健康支出</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90.80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90.80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21011</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行政事业单位医疗</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90.80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90.80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2101101</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行政单位医疗</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90.80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90.80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229</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其他支出</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13.12</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13.12</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22999</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其他支出</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13.12</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13.12</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2299999</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其他支出</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13.12</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13.12</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10"/>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注：本表反映部门本年度各项支出情况。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0" w:hRule="atLeast"/>
        </w:trPr>
        <w:tc>
          <w:tcPr>
            <w:tcW w:w="0" w:type="auto"/>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r>
    </w:tbl>
    <w:p>
      <w:pPr>
        <w:widowControl/>
        <w:rPr>
          <w:rFonts w:ascii="Times New Roman" w:hAnsi="Times New Roman" w:eastAsia="方正小标宋_GBK" w:cs="Times New Roman"/>
          <w:color w:val="000000"/>
          <w:kern w:val="0"/>
          <w:sz w:val="36"/>
          <w:szCs w:val="36"/>
        </w:rPr>
      </w:pPr>
    </w:p>
    <w:p>
      <w:pPr>
        <w:widowControl/>
        <w:rPr>
          <w:rFonts w:ascii="Times New Roman" w:hAnsi="Times New Roman" w:eastAsia="方正小标宋_GBK" w:cs="Times New Roman"/>
          <w:color w:val="000000"/>
          <w:kern w:val="0"/>
          <w:sz w:val="36"/>
          <w:szCs w:val="36"/>
        </w:rPr>
      </w:pPr>
    </w:p>
    <w:tbl>
      <w:tblPr>
        <w:tblStyle w:val="7"/>
        <w:tblW w:w="15723" w:type="dxa"/>
        <w:tblInd w:w="98"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3667"/>
        <w:gridCol w:w="564"/>
        <w:gridCol w:w="1482"/>
        <w:gridCol w:w="4010"/>
        <w:gridCol w:w="564"/>
        <w:gridCol w:w="1196"/>
        <w:gridCol w:w="1383"/>
        <w:gridCol w:w="1094"/>
        <w:gridCol w:w="176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0" w:hRule="atLeast"/>
        </w:trPr>
        <w:tc>
          <w:tcPr>
            <w:tcW w:w="15723" w:type="dxa"/>
            <w:gridSpan w:val="9"/>
            <w:tcBorders>
              <w:top w:val="nil"/>
              <w:left w:val="nil"/>
              <w:bottom w:val="nil"/>
              <w:right w:val="nil"/>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30"/>
                <w:szCs w:val="30"/>
                <w:u w:val="none"/>
              </w:rPr>
            </w:pPr>
            <w:r>
              <w:rPr>
                <w:rFonts w:hint="eastAsia" w:ascii="宋体" w:hAnsi="宋体" w:eastAsia="宋体" w:cs="宋体"/>
                <w:i w:val="0"/>
                <w:iCs w:val="0"/>
                <w:color w:val="000000"/>
                <w:kern w:val="0"/>
                <w:sz w:val="30"/>
                <w:szCs w:val="30"/>
                <w:u w:val="none"/>
                <w:lang w:val="en-US" w:eastAsia="zh-CN" w:bidi="ar"/>
              </w:rPr>
              <w:t>财政拨款收入支出决算总表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trPr>
        <w:tc>
          <w:tcPr>
            <w:tcW w:w="3667" w:type="dxa"/>
            <w:tcBorders>
              <w:top w:val="nil"/>
              <w:left w:val="nil"/>
              <w:bottom w:val="nil"/>
              <w:right w:val="nil"/>
            </w:tcBorders>
            <w:shd w:val="clear" w:color="auto" w:fill="auto"/>
            <w:noWrap/>
            <w:vAlign w:val="bottom"/>
          </w:tcPr>
          <w:p>
            <w:pPr>
              <w:rPr>
                <w:rFonts w:hint="eastAsia" w:ascii="Arial" w:hAnsi="Arial" w:cs="Arial"/>
                <w:i w:val="0"/>
                <w:iCs w:val="0"/>
                <w:color w:val="000000"/>
                <w:sz w:val="20"/>
                <w:szCs w:val="20"/>
                <w:u w:val="none"/>
              </w:rPr>
            </w:pPr>
          </w:p>
        </w:tc>
        <w:tc>
          <w:tcPr>
            <w:tcW w:w="564" w:type="dxa"/>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1482" w:type="dxa"/>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4010" w:type="dxa"/>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564" w:type="dxa"/>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1196" w:type="dxa"/>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1383" w:type="dxa"/>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1094" w:type="dxa"/>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1763" w:type="dxa"/>
            <w:tcBorders>
              <w:top w:val="nil"/>
              <w:left w:val="nil"/>
              <w:bottom w:val="nil"/>
              <w:right w:val="nil"/>
            </w:tcBorders>
            <w:shd w:val="clear" w:color="auto" w:fill="auto"/>
            <w:noWrap/>
            <w:vAlign w:val="bottom"/>
          </w:tcPr>
          <w:p>
            <w:pPr>
              <w:keepNext w:val="0"/>
              <w:keepLines w:val="0"/>
              <w:widowControl/>
              <w:suppressLineNumbers w:val="0"/>
              <w:jc w:val="righ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公开04表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trPr>
        <w:tc>
          <w:tcPr>
            <w:tcW w:w="3667" w:type="dxa"/>
            <w:tcBorders>
              <w:top w:val="nil"/>
              <w:left w:val="nil"/>
              <w:bottom w:val="nil"/>
              <w:right w:val="nil"/>
            </w:tcBorders>
            <w:shd w:val="clear" w:color="auto" w:fill="auto"/>
            <w:noWrap/>
            <w:vAlign w:val="bottom"/>
          </w:tcPr>
          <w:p>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部门：怀化市实验小学</w:t>
            </w:r>
          </w:p>
        </w:tc>
        <w:tc>
          <w:tcPr>
            <w:tcW w:w="564" w:type="dxa"/>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1482" w:type="dxa"/>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4010" w:type="dxa"/>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564" w:type="dxa"/>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1196" w:type="dxa"/>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1383" w:type="dxa"/>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1094" w:type="dxa"/>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1763" w:type="dxa"/>
            <w:tcBorders>
              <w:top w:val="nil"/>
              <w:left w:val="nil"/>
              <w:bottom w:val="nil"/>
              <w:right w:val="nil"/>
            </w:tcBorders>
            <w:shd w:val="clear" w:color="auto" w:fill="auto"/>
            <w:noWrap/>
            <w:vAlign w:val="bottom"/>
          </w:tcPr>
          <w:p>
            <w:pPr>
              <w:keepNext w:val="0"/>
              <w:keepLines w:val="0"/>
              <w:widowControl/>
              <w:suppressLineNumbers w:val="0"/>
              <w:jc w:val="righ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金额单位：万元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5713" w:type="dxa"/>
            <w:gridSpan w:val="3"/>
            <w:tcBorders>
              <w:top w:val="single" w:color="000000" w:sz="4" w:space="0"/>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收     入</w:t>
            </w:r>
          </w:p>
        </w:tc>
        <w:tc>
          <w:tcPr>
            <w:tcW w:w="10010" w:type="dxa"/>
            <w:gridSpan w:val="6"/>
            <w:tcBorders>
              <w:top w:val="single" w:color="000000" w:sz="4" w:space="0"/>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支     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2" w:hRule="atLeast"/>
        </w:trPr>
        <w:tc>
          <w:tcPr>
            <w:tcW w:w="3667" w:type="dxa"/>
            <w:vMerge w:val="restart"/>
            <w:tcBorders>
              <w:top w:val="nil"/>
              <w:left w:val="single" w:color="000000" w:sz="4" w:space="0"/>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w:t>
            </w:r>
          </w:p>
        </w:tc>
        <w:tc>
          <w:tcPr>
            <w:tcW w:w="564" w:type="dxa"/>
            <w:vMerge w:val="restart"/>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行次</w:t>
            </w:r>
          </w:p>
        </w:tc>
        <w:tc>
          <w:tcPr>
            <w:tcW w:w="1482" w:type="dxa"/>
            <w:vMerge w:val="restart"/>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w:t>
            </w:r>
          </w:p>
        </w:tc>
        <w:tc>
          <w:tcPr>
            <w:tcW w:w="4010" w:type="dxa"/>
            <w:vMerge w:val="restart"/>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w:t>
            </w:r>
          </w:p>
        </w:tc>
        <w:tc>
          <w:tcPr>
            <w:tcW w:w="564" w:type="dxa"/>
            <w:vMerge w:val="restart"/>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行次</w:t>
            </w:r>
          </w:p>
        </w:tc>
        <w:tc>
          <w:tcPr>
            <w:tcW w:w="1196" w:type="dxa"/>
            <w:vMerge w:val="restar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1383" w:type="dxa"/>
            <w:vMerge w:val="restart"/>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一般公共预算财政拨款</w:t>
            </w:r>
          </w:p>
        </w:tc>
        <w:tc>
          <w:tcPr>
            <w:tcW w:w="1094" w:type="dxa"/>
            <w:vMerge w:val="restart"/>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政府性基金预算财政拨款</w:t>
            </w:r>
          </w:p>
        </w:tc>
        <w:tc>
          <w:tcPr>
            <w:tcW w:w="1763" w:type="dxa"/>
            <w:vMerge w:val="restart"/>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国有资本经营预算财政拨款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15" w:hRule="atLeast"/>
        </w:trPr>
        <w:tc>
          <w:tcPr>
            <w:tcW w:w="3667" w:type="dxa"/>
            <w:vMerge w:val="continue"/>
            <w:tcBorders>
              <w:top w:val="nil"/>
              <w:left w:val="single" w:color="000000" w:sz="4" w:space="0"/>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22"/>
                <w:szCs w:val="22"/>
                <w:u w:val="none"/>
              </w:rPr>
            </w:pPr>
          </w:p>
        </w:tc>
        <w:tc>
          <w:tcPr>
            <w:tcW w:w="564" w:type="dxa"/>
            <w:vMerge w:val="continue"/>
            <w:tcBorders>
              <w:top w:val="nil"/>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22"/>
                <w:szCs w:val="22"/>
                <w:u w:val="none"/>
              </w:rPr>
            </w:pPr>
          </w:p>
        </w:tc>
        <w:tc>
          <w:tcPr>
            <w:tcW w:w="1482" w:type="dxa"/>
            <w:vMerge w:val="continue"/>
            <w:tcBorders>
              <w:top w:val="nil"/>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22"/>
                <w:szCs w:val="22"/>
                <w:u w:val="none"/>
              </w:rPr>
            </w:pPr>
          </w:p>
        </w:tc>
        <w:tc>
          <w:tcPr>
            <w:tcW w:w="4010" w:type="dxa"/>
            <w:vMerge w:val="continue"/>
            <w:tcBorders>
              <w:top w:val="nil"/>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22"/>
                <w:szCs w:val="22"/>
                <w:u w:val="none"/>
              </w:rPr>
            </w:pPr>
          </w:p>
        </w:tc>
        <w:tc>
          <w:tcPr>
            <w:tcW w:w="564" w:type="dxa"/>
            <w:vMerge w:val="continue"/>
            <w:tcBorders>
              <w:top w:val="nil"/>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22"/>
                <w:szCs w:val="22"/>
                <w:u w:val="none"/>
              </w:rPr>
            </w:pPr>
          </w:p>
        </w:tc>
        <w:tc>
          <w:tcPr>
            <w:tcW w:w="1196" w:type="dxa"/>
            <w:vMerge w:val="continue"/>
            <w:tcBorders>
              <w:top w:val="nil"/>
              <w:left w:val="nil"/>
              <w:bottom w:val="single" w:color="000000" w:sz="4" w:space="0"/>
              <w:right w:val="single" w:color="000000" w:sz="4" w:space="0"/>
            </w:tcBorders>
            <w:shd w:val="clear" w:color="FFFFFF" w:fill="C0C0C0"/>
            <w:noWrap/>
            <w:vAlign w:val="center"/>
          </w:tcPr>
          <w:p>
            <w:pPr>
              <w:jc w:val="center"/>
              <w:rPr>
                <w:rFonts w:hint="eastAsia" w:ascii="宋体" w:hAnsi="宋体" w:eastAsia="宋体" w:cs="宋体"/>
                <w:i w:val="0"/>
                <w:iCs w:val="0"/>
                <w:color w:val="000000"/>
                <w:sz w:val="22"/>
                <w:szCs w:val="22"/>
                <w:u w:val="none"/>
              </w:rPr>
            </w:pPr>
          </w:p>
        </w:tc>
        <w:tc>
          <w:tcPr>
            <w:tcW w:w="1383" w:type="dxa"/>
            <w:vMerge w:val="continue"/>
            <w:tcBorders>
              <w:top w:val="nil"/>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22"/>
                <w:szCs w:val="22"/>
                <w:u w:val="none"/>
              </w:rPr>
            </w:pPr>
          </w:p>
        </w:tc>
        <w:tc>
          <w:tcPr>
            <w:tcW w:w="1094" w:type="dxa"/>
            <w:vMerge w:val="continue"/>
            <w:tcBorders>
              <w:top w:val="nil"/>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22"/>
                <w:szCs w:val="22"/>
                <w:u w:val="none"/>
              </w:rPr>
            </w:pPr>
          </w:p>
        </w:tc>
        <w:tc>
          <w:tcPr>
            <w:tcW w:w="1763" w:type="dxa"/>
            <w:vMerge w:val="continue"/>
            <w:tcBorders>
              <w:top w:val="nil"/>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3667" w:type="dxa"/>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栏次</w:t>
            </w:r>
          </w:p>
        </w:tc>
        <w:tc>
          <w:tcPr>
            <w:tcW w:w="564" w:type="dxa"/>
            <w:tcBorders>
              <w:top w:val="nil"/>
              <w:left w:val="nil"/>
              <w:bottom w:val="single" w:color="000000" w:sz="4" w:space="0"/>
              <w:right w:val="single" w:color="000000" w:sz="4" w:space="0"/>
            </w:tcBorders>
            <w:shd w:val="clear" w:color="FFFFFF" w:fill="C0C0C0"/>
            <w:noWrap/>
            <w:vAlign w:val="center"/>
          </w:tcPr>
          <w:p>
            <w:pPr>
              <w:jc w:val="center"/>
              <w:rPr>
                <w:rFonts w:hint="eastAsia" w:ascii="宋体" w:hAnsi="宋体" w:eastAsia="宋体" w:cs="宋体"/>
                <w:i w:val="0"/>
                <w:iCs w:val="0"/>
                <w:color w:val="000000"/>
                <w:sz w:val="22"/>
                <w:szCs w:val="22"/>
                <w:u w:val="none"/>
              </w:rPr>
            </w:pPr>
          </w:p>
        </w:tc>
        <w:tc>
          <w:tcPr>
            <w:tcW w:w="1482"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4010"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栏次</w:t>
            </w:r>
          </w:p>
        </w:tc>
        <w:tc>
          <w:tcPr>
            <w:tcW w:w="564" w:type="dxa"/>
            <w:tcBorders>
              <w:top w:val="nil"/>
              <w:left w:val="nil"/>
              <w:bottom w:val="single" w:color="000000" w:sz="4" w:space="0"/>
              <w:right w:val="single" w:color="000000" w:sz="4" w:space="0"/>
            </w:tcBorders>
            <w:shd w:val="clear" w:color="FFFFFF" w:fill="C0C0C0"/>
            <w:noWrap/>
            <w:vAlign w:val="center"/>
          </w:tcPr>
          <w:p>
            <w:pPr>
              <w:jc w:val="center"/>
              <w:rPr>
                <w:rFonts w:hint="eastAsia" w:ascii="宋体" w:hAnsi="宋体" w:eastAsia="宋体" w:cs="宋体"/>
                <w:i w:val="0"/>
                <w:iCs w:val="0"/>
                <w:color w:val="000000"/>
                <w:sz w:val="22"/>
                <w:szCs w:val="22"/>
                <w:u w:val="none"/>
              </w:rPr>
            </w:pPr>
          </w:p>
        </w:tc>
        <w:tc>
          <w:tcPr>
            <w:tcW w:w="1196"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383"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1094"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763"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667" w:type="dxa"/>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一、一般公共预算财政拨款</w:t>
            </w:r>
          </w:p>
        </w:tc>
        <w:tc>
          <w:tcPr>
            <w:tcW w:w="564"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482"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2,779.19</w:t>
            </w:r>
          </w:p>
        </w:tc>
        <w:tc>
          <w:tcPr>
            <w:tcW w:w="4010"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一、一般公共服务支出</w:t>
            </w:r>
          </w:p>
        </w:tc>
        <w:tc>
          <w:tcPr>
            <w:tcW w:w="564"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w:t>
            </w:r>
          </w:p>
        </w:tc>
        <w:tc>
          <w:tcPr>
            <w:tcW w:w="119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9.40</w:t>
            </w:r>
          </w:p>
        </w:tc>
        <w:tc>
          <w:tcPr>
            <w:tcW w:w="1383"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9.40</w:t>
            </w:r>
          </w:p>
        </w:tc>
        <w:tc>
          <w:tcPr>
            <w:tcW w:w="1094"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763"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667" w:type="dxa"/>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二、政府性基金预算财政拨款</w:t>
            </w:r>
          </w:p>
        </w:tc>
        <w:tc>
          <w:tcPr>
            <w:tcW w:w="564"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482"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4010"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二、外交支出</w:t>
            </w:r>
          </w:p>
        </w:tc>
        <w:tc>
          <w:tcPr>
            <w:tcW w:w="564"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w:t>
            </w:r>
          </w:p>
        </w:tc>
        <w:tc>
          <w:tcPr>
            <w:tcW w:w="119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383"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094"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763"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3667" w:type="dxa"/>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三、国有资本经营预算财政拨款</w:t>
            </w:r>
          </w:p>
        </w:tc>
        <w:tc>
          <w:tcPr>
            <w:tcW w:w="564"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1482"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4010"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三、国防支出</w:t>
            </w:r>
          </w:p>
        </w:tc>
        <w:tc>
          <w:tcPr>
            <w:tcW w:w="564"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w:t>
            </w:r>
          </w:p>
        </w:tc>
        <w:tc>
          <w:tcPr>
            <w:tcW w:w="119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383"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094"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763"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3667" w:type="dxa"/>
            <w:tcBorders>
              <w:top w:val="nil"/>
              <w:left w:val="single" w:color="000000" w:sz="4" w:space="0"/>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000000"/>
                <w:sz w:val="22"/>
                <w:szCs w:val="22"/>
                <w:u w:val="none"/>
              </w:rPr>
            </w:pPr>
          </w:p>
        </w:tc>
        <w:tc>
          <w:tcPr>
            <w:tcW w:w="564"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482"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4010"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四、公共安全支出</w:t>
            </w:r>
          </w:p>
        </w:tc>
        <w:tc>
          <w:tcPr>
            <w:tcW w:w="564"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w:t>
            </w:r>
          </w:p>
        </w:tc>
        <w:tc>
          <w:tcPr>
            <w:tcW w:w="119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383"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094"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763"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3667" w:type="dxa"/>
            <w:tcBorders>
              <w:top w:val="nil"/>
              <w:left w:val="single" w:color="000000" w:sz="4" w:space="0"/>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000000"/>
                <w:sz w:val="22"/>
                <w:szCs w:val="22"/>
                <w:u w:val="none"/>
              </w:rPr>
            </w:pPr>
          </w:p>
        </w:tc>
        <w:tc>
          <w:tcPr>
            <w:tcW w:w="564"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1482"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4010"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五、教育支出</w:t>
            </w:r>
          </w:p>
        </w:tc>
        <w:tc>
          <w:tcPr>
            <w:tcW w:w="564"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37</w:t>
            </w:r>
          </w:p>
        </w:tc>
        <w:tc>
          <w:tcPr>
            <w:tcW w:w="119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2,446.48</w:t>
            </w:r>
          </w:p>
        </w:tc>
        <w:tc>
          <w:tcPr>
            <w:tcW w:w="1383"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2,446.48</w:t>
            </w:r>
          </w:p>
        </w:tc>
        <w:tc>
          <w:tcPr>
            <w:tcW w:w="1094"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763"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3667" w:type="dxa"/>
            <w:tcBorders>
              <w:top w:val="nil"/>
              <w:left w:val="single" w:color="000000" w:sz="4" w:space="0"/>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000000"/>
                <w:sz w:val="22"/>
                <w:szCs w:val="22"/>
                <w:u w:val="none"/>
              </w:rPr>
            </w:pPr>
          </w:p>
        </w:tc>
        <w:tc>
          <w:tcPr>
            <w:tcW w:w="564"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1482"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4010"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六、科学技术支出</w:t>
            </w:r>
          </w:p>
        </w:tc>
        <w:tc>
          <w:tcPr>
            <w:tcW w:w="564"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w:t>
            </w:r>
          </w:p>
        </w:tc>
        <w:tc>
          <w:tcPr>
            <w:tcW w:w="119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383"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094"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763"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3667" w:type="dxa"/>
            <w:tcBorders>
              <w:top w:val="nil"/>
              <w:left w:val="single" w:color="000000" w:sz="4" w:space="0"/>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000000"/>
                <w:sz w:val="22"/>
                <w:szCs w:val="22"/>
                <w:u w:val="none"/>
              </w:rPr>
            </w:pPr>
          </w:p>
        </w:tc>
        <w:tc>
          <w:tcPr>
            <w:tcW w:w="564"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1482"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4010"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七、文化旅游体育与传媒支出</w:t>
            </w:r>
          </w:p>
        </w:tc>
        <w:tc>
          <w:tcPr>
            <w:tcW w:w="564"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w:t>
            </w:r>
          </w:p>
        </w:tc>
        <w:tc>
          <w:tcPr>
            <w:tcW w:w="119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383"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094"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763"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3667" w:type="dxa"/>
            <w:tcBorders>
              <w:top w:val="nil"/>
              <w:left w:val="single" w:color="000000" w:sz="4" w:space="0"/>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000000"/>
                <w:sz w:val="22"/>
                <w:szCs w:val="22"/>
                <w:u w:val="none"/>
              </w:rPr>
            </w:pPr>
          </w:p>
        </w:tc>
        <w:tc>
          <w:tcPr>
            <w:tcW w:w="564"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1482"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4010"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八、社会保障和就业支出</w:t>
            </w:r>
          </w:p>
        </w:tc>
        <w:tc>
          <w:tcPr>
            <w:tcW w:w="564"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w:t>
            </w:r>
          </w:p>
        </w:tc>
        <w:tc>
          <w:tcPr>
            <w:tcW w:w="119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232.51</w:t>
            </w:r>
          </w:p>
        </w:tc>
        <w:tc>
          <w:tcPr>
            <w:tcW w:w="1383"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232.51</w:t>
            </w:r>
          </w:p>
        </w:tc>
        <w:tc>
          <w:tcPr>
            <w:tcW w:w="1094"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763"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3667" w:type="dxa"/>
            <w:tcBorders>
              <w:top w:val="nil"/>
              <w:left w:val="single" w:color="000000" w:sz="4" w:space="0"/>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000000"/>
                <w:sz w:val="22"/>
                <w:szCs w:val="22"/>
                <w:u w:val="none"/>
              </w:rPr>
            </w:pPr>
          </w:p>
        </w:tc>
        <w:tc>
          <w:tcPr>
            <w:tcW w:w="564"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w:t>
            </w:r>
          </w:p>
        </w:tc>
        <w:tc>
          <w:tcPr>
            <w:tcW w:w="1482"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4010"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九、卫生健康支出</w:t>
            </w:r>
          </w:p>
        </w:tc>
        <w:tc>
          <w:tcPr>
            <w:tcW w:w="564"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41</w:t>
            </w:r>
          </w:p>
        </w:tc>
        <w:tc>
          <w:tcPr>
            <w:tcW w:w="119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90.80</w:t>
            </w:r>
          </w:p>
        </w:tc>
        <w:tc>
          <w:tcPr>
            <w:tcW w:w="1383"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90.80</w:t>
            </w:r>
          </w:p>
        </w:tc>
        <w:tc>
          <w:tcPr>
            <w:tcW w:w="1094"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763"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3667" w:type="dxa"/>
            <w:tcBorders>
              <w:top w:val="nil"/>
              <w:left w:val="single" w:color="000000" w:sz="4" w:space="0"/>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000000"/>
                <w:sz w:val="22"/>
                <w:szCs w:val="22"/>
                <w:u w:val="none"/>
              </w:rPr>
            </w:pPr>
          </w:p>
        </w:tc>
        <w:tc>
          <w:tcPr>
            <w:tcW w:w="564"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w:t>
            </w:r>
          </w:p>
        </w:tc>
        <w:tc>
          <w:tcPr>
            <w:tcW w:w="1482"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4010"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二十三、其他支出</w:t>
            </w:r>
          </w:p>
        </w:tc>
        <w:tc>
          <w:tcPr>
            <w:tcW w:w="564"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55</w:t>
            </w:r>
          </w:p>
        </w:tc>
        <w:tc>
          <w:tcPr>
            <w:tcW w:w="119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383"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094"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763"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667" w:type="dxa"/>
            <w:tcBorders>
              <w:top w:val="nil"/>
              <w:left w:val="single" w:color="000000" w:sz="4" w:space="0"/>
              <w:bottom w:val="single" w:color="000000" w:sz="4" w:space="0"/>
              <w:right w:val="single" w:color="000000" w:sz="4" w:space="0"/>
            </w:tcBorders>
            <w:shd w:val="clear" w:color="FFFFFF" w:fill="C0C0C0"/>
            <w:noWrap/>
            <w:vAlign w:val="center"/>
          </w:tcPr>
          <w:p>
            <w:pPr>
              <w:jc w:val="center"/>
              <w:rPr>
                <w:rFonts w:hint="eastAsia" w:ascii="宋体" w:hAnsi="宋体" w:eastAsia="宋体" w:cs="宋体"/>
                <w:b/>
                <w:bCs/>
                <w:i w:val="0"/>
                <w:iCs w:val="0"/>
                <w:color w:val="000000"/>
                <w:sz w:val="20"/>
                <w:szCs w:val="20"/>
                <w:u w:val="none"/>
              </w:rPr>
            </w:pPr>
          </w:p>
        </w:tc>
        <w:tc>
          <w:tcPr>
            <w:tcW w:w="564"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w:t>
            </w:r>
          </w:p>
        </w:tc>
        <w:tc>
          <w:tcPr>
            <w:tcW w:w="1482"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4010"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二十四、债务还本支出</w:t>
            </w:r>
          </w:p>
        </w:tc>
        <w:tc>
          <w:tcPr>
            <w:tcW w:w="564"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56</w:t>
            </w:r>
          </w:p>
        </w:tc>
        <w:tc>
          <w:tcPr>
            <w:tcW w:w="119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383"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094"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763"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667" w:type="dxa"/>
            <w:tcBorders>
              <w:top w:val="nil"/>
              <w:left w:val="single" w:color="000000" w:sz="4" w:space="0"/>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000000"/>
                <w:sz w:val="20"/>
                <w:szCs w:val="20"/>
                <w:u w:val="none"/>
              </w:rPr>
            </w:pPr>
          </w:p>
        </w:tc>
        <w:tc>
          <w:tcPr>
            <w:tcW w:w="564"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w:t>
            </w:r>
          </w:p>
        </w:tc>
        <w:tc>
          <w:tcPr>
            <w:tcW w:w="1482"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4010"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二十五、债务付息支出</w:t>
            </w:r>
          </w:p>
        </w:tc>
        <w:tc>
          <w:tcPr>
            <w:tcW w:w="564"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57</w:t>
            </w:r>
          </w:p>
        </w:tc>
        <w:tc>
          <w:tcPr>
            <w:tcW w:w="119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383"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094"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763"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3667" w:type="dxa"/>
            <w:tcBorders>
              <w:top w:val="nil"/>
              <w:left w:val="single" w:color="000000" w:sz="4" w:space="0"/>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000000"/>
                <w:sz w:val="20"/>
                <w:szCs w:val="20"/>
                <w:u w:val="none"/>
              </w:rPr>
            </w:pPr>
          </w:p>
        </w:tc>
        <w:tc>
          <w:tcPr>
            <w:tcW w:w="564"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w:t>
            </w:r>
          </w:p>
        </w:tc>
        <w:tc>
          <w:tcPr>
            <w:tcW w:w="1482"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4010"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二十六、抗疫特别国债安排的支出</w:t>
            </w:r>
          </w:p>
        </w:tc>
        <w:tc>
          <w:tcPr>
            <w:tcW w:w="564"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58</w:t>
            </w:r>
          </w:p>
        </w:tc>
        <w:tc>
          <w:tcPr>
            <w:tcW w:w="119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383"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094"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763"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667" w:type="dxa"/>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本年收入合计</w:t>
            </w:r>
          </w:p>
        </w:tc>
        <w:tc>
          <w:tcPr>
            <w:tcW w:w="564"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w:t>
            </w:r>
          </w:p>
        </w:tc>
        <w:tc>
          <w:tcPr>
            <w:tcW w:w="1482"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2,779.19</w:t>
            </w:r>
          </w:p>
        </w:tc>
        <w:tc>
          <w:tcPr>
            <w:tcW w:w="4010"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本年支出合计</w:t>
            </w:r>
          </w:p>
        </w:tc>
        <w:tc>
          <w:tcPr>
            <w:tcW w:w="564"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59</w:t>
            </w:r>
          </w:p>
        </w:tc>
        <w:tc>
          <w:tcPr>
            <w:tcW w:w="119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2,779.19</w:t>
            </w:r>
          </w:p>
        </w:tc>
        <w:tc>
          <w:tcPr>
            <w:tcW w:w="1383"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2,779.19</w:t>
            </w:r>
          </w:p>
        </w:tc>
        <w:tc>
          <w:tcPr>
            <w:tcW w:w="1094"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763"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667" w:type="dxa"/>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年初财政拨款结转和结余</w:t>
            </w:r>
          </w:p>
        </w:tc>
        <w:tc>
          <w:tcPr>
            <w:tcW w:w="564"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w:t>
            </w:r>
          </w:p>
        </w:tc>
        <w:tc>
          <w:tcPr>
            <w:tcW w:w="1482"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4010"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年末财政拨款结转和结余</w:t>
            </w:r>
          </w:p>
        </w:tc>
        <w:tc>
          <w:tcPr>
            <w:tcW w:w="564"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w:t>
            </w:r>
          </w:p>
        </w:tc>
        <w:tc>
          <w:tcPr>
            <w:tcW w:w="119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383"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094"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763"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3667" w:type="dxa"/>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一般公共预算财政拨款</w:t>
            </w:r>
          </w:p>
        </w:tc>
        <w:tc>
          <w:tcPr>
            <w:tcW w:w="564"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w:t>
            </w:r>
          </w:p>
        </w:tc>
        <w:tc>
          <w:tcPr>
            <w:tcW w:w="1482"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4010" w:type="dxa"/>
            <w:tcBorders>
              <w:top w:val="nil"/>
              <w:left w:val="nil"/>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000000"/>
                <w:sz w:val="22"/>
                <w:szCs w:val="22"/>
                <w:u w:val="none"/>
              </w:rPr>
            </w:pPr>
          </w:p>
        </w:tc>
        <w:tc>
          <w:tcPr>
            <w:tcW w:w="564"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61</w:t>
            </w:r>
          </w:p>
        </w:tc>
        <w:tc>
          <w:tcPr>
            <w:tcW w:w="1196"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383"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094"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763"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667" w:type="dxa"/>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政府性基金预算财政拨款</w:t>
            </w:r>
          </w:p>
        </w:tc>
        <w:tc>
          <w:tcPr>
            <w:tcW w:w="564"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w:t>
            </w:r>
          </w:p>
        </w:tc>
        <w:tc>
          <w:tcPr>
            <w:tcW w:w="1482"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4010" w:type="dxa"/>
            <w:tcBorders>
              <w:top w:val="nil"/>
              <w:left w:val="nil"/>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000000"/>
                <w:sz w:val="22"/>
                <w:szCs w:val="22"/>
                <w:u w:val="none"/>
              </w:rPr>
            </w:pPr>
          </w:p>
        </w:tc>
        <w:tc>
          <w:tcPr>
            <w:tcW w:w="564"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62</w:t>
            </w:r>
          </w:p>
        </w:tc>
        <w:tc>
          <w:tcPr>
            <w:tcW w:w="1196"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383"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094"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763"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667" w:type="dxa"/>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国有资本经营预算财政拨款</w:t>
            </w:r>
          </w:p>
        </w:tc>
        <w:tc>
          <w:tcPr>
            <w:tcW w:w="564"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w:t>
            </w:r>
          </w:p>
        </w:tc>
        <w:tc>
          <w:tcPr>
            <w:tcW w:w="1482"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4010" w:type="dxa"/>
            <w:tcBorders>
              <w:top w:val="nil"/>
              <w:left w:val="nil"/>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000000"/>
                <w:sz w:val="22"/>
                <w:szCs w:val="22"/>
                <w:u w:val="none"/>
              </w:rPr>
            </w:pPr>
          </w:p>
        </w:tc>
        <w:tc>
          <w:tcPr>
            <w:tcW w:w="564"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63</w:t>
            </w:r>
          </w:p>
        </w:tc>
        <w:tc>
          <w:tcPr>
            <w:tcW w:w="1196"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383"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094"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763"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3667" w:type="dxa"/>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总计</w:t>
            </w:r>
          </w:p>
        </w:tc>
        <w:tc>
          <w:tcPr>
            <w:tcW w:w="564"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w:t>
            </w:r>
          </w:p>
        </w:tc>
        <w:tc>
          <w:tcPr>
            <w:tcW w:w="1482"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2,779.19</w:t>
            </w:r>
          </w:p>
        </w:tc>
        <w:tc>
          <w:tcPr>
            <w:tcW w:w="4010"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总计</w:t>
            </w:r>
          </w:p>
        </w:tc>
        <w:tc>
          <w:tcPr>
            <w:tcW w:w="564"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64</w:t>
            </w:r>
          </w:p>
        </w:tc>
        <w:tc>
          <w:tcPr>
            <w:tcW w:w="119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2,779.19</w:t>
            </w:r>
          </w:p>
        </w:tc>
        <w:tc>
          <w:tcPr>
            <w:tcW w:w="1383"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2,779.19</w:t>
            </w:r>
          </w:p>
        </w:tc>
        <w:tc>
          <w:tcPr>
            <w:tcW w:w="1094"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763"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3960" w:type="dxa"/>
            <w:gridSpan w:val="8"/>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注：本表反映部门本年度一般公共预算财政拨款、政府性基金预算财政拨款和国有资本经营预算财政拨款的总收支和年末结转结余情况。</w:t>
            </w:r>
          </w:p>
        </w:tc>
        <w:tc>
          <w:tcPr>
            <w:tcW w:w="1763" w:type="dxa"/>
            <w:tcBorders>
              <w:top w:val="nil"/>
              <w:left w:val="nil"/>
              <w:bottom w:val="nil"/>
              <w:right w:val="nil"/>
            </w:tcBorders>
            <w:shd w:val="clear" w:color="auto" w:fill="auto"/>
            <w:noWrap/>
            <w:vAlign w:val="center"/>
          </w:tcPr>
          <w:p>
            <w:pPr>
              <w:jc w:val="lef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0" w:hRule="atLeast"/>
        </w:trPr>
        <w:tc>
          <w:tcPr>
            <w:tcW w:w="3667" w:type="dxa"/>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564" w:type="dxa"/>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1482" w:type="dxa"/>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4010" w:type="dxa"/>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564" w:type="dxa"/>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1196" w:type="dxa"/>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1383" w:type="dxa"/>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1094" w:type="dxa"/>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1763" w:type="dxa"/>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r>
    </w:tbl>
    <w:p>
      <w:pPr>
        <w:widowControl/>
        <w:rPr>
          <w:rFonts w:ascii="Times New Roman" w:hAnsi="Times New Roman" w:eastAsia="方正小标宋_GBK" w:cs="Times New Roman"/>
          <w:color w:val="000000"/>
          <w:kern w:val="0"/>
          <w:sz w:val="36"/>
          <w:szCs w:val="36"/>
        </w:rPr>
      </w:pPr>
    </w:p>
    <w:tbl>
      <w:tblPr>
        <w:tblStyle w:val="7"/>
        <w:tblW w:w="12220" w:type="dxa"/>
        <w:tblInd w:w="98"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2216"/>
        <w:gridCol w:w="222"/>
        <w:gridCol w:w="222"/>
        <w:gridCol w:w="3956"/>
        <w:gridCol w:w="1670"/>
        <w:gridCol w:w="1670"/>
        <w:gridCol w:w="226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0" w:hRule="atLeast"/>
        </w:trPr>
        <w:tc>
          <w:tcPr>
            <w:tcW w:w="12223" w:type="dxa"/>
            <w:gridSpan w:val="7"/>
            <w:tcBorders>
              <w:top w:val="nil"/>
              <w:left w:val="nil"/>
              <w:bottom w:val="nil"/>
              <w:right w:val="nil"/>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30"/>
                <w:szCs w:val="30"/>
                <w:u w:val="none"/>
              </w:rPr>
            </w:pPr>
            <w:r>
              <w:rPr>
                <w:rFonts w:hint="eastAsia" w:ascii="宋体" w:hAnsi="宋体" w:eastAsia="宋体" w:cs="宋体"/>
                <w:i w:val="0"/>
                <w:iCs w:val="0"/>
                <w:color w:val="000000"/>
                <w:kern w:val="0"/>
                <w:sz w:val="30"/>
                <w:szCs w:val="30"/>
                <w:u w:val="none"/>
                <w:lang w:val="en-US" w:eastAsia="zh-CN" w:bidi="ar"/>
              </w:rPr>
              <w:t>一般公共预算财政拨款支出决算表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trPr>
        <w:tc>
          <w:tcPr>
            <w:tcW w:w="0" w:type="auto"/>
            <w:tcBorders>
              <w:top w:val="nil"/>
              <w:left w:val="nil"/>
              <w:bottom w:val="nil"/>
              <w:right w:val="nil"/>
            </w:tcBorders>
            <w:shd w:val="clear" w:color="auto" w:fill="auto"/>
            <w:noWrap/>
            <w:vAlign w:val="bottom"/>
          </w:tcPr>
          <w:p>
            <w:pPr>
              <w:rPr>
                <w:rFonts w:hint="eastAsia"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pPr>
              <w:keepNext w:val="0"/>
              <w:keepLines w:val="0"/>
              <w:widowControl/>
              <w:suppressLineNumbers w:val="0"/>
              <w:jc w:val="righ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公开05表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trPr>
        <w:tc>
          <w:tcPr>
            <w:tcW w:w="0" w:type="auto"/>
            <w:tcBorders>
              <w:top w:val="nil"/>
              <w:left w:val="nil"/>
              <w:bottom w:val="nil"/>
              <w:right w:val="nil"/>
            </w:tcBorders>
            <w:shd w:val="clear" w:color="auto" w:fill="auto"/>
            <w:noWrap/>
            <w:vAlign w:val="bottom"/>
          </w:tcPr>
          <w:p>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部门：怀化市实验小学</w:t>
            </w: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pPr>
              <w:keepNext w:val="0"/>
              <w:keepLines w:val="0"/>
              <w:widowControl/>
              <w:suppressLineNumbers w:val="0"/>
              <w:jc w:val="righ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金额单位：万元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4"/>
            <w:tcBorders>
              <w:top w:val="single" w:color="000000" w:sz="4" w:space="0"/>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w:t>
            </w:r>
          </w:p>
        </w:tc>
        <w:tc>
          <w:tcPr>
            <w:tcW w:w="7071" w:type="dxa"/>
            <w:gridSpan w:val="3"/>
            <w:tcBorders>
              <w:top w:val="single" w:color="000000" w:sz="4" w:space="0"/>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本年支出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035" w:type="dxa"/>
            <w:gridSpan w:val="3"/>
            <w:vMerge w:val="restart"/>
            <w:tcBorders>
              <w:top w:val="nil"/>
              <w:left w:val="single" w:color="000000" w:sz="4" w:space="0"/>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科目代码</w:t>
            </w:r>
          </w:p>
        </w:tc>
        <w:tc>
          <w:tcPr>
            <w:tcW w:w="0" w:type="auto"/>
            <w:vMerge w:val="restar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科目名称</w:t>
            </w:r>
          </w:p>
        </w:tc>
        <w:tc>
          <w:tcPr>
            <w:tcW w:w="2357" w:type="dxa"/>
            <w:vMerge w:val="restart"/>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小计</w:t>
            </w:r>
          </w:p>
        </w:tc>
        <w:tc>
          <w:tcPr>
            <w:tcW w:w="2357" w:type="dxa"/>
            <w:vMerge w:val="restart"/>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基本支出</w:t>
            </w:r>
          </w:p>
        </w:tc>
        <w:tc>
          <w:tcPr>
            <w:tcW w:w="2357" w:type="dxa"/>
            <w:vMerge w:val="restart"/>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7" w:hRule="atLeast"/>
        </w:trPr>
        <w:tc>
          <w:tcPr>
            <w:tcW w:w="1035" w:type="dxa"/>
            <w:gridSpan w:val="3"/>
            <w:vMerge w:val="continue"/>
            <w:tcBorders>
              <w:top w:val="nil"/>
              <w:left w:val="single" w:color="000000" w:sz="4" w:space="0"/>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22"/>
                <w:szCs w:val="22"/>
                <w:u w:val="none"/>
              </w:rPr>
            </w:pPr>
          </w:p>
        </w:tc>
        <w:tc>
          <w:tcPr>
            <w:tcW w:w="0" w:type="auto"/>
            <w:vMerge w:val="continue"/>
            <w:tcBorders>
              <w:top w:val="nil"/>
              <w:left w:val="nil"/>
              <w:bottom w:val="single" w:color="000000" w:sz="4" w:space="0"/>
              <w:right w:val="single" w:color="000000" w:sz="4" w:space="0"/>
            </w:tcBorders>
            <w:shd w:val="clear" w:color="FFFFFF" w:fill="C0C0C0"/>
            <w:noWrap/>
            <w:vAlign w:val="center"/>
          </w:tcPr>
          <w:p>
            <w:pPr>
              <w:jc w:val="center"/>
              <w:rPr>
                <w:rFonts w:hint="eastAsia" w:ascii="宋体" w:hAnsi="宋体" w:eastAsia="宋体" w:cs="宋体"/>
                <w:i w:val="0"/>
                <w:iCs w:val="0"/>
                <w:color w:val="000000"/>
                <w:sz w:val="22"/>
                <w:szCs w:val="22"/>
                <w:u w:val="none"/>
              </w:rPr>
            </w:pPr>
          </w:p>
        </w:tc>
        <w:tc>
          <w:tcPr>
            <w:tcW w:w="2357" w:type="dxa"/>
            <w:vMerge w:val="continue"/>
            <w:tcBorders>
              <w:top w:val="nil"/>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22"/>
                <w:szCs w:val="22"/>
                <w:u w:val="none"/>
              </w:rPr>
            </w:pPr>
          </w:p>
        </w:tc>
        <w:tc>
          <w:tcPr>
            <w:tcW w:w="2357" w:type="dxa"/>
            <w:vMerge w:val="continue"/>
            <w:tcBorders>
              <w:top w:val="nil"/>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22"/>
                <w:szCs w:val="22"/>
                <w:u w:val="none"/>
              </w:rPr>
            </w:pPr>
          </w:p>
        </w:tc>
        <w:tc>
          <w:tcPr>
            <w:tcW w:w="2357" w:type="dxa"/>
            <w:vMerge w:val="continue"/>
            <w:tcBorders>
              <w:top w:val="nil"/>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035" w:type="dxa"/>
            <w:gridSpan w:val="3"/>
            <w:vMerge w:val="continue"/>
            <w:tcBorders>
              <w:top w:val="nil"/>
              <w:left w:val="single" w:color="000000" w:sz="4" w:space="0"/>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22"/>
                <w:szCs w:val="22"/>
                <w:u w:val="none"/>
              </w:rPr>
            </w:pPr>
          </w:p>
        </w:tc>
        <w:tc>
          <w:tcPr>
            <w:tcW w:w="0" w:type="auto"/>
            <w:vMerge w:val="continue"/>
            <w:tcBorders>
              <w:top w:val="nil"/>
              <w:left w:val="nil"/>
              <w:bottom w:val="single" w:color="000000" w:sz="4" w:space="0"/>
              <w:right w:val="single" w:color="000000" w:sz="4" w:space="0"/>
            </w:tcBorders>
            <w:shd w:val="clear" w:color="FFFFFF" w:fill="C0C0C0"/>
            <w:noWrap/>
            <w:vAlign w:val="center"/>
          </w:tcPr>
          <w:p>
            <w:pPr>
              <w:jc w:val="center"/>
              <w:rPr>
                <w:rFonts w:hint="eastAsia" w:ascii="宋体" w:hAnsi="宋体" w:eastAsia="宋体" w:cs="宋体"/>
                <w:i w:val="0"/>
                <w:iCs w:val="0"/>
                <w:color w:val="000000"/>
                <w:sz w:val="22"/>
                <w:szCs w:val="22"/>
                <w:u w:val="none"/>
              </w:rPr>
            </w:pPr>
          </w:p>
        </w:tc>
        <w:tc>
          <w:tcPr>
            <w:tcW w:w="2357" w:type="dxa"/>
            <w:vMerge w:val="continue"/>
            <w:tcBorders>
              <w:top w:val="nil"/>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22"/>
                <w:szCs w:val="22"/>
                <w:u w:val="none"/>
              </w:rPr>
            </w:pPr>
          </w:p>
        </w:tc>
        <w:tc>
          <w:tcPr>
            <w:tcW w:w="2357" w:type="dxa"/>
            <w:vMerge w:val="continue"/>
            <w:tcBorders>
              <w:top w:val="nil"/>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22"/>
                <w:szCs w:val="22"/>
                <w:u w:val="none"/>
              </w:rPr>
            </w:pPr>
          </w:p>
        </w:tc>
        <w:tc>
          <w:tcPr>
            <w:tcW w:w="2357" w:type="dxa"/>
            <w:vMerge w:val="continue"/>
            <w:tcBorders>
              <w:top w:val="nil"/>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4"/>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栏次</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4"/>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2,779.19</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2,217.69</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561.50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一般公共服务支出</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9.40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9.40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20132</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组织事务</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9.40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9.40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2013299</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其他组织事务支出</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9.40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9.40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205</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教育支出</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2,446.48</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1,894.38</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552.10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20502</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普通教育</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2,446.48</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1,894.38</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552.10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2050202</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小学教育</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2,052.82</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1,540.90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511.92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2050299</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其他普通教育支出</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393.66</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353.48</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40.18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社会保障和就业支出</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232.51</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232.51</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20805</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行政事业单位养老支出</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232.51</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232.51</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2080505</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机关事业单位基本养老保险缴费支出</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180.64</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180.64</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2080599</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其他行政事业单位养老支出</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51.88</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51.88</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卫生健康支出</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90.80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90.80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21011</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行政事业单位医疗</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90.80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90.80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2101101</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行政单位医疗</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90.80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90.80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7"/>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注：本表反映部门本年度一般公共预算财政拨款支出情况。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0" w:hRule="atLeast"/>
        </w:trPr>
        <w:tc>
          <w:tcPr>
            <w:tcW w:w="0" w:type="auto"/>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r>
    </w:tbl>
    <w:p>
      <w:pPr>
        <w:widowControl/>
        <w:rPr>
          <w:rFonts w:ascii="Times New Roman" w:hAnsi="Times New Roman" w:eastAsia="方正小标宋_GBK" w:cs="Times New Roman"/>
          <w:color w:val="000000"/>
          <w:kern w:val="0"/>
          <w:sz w:val="36"/>
          <w:szCs w:val="36"/>
        </w:rPr>
      </w:pPr>
    </w:p>
    <w:p>
      <w:pPr>
        <w:widowControl/>
        <w:jc w:val="both"/>
        <w:rPr>
          <w:rFonts w:ascii="Times New Roman" w:hAnsi="Times New Roman" w:eastAsia="方正小标宋_GBK" w:cs="Times New Roman"/>
          <w:kern w:val="0"/>
          <w:sz w:val="36"/>
          <w:szCs w:val="36"/>
        </w:rPr>
      </w:pPr>
      <w:bookmarkStart w:id="0" w:name="RANGE!A1:I22"/>
      <w:bookmarkEnd w:id="0"/>
      <w:bookmarkStart w:id="1" w:name="RANGE!A1:F16"/>
    </w:p>
    <w:bookmarkEnd w:id="1"/>
    <w:p>
      <w:pPr>
        <w:widowControl/>
        <w:jc w:val="left"/>
        <w:rPr>
          <w:rFonts w:ascii="Times New Roman" w:hAnsi="Times New Roman" w:eastAsia="仿宋_GB2312" w:cs="Times New Roman"/>
          <w:bCs/>
          <w:kern w:val="0"/>
          <w:szCs w:val="21"/>
        </w:rPr>
      </w:pPr>
    </w:p>
    <w:tbl>
      <w:tblPr>
        <w:tblStyle w:val="7"/>
        <w:tblW w:w="0" w:type="auto"/>
        <w:tblInd w:w="0" w:type="dxa"/>
        <w:tblLayout w:type="fixed"/>
        <w:tblCellMar>
          <w:top w:w="0" w:type="dxa"/>
          <w:left w:w="108" w:type="dxa"/>
          <w:bottom w:w="0" w:type="dxa"/>
          <w:right w:w="108" w:type="dxa"/>
        </w:tblCellMar>
      </w:tblPr>
      <w:tblGrid>
        <w:gridCol w:w="964"/>
        <w:gridCol w:w="239"/>
        <w:gridCol w:w="91"/>
        <w:gridCol w:w="1253"/>
        <w:gridCol w:w="1967"/>
        <w:gridCol w:w="98"/>
        <w:gridCol w:w="1052"/>
        <w:gridCol w:w="1075"/>
        <w:gridCol w:w="296"/>
        <w:gridCol w:w="1916"/>
        <w:gridCol w:w="129"/>
        <w:gridCol w:w="610"/>
        <w:gridCol w:w="1173"/>
        <w:gridCol w:w="343"/>
        <w:gridCol w:w="2025"/>
        <w:gridCol w:w="1458"/>
        <w:gridCol w:w="636"/>
        <w:gridCol w:w="289"/>
      </w:tblGrid>
      <w:tr>
        <w:tblPrEx>
          <w:tblCellMar>
            <w:top w:w="0" w:type="dxa"/>
            <w:left w:w="108" w:type="dxa"/>
            <w:bottom w:w="0" w:type="dxa"/>
            <w:right w:w="108" w:type="dxa"/>
          </w:tblCellMar>
        </w:tblPrEx>
        <w:trPr>
          <w:trHeight w:val="113" w:hRule="atLeast"/>
        </w:trPr>
        <w:tc>
          <w:tcPr>
            <w:tcW w:w="15614" w:type="dxa"/>
            <w:gridSpan w:val="18"/>
            <w:tcBorders>
              <w:top w:val="nil"/>
              <w:left w:val="nil"/>
              <w:bottom w:val="nil"/>
              <w:right w:val="nil"/>
            </w:tcBorders>
            <w:shd w:val="clear" w:color="auto" w:fill="auto"/>
            <w:noWrap/>
            <w:vAlign w:val="center"/>
          </w:tcPr>
          <w:p>
            <w:pPr>
              <w:widowControl/>
              <w:jc w:val="center"/>
              <w:rPr>
                <w:rFonts w:ascii="华文中宋" w:hAnsi="华文中宋" w:eastAsia="华文中宋" w:cs="宋体"/>
                <w:color w:val="000000"/>
                <w:kern w:val="0"/>
                <w:szCs w:val="32"/>
              </w:rPr>
            </w:pPr>
            <w:bookmarkStart w:id="2" w:name="RANGE!A1:I34"/>
            <w:r>
              <w:rPr>
                <w:rFonts w:hint="eastAsia" w:ascii="华文中宋" w:hAnsi="华文中宋" w:eastAsia="华文中宋" w:cs="宋体"/>
                <w:color w:val="000000"/>
                <w:kern w:val="0"/>
                <w:szCs w:val="32"/>
              </w:rPr>
              <w:t>一般公共预算财政拨款基本支出决算明细表</w:t>
            </w:r>
            <w:bookmarkEnd w:id="2"/>
          </w:p>
          <w:p>
            <w:pPr>
              <w:widowControl/>
              <w:wordWrap w:val="0"/>
              <w:jc w:val="right"/>
              <w:rPr>
                <w:rFonts w:ascii="Times New Roman" w:hAnsi="Times New Roman" w:eastAsia="仿宋_GB2312" w:cs="Times New Roman"/>
                <w:color w:val="000000"/>
                <w:kern w:val="0"/>
                <w:szCs w:val="21"/>
              </w:rPr>
            </w:pPr>
            <w:r>
              <w:rPr>
                <w:rFonts w:hint="eastAsia" w:ascii="Times New Roman" w:hAnsi="Times New Roman" w:eastAsia="仿宋_GB2312" w:cs="Times New Roman"/>
                <w:color w:val="000000"/>
                <w:kern w:val="0"/>
                <w:szCs w:val="21"/>
              </w:rPr>
              <w:t xml:space="preserve">  </w:t>
            </w:r>
            <w:r>
              <w:rPr>
                <w:rFonts w:ascii="Times New Roman" w:hAnsi="Times New Roman" w:eastAsia="仿宋_GB2312" w:cs="Times New Roman"/>
                <w:color w:val="000000"/>
                <w:kern w:val="0"/>
                <w:szCs w:val="21"/>
              </w:rPr>
              <w:t xml:space="preserve">部门： </w:t>
            </w:r>
            <w:r>
              <w:rPr>
                <w:rFonts w:hint="eastAsia" w:ascii="Times New Roman" w:hAnsi="Times New Roman" w:eastAsia="仿宋_GB2312" w:cs="Times New Roman"/>
                <w:color w:val="000000"/>
                <w:kern w:val="0"/>
                <w:szCs w:val="21"/>
              </w:rPr>
              <w:t xml:space="preserve">                                                                                                                             </w:t>
            </w:r>
            <w:r>
              <w:rPr>
                <w:rFonts w:ascii="Times New Roman" w:hAnsi="Times New Roman" w:eastAsia="仿宋_GB2312" w:cs="Times New Roman"/>
                <w:color w:val="000000"/>
                <w:kern w:val="0"/>
                <w:szCs w:val="21"/>
              </w:rPr>
              <w:t xml:space="preserve">  </w:t>
            </w:r>
            <w:r>
              <w:rPr>
                <w:rFonts w:hint="eastAsia" w:ascii="Times New Roman" w:hAnsi="Times New Roman" w:eastAsia="仿宋_GB2312" w:cs="Times New Roman"/>
                <w:color w:val="000000"/>
                <w:kern w:val="0"/>
                <w:szCs w:val="21"/>
              </w:rPr>
              <w:t>公开06表</w:t>
            </w:r>
          </w:p>
          <w:p>
            <w:pPr>
              <w:widowControl/>
              <w:jc w:val="right"/>
              <w:rPr>
                <w:rFonts w:ascii="华文中宋" w:hAnsi="华文中宋" w:eastAsia="华文中宋" w:cs="宋体"/>
                <w:color w:val="000000"/>
                <w:kern w:val="0"/>
                <w:szCs w:val="32"/>
              </w:rPr>
            </w:pPr>
            <w:r>
              <w:rPr>
                <w:rFonts w:hint="eastAsia" w:ascii="Times New Roman" w:hAnsi="Times New Roman" w:eastAsia="仿宋_GB2312" w:cs="Times New Roman"/>
                <w:color w:val="000000"/>
                <w:kern w:val="0"/>
                <w:szCs w:val="21"/>
              </w:rPr>
              <w:t>单位：万元</w:t>
            </w:r>
          </w:p>
        </w:tc>
      </w:tr>
      <w:tr>
        <w:tblPrEx>
          <w:tblCellMar>
            <w:top w:w="0" w:type="dxa"/>
            <w:left w:w="108" w:type="dxa"/>
            <w:bottom w:w="0" w:type="dxa"/>
            <w:right w:w="108" w:type="dxa"/>
          </w:tblCellMar>
        </w:tblPrEx>
        <w:trPr>
          <w:trHeight w:val="113" w:hRule="atLeast"/>
        </w:trPr>
        <w:tc>
          <w:tcPr>
            <w:tcW w:w="1294"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0"/>
              </w:rPr>
            </w:pPr>
            <w:r>
              <w:rPr>
                <w:rFonts w:hint="eastAsia" w:ascii="宋体" w:hAnsi="宋体" w:eastAsia="宋体" w:cs="宋体"/>
                <w:color w:val="000000"/>
                <w:kern w:val="0"/>
                <w:sz w:val="20"/>
                <w:szCs w:val="20"/>
              </w:rPr>
              <w:t>经济分类科目编码</w:t>
            </w:r>
          </w:p>
        </w:tc>
        <w:tc>
          <w:tcPr>
            <w:tcW w:w="3220"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科目名称</w:t>
            </w:r>
          </w:p>
        </w:tc>
        <w:tc>
          <w:tcPr>
            <w:tcW w:w="1150"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决算数</w:t>
            </w:r>
          </w:p>
        </w:tc>
        <w:tc>
          <w:tcPr>
            <w:tcW w:w="1075"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经济分类科目编码</w:t>
            </w:r>
          </w:p>
        </w:tc>
        <w:tc>
          <w:tcPr>
            <w:tcW w:w="2212"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科目名称</w:t>
            </w:r>
          </w:p>
        </w:tc>
        <w:tc>
          <w:tcPr>
            <w:tcW w:w="739"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决算数</w:t>
            </w:r>
          </w:p>
        </w:tc>
        <w:tc>
          <w:tcPr>
            <w:tcW w:w="1173"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经济分类科目编码</w:t>
            </w:r>
          </w:p>
        </w:tc>
        <w:tc>
          <w:tcPr>
            <w:tcW w:w="3826" w:type="dxa"/>
            <w:gridSpan w:val="3"/>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科目名称</w:t>
            </w:r>
          </w:p>
        </w:tc>
        <w:tc>
          <w:tcPr>
            <w:tcW w:w="925"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决算数</w:t>
            </w:r>
          </w:p>
        </w:tc>
      </w:tr>
      <w:tr>
        <w:tblPrEx>
          <w:tblCellMar>
            <w:top w:w="0" w:type="dxa"/>
            <w:left w:w="108" w:type="dxa"/>
            <w:bottom w:w="0" w:type="dxa"/>
            <w:right w:w="108" w:type="dxa"/>
          </w:tblCellMar>
        </w:tblPrEx>
        <w:trPr>
          <w:trHeight w:val="284" w:hRule="exact"/>
        </w:trPr>
        <w:tc>
          <w:tcPr>
            <w:tcW w:w="1294" w:type="dxa"/>
            <w:gridSpan w:val="3"/>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w:t>
            </w:r>
          </w:p>
        </w:tc>
        <w:tc>
          <w:tcPr>
            <w:tcW w:w="3220"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工资福利支出</w:t>
            </w:r>
          </w:p>
        </w:tc>
        <w:tc>
          <w:tcPr>
            <w:tcW w:w="1150"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2,094.49</w:t>
            </w:r>
          </w:p>
        </w:tc>
        <w:tc>
          <w:tcPr>
            <w:tcW w:w="1075"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w:t>
            </w:r>
          </w:p>
        </w:tc>
        <w:tc>
          <w:tcPr>
            <w:tcW w:w="2212"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商品和服务支出</w:t>
            </w:r>
          </w:p>
        </w:tc>
        <w:tc>
          <w:tcPr>
            <w:tcW w:w="739"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64.13</w:t>
            </w:r>
          </w:p>
        </w:tc>
        <w:tc>
          <w:tcPr>
            <w:tcW w:w="1173"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307</w:t>
            </w:r>
          </w:p>
        </w:tc>
        <w:tc>
          <w:tcPr>
            <w:tcW w:w="3826"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债务利息及费用支出</w:t>
            </w:r>
          </w:p>
        </w:tc>
        <w:tc>
          <w:tcPr>
            <w:tcW w:w="925"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tblPrEx>
          <w:tblCellMar>
            <w:top w:w="0" w:type="dxa"/>
            <w:left w:w="108" w:type="dxa"/>
            <w:bottom w:w="0" w:type="dxa"/>
            <w:right w:w="108" w:type="dxa"/>
          </w:tblCellMar>
        </w:tblPrEx>
        <w:trPr>
          <w:trHeight w:val="284" w:hRule="exact"/>
        </w:trPr>
        <w:tc>
          <w:tcPr>
            <w:tcW w:w="1294" w:type="dxa"/>
            <w:gridSpan w:val="3"/>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30101</w:t>
            </w:r>
          </w:p>
        </w:tc>
        <w:tc>
          <w:tcPr>
            <w:tcW w:w="3220"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基本工资</w:t>
            </w:r>
          </w:p>
        </w:tc>
        <w:tc>
          <w:tcPr>
            <w:tcW w:w="1150"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667.65</w:t>
            </w:r>
          </w:p>
        </w:tc>
        <w:tc>
          <w:tcPr>
            <w:tcW w:w="1075"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30201</w:t>
            </w:r>
          </w:p>
        </w:tc>
        <w:tc>
          <w:tcPr>
            <w:tcW w:w="2212"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办公费</w:t>
            </w:r>
          </w:p>
        </w:tc>
        <w:tc>
          <w:tcPr>
            <w:tcW w:w="739"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7.16</w:t>
            </w:r>
          </w:p>
        </w:tc>
        <w:tc>
          <w:tcPr>
            <w:tcW w:w="1173"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30701</w:t>
            </w:r>
          </w:p>
        </w:tc>
        <w:tc>
          <w:tcPr>
            <w:tcW w:w="3826"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国内债务付息</w:t>
            </w:r>
          </w:p>
        </w:tc>
        <w:tc>
          <w:tcPr>
            <w:tcW w:w="925"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tblPrEx>
          <w:tblCellMar>
            <w:top w:w="0" w:type="dxa"/>
            <w:left w:w="108" w:type="dxa"/>
            <w:bottom w:w="0" w:type="dxa"/>
            <w:right w:w="108" w:type="dxa"/>
          </w:tblCellMar>
        </w:tblPrEx>
        <w:trPr>
          <w:trHeight w:val="284" w:hRule="exact"/>
        </w:trPr>
        <w:tc>
          <w:tcPr>
            <w:tcW w:w="1294" w:type="dxa"/>
            <w:gridSpan w:val="3"/>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30102</w:t>
            </w:r>
          </w:p>
        </w:tc>
        <w:tc>
          <w:tcPr>
            <w:tcW w:w="3220"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津贴补贴</w:t>
            </w:r>
          </w:p>
        </w:tc>
        <w:tc>
          <w:tcPr>
            <w:tcW w:w="1150"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768.48</w:t>
            </w:r>
          </w:p>
        </w:tc>
        <w:tc>
          <w:tcPr>
            <w:tcW w:w="1075"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30202</w:t>
            </w:r>
          </w:p>
        </w:tc>
        <w:tc>
          <w:tcPr>
            <w:tcW w:w="2212"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印刷费</w:t>
            </w:r>
          </w:p>
        </w:tc>
        <w:tc>
          <w:tcPr>
            <w:tcW w:w="739"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173"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30702</w:t>
            </w:r>
          </w:p>
        </w:tc>
        <w:tc>
          <w:tcPr>
            <w:tcW w:w="3826"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国外债务付息</w:t>
            </w:r>
          </w:p>
        </w:tc>
        <w:tc>
          <w:tcPr>
            <w:tcW w:w="925"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tblPrEx>
          <w:tblCellMar>
            <w:top w:w="0" w:type="dxa"/>
            <w:left w:w="108" w:type="dxa"/>
            <w:bottom w:w="0" w:type="dxa"/>
            <w:right w:w="108" w:type="dxa"/>
          </w:tblCellMar>
        </w:tblPrEx>
        <w:trPr>
          <w:trHeight w:val="284" w:hRule="exact"/>
        </w:trPr>
        <w:tc>
          <w:tcPr>
            <w:tcW w:w="1294" w:type="dxa"/>
            <w:gridSpan w:val="3"/>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30103</w:t>
            </w:r>
          </w:p>
        </w:tc>
        <w:tc>
          <w:tcPr>
            <w:tcW w:w="3220"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奖金</w:t>
            </w:r>
          </w:p>
        </w:tc>
        <w:tc>
          <w:tcPr>
            <w:tcW w:w="1150"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360.39</w:t>
            </w:r>
          </w:p>
        </w:tc>
        <w:tc>
          <w:tcPr>
            <w:tcW w:w="1075"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30203</w:t>
            </w:r>
          </w:p>
        </w:tc>
        <w:tc>
          <w:tcPr>
            <w:tcW w:w="2212"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咨询费</w:t>
            </w:r>
          </w:p>
        </w:tc>
        <w:tc>
          <w:tcPr>
            <w:tcW w:w="739"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173"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w:t>
            </w:r>
          </w:p>
        </w:tc>
        <w:tc>
          <w:tcPr>
            <w:tcW w:w="3826"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资本性支出</w:t>
            </w:r>
          </w:p>
        </w:tc>
        <w:tc>
          <w:tcPr>
            <w:tcW w:w="925"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tblPrEx>
          <w:tblCellMar>
            <w:top w:w="0" w:type="dxa"/>
            <w:left w:w="108" w:type="dxa"/>
            <w:bottom w:w="0" w:type="dxa"/>
            <w:right w:w="108" w:type="dxa"/>
          </w:tblCellMar>
        </w:tblPrEx>
        <w:trPr>
          <w:trHeight w:val="284" w:hRule="exact"/>
        </w:trPr>
        <w:tc>
          <w:tcPr>
            <w:tcW w:w="1294" w:type="dxa"/>
            <w:gridSpan w:val="3"/>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30106</w:t>
            </w:r>
          </w:p>
        </w:tc>
        <w:tc>
          <w:tcPr>
            <w:tcW w:w="3220"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伙食补助费</w:t>
            </w:r>
          </w:p>
        </w:tc>
        <w:tc>
          <w:tcPr>
            <w:tcW w:w="1150"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075"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30204</w:t>
            </w:r>
          </w:p>
        </w:tc>
        <w:tc>
          <w:tcPr>
            <w:tcW w:w="2212"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手续费</w:t>
            </w:r>
          </w:p>
        </w:tc>
        <w:tc>
          <w:tcPr>
            <w:tcW w:w="739"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173"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31001</w:t>
            </w:r>
          </w:p>
        </w:tc>
        <w:tc>
          <w:tcPr>
            <w:tcW w:w="3826"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房屋建筑物购建</w:t>
            </w:r>
          </w:p>
        </w:tc>
        <w:tc>
          <w:tcPr>
            <w:tcW w:w="925"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tblPrEx>
          <w:tblCellMar>
            <w:top w:w="0" w:type="dxa"/>
            <w:left w:w="108" w:type="dxa"/>
            <w:bottom w:w="0" w:type="dxa"/>
            <w:right w:w="108" w:type="dxa"/>
          </w:tblCellMar>
        </w:tblPrEx>
        <w:trPr>
          <w:trHeight w:val="284" w:hRule="exact"/>
        </w:trPr>
        <w:tc>
          <w:tcPr>
            <w:tcW w:w="1294" w:type="dxa"/>
            <w:gridSpan w:val="3"/>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30107</w:t>
            </w:r>
          </w:p>
        </w:tc>
        <w:tc>
          <w:tcPr>
            <w:tcW w:w="3220"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绩效工资</w:t>
            </w:r>
          </w:p>
        </w:tc>
        <w:tc>
          <w:tcPr>
            <w:tcW w:w="1150"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075"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30205</w:t>
            </w:r>
          </w:p>
        </w:tc>
        <w:tc>
          <w:tcPr>
            <w:tcW w:w="2212"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水费</w:t>
            </w:r>
          </w:p>
        </w:tc>
        <w:tc>
          <w:tcPr>
            <w:tcW w:w="739"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173"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31002</w:t>
            </w:r>
          </w:p>
        </w:tc>
        <w:tc>
          <w:tcPr>
            <w:tcW w:w="3826"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办公设备购置</w:t>
            </w:r>
          </w:p>
        </w:tc>
        <w:tc>
          <w:tcPr>
            <w:tcW w:w="925"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tblPrEx>
          <w:tblCellMar>
            <w:top w:w="0" w:type="dxa"/>
            <w:left w:w="108" w:type="dxa"/>
            <w:bottom w:w="0" w:type="dxa"/>
            <w:right w:w="108" w:type="dxa"/>
          </w:tblCellMar>
        </w:tblPrEx>
        <w:trPr>
          <w:trHeight w:val="284" w:hRule="exact"/>
        </w:trPr>
        <w:tc>
          <w:tcPr>
            <w:tcW w:w="1294" w:type="dxa"/>
            <w:gridSpan w:val="3"/>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30108</w:t>
            </w:r>
          </w:p>
        </w:tc>
        <w:tc>
          <w:tcPr>
            <w:tcW w:w="3220"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机关事业单位基本养老保险缴费</w:t>
            </w:r>
          </w:p>
        </w:tc>
        <w:tc>
          <w:tcPr>
            <w:tcW w:w="1150"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180.64</w:t>
            </w:r>
          </w:p>
        </w:tc>
        <w:tc>
          <w:tcPr>
            <w:tcW w:w="1075"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30206</w:t>
            </w:r>
          </w:p>
        </w:tc>
        <w:tc>
          <w:tcPr>
            <w:tcW w:w="2212"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电费</w:t>
            </w:r>
          </w:p>
        </w:tc>
        <w:tc>
          <w:tcPr>
            <w:tcW w:w="739"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173"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31003</w:t>
            </w:r>
          </w:p>
        </w:tc>
        <w:tc>
          <w:tcPr>
            <w:tcW w:w="3826"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专用设备购置</w:t>
            </w:r>
          </w:p>
        </w:tc>
        <w:tc>
          <w:tcPr>
            <w:tcW w:w="925"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tblPrEx>
          <w:tblCellMar>
            <w:top w:w="0" w:type="dxa"/>
            <w:left w:w="108" w:type="dxa"/>
            <w:bottom w:w="0" w:type="dxa"/>
            <w:right w:w="108" w:type="dxa"/>
          </w:tblCellMar>
        </w:tblPrEx>
        <w:trPr>
          <w:trHeight w:val="284" w:hRule="exact"/>
        </w:trPr>
        <w:tc>
          <w:tcPr>
            <w:tcW w:w="1294" w:type="dxa"/>
            <w:gridSpan w:val="3"/>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30109</w:t>
            </w:r>
          </w:p>
        </w:tc>
        <w:tc>
          <w:tcPr>
            <w:tcW w:w="3220"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职业年金缴费</w:t>
            </w:r>
          </w:p>
        </w:tc>
        <w:tc>
          <w:tcPr>
            <w:tcW w:w="1150"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075"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30207</w:t>
            </w:r>
          </w:p>
        </w:tc>
        <w:tc>
          <w:tcPr>
            <w:tcW w:w="2212"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邮电费</w:t>
            </w:r>
          </w:p>
        </w:tc>
        <w:tc>
          <w:tcPr>
            <w:tcW w:w="739"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173"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31005</w:t>
            </w:r>
          </w:p>
        </w:tc>
        <w:tc>
          <w:tcPr>
            <w:tcW w:w="3826"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基础设施建设</w:t>
            </w:r>
          </w:p>
        </w:tc>
        <w:tc>
          <w:tcPr>
            <w:tcW w:w="925"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tblPrEx>
          <w:tblCellMar>
            <w:top w:w="0" w:type="dxa"/>
            <w:left w:w="108" w:type="dxa"/>
            <w:bottom w:w="0" w:type="dxa"/>
            <w:right w:w="108" w:type="dxa"/>
          </w:tblCellMar>
        </w:tblPrEx>
        <w:trPr>
          <w:trHeight w:val="284" w:hRule="exact"/>
        </w:trPr>
        <w:tc>
          <w:tcPr>
            <w:tcW w:w="1294" w:type="dxa"/>
            <w:gridSpan w:val="3"/>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30110</w:t>
            </w:r>
          </w:p>
        </w:tc>
        <w:tc>
          <w:tcPr>
            <w:tcW w:w="3220"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职工基本医疗保险缴费</w:t>
            </w:r>
          </w:p>
        </w:tc>
        <w:tc>
          <w:tcPr>
            <w:tcW w:w="1150"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92.53</w:t>
            </w:r>
          </w:p>
        </w:tc>
        <w:tc>
          <w:tcPr>
            <w:tcW w:w="1075"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30208</w:t>
            </w:r>
          </w:p>
        </w:tc>
        <w:tc>
          <w:tcPr>
            <w:tcW w:w="2212"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取暖费</w:t>
            </w:r>
          </w:p>
        </w:tc>
        <w:tc>
          <w:tcPr>
            <w:tcW w:w="739"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173"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31006</w:t>
            </w:r>
          </w:p>
        </w:tc>
        <w:tc>
          <w:tcPr>
            <w:tcW w:w="3826"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大型修缮</w:t>
            </w:r>
          </w:p>
        </w:tc>
        <w:tc>
          <w:tcPr>
            <w:tcW w:w="925"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tblPrEx>
          <w:tblCellMar>
            <w:top w:w="0" w:type="dxa"/>
            <w:left w:w="108" w:type="dxa"/>
            <w:bottom w:w="0" w:type="dxa"/>
            <w:right w:w="108" w:type="dxa"/>
          </w:tblCellMar>
        </w:tblPrEx>
        <w:trPr>
          <w:trHeight w:val="284" w:hRule="exact"/>
        </w:trPr>
        <w:tc>
          <w:tcPr>
            <w:tcW w:w="1294" w:type="dxa"/>
            <w:gridSpan w:val="3"/>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30111</w:t>
            </w:r>
          </w:p>
        </w:tc>
        <w:tc>
          <w:tcPr>
            <w:tcW w:w="3220"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公务员医疗补助缴费</w:t>
            </w:r>
          </w:p>
        </w:tc>
        <w:tc>
          <w:tcPr>
            <w:tcW w:w="1150"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075"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30209</w:t>
            </w:r>
          </w:p>
        </w:tc>
        <w:tc>
          <w:tcPr>
            <w:tcW w:w="2212"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物业管理费</w:t>
            </w:r>
          </w:p>
        </w:tc>
        <w:tc>
          <w:tcPr>
            <w:tcW w:w="739"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173"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31007</w:t>
            </w:r>
          </w:p>
        </w:tc>
        <w:tc>
          <w:tcPr>
            <w:tcW w:w="3826"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信息网络及软件购置更新</w:t>
            </w:r>
          </w:p>
        </w:tc>
        <w:tc>
          <w:tcPr>
            <w:tcW w:w="925"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tblPrEx>
          <w:tblCellMar>
            <w:top w:w="0" w:type="dxa"/>
            <w:left w:w="108" w:type="dxa"/>
            <w:bottom w:w="0" w:type="dxa"/>
            <w:right w:w="108" w:type="dxa"/>
          </w:tblCellMar>
        </w:tblPrEx>
        <w:trPr>
          <w:trHeight w:val="284" w:hRule="exact"/>
        </w:trPr>
        <w:tc>
          <w:tcPr>
            <w:tcW w:w="1294" w:type="dxa"/>
            <w:gridSpan w:val="3"/>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30112</w:t>
            </w:r>
          </w:p>
        </w:tc>
        <w:tc>
          <w:tcPr>
            <w:tcW w:w="3220"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其他社会保障缴费</w:t>
            </w:r>
          </w:p>
        </w:tc>
        <w:tc>
          <w:tcPr>
            <w:tcW w:w="1150"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24.80</w:t>
            </w:r>
          </w:p>
        </w:tc>
        <w:tc>
          <w:tcPr>
            <w:tcW w:w="1075"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30211</w:t>
            </w:r>
          </w:p>
        </w:tc>
        <w:tc>
          <w:tcPr>
            <w:tcW w:w="2212"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差旅费</w:t>
            </w:r>
          </w:p>
        </w:tc>
        <w:tc>
          <w:tcPr>
            <w:tcW w:w="739"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173"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31008</w:t>
            </w:r>
          </w:p>
        </w:tc>
        <w:tc>
          <w:tcPr>
            <w:tcW w:w="3826"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物资储备</w:t>
            </w:r>
          </w:p>
        </w:tc>
        <w:tc>
          <w:tcPr>
            <w:tcW w:w="925"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tblPrEx>
          <w:tblCellMar>
            <w:top w:w="0" w:type="dxa"/>
            <w:left w:w="108" w:type="dxa"/>
            <w:bottom w:w="0" w:type="dxa"/>
            <w:right w:w="108" w:type="dxa"/>
          </w:tblCellMar>
        </w:tblPrEx>
        <w:trPr>
          <w:trHeight w:val="284" w:hRule="exact"/>
        </w:trPr>
        <w:tc>
          <w:tcPr>
            <w:tcW w:w="1294" w:type="dxa"/>
            <w:gridSpan w:val="3"/>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30113</w:t>
            </w:r>
          </w:p>
        </w:tc>
        <w:tc>
          <w:tcPr>
            <w:tcW w:w="3220"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住房公积金</w:t>
            </w:r>
          </w:p>
        </w:tc>
        <w:tc>
          <w:tcPr>
            <w:tcW w:w="1150"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075"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30212</w:t>
            </w:r>
          </w:p>
        </w:tc>
        <w:tc>
          <w:tcPr>
            <w:tcW w:w="2212"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因公出国（境）费用</w:t>
            </w:r>
          </w:p>
        </w:tc>
        <w:tc>
          <w:tcPr>
            <w:tcW w:w="739"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173"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31009</w:t>
            </w:r>
          </w:p>
        </w:tc>
        <w:tc>
          <w:tcPr>
            <w:tcW w:w="3826"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土地补偿</w:t>
            </w:r>
          </w:p>
        </w:tc>
        <w:tc>
          <w:tcPr>
            <w:tcW w:w="925"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tblPrEx>
          <w:tblCellMar>
            <w:top w:w="0" w:type="dxa"/>
            <w:left w:w="108" w:type="dxa"/>
            <w:bottom w:w="0" w:type="dxa"/>
            <w:right w:w="108" w:type="dxa"/>
          </w:tblCellMar>
        </w:tblPrEx>
        <w:trPr>
          <w:trHeight w:val="284" w:hRule="exact"/>
        </w:trPr>
        <w:tc>
          <w:tcPr>
            <w:tcW w:w="1294" w:type="dxa"/>
            <w:gridSpan w:val="3"/>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30114</w:t>
            </w:r>
          </w:p>
        </w:tc>
        <w:tc>
          <w:tcPr>
            <w:tcW w:w="3220"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医疗费</w:t>
            </w:r>
          </w:p>
        </w:tc>
        <w:tc>
          <w:tcPr>
            <w:tcW w:w="1150"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075"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30213</w:t>
            </w:r>
          </w:p>
        </w:tc>
        <w:tc>
          <w:tcPr>
            <w:tcW w:w="2212"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维修（护）费</w:t>
            </w:r>
          </w:p>
        </w:tc>
        <w:tc>
          <w:tcPr>
            <w:tcW w:w="739"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173"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31010</w:t>
            </w:r>
          </w:p>
        </w:tc>
        <w:tc>
          <w:tcPr>
            <w:tcW w:w="3826"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安置补助</w:t>
            </w:r>
          </w:p>
        </w:tc>
        <w:tc>
          <w:tcPr>
            <w:tcW w:w="925"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tblPrEx>
          <w:tblCellMar>
            <w:top w:w="0" w:type="dxa"/>
            <w:left w:w="108" w:type="dxa"/>
            <w:bottom w:w="0" w:type="dxa"/>
            <w:right w:w="108" w:type="dxa"/>
          </w:tblCellMar>
        </w:tblPrEx>
        <w:trPr>
          <w:trHeight w:val="284" w:hRule="exact"/>
        </w:trPr>
        <w:tc>
          <w:tcPr>
            <w:tcW w:w="1294" w:type="dxa"/>
            <w:gridSpan w:val="3"/>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30199</w:t>
            </w:r>
          </w:p>
        </w:tc>
        <w:tc>
          <w:tcPr>
            <w:tcW w:w="3220"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其他工资福利支出</w:t>
            </w:r>
          </w:p>
        </w:tc>
        <w:tc>
          <w:tcPr>
            <w:tcW w:w="1150"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075"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30214</w:t>
            </w:r>
          </w:p>
        </w:tc>
        <w:tc>
          <w:tcPr>
            <w:tcW w:w="2212"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租赁费</w:t>
            </w:r>
          </w:p>
        </w:tc>
        <w:tc>
          <w:tcPr>
            <w:tcW w:w="739"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173"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31011</w:t>
            </w:r>
          </w:p>
        </w:tc>
        <w:tc>
          <w:tcPr>
            <w:tcW w:w="3826"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地上附着物和青苗补偿</w:t>
            </w:r>
          </w:p>
        </w:tc>
        <w:tc>
          <w:tcPr>
            <w:tcW w:w="925"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tblPrEx>
          <w:tblCellMar>
            <w:top w:w="0" w:type="dxa"/>
            <w:left w:w="108" w:type="dxa"/>
            <w:bottom w:w="0" w:type="dxa"/>
            <w:right w:w="108" w:type="dxa"/>
          </w:tblCellMar>
        </w:tblPrEx>
        <w:trPr>
          <w:trHeight w:val="284" w:hRule="exact"/>
        </w:trPr>
        <w:tc>
          <w:tcPr>
            <w:tcW w:w="1294" w:type="dxa"/>
            <w:gridSpan w:val="3"/>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w:t>
            </w:r>
          </w:p>
        </w:tc>
        <w:tc>
          <w:tcPr>
            <w:tcW w:w="3220"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对个人和家庭的补助</w:t>
            </w:r>
          </w:p>
        </w:tc>
        <w:tc>
          <w:tcPr>
            <w:tcW w:w="1150"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59.08</w:t>
            </w:r>
          </w:p>
        </w:tc>
        <w:tc>
          <w:tcPr>
            <w:tcW w:w="1075"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30215</w:t>
            </w:r>
          </w:p>
        </w:tc>
        <w:tc>
          <w:tcPr>
            <w:tcW w:w="2212"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会议费</w:t>
            </w:r>
          </w:p>
        </w:tc>
        <w:tc>
          <w:tcPr>
            <w:tcW w:w="739"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173"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31012</w:t>
            </w:r>
          </w:p>
        </w:tc>
        <w:tc>
          <w:tcPr>
            <w:tcW w:w="3826"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拆迁补偿</w:t>
            </w:r>
          </w:p>
        </w:tc>
        <w:tc>
          <w:tcPr>
            <w:tcW w:w="925"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tblPrEx>
          <w:tblCellMar>
            <w:top w:w="0" w:type="dxa"/>
            <w:left w:w="108" w:type="dxa"/>
            <w:bottom w:w="0" w:type="dxa"/>
            <w:right w:w="108" w:type="dxa"/>
          </w:tblCellMar>
        </w:tblPrEx>
        <w:trPr>
          <w:trHeight w:val="284" w:hRule="exact"/>
        </w:trPr>
        <w:tc>
          <w:tcPr>
            <w:tcW w:w="1294" w:type="dxa"/>
            <w:gridSpan w:val="3"/>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30301</w:t>
            </w:r>
          </w:p>
        </w:tc>
        <w:tc>
          <w:tcPr>
            <w:tcW w:w="3220"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离休费</w:t>
            </w:r>
          </w:p>
        </w:tc>
        <w:tc>
          <w:tcPr>
            <w:tcW w:w="1150"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075"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30216</w:t>
            </w:r>
          </w:p>
        </w:tc>
        <w:tc>
          <w:tcPr>
            <w:tcW w:w="2212"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培训费</w:t>
            </w:r>
          </w:p>
        </w:tc>
        <w:tc>
          <w:tcPr>
            <w:tcW w:w="739"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173"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31013</w:t>
            </w:r>
          </w:p>
        </w:tc>
        <w:tc>
          <w:tcPr>
            <w:tcW w:w="3826"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公务用车购置</w:t>
            </w:r>
          </w:p>
        </w:tc>
        <w:tc>
          <w:tcPr>
            <w:tcW w:w="925"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tblPrEx>
          <w:tblCellMar>
            <w:top w:w="0" w:type="dxa"/>
            <w:left w:w="108" w:type="dxa"/>
            <w:bottom w:w="0" w:type="dxa"/>
            <w:right w:w="108" w:type="dxa"/>
          </w:tblCellMar>
        </w:tblPrEx>
        <w:trPr>
          <w:trHeight w:val="284" w:hRule="exact"/>
        </w:trPr>
        <w:tc>
          <w:tcPr>
            <w:tcW w:w="1294" w:type="dxa"/>
            <w:gridSpan w:val="3"/>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30302</w:t>
            </w:r>
          </w:p>
        </w:tc>
        <w:tc>
          <w:tcPr>
            <w:tcW w:w="3220"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退休费</w:t>
            </w:r>
          </w:p>
        </w:tc>
        <w:tc>
          <w:tcPr>
            <w:tcW w:w="1150"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075"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30217</w:t>
            </w:r>
          </w:p>
        </w:tc>
        <w:tc>
          <w:tcPr>
            <w:tcW w:w="2212"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公务接待费</w:t>
            </w:r>
          </w:p>
        </w:tc>
        <w:tc>
          <w:tcPr>
            <w:tcW w:w="739"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173"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31019</w:t>
            </w:r>
          </w:p>
        </w:tc>
        <w:tc>
          <w:tcPr>
            <w:tcW w:w="3826"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其他交通工具购置</w:t>
            </w:r>
          </w:p>
        </w:tc>
        <w:tc>
          <w:tcPr>
            <w:tcW w:w="925"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tblPrEx>
          <w:tblCellMar>
            <w:top w:w="0" w:type="dxa"/>
            <w:left w:w="108" w:type="dxa"/>
            <w:bottom w:w="0" w:type="dxa"/>
            <w:right w:w="108" w:type="dxa"/>
          </w:tblCellMar>
        </w:tblPrEx>
        <w:trPr>
          <w:trHeight w:val="284" w:hRule="exact"/>
        </w:trPr>
        <w:tc>
          <w:tcPr>
            <w:tcW w:w="1294" w:type="dxa"/>
            <w:gridSpan w:val="3"/>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30303</w:t>
            </w:r>
          </w:p>
        </w:tc>
        <w:tc>
          <w:tcPr>
            <w:tcW w:w="3220"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退职（役）费</w:t>
            </w:r>
          </w:p>
        </w:tc>
        <w:tc>
          <w:tcPr>
            <w:tcW w:w="1150"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075"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30218</w:t>
            </w:r>
          </w:p>
        </w:tc>
        <w:tc>
          <w:tcPr>
            <w:tcW w:w="2212"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专用材料费</w:t>
            </w:r>
          </w:p>
        </w:tc>
        <w:tc>
          <w:tcPr>
            <w:tcW w:w="739"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173"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31021</w:t>
            </w:r>
          </w:p>
        </w:tc>
        <w:tc>
          <w:tcPr>
            <w:tcW w:w="3826"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文物和陈列品购置</w:t>
            </w:r>
          </w:p>
        </w:tc>
        <w:tc>
          <w:tcPr>
            <w:tcW w:w="925"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tblPrEx>
          <w:tblCellMar>
            <w:top w:w="0" w:type="dxa"/>
            <w:left w:w="108" w:type="dxa"/>
            <w:bottom w:w="0" w:type="dxa"/>
            <w:right w:w="108" w:type="dxa"/>
          </w:tblCellMar>
        </w:tblPrEx>
        <w:trPr>
          <w:trHeight w:val="284" w:hRule="exact"/>
        </w:trPr>
        <w:tc>
          <w:tcPr>
            <w:tcW w:w="1294" w:type="dxa"/>
            <w:gridSpan w:val="3"/>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30304</w:t>
            </w:r>
          </w:p>
        </w:tc>
        <w:tc>
          <w:tcPr>
            <w:tcW w:w="3220"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抚恤金</w:t>
            </w:r>
          </w:p>
        </w:tc>
        <w:tc>
          <w:tcPr>
            <w:tcW w:w="1150"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075"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30224</w:t>
            </w:r>
          </w:p>
        </w:tc>
        <w:tc>
          <w:tcPr>
            <w:tcW w:w="2212"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被装购置费</w:t>
            </w:r>
          </w:p>
        </w:tc>
        <w:tc>
          <w:tcPr>
            <w:tcW w:w="739"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173"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31022</w:t>
            </w:r>
          </w:p>
        </w:tc>
        <w:tc>
          <w:tcPr>
            <w:tcW w:w="3826"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无形资产购置</w:t>
            </w:r>
          </w:p>
        </w:tc>
        <w:tc>
          <w:tcPr>
            <w:tcW w:w="925"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tblPrEx>
          <w:tblCellMar>
            <w:top w:w="0" w:type="dxa"/>
            <w:left w:w="108" w:type="dxa"/>
            <w:bottom w:w="0" w:type="dxa"/>
            <w:right w:w="108" w:type="dxa"/>
          </w:tblCellMar>
        </w:tblPrEx>
        <w:trPr>
          <w:trHeight w:val="284" w:hRule="exact"/>
        </w:trPr>
        <w:tc>
          <w:tcPr>
            <w:tcW w:w="1294" w:type="dxa"/>
            <w:gridSpan w:val="3"/>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30305</w:t>
            </w:r>
          </w:p>
        </w:tc>
        <w:tc>
          <w:tcPr>
            <w:tcW w:w="3220"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生活补助</w:t>
            </w:r>
          </w:p>
        </w:tc>
        <w:tc>
          <w:tcPr>
            <w:tcW w:w="1150"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58.02</w:t>
            </w:r>
          </w:p>
        </w:tc>
        <w:tc>
          <w:tcPr>
            <w:tcW w:w="1075"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30225</w:t>
            </w:r>
          </w:p>
        </w:tc>
        <w:tc>
          <w:tcPr>
            <w:tcW w:w="2212"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专用燃料费</w:t>
            </w:r>
          </w:p>
        </w:tc>
        <w:tc>
          <w:tcPr>
            <w:tcW w:w="739"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173"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31099</w:t>
            </w:r>
          </w:p>
        </w:tc>
        <w:tc>
          <w:tcPr>
            <w:tcW w:w="3826"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其他资本性支出</w:t>
            </w:r>
          </w:p>
        </w:tc>
        <w:tc>
          <w:tcPr>
            <w:tcW w:w="925"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tblPrEx>
          <w:tblCellMar>
            <w:top w:w="0" w:type="dxa"/>
            <w:left w:w="108" w:type="dxa"/>
            <w:bottom w:w="0" w:type="dxa"/>
            <w:right w:w="108" w:type="dxa"/>
          </w:tblCellMar>
        </w:tblPrEx>
        <w:trPr>
          <w:trHeight w:val="284" w:hRule="exact"/>
        </w:trPr>
        <w:tc>
          <w:tcPr>
            <w:tcW w:w="1294" w:type="dxa"/>
            <w:gridSpan w:val="3"/>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30306</w:t>
            </w:r>
          </w:p>
        </w:tc>
        <w:tc>
          <w:tcPr>
            <w:tcW w:w="3220"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救济费</w:t>
            </w:r>
          </w:p>
        </w:tc>
        <w:tc>
          <w:tcPr>
            <w:tcW w:w="1150"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075"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30226</w:t>
            </w:r>
          </w:p>
        </w:tc>
        <w:tc>
          <w:tcPr>
            <w:tcW w:w="2212"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劳务费</w:t>
            </w:r>
          </w:p>
        </w:tc>
        <w:tc>
          <w:tcPr>
            <w:tcW w:w="739"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173"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399</w:t>
            </w:r>
          </w:p>
        </w:tc>
        <w:tc>
          <w:tcPr>
            <w:tcW w:w="3826"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其他支出</w:t>
            </w:r>
          </w:p>
        </w:tc>
        <w:tc>
          <w:tcPr>
            <w:tcW w:w="925"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tblPrEx>
          <w:tblCellMar>
            <w:top w:w="0" w:type="dxa"/>
            <w:left w:w="108" w:type="dxa"/>
            <w:bottom w:w="0" w:type="dxa"/>
            <w:right w:w="108" w:type="dxa"/>
          </w:tblCellMar>
        </w:tblPrEx>
        <w:trPr>
          <w:trHeight w:val="284" w:hRule="exact"/>
        </w:trPr>
        <w:tc>
          <w:tcPr>
            <w:tcW w:w="1294" w:type="dxa"/>
            <w:gridSpan w:val="3"/>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30307</w:t>
            </w:r>
          </w:p>
        </w:tc>
        <w:tc>
          <w:tcPr>
            <w:tcW w:w="3220"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医疗费补助</w:t>
            </w:r>
          </w:p>
        </w:tc>
        <w:tc>
          <w:tcPr>
            <w:tcW w:w="1150"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075"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30227</w:t>
            </w:r>
          </w:p>
        </w:tc>
        <w:tc>
          <w:tcPr>
            <w:tcW w:w="2212"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委托业务费</w:t>
            </w:r>
          </w:p>
        </w:tc>
        <w:tc>
          <w:tcPr>
            <w:tcW w:w="739"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173"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39906</w:t>
            </w:r>
          </w:p>
        </w:tc>
        <w:tc>
          <w:tcPr>
            <w:tcW w:w="3826"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赠与</w:t>
            </w:r>
          </w:p>
        </w:tc>
        <w:tc>
          <w:tcPr>
            <w:tcW w:w="925"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tblPrEx>
          <w:tblCellMar>
            <w:top w:w="0" w:type="dxa"/>
            <w:left w:w="108" w:type="dxa"/>
            <w:bottom w:w="0" w:type="dxa"/>
            <w:right w:w="108" w:type="dxa"/>
          </w:tblCellMar>
        </w:tblPrEx>
        <w:trPr>
          <w:trHeight w:val="284" w:hRule="exact"/>
        </w:trPr>
        <w:tc>
          <w:tcPr>
            <w:tcW w:w="1294" w:type="dxa"/>
            <w:gridSpan w:val="3"/>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30308</w:t>
            </w:r>
          </w:p>
        </w:tc>
        <w:tc>
          <w:tcPr>
            <w:tcW w:w="3220"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助学金</w:t>
            </w:r>
          </w:p>
        </w:tc>
        <w:tc>
          <w:tcPr>
            <w:tcW w:w="1150"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075"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30228</w:t>
            </w:r>
          </w:p>
        </w:tc>
        <w:tc>
          <w:tcPr>
            <w:tcW w:w="2212"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工会经费</w:t>
            </w:r>
          </w:p>
        </w:tc>
        <w:tc>
          <w:tcPr>
            <w:tcW w:w="739"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20.49</w:t>
            </w:r>
          </w:p>
        </w:tc>
        <w:tc>
          <w:tcPr>
            <w:tcW w:w="1173"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39907</w:t>
            </w:r>
          </w:p>
        </w:tc>
        <w:tc>
          <w:tcPr>
            <w:tcW w:w="3826"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国家赔偿费用支出</w:t>
            </w:r>
          </w:p>
        </w:tc>
        <w:tc>
          <w:tcPr>
            <w:tcW w:w="925"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tblPrEx>
          <w:tblCellMar>
            <w:top w:w="0" w:type="dxa"/>
            <w:left w:w="108" w:type="dxa"/>
            <w:bottom w:w="0" w:type="dxa"/>
            <w:right w:w="108" w:type="dxa"/>
          </w:tblCellMar>
        </w:tblPrEx>
        <w:trPr>
          <w:trHeight w:val="284" w:hRule="exact"/>
        </w:trPr>
        <w:tc>
          <w:tcPr>
            <w:tcW w:w="1294" w:type="dxa"/>
            <w:gridSpan w:val="3"/>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30309</w:t>
            </w:r>
          </w:p>
        </w:tc>
        <w:tc>
          <w:tcPr>
            <w:tcW w:w="3220"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奖励金</w:t>
            </w:r>
          </w:p>
        </w:tc>
        <w:tc>
          <w:tcPr>
            <w:tcW w:w="1150"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075"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30229</w:t>
            </w:r>
          </w:p>
        </w:tc>
        <w:tc>
          <w:tcPr>
            <w:tcW w:w="2212"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福利费</w:t>
            </w:r>
          </w:p>
        </w:tc>
        <w:tc>
          <w:tcPr>
            <w:tcW w:w="739"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10.37</w:t>
            </w:r>
          </w:p>
        </w:tc>
        <w:tc>
          <w:tcPr>
            <w:tcW w:w="1173"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39908</w:t>
            </w:r>
          </w:p>
        </w:tc>
        <w:tc>
          <w:tcPr>
            <w:tcW w:w="3826"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对民间非营利组织和群众性自治组织补贴</w:t>
            </w:r>
          </w:p>
        </w:tc>
        <w:tc>
          <w:tcPr>
            <w:tcW w:w="925"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tblPrEx>
          <w:tblCellMar>
            <w:top w:w="0" w:type="dxa"/>
            <w:left w:w="108" w:type="dxa"/>
            <w:bottom w:w="0" w:type="dxa"/>
            <w:right w:w="108" w:type="dxa"/>
          </w:tblCellMar>
        </w:tblPrEx>
        <w:trPr>
          <w:trHeight w:val="284" w:hRule="exact"/>
        </w:trPr>
        <w:tc>
          <w:tcPr>
            <w:tcW w:w="1294" w:type="dxa"/>
            <w:gridSpan w:val="3"/>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30310</w:t>
            </w:r>
          </w:p>
        </w:tc>
        <w:tc>
          <w:tcPr>
            <w:tcW w:w="3220"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个人农业生产补贴</w:t>
            </w:r>
          </w:p>
        </w:tc>
        <w:tc>
          <w:tcPr>
            <w:tcW w:w="1150"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075"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30231</w:t>
            </w:r>
          </w:p>
        </w:tc>
        <w:tc>
          <w:tcPr>
            <w:tcW w:w="2212"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公务用车运行维护费</w:t>
            </w:r>
          </w:p>
        </w:tc>
        <w:tc>
          <w:tcPr>
            <w:tcW w:w="739"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173"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39999</w:t>
            </w:r>
          </w:p>
        </w:tc>
        <w:tc>
          <w:tcPr>
            <w:tcW w:w="3826"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其他支出</w:t>
            </w:r>
          </w:p>
        </w:tc>
        <w:tc>
          <w:tcPr>
            <w:tcW w:w="925"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tblPrEx>
          <w:tblCellMar>
            <w:top w:w="0" w:type="dxa"/>
            <w:left w:w="108" w:type="dxa"/>
            <w:bottom w:w="0" w:type="dxa"/>
            <w:right w:w="108" w:type="dxa"/>
          </w:tblCellMar>
        </w:tblPrEx>
        <w:trPr>
          <w:trHeight w:val="284" w:hRule="exact"/>
        </w:trPr>
        <w:tc>
          <w:tcPr>
            <w:tcW w:w="1294" w:type="dxa"/>
            <w:gridSpan w:val="3"/>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30311</w:t>
            </w:r>
          </w:p>
        </w:tc>
        <w:tc>
          <w:tcPr>
            <w:tcW w:w="3220"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代缴社会保险费</w:t>
            </w:r>
          </w:p>
        </w:tc>
        <w:tc>
          <w:tcPr>
            <w:tcW w:w="1150"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075"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30239</w:t>
            </w:r>
          </w:p>
        </w:tc>
        <w:tc>
          <w:tcPr>
            <w:tcW w:w="2212"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其他交通费用</w:t>
            </w:r>
          </w:p>
        </w:tc>
        <w:tc>
          <w:tcPr>
            <w:tcW w:w="739"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0.08</w:t>
            </w:r>
          </w:p>
        </w:tc>
        <w:tc>
          <w:tcPr>
            <w:tcW w:w="1173"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18"/>
              </w:rPr>
            </w:pPr>
            <w:r>
              <w:rPr>
                <w:rFonts w:hint="eastAsia" w:ascii="宋体" w:hAnsi="宋体" w:eastAsia="宋体" w:cs="宋体"/>
                <w:color w:val="000000"/>
                <w:kern w:val="0"/>
                <w:szCs w:val="18"/>
              </w:rPr>
              <w:t>　</w:t>
            </w:r>
          </w:p>
        </w:tc>
        <w:tc>
          <w:tcPr>
            <w:tcW w:w="3826"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18"/>
              </w:rPr>
            </w:pPr>
            <w:r>
              <w:rPr>
                <w:rFonts w:hint="eastAsia" w:ascii="宋体" w:hAnsi="宋体" w:eastAsia="宋体" w:cs="宋体"/>
                <w:color w:val="000000"/>
                <w:kern w:val="0"/>
                <w:szCs w:val="18"/>
              </w:rPr>
              <w:t>　</w:t>
            </w:r>
          </w:p>
        </w:tc>
        <w:tc>
          <w:tcPr>
            <w:tcW w:w="925"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color w:val="000000"/>
                <w:kern w:val="0"/>
                <w:szCs w:val="20"/>
              </w:rPr>
            </w:pPr>
          </w:p>
        </w:tc>
      </w:tr>
      <w:tr>
        <w:tblPrEx>
          <w:tblCellMar>
            <w:top w:w="0" w:type="dxa"/>
            <w:left w:w="108" w:type="dxa"/>
            <w:bottom w:w="0" w:type="dxa"/>
            <w:right w:w="108" w:type="dxa"/>
          </w:tblCellMar>
        </w:tblPrEx>
        <w:trPr>
          <w:trHeight w:val="284" w:hRule="exact"/>
        </w:trPr>
        <w:tc>
          <w:tcPr>
            <w:tcW w:w="1294" w:type="dxa"/>
            <w:gridSpan w:val="3"/>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30399</w:t>
            </w:r>
          </w:p>
        </w:tc>
        <w:tc>
          <w:tcPr>
            <w:tcW w:w="3220"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其他对个人和家庭的补助</w:t>
            </w:r>
          </w:p>
        </w:tc>
        <w:tc>
          <w:tcPr>
            <w:tcW w:w="1150"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1.06</w:t>
            </w:r>
          </w:p>
        </w:tc>
        <w:tc>
          <w:tcPr>
            <w:tcW w:w="1075"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30240</w:t>
            </w:r>
          </w:p>
        </w:tc>
        <w:tc>
          <w:tcPr>
            <w:tcW w:w="2212"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税金及附加费用</w:t>
            </w:r>
          </w:p>
        </w:tc>
        <w:tc>
          <w:tcPr>
            <w:tcW w:w="739"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173"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18"/>
              </w:rPr>
            </w:pPr>
            <w:r>
              <w:rPr>
                <w:rFonts w:hint="eastAsia" w:ascii="宋体" w:hAnsi="宋体" w:eastAsia="宋体" w:cs="宋体"/>
                <w:color w:val="000000"/>
                <w:kern w:val="0"/>
                <w:szCs w:val="18"/>
              </w:rPr>
              <w:t>　</w:t>
            </w:r>
          </w:p>
        </w:tc>
        <w:tc>
          <w:tcPr>
            <w:tcW w:w="3826"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18"/>
              </w:rPr>
            </w:pPr>
            <w:r>
              <w:rPr>
                <w:rFonts w:hint="eastAsia" w:ascii="宋体" w:hAnsi="宋体" w:eastAsia="宋体" w:cs="宋体"/>
                <w:color w:val="000000"/>
                <w:kern w:val="0"/>
                <w:szCs w:val="18"/>
              </w:rPr>
              <w:t>　</w:t>
            </w:r>
          </w:p>
        </w:tc>
        <w:tc>
          <w:tcPr>
            <w:tcW w:w="925" w:type="dxa"/>
            <w:gridSpan w:val="2"/>
            <w:tcBorders>
              <w:top w:val="nil"/>
              <w:left w:val="nil"/>
              <w:bottom w:val="single" w:color="auto" w:sz="4" w:space="0"/>
              <w:right w:val="single" w:color="auto" w:sz="4" w:space="0"/>
            </w:tcBorders>
            <w:shd w:val="clear" w:color="auto" w:fill="auto"/>
            <w:noWrap/>
            <w:vAlign w:val="center"/>
          </w:tcPr>
          <w:p>
            <w:pPr>
              <w:jc w:val="right"/>
              <w:rPr>
                <w:rFonts w:ascii="宋体" w:hAnsi="宋体" w:eastAsia="宋体" w:cs="宋体"/>
                <w:color w:val="000000"/>
                <w:kern w:val="0"/>
                <w:szCs w:val="20"/>
              </w:rPr>
            </w:pPr>
          </w:p>
        </w:tc>
      </w:tr>
      <w:tr>
        <w:tblPrEx>
          <w:tblCellMar>
            <w:top w:w="0" w:type="dxa"/>
            <w:left w:w="108" w:type="dxa"/>
            <w:bottom w:w="0" w:type="dxa"/>
            <w:right w:w="108" w:type="dxa"/>
          </w:tblCellMar>
        </w:tblPrEx>
        <w:trPr>
          <w:trHeight w:val="284" w:hRule="exact"/>
        </w:trPr>
        <w:tc>
          <w:tcPr>
            <w:tcW w:w="1294" w:type="dxa"/>
            <w:gridSpan w:val="3"/>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3220"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1150" w:type="dxa"/>
            <w:gridSpan w:val="2"/>
            <w:tcBorders>
              <w:top w:val="nil"/>
              <w:left w:val="nil"/>
              <w:bottom w:val="single" w:color="auto" w:sz="4" w:space="0"/>
              <w:right w:val="single" w:color="auto" w:sz="4" w:space="0"/>
            </w:tcBorders>
            <w:shd w:val="clear" w:color="auto" w:fill="auto"/>
            <w:noWrap/>
            <w:vAlign w:val="center"/>
          </w:tcPr>
          <w:p>
            <w:pPr>
              <w:jc w:val="right"/>
              <w:rPr>
                <w:rFonts w:ascii="宋体" w:hAnsi="宋体" w:eastAsia="宋体" w:cs="宋体"/>
                <w:color w:val="000000"/>
                <w:kern w:val="0"/>
                <w:szCs w:val="20"/>
              </w:rPr>
            </w:pPr>
          </w:p>
        </w:tc>
        <w:tc>
          <w:tcPr>
            <w:tcW w:w="1075"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30299</w:t>
            </w:r>
          </w:p>
        </w:tc>
        <w:tc>
          <w:tcPr>
            <w:tcW w:w="2212"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其他商品和服务支出</w:t>
            </w:r>
          </w:p>
        </w:tc>
        <w:tc>
          <w:tcPr>
            <w:tcW w:w="739"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26.02</w:t>
            </w:r>
          </w:p>
        </w:tc>
        <w:tc>
          <w:tcPr>
            <w:tcW w:w="1173"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18"/>
              </w:rPr>
            </w:pPr>
            <w:r>
              <w:rPr>
                <w:rFonts w:hint="eastAsia" w:ascii="宋体" w:hAnsi="宋体" w:eastAsia="宋体" w:cs="宋体"/>
                <w:color w:val="000000"/>
                <w:kern w:val="0"/>
                <w:szCs w:val="18"/>
              </w:rPr>
              <w:t>　</w:t>
            </w:r>
          </w:p>
        </w:tc>
        <w:tc>
          <w:tcPr>
            <w:tcW w:w="3826"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18"/>
              </w:rPr>
            </w:pPr>
            <w:r>
              <w:rPr>
                <w:rFonts w:hint="eastAsia" w:ascii="宋体" w:hAnsi="宋体" w:eastAsia="宋体" w:cs="宋体"/>
                <w:color w:val="000000"/>
                <w:kern w:val="0"/>
                <w:szCs w:val="18"/>
              </w:rPr>
              <w:t>　</w:t>
            </w:r>
          </w:p>
        </w:tc>
        <w:tc>
          <w:tcPr>
            <w:tcW w:w="925" w:type="dxa"/>
            <w:gridSpan w:val="2"/>
            <w:tcBorders>
              <w:top w:val="nil"/>
              <w:left w:val="nil"/>
              <w:bottom w:val="single" w:color="auto" w:sz="4" w:space="0"/>
              <w:right w:val="single" w:color="auto" w:sz="4" w:space="0"/>
            </w:tcBorders>
            <w:shd w:val="clear" w:color="auto" w:fill="auto"/>
            <w:noWrap/>
            <w:vAlign w:val="center"/>
          </w:tcPr>
          <w:p>
            <w:pPr>
              <w:jc w:val="right"/>
              <w:rPr>
                <w:rFonts w:ascii="宋体" w:hAnsi="宋体" w:eastAsia="宋体" w:cs="宋体"/>
                <w:color w:val="000000"/>
                <w:kern w:val="0"/>
                <w:szCs w:val="20"/>
              </w:rPr>
            </w:pPr>
          </w:p>
        </w:tc>
      </w:tr>
      <w:tr>
        <w:tblPrEx>
          <w:tblCellMar>
            <w:top w:w="0" w:type="dxa"/>
            <w:left w:w="108" w:type="dxa"/>
            <w:bottom w:w="0" w:type="dxa"/>
            <w:right w:w="108" w:type="dxa"/>
          </w:tblCellMar>
        </w:tblPrEx>
        <w:trPr>
          <w:trHeight w:val="284" w:hRule="exact"/>
        </w:trPr>
        <w:tc>
          <w:tcPr>
            <w:tcW w:w="4514" w:type="dxa"/>
            <w:gridSpan w:val="5"/>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人员经费合计</w:t>
            </w:r>
          </w:p>
        </w:tc>
        <w:tc>
          <w:tcPr>
            <w:tcW w:w="1150"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2,153.57</w:t>
            </w:r>
          </w:p>
        </w:tc>
        <w:tc>
          <w:tcPr>
            <w:tcW w:w="9025" w:type="dxa"/>
            <w:gridSpan w:val="9"/>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公用经费合计</w:t>
            </w:r>
          </w:p>
        </w:tc>
        <w:tc>
          <w:tcPr>
            <w:tcW w:w="925"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color w:val="000000"/>
                <w:kern w:val="0"/>
                <w:szCs w:val="18"/>
              </w:rPr>
            </w:pPr>
            <w:r>
              <w:rPr>
                <w:rFonts w:hint="eastAsia" w:ascii="宋体" w:hAnsi="宋体" w:eastAsia="宋体" w:cs="宋体"/>
                <w:i w:val="0"/>
                <w:iCs w:val="0"/>
                <w:color w:val="000000"/>
                <w:kern w:val="0"/>
                <w:sz w:val="22"/>
                <w:szCs w:val="22"/>
                <w:u w:val="none"/>
                <w:lang w:val="en-US" w:eastAsia="zh-CN" w:bidi="ar"/>
              </w:rPr>
              <w:t>64.13</w:t>
            </w:r>
          </w:p>
        </w:tc>
      </w:tr>
      <w:tr>
        <w:tblPrEx>
          <w:tblCellMar>
            <w:top w:w="0" w:type="dxa"/>
            <w:left w:w="108" w:type="dxa"/>
            <w:bottom w:w="0" w:type="dxa"/>
            <w:right w:w="108" w:type="dxa"/>
          </w:tblCellMar>
        </w:tblPrEx>
        <w:trPr>
          <w:trHeight w:val="284" w:hRule="exact"/>
        </w:trPr>
        <w:tc>
          <w:tcPr>
            <w:tcW w:w="15614" w:type="dxa"/>
            <w:gridSpan w:val="18"/>
            <w:tcBorders>
              <w:top w:val="nil"/>
              <w:left w:val="nil"/>
              <w:bottom w:val="nil"/>
              <w:right w:val="nil"/>
            </w:tcBorders>
            <w:shd w:val="clear" w:color="auto" w:fill="auto"/>
            <w:noWrap/>
            <w:vAlign w:val="center"/>
          </w:tcPr>
          <w:p>
            <w:pPr>
              <w:widowControl/>
              <w:jc w:val="left"/>
              <w:rPr>
                <w:rFonts w:ascii="宋体" w:hAnsi="宋体" w:eastAsia="宋体" w:cs="宋体"/>
                <w:color w:val="000000"/>
                <w:kern w:val="0"/>
                <w:szCs w:val="24"/>
              </w:rPr>
            </w:pPr>
            <w:r>
              <w:rPr>
                <w:rFonts w:hint="eastAsia" w:ascii="宋体" w:hAnsi="宋体" w:eastAsia="宋体" w:cs="宋体"/>
                <w:color w:val="000000"/>
                <w:kern w:val="0"/>
                <w:szCs w:val="24"/>
              </w:rPr>
              <w:t>注：本表反映部门本年度一般公共预算财政拨款基本支出明细情况。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89" w:type="dxa"/>
          <w:trHeight w:val="690" w:hRule="atLeast"/>
        </w:trPr>
        <w:tc>
          <w:tcPr>
            <w:tcW w:w="15325" w:type="dxa"/>
            <w:gridSpan w:val="17"/>
            <w:tcBorders>
              <w:top w:val="nil"/>
              <w:left w:val="nil"/>
              <w:bottom w:val="nil"/>
              <w:right w:val="nil"/>
            </w:tcBorders>
            <w:shd w:val="clear" w:color="auto" w:fill="FFFFFF"/>
            <w:vAlign w:val="center"/>
          </w:tcPr>
          <w:tbl>
            <w:tblPr>
              <w:tblStyle w:val="7"/>
              <w:tblW w:w="1514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260"/>
              <w:gridCol w:w="1261"/>
              <w:gridCol w:w="1261"/>
              <w:gridCol w:w="1261"/>
              <w:gridCol w:w="1261"/>
              <w:gridCol w:w="1261"/>
              <w:gridCol w:w="1261"/>
              <w:gridCol w:w="1261"/>
              <w:gridCol w:w="1261"/>
              <w:gridCol w:w="1261"/>
              <w:gridCol w:w="1261"/>
              <w:gridCol w:w="127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840" w:hRule="atLeast"/>
              </w:trPr>
              <w:tc>
                <w:tcPr>
                  <w:tcW w:w="15140" w:type="dxa"/>
                  <w:gridSpan w:val="12"/>
                  <w:tcBorders>
                    <w:top w:val="nil"/>
                    <w:left w:val="nil"/>
                    <w:bottom w:val="nil"/>
                    <w:right w:val="nil"/>
                  </w:tcBorders>
                  <w:shd w:val="clear" w:color="auto" w:fill="FFFFFF"/>
                  <w:vAlign w:val="center"/>
                </w:tcPr>
                <w:p>
                  <w:pPr>
                    <w:keepNext w:val="0"/>
                    <w:keepLines w:val="0"/>
                    <w:widowControl/>
                    <w:suppressLineNumbers w:val="0"/>
                    <w:jc w:val="center"/>
                    <w:textAlignment w:val="center"/>
                    <w:rPr>
                      <w:rFonts w:hint="eastAsia" w:ascii="华文中宋" w:hAnsi="华文中宋" w:eastAsia="华文中宋" w:cs="华文中宋"/>
                      <w:i w:val="0"/>
                      <w:color w:val="000000"/>
                      <w:kern w:val="0"/>
                      <w:sz w:val="32"/>
                      <w:szCs w:val="32"/>
                      <w:u w:val="none"/>
                      <w:lang w:val="en-US" w:eastAsia="zh-CN" w:bidi="ar"/>
                    </w:rPr>
                  </w:pPr>
                </w:p>
                <w:p>
                  <w:pPr>
                    <w:keepNext w:val="0"/>
                    <w:keepLines w:val="0"/>
                    <w:widowControl/>
                    <w:suppressLineNumbers w:val="0"/>
                    <w:jc w:val="center"/>
                    <w:textAlignment w:val="center"/>
                    <w:rPr>
                      <w:rFonts w:ascii="华文中宋" w:hAnsi="华文中宋" w:eastAsia="华文中宋" w:cs="华文中宋"/>
                      <w:i w:val="0"/>
                      <w:color w:val="000000"/>
                      <w:sz w:val="32"/>
                      <w:szCs w:val="32"/>
                      <w:u w:val="none"/>
                    </w:rPr>
                  </w:pPr>
                  <w:r>
                    <w:rPr>
                      <w:rFonts w:hint="eastAsia" w:ascii="华文中宋" w:hAnsi="华文中宋" w:eastAsia="华文中宋" w:cs="华文中宋"/>
                      <w:i w:val="0"/>
                      <w:color w:val="000000"/>
                      <w:kern w:val="0"/>
                      <w:sz w:val="32"/>
                      <w:szCs w:val="32"/>
                      <w:u w:val="none"/>
                      <w:lang w:val="en-US" w:eastAsia="zh-CN" w:bidi="ar"/>
                    </w:rPr>
                    <w:t>财政拨款“三公”经费支出决算表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1260" w:type="dxa"/>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1270" w:type="dxa"/>
                  <w:tcBorders>
                    <w:top w:val="nil"/>
                    <w:left w:val="nil"/>
                    <w:bottom w:val="nil"/>
                    <w:right w:val="nil"/>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公开09表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1260" w:type="dxa"/>
                  <w:tcBorders>
                    <w:top w:val="nil"/>
                    <w:left w:val="nil"/>
                    <w:bottom w:val="nil"/>
                    <w:right w:val="nil"/>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部门：</w:t>
                  </w:r>
                </w:p>
              </w:tc>
              <w:tc>
                <w:tcPr>
                  <w:tcW w:w="1261" w:type="dxa"/>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1270" w:type="dxa"/>
                  <w:tcBorders>
                    <w:top w:val="nil"/>
                    <w:left w:val="nil"/>
                    <w:bottom w:val="nil"/>
                    <w:right w:val="nil"/>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6" w:hRule="atLeast"/>
              </w:trPr>
              <w:tc>
                <w:tcPr>
                  <w:tcW w:w="7565"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预算数</w:t>
                  </w:r>
                </w:p>
              </w:tc>
              <w:tc>
                <w:tcPr>
                  <w:tcW w:w="7575"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决算数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22" w:hRule="atLeast"/>
              </w:trPr>
              <w:tc>
                <w:tcPr>
                  <w:tcW w:w="126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合计</w:t>
                  </w:r>
                </w:p>
              </w:tc>
              <w:tc>
                <w:tcPr>
                  <w:tcW w:w="126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因公出国（境）费</w:t>
                  </w:r>
                </w:p>
              </w:tc>
              <w:tc>
                <w:tcPr>
                  <w:tcW w:w="378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公务用车购置及运行维护费</w:t>
                  </w:r>
                </w:p>
              </w:tc>
              <w:tc>
                <w:tcPr>
                  <w:tcW w:w="126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公务接待费</w:t>
                  </w:r>
                </w:p>
              </w:tc>
              <w:tc>
                <w:tcPr>
                  <w:tcW w:w="126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合计</w:t>
                  </w:r>
                </w:p>
              </w:tc>
              <w:tc>
                <w:tcPr>
                  <w:tcW w:w="126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因公出国（境）费</w:t>
                  </w:r>
                </w:p>
              </w:tc>
              <w:tc>
                <w:tcPr>
                  <w:tcW w:w="378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公务用车购置及运行维护费</w:t>
                  </w:r>
                </w:p>
              </w:tc>
              <w:tc>
                <w:tcPr>
                  <w:tcW w:w="127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公务接待费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74" w:hRule="atLeast"/>
              </w:trPr>
              <w:tc>
                <w:tcPr>
                  <w:tcW w:w="12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小计</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公务用车</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购置费</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公务用车</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运行维护费</w:t>
                  </w:r>
                </w:p>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小计</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公务用车</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购置费</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公务用车</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运行维护费</w:t>
                  </w:r>
                </w:p>
              </w:tc>
              <w:tc>
                <w:tcPr>
                  <w:tcW w:w="12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66" w:hRule="atLeast"/>
              </w:trPr>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7</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11</w:t>
                  </w:r>
                </w:p>
              </w:tc>
              <w:tc>
                <w:tcPr>
                  <w:tcW w:w="12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65" w:hRule="atLeast"/>
              </w:trPr>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2"/>
                      <w:szCs w:val="22"/>
                      <w:u w:val="none"/>
                    </w:rPr>
                  </w:pP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2"/>
                      <w:szCs w:val="22"/>
                      <w:u w:val="none"/>
                    </w:rPr>
                  </w:pP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2"/>
                      <w:szCs w:val="22"/>
                      <w:u w:val="none"/>
                    </w:rPr>
                  </w:pP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2"/>
                      <w:szCs w:val="22"/>
                      <w:u w:val="none"/>
                    </w:rPr>
                  </w:pP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2"/>
                      <w:szCs w:val="22"/>
                      <w:u w:val="none"/>
                    </w:rPr>
                  </w:pP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2"/>
                      <w:szCs w:val="22"/>
                      <w:u w:val="none"/>
                    </w:rPr>
                  </w:pP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2"/>
                      <w:szCs w:val="22"/>
                      <w:u w:val="none"/>
                    </w:rPr>
                  </w:pP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2"/>
                      <w:szCs w:val="22"/>
                      <w:u w:val="none"/>
                    </w:rPr>
                  </w:pP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2"/>
                      <w:szCs w:val="22"/>
                      <w:u w:val="none"/>
                    </w:rPr>
                  </w:pP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2"/>
                      <w:szCs w:val="22"/>
                      <w:u w:val="none"/>
                    </w:rPr>
                  </w:pP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2"/>
                      <w:szCs w:val="22"/>
                      <w:u w:val="none"/>
                    </w:rPr>
                  </w:pPr>
                </w:p>
              </w:tc>
              <w:tc>
                <w:tcPr>
                  <w:tcW w:w="127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26" w:hRule="atLeast"/>
              </w:trPr>
              <w:tc>
                <w:tcPr>
                  <w:tcW w:w="15140" w:type="dxa"/>
                  <w:gridSpan w:val="12"/>
                  <w:tcBorders>
                    <w:top w:val="nil"/>
                    <w:left w:val="nil"/>
                    <w:bottom w:val="nil"/>
                    <w:right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注：本表反映部门本年度财政拨款“三公”经费支出预决算情况。其中，预算数为“三公”经费全年预算数，反映按规定程序调整后的预算数；决算数是包括当年财政拨款和以前年度结转资金安排的实际支出。</w:t>
                  </w:r>
                </w:p>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r>
                    <w:rPr>
                      <w:rFonts w:hint="eastAsia" w:ascii="楷体" w:hAnsi="楷体" w:eastAsia="楷体" w:cs="楷体"/>
                      <w:b/>
                      <w:bCs/>
                      <w:i w:val="0"/>
                      <w:color w:val="auto"/>
                      <w:kern w:val="0"/>
                      <w:sz w:val="24"/>
                      <w:szCs w:val="24"/>
                      <w:u w:val="none"/>
                      <w:lang w:val="en-US" w:eastAsia="zh-CN" w:bidi="ar"/>
                    </w:rPr>
                    <w:t>说明：我单位没有使用国有资本经营预算安排的支出，故本表无数据。</w:t>
                  </w:r>
                </w:p>
              </w:tc>
            </w:tr>
          </w:tbl>
          <w:p>
            <w:pPr>
              <w:pStyle w:val="2"/>
              <w:ind w:left="0" w:leftChars="0" w:firstLine="0" w:firstLineChars="0"/>
              <w:rPr>
                <w:rFonts w:hint="eastAsia"/>
                <w:lang w:val="en-US" w:eastAsia="zh-CN"/>
              </w:rPr>
            </w:pPr>
          </w:p>
          <w:p>
            <w:pPr>
              <w:pStyle w:val="2"/>
              <w:ind w:left="0" w:leftChars="0" w:firstLine="0" w:firstLineChars="0"/>
              <w:rPr>
                <w:rFonts w:hint="eastAsia"/>
                <w:lang w:val="en-US" w:eastAsia="zh-CN"/>
              </w:rPr>
            </w:pPr>
          </w:p>
          <w:p>
            <w:pPr>
              <w:pStyle w:val="2"/>
              <w:ind w:left="0" w:leftChars="0" w:firstLine="0" w:firstLineChars="0"/>
              <w:rPr>
                <w:rFonts w:hint="eastAsia"/>
                <w:lang w:val="en-US" w:eastAsia="zh-CN"/>
              </w:rPr>
            </w:pPr>
          </w:p>
          <w:p>
            <w:pPr>
              <w:keepNext w:val="0"/>
              <w:keepLines w:val="0"/>
              <w:widowControl/>
              <w:suppressLineNumbers w:val="0"/>
              <w:jc w:val="center"/>
              <w:textAlignment w:val="center"/>
              <w:rPr>
                <w:rFonts w:ascii="华文中宋" w:hAnsi="华文中宋" w:eastAsia="华文中宋" w:cs="华文中宋"/>
                <w:i w:val="0"/>
                <w:color w:val="000000"/>
                <w:sz w:val="32"/>
                <w:szCs w:val="32"/>
                <w:u w:val="none"/>
              </w:rPr>
            </w:pPr>
            <w:r>
              <w:rPr>
                <w:rFonts w:hint="eastAsia" w:ascii="华文中宋" w:hAnsi="华文中宋" w:eastAsia="华文中宋" w:cs="华文中宋"/>
                <w:i w:val="0"/>
                <w:color w:val="000000"/>
                <w:kern w:val="0"/>
                <w:sz w:val="32"/>
                <w:szCs w:val="32"/>
                <w:u w:val="none"/>
                <w:lang w:val="en-US" w:eastAsia="zh-CN" w:bidi="ar"/>
              </w:rPr>
              <w:t>政府性基金预算财政拨款收入支出决算表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89" w:type="dxa"/>
          <w:trHeight w:val="345" w:hRule="atLeast"/>
        </w:trPr>
        <w:tc>
          <w:tcPr>
            <w:tcW w:w="964" w:type="dxa"/>
            <w:tcBorders>
              <w:top w:val="nil"/>
              <w:left w:val="nil"/>
              <w:bottom w:val="nil"/>
              <w:right w:val="nil"/>
            </w:tcBorders>
            <w:shd w:val="clear" w:color="auto" w:fill="FFFFFF"/>
            <w:vAlign w:val="center"/>
          </w:tcPr>
          <w:p>
            <w:pPr>
              <w:jc w:val="center"/>
              <w:rPr>
                <w:rFonts w:hint="eastAsia" w:ascii="宋体" w:hAnsi="宋体" w:eastAsia="宋体" w:cs="宋体"/>
                <w:i w:val="0"/>
                <w:color w:val="000000"/>
                <w:sz w:val="20"/>
                <w:szCs w:val="20"/>
                <w:u w:val="none"/>
              </w:rPr>
            </w:pPr>
          </w:p>
        </w:tc>
        <w:tc>
          <w:tcPr>
            <w:tcW w:w="239" w:type="dxa"/>
            <w:tcBorders>
              <w:top w:val="nil"/>
              <w:left w:val="nil"/>
              <w:bottom w:val="nil"/>
              <w:right w:val="nil"/>
            </w:tcBorders>
            <w:shd w:val="clear" w:color="auto" w:fill="FFFFFF"/>
            <w:vAlign w:val="center"/>
          </w:tcPr>
          <w:p>
            <w:pPr>
              <w:jc w:val="center"/>
              <w:rPr>
                <w:rFonts w:hint="eastAsia" w:ascii="宋体" w:hAnsi="宋体" w:eastAsia="宋体" w:cs="宋体"/>
                <w:i w:val="0"/>
                <w:color w:val="000000"/>
                <w:sz w:val="20"/>
                <w:szCs w:val="20"/>
                <w:u w:val="none"/>
              </w:rPr>
            </w:pPr>
          </w:p>
        </w:tc>
        <w:tc>
          <w:tcPr>
            <w:tcW w:w="1344" w:type="dxa"/>
            <w:gridSpan w:val="2"/>
            <w:tcBorders>
              <w:top w:val="nil"/>
              <w:left w:val="nil"/>
              <w:bottom w:val="nil"/>
              <w:right w:val="nil"/>
            </w:tcBorders>
            <w:shd w:val="clear" w:color="auto" w:fill="FFFFFF"/>
            <w:vAlign w:val="center"/>
          </w:tcPr>
          <w:p>
            <w:pPr>
              <w:jc w:val="center"/>
              <w:rPr>
                <w:rFonts w:hint="eastAsia" w:ascii="宋体" w:hAnsi="宋体" w:eastAsia="宋体" w:cs="宋体"/>
                <w:i w:val="0"/>
                <w:color w:val="000000"/>
                <w:sz w:val="20"/>
                <w:szCs w:val="20"/>
                <w:u w:val="none"/>
              </w:rPr>
            </w:pPr>
          </w:p>
        </w:tc>
        <w:tc>
          <w:tcPr>
            <w:tcW w:w="2065" w:type="dxa"/>
            <w:gridSpan w:val="2"/>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2423" w:type="dxa"/>
            <w:gridSpan w:val="3"/>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2045" w:type="dxa"/>
            <w:gridSpan w:val="2"/>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2126" w:type="dxa"/>
            <w:gridSpan w:val="3"/>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2025" w:type="dxa"/>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2094" w:type="dxa"/>
            <w:gridSpan w:val="2"/>
            <w:tcBorders>
              <w:top w:val="nil"/>
              <w:left w:val="nil"/>
              <w:bottom w:val="nil"/>
              <w:right w:val="nil"/>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公开07表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89" w:type="dxa"/>
          <w:trHeight w:val="690" w:hRule="atLeast"/>
        </w:trPr>
        <w:tc>
          <w:tcPr>
            <w:tcW w:w="964" w:type="dxa"/>
            <w:tcBorders>
              <w:top w:val="nil"/>
              <w:left w:val="nil"/>
              <w:bottom w:val="nil"/>
              <w:right w:val="nil"/>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部门：</w:t>
            </w:r>
          </w:p>
        </w:tc>
        <w:tc>
          <w:tcPr>
            <w:tcW w:w="239" w:type="dxa"/>
            <w:tcBorders>
              <w:top w:val="nil"/>
              <w:left w:val="nil"/>
              <w:bottom w:val="nil"/>
              <w:right w:val="nil"/>
            </w:tcBorders>
            <w:shd w:val="clear" w:color="auto" w:fill="FFFFFF"/>
            <w:vAlign w:val="center"/>
          </w:tcPr>
          <w:p>
            <w:pPr>
              <w:jc w:val="center"/>
              <w:rPr>
                <w:rFonts w:hint="eastAsia" w:ascii="宋体" w:hAnsi="宋体" w:eastAsia="宋体" w:cs="宋体"/>
                <w:i w:val="0"/>
                <w:color w:val="000000"/>
                <w:sz w:val="20"/>
                <w:szCs w:val="20"/>
                <w:u w:val="none"/>
              </w:rPr>
            </w:pPr>
          </w:p>
        </w:tc>
        <w:tc>
          <w:tcPr>
            <w:tcW w:w="1344" w:type="dxa"/>
            <w:gridSpan w:val="2"/>
            <w:tcBorders>
              <w:top w:val="nil"/>
              <w:left w:val="nil"/>
              <w:bottom w:val="nil"/>
              <w:right w:val="nil"/>
            </w:tcBorders>
            <w:shd w:val="clear" w:color="auto" w:fill="FFFFFF"/>
            <w:vAlign w:val="center"/>
          </w:tcPr>
          <w:p>
            <w:pPr>
              <w:jc w:val="center"/>
              <w:rPr>
                <w:rFonts w:hint="eastAsia" w:ascii="宋体" w:hAnsi="宋体" w:eastAsia="宋体" w:cs="宋体"/>
                <w:i w:val="0"/>
                <w:color w:val="000000"/>
                <w:sz w:val="20"/>
                <w:szCs w:val="20"/>
                <w:u w:val="none"/>
              </w:rPr>
            </w:pPr>
          </w:p>
        </w:tc>
        <w:tc>
          <w:tcPr>
            <w:tcW w:w="2065" w:type="dxa"/>
            <w:gridSpan w:val="2"/>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2423" w:type="dxa"/>
            <w:gridSpan w:val="3"/>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2045" w:type="dxa"/>
            <w:gridSpan w:val="2"/>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2126" w:type="dxa"/>
            <w:gridSpan w:val="3"/>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2025" w:type="dxa"/>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2094" w:type="dxa"/>
            <w:gridSpan w:val="2"/>
            <w:tcBorders>
              <w:top w:val="nil"/>
              <w:left w:val="nil"/>
              <w:bottom w:val="nil"/>
              <w:right w:val="nil"/>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89" w:type="dxa"/>
          <w:trHeight w:val="459" w:hRule="atLeast"/>
        </w:trPr>
        <w:tc>
          <w:tcPr>
            <w:tcW w:w="2547"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项 </w:t>
            </w:r>
            <w:r>
              <w:rPr>
                <w:rStyle w:val="15"/>
                <w:lang w:val="en-US" w:eastAsia="zh-CN" w:bidi="ar"/>
              </w:rPr>
              <w:t xml:space="preserve">   </w:t>
            </w:r>
            <w:r>
              <w:rPr>
                <w:rStyle w:val="16"/>
                <w:lang w:val="en-US" w:eastAsia="zh-CN" w:bidi="ar"/>
              </w:rPr>
              <w:t>目</w:t>
            </w:r>
          </w:p>
        </w:tc>
        <w:tc>
          <w:tcPr>
            <w:tcW w:w="2065"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年初结转和结余</w:t>
            </w:r>
          </w:p>
        </w:tc>
        <w:tc>
          <w:tcPr>
            <w:tcW w:w="2423"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本年收入</w:t>
            </w:r>
          </w:p>
        </w:tc>
        <w:tc>
          <w:tcPr>
            <w:tcW w:w="6196"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本年支出</w:t>
            </w:r>
          </w:p>
        </w:tc>
        <w:tc>
          <w:tcPr>
            <w:tcW w:w="2094"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年末结转和结余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89" w:type="dxa"/>
          <w:trHeight w:val="609" w:hRule="atLeast"/>
        </w:trPr>
        <w:tc>
          <w:tcPr>
            <w:tcW w:w="1203"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科目代码</w:t>
            </w:r>
          </w:p>
        </w:tc>
        <w:tc>
          <w:tcPr>
            <w:tcW w:w="1344"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科目名称</w:t>
            </w:r>
          </w:p>
        </w:tc>
        <w:tc>
          <w:tcPr>
            <w:tcW w:w="206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423"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045"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小计</w:t>
            </w:r>
          </w:p>
        </w:tc>
        <w:tc>
          <w:tcPr>
            <w:tcW w:w="2126"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基本支出  </w:t>
            </w:r>
          </w:p>
        </w:tc>
        <w:tc>
          <w:tcPr>
            <w:tcW w:w="202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项目支出</w:t>
            </w:r>
          </w:p>
        </w:tc>
        <w:tc>
          <w:tcPr>
            <w:tcW w:w="209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89" w:type="dxa"/>
          <w:trHeight w:val="409" w:hRule="atLeast"/>
        </w:trPr>
        <w:tc>
          <w:tcPr>
            <w:tcW w:w="120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134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06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423"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04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126"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0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09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89" w:type="dxa"/>
          <w:trHeight w:val="509" w:hRule="atLeast"/>
        </w:trPr>
        <w:tc>
          <w:tcPr>
            <w:tcW w:w="120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134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06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423"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04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126"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0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09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89" w:type="dxa"/>
          <w:trHeight w:val="509" w:hRule="atLeast"/>
        </w:trPr>
        <w:tc>
          <w:tcPr>
            <w:tcW w:w="2547"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栏次</w:t>
            </w:r>
          </w:p>
        </w:tc>
        <w:tc>
          <w:tcPr>
            <w:tcW w:w="206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w:t>
            </w:r>
          </w:p>
        </w:tc>
        <w:tc>
          <w:tcPr>
            <w:tcW w:w="242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w:t>
            </w:r>
          </w:p>
        </w:tc>
        <w:tc>
          <w:tcPr>
            <w:tcW w:w="20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w:t>
            </w:r>
          </w:p>
        </w:tc>
        <w:tc>
          <w:tcPr>
            <w:tcW w:w="212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w:t>
            </w:r>
          </w:p>
        </w:tc>
        <w:tc>
          <w:tcPr>
            <w:tcW w:w="20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5</w:t>
            </w:r>
          </w:p>
        </w:tc>
        <w:tc>
          <w:tcPr>
            <w:tcW w:w="209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89" w:type="dxa"/>
          <w:trHeight w:val="509" w:hRule="atLeast"/>
        </w:trPr>
        <w:tc>
          <w:tcPr>
            <w:tcW w:w="2547"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合计</w:t>
            </w:r>
          </w:p>
        </w:tc>
        <w:tc>
          <w:tcPr>
            <w:tcW w:w="206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42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0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12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0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09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89" w:type="dxa"/>
          <w:trHeight w:val="509" w:hRule="atLeast"/>
        </w:trPr>
        <w:tc>
          <w:tcPr>
            <w:tcW w:w="120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134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0"/>
                <w:szCs w:val="20"/>
                <w:u w:val="none"/>
              </w:rPr>
            </w:pPr>
          </w:p>
        </w:tc>
        <w:tc>
          <w:tcPr>
            <w:tcW w:w="206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42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0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12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02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09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89" w:type="dxa"/>
          <w:trHeight w:val="509" w:hRule="atLeast"/>
        </w:trPr>
        <w:tc>
          <w:tcPr>
            <w:tcW w:w="120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134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06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42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0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12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02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09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89" w:type="dxa"/>
          <w:trHeight w:val="509" w:hRule="atLeast"/>
        </w:trPr>
        <w:tc>
          <w:tcPr>
            <w:tcW w:w="120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134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0"/>
                <w:szCs w:val="20"/>
                <w:u w:val="none"/>
              </w:rPr>
            </w:pPr>
          </w:p>
        </w:tc>
        <w:tc>
          <w:tcPr>
            <w:tcW w:w="206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42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0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12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02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09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89" w:type="dxa"/>
          <w:trHeight w:val="509" w:hRule="atLeast"/>
        </w:trPr>
        <w:tc>
          <w:tcPr>
            <w:tcW w:w="120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134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06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42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0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12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02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09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89" w:type="dxa"/>
          <w:trHeight w:val="509" w:hRule="atLeast"/>
        </w:trPr>
        <w:tc>
          <w:tcPr>
            <w:tcW w:w="120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134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06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42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0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12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02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09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89" w:type="dxa"/>
          <w:trHeight w:val="509" w:hRule="atLeast"/>
        </w:trPr>
        <w:tc>
          <w:tcPr>
            <w:tcW w:w="120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134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06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42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0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12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02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09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89" w:type="dxa"/>
          <w:trHeight w:val="725" w:hRule="atLeast"/>
        </w:trPr>
        <w:tc>
          <w:tcPr>
            <w:tcW w:w="15325" w:type="dxa"/>
            <w:gridSpan w:val="17"/>
            <w:tcBorders>
              <w:top w:val="nil"/>
              <w:left w:val="nil"/>
              <w:bottom w:val="nil"/>
              <w:right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注：本表反映部门本年度政府性基金预算财政拨款收入、支出及结转和结余情况。</w:t>
            </w:r>
          </w:p>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r>
              <w:rPr>
                <w:rFonts w:hint="eastAsia" w:ascii="楷体" w:hAnsi="楷体" w:eastAsia="楷体" w:cs="楷体"/>
                <w:b/>
                <w:bCs/>
                <w:i w:val="0"/>
                <w:color w:val="auto"/>
                <w:kern w:val="0"/>
                <w:sz w:val="24"/>
                <w:szCs w:val="24"/>
                <w:u w:val="none"/>
                <w:lang w:val="en-US" w:eastAsia="zh-CN" w:bidi="ar"/>
              </w:rPr>
              <w:t>说明：我单位没有政府性基金收入，也没有使用政府性基金安排的支出，故本表无数据。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89" w:type="dxa"/>
          <w:trHeight w:val="725" w:hRule="atLeast"/>
        </w:trPr>
        <w:tc>
          <w:tcPr>
            <w:tcW w:w="15325" w:type="dxa"/>
            <w:gridSpan w:val="17"/>
            <w:tcBorders>
              <w:top w:val="nil"/>
              <w:left w:val="nil"/>
              <w:bottom w:val="nil"/>
              <w:right w:val="nil"/>
            </w:tcBorders>
            <w:shd w:val="clear" w:color="auto" w:fill="auto"/>
            <w:vAlign w:val="center"/>
          </w:tcPr>
          <w:p>
            <w:pPr>
              <w:keepNext w:val="0"/>
              <w:keepLines w:val="0"/>
              <w:widowControl/>
              <w:suppressLineNumbers w:val="0"/>
              <w:jc w:val="left"/>
              <w:textAlignment w:val="center"/>
              <w:rPr>
                <w:rFonts w:hint="eastAsia" w:ascii="楷体" w:hAnsi="楷体" w:eastAsia="楷体" w:cs="楷体"/>
                <w:b/>
                <w:bCs/>
                <w:i w:val="0"/>
                <w:color w:val="auto"/>
                <w:kern w:val="0"/>
                <w:sz w:val="24"/>
                <w:szCs w:val="24"/>
                <w:u w:val="none"/>
                <w:lang w:val="en-US" w:eastAsia="zh-CN" w:bidi="ar"/>
              </w:rPr>
            </w:pPr>
          </w:p>
        </w:tc>
      </w:tr>
    </w:tbl>
    <w:p>
      <w:pPr>
        <w:widowControl/>
        <w:jc w:val="both"/>
        <w:rPr>
          <w:rFonts w:hint="eastAsia" w:ascii="Times New Roman" w:hAnsi="Times New Roman" w:eastAsia="方正小标宋_GBK" w:cs="Times New Roman"/>
          <w:color w:val="000000"/>
          <w:kern w:val="0"/>
          <w:sz w:val="36"/>
          <w:szCs w:val="36"/>
        </w:rPr>
      </w:pPr>
    </w:p>
    <w:tbl>
      <w:tblPr>
        <w:tblStyle w:val="7"/>
        <w:tblW w:w="1512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326"/>
        <w:gridCol w:w="701"/>
        <w:gridCol w:w="2292"/>
        <w:gridCol w:w="3315"/>
        <w:gridCol w:w="3315"/>
        <w:gridCol w:w="417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3" w:hRule="atLeast"/>
        </w:trPr>
        <w:tc>
          <w:tcPr>
            <w:tcW w:w="15120" w:type="dxa"/>
            <w:gridSpan w:val="6"/>
            <w:tcBorders>
              <w:top w:val="nil"/>
              <w:left w:val="nil"/>
              <w:bottom w:val="nil"/>
              <w:right w:val="nil"/>
            </w:tcBorders>
            <w:shd w:val="clear" w:color="auto" w:fill="FFFFFF"/>
            <w:vAlign w:val="center"/>
          </w:tcPr>
          <w:p>
            <w:pPr>
              <w:keepNext w:val="0"/>
              <w:keepLines w:val="0"/>
              <w:widowControl/>
              <w:suppressLineNumbers w:val="0"/>
              <w:jc w:val="center"/>
              <w:textAlignment w:val="center"/>
              <w:rPr>
                <w:rFonts w:ascii="华文中宋" w:hAnsi="华文中宋" w:eastAsia="华文中宋" w:cs="华文中宋"/>
                <w:i w:val="0"/>
                <w:color w:val="000000"/>
                <w:sz w:val="32"/>
                <w:szCs w:val="32"/>
                <w:u w:val="none"/>
              </w:rPr>
            </w:pPr>
            <w:r>
              <w:rPr>
                <w:rFonts w:hint="eastAsia" w:ascii="华文中宋" w:hAnsi="华文中宋" w:eastAsia="华文中宋" w:cs="华文中宋"/>
                <w:i w:val="0"/>
                <w:color w:val="000000"/>
                <w:kern w:val="0"/>
                <w:sz w:val="32"/>
                <w:szCs w:val="32"/>
                <w:u w:val="none"/>
                <w:lang w:val="en-US" w:eastAsia="zh-CN" w:bidi="ar"/>
              </w:rPr>
              <w:t>国有资本经营预算财政拨款支出决算表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17" w:hRule="atLeast"/>
        </w:trPr>
        <w:tc>
          <w:tcPr>
            <w:tcW w:w="1326" w:type="dxa"/>
            <w:tcBorders>
              <w:top w:val="nil"/>
              <w:left w:val="nil"/>
              <w:bottom w:val="nil"/>
              <w:right w:val="nil"/>
            </w:tcBorders>
            <w:shd w:val="clear" w:color="auto" w:fill="FFFFFF"/>
            <w:vAlign w:val="center"/>
          </w:tcPr>
          <w:p>
            <w:pPr>
              <w:jc w:val="center"/>
              <w:rPr>
                <w:rFonts w:hint="eastAsia" w:ascii="宋体" w:hAnsi="宋体" w:eastAsia="宋体" w:cs="宋体"/>
                <w:i w:val="0"/>
                <w:color w:val="000000"/>
                <w:sz w:val="20"/>
                <w:szCs w:val="20"/>
                <w:u w:val="none"/>
              </w:rPr>
            </w:pPr>
          </w:p>
        </w:tc>
        <w:tc>
          <w:tcPr>
            <w:tcW w:w="701" w:type="dxa"/>
            <w:tcBorders>
              <w:top w:val="nil"/>
              <w:left w:val="nil"/>
              <w:bottom w:val="nil"/>
              <w:right w:val="nil"/>
            </w:tcBorders>
            <w:shd w:val="clear" w:color="auto" w:fill="FFFFFF"/>
            <w:vAlign w:val="center"/>
          </w:tcPr>
          <w:p>
            <w:pPr>
              <w:jc w:val="center"/>
              <w:rPr>
                <w:rFonts w:hint="eastAsia" w:ascii="宋体" w:hAnsi="宋体" w:eastAsia="宋体" w:cs="宋体"/>
                <w:i w:val="0"/>
                <w:color w:val="000000"/>
                <w:sz w:val="20"/>
                <w:szCs w:val="20"/>
                <w:u w:val="none"/>
              </w:rPr>
            </w:pPr>
          </w:p>
        </w:tc>
        <w:tc>
          <w:tcPr>
            <w:tcW w:w="2292" w:type="dxa"/>
            <w:tcBorders>
              <w:top w:val="nil"/>
              <w:left w:val="nil"/>
              <w:bottom w:val="nil"/>
              <w:right w:val="nil"/>
            </w:tcBorders>
            <w:shd w:val="clear" w:color="auto" w:fill="FFFFFF"/>
            <w:vAlign w:val="center"/>
          </w:tcPr>
          <w:p>
            <w:pPr>
              <w:jc w:val="center"/>
              <w:rPr>
                <w:rFonts w:hint="eastAsia" w:ascii="宋体" w:hAnsi="宋体" w:eastAsia="宋体" w:cs="宋体"/>
                <w:i w:val="0"/>
                <w:color w:val="000000"/>
                <w:sz w:val="20"/>
                <w:szCs w:val="20"/>
                <w:u w:val="none"/>
              </w:rPr>
            </w:pPr>
          </w:p>
        </w:tc>
        <w:tc>
          <w:tcPr>
            <w:tcW w:w="3315" w:type="dxa"/>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3315" w:type="dxa"/>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0" w:type="auto"/>
            <w:tcBorders>
              <w:top w:val="nil"/>
              <w:left w:val="nil"/>
              <w:bottom w:val="nil"/>
              <w:right w:val="nil"/>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公开08表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17" w:hRule="atLeast"/>
        </w:trPr>
        <w:tc>
          <w:tcPr>
            <w:tcW w:w="0" w:type="auto"/>
            <w:tcBorders>
              <w:top w:val="nil"/>
              <w:left w:val="nil"/>
              <w:bottom w:val="nil"/>
              <w:right w:val="nil"/>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部门：</w:t>
            </w:r>
          </w:p>
        </w:tc>
        <w:tc>
          <w:tcPr>
            <w:tcW w:w="701" w:type="dxa"/>
            <w:tcBorders>
              <w:top w:val="nil"/>
              <w:left w:val="nil"/>
              <w:bottom w:val="nil"/>
              <w:right w:val="nil"/>
            </w:tcBorders>
            <w:shd w:val="clear" w:color="auto" w:fill="FFFFFF"/>
            <w:vAlign w:val="center"/>
          </w:tcPr>
          <w:p>
            <w:pPr>
              <w:jc w:val="center"/>
              <w:rPr>
                <w:rFonts w:hint="eastAsia" w:ascii="宋体" w:hAnsi="宋体" w:eastAsia="宋体" w:cs="宋体"/>
                <w:i w:val="0"/>
                <w:color w:val="000000"/>
                <w:sz w:val="20"/>
                <w:szCs w:val="20"/>
                <w:u w:val="none"/>
              </w:rPr>
            </w:pPr>
          </w:p>
        </w:tc>
        <w:tc>
          <w:tcPr>
            <w:tcW w:w="2292" w:type="dxa"/>
            <w:tcBorders>
              <w:top w:val="nil"/>
              <w:left w:val="nil"/>
              <w:bottom w:val="nil"/>
              <w:right w:val="nil"/>
            </w:tcBorders>
            <w:shd w:val="clear" w:color="auto" w:fill="FFFFFF"/>
            <w:vAlign w:val="center"/>
          </w:tcPr>
          <w:p>
            <w:pPr>
              <w:jc w:val="center"/>
              <w:rPr>
                <w:rFonts w:hint="eastAsia" w:ascii="宋体" w:hAnsi="宋体" w:eastAsia="宋体" w:cs="宋体"/>
                <w:i w:val="0"/>
                <w:color w:val="000000"/>
                <w:sz w:val="20"/>
                <w:szCs w:val="20"/>
                <w:u w:val="none"/>
              </w:rPr>
            </w:pPr>
          </w:p>
        </w:tc>
        <w:tc>
          <w:tcPr>
            <w:tcW w:w="3315" w:type="dxa"/>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3315" w:type="dxa"/>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0" w:type="auto"/>
            <w:tcBorders>
              <w:top w:val="nil"/>
              <w:left w:val="nil"/>
              <w:bottom w:val="nil"/>
              <w:right w:val="nil"/>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8" w:hRule="atLeast"/>
        </w:trPr>
        <w:tc>
          <w:tcPr>
            <w:tcW w:w="43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项 </w:t>
            </w:r>
            <w:r>
              <w:rPr>
                <w:rFonts w:hint="eastAsia" w:ascii="宋体" w:hAnsi="宋体" w:eastAsia="宋体" w:cs="宋体"/>
                <w:i w:val="0"/>
                <w:color w:val="000000"/>
                <w:kern w:val="0"/>
                <w:sz w:val="22"/>
                <w:szCs w:val="22"/>
                <w:u w:val="none"/>
                <w:lang w:val="en-US" w:eastAsia="zh-CN" w:bidi="ar"/>
              </w:rPr>
              <w:t xml:space="preserve">   </w:t>
            </w:r>
            <w:r>
              <w:rPr>
                <w:rStyle w:val="17"/>
                <w:lang w:val="en-US" w:eastAsia="zh-CN" w:bidi="ar"/>
              </w:rPr>
              <w:t>目</w:t>
            </w:r>
          </w:p>
        </w:tc>
        <w:tc>
          <w:tcPr>
            <w:tcW w:w="1080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本年支出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8" w:hRule="atLeast"/>
        </w:trPr>
        <w:tc>
          <w:tcPr>
            <w:tcW w:w="2027"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科目代码</w:t>
            </w:r>
          </w:p>
        </w:tc>
        <w:tc>
          <w:tcPr>
            <w:tcW w:w="229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科目名称</w:t>
            </w:r>
          </w:p>
        </w:tc>
        <w:tc>
          <w:tcPr>
            <w:tcW w:w="331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合计</w:t>
            </w:r>
          </w:p>
        </w:tc>
        <w:tc>
          <w:tcPr>
            <w:tcW w:w="331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基本支出  </w:t>
            </w:r>
          </w:p>
        </w:tc>
        <w:tc>
          <w:tcPr>
            <w:tcW w:w="417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项目支出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8" w:hRule="atLeast"/>
        </w:trPr>
        <w:tc>
          <w:tcPr>
            <w:tcW w:w="202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2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33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33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41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8" w:hRule="atLeast"/>
        </w:trPr>
        <w:tc>
          <w:tcPr>
            <w:tcW w:w="202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2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33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33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41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8" w:hRule="atLeast"/>
        </w:trPr>
        <w:tc>
          <w:tcPr>
            <w:tcW w:w="43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栏次</w:t>
            </w: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w:t>
            </w: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w:t>
            </w: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8" w:hRule="atLeast"/>
        </w:trPr>
        <w:tc>
          <w:tcPr>
            <w:tcW w:w="43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合计</w:t>
            </w: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8" w:hRule="atLeast"/>
        </w:trPr>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0"/>
                <w:szCs w:val="20"/>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8" w:hRule="atLeast"/>
        </w:trPr>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8" w:hRule="atLeast"/>
        </w:trPr>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0"/>
                <w:szCs w:val="20"/>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8" w:hRule="atLeast"/>
        </w:trPr>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8" w:hRule="atLeast"/>
        </w:trPr>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8" w:hRule="atLeast"/>
        </w:trPr>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76" w:hRule="atLeast"/>
        </w:trPr>
        <w:tc>
          <w:tcPr>
            <w:tcW w:w="15120" w:type="dxa"/>
            <w:gridSpan w:val="6"/>
            <w:tcBorders>
              <w:top w:val="nil"/>
              <w:left w:val="nil"/>
              <w:bottom w:val="nil"/>
              <w:right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注：本表反映部门本年度国有资本经营预算财政拨款支出情况。</w:t>
            </w:r>
          </w:p>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r>
              <w:rPr>
                <w:rFonts w:hint="eastAsia" w:ascii="楷体" w:hAnsi="楷体" w:eastAsia="楷体" w:cs="楷体"/>
                <w:b/>
                <w:bCs/>
                <w:i w:val="0"/>
                <w:color w:val="auto"/>
                <w:kern w:val="0"/>
                <w:sz w:val="24"/>
                <w:szCs w:val="24"/>
                <w:u w:val="none"/>
                <w:lang w:val="en-US" w:eastAsia="zh-CN" w:bidi="ar"/>
              </w:rPr>
              <w:t>说明：我单位没有使用国有资本经营预算安排的支出，故本表无数据。</w:t>
            </w:r>
          </w:p>
        </w:tc>
      </w:tr>
    </w:tbl>
    <w:p>
      <w:pPr>
        <w:widowControl/>
        <w:jc w:val="center"/>
        <w:rPr>
          <w:rFonts w:hint="eastAsia" w:ascii="Times New Roman" w:hAnsi="Times New Roman" w:eastAsia="方正小标宋_GBK" w:cs="Times New Roman"/>
          <w:color w:val="000000"/>
          <w:kern w:val="0"/>
          <w:sz w:val="36"/>
          <w:szCs w:val="36"/>
        </w:rPr>
      </w:pPr>
    </w:p>
    <w:p>
      <w:pPr>
        <w:autoSpaceDE w:val="0"/>
        <w:autoSpaceDN w:val="0"/>
        <w:adjustRightInd w:val="0"/>
        <w:ind w:left="315" w:leftChars="150"/>
        <w:jc w:val="left"/>
        <w:rPr>
          <w:rFonts w:ascii="宋体" w:eastAsia="宋体" w:cs="宋体"/>
          <w:kern w:val="0"/>
          <w:sz w:val="24"/>
          <w:szCs w:val="24"/>
        </w:rPr>
      </w:pPr>
    </w:p>
    <w:p>
      <w:pPr>
        <w:pStyle w:val="2"/>
        <w:ind w:left="0" w:leftChars="0" w:firstLine="0" w:firstLineChars="0"/>
        <w:rPr>
          <w:sz w:val="72"/>
          <w:szCs w:val="72"/>
        </w:rPr>
        <w:sectPr>
          <w:pgSz w:w="16838" w:h="11906" w:orient="landscape"/>
          <w:pgMar w:top="720" w:right="720" w:bottom="720" w:left="720" w:header="851" w:footer="992" w:gutter="0"/>
          <w:cols w:space="425" w:num="1"/>
          <w:docGrid w:type="lines" w:linePitch="312" w:charSpace="0"/>
        </w:sectPr>
      </w:pPr>
    </w:p>
    <w:p>
      <w:pPr>
        <w:pStyle w:val="12"/>
        <w:jc w:val="both"/>
        <w:rPr>
          <w:rFonts w:hint="eastAsia" w:ascii="方正小标宋_GBK" w:hAnsi="方正小标宋_GBK" w:eastAsia="方正小标宋_GBK" w:cs="方正小标宋_GBK"/>
          <w:sz w:val="72"/>
          <w:szCs w:val="72"/>
        </w:rPr>
      </w:pPr>
    </w:p>
    <w:p>
      <w:pPr>
        <w:pStyle w:val="12"/>
        <w:jc w:val="center"/>
        <w:rPr>
          <w:rFonts w:hint="eastAsia" w:ascii="方正小标宋_GBK" w:hAnsi="方正小标宋_GBK" w:eastAsia="方正小标宋_GBK" w:cs="方正小标宋_GBK"/>
          <w:sz w:val="72"/>
          <w:szCs w:val="72"/>
        </w:rPr>
      </w:pPr>
      <w:r>
        <w:rPr>
          <w:rFonts w:hint="eastAsia" w:ascii="方正小标宋_GBK" w:hAnsi="方正小标宋_GBK" w:eastAsia="方正小标宋_GBK" w:cs="方正小标宋_GBK"/>
          <w:sz w:val="72"/>
          <w:szCs w:val="72"/>
        </w:rPr>
        <w:t>第三部分</w:t>
      </w:r>
    </w:p>
    <w:p>
      <w:pPr>
        <w:pStyle w:val="12"/>
        <w:jc w:val="center"/>
        <w:rPr>
          <w:rFonts w:hint="eastAsia" w:ascii="方正小标宋_GBK" w:hAnsi="方正小标宋_GBK" w:eastAsia="方正小标宋_GBK" w:cs="方正小标宋_GBK"/>
          <w:sz w:val="70"/>
          <w:szCs w:val="70"/>
        </w:rPr>
      </w:pPr>
    </w:p>
    <w:p>
      <w:pPr>
        <w:pStyle w:val="12"/>
        <w:jc w:val="center"/>
        <w:rPr>
          <w:rFonts w:hint="eastAsia" w:ascii="方正小标宋_GBK" w:hAnsi="方正小标宋_GBK" w:eastAsia="方正小标宋_GBK" w:cs="方正小标宋_GBK"/>
          <w:sz w:val="70"/>
          <w:szCs w:val="70"/>
        </w:rPr>
      </w:pPr>
      <w:r>
        <w:rPr>
          <w:rFonts w:hint="eastAsia" w:ascii="方正小标宋_GBK" w:hAnsi="方正小标宋_GBK" w:eastAsia="方正小标宋_GBK" w:cs="方正小标宋_GBK"/>
          <w:sz w:val="70"/>
          <w:szCs w:val="70"/>
        </w:rPr>
        <w:t>202</w:t>
      </w:r>
      <w:r>
        <w:rPr>
          <w:rFonts w:hint="eastAsia" w:ascii="方正小标宋_GBK" w:hAnsi="方正小标宋_GBK" w:eastAsia="方正小标宋_GBK" w:cs="方正小标宋_GBK"/>
          <w:sz w:val="70"/>
          <w:szCs w:val="70"/>
          <w:lang w:val="en-US" w:eastAsia="zh-CN"/>
        </w:rPr>
        <w:t>2</w:t>
      </w:r>
      <w:r>
        <w:rPr>
          <w:rFonts w:hint="eastAsia" w:ascii="方正小标宋_GBK" w:hAnsi="方正小标宋_GBK" w:eastAsia="方正小标宋_GBK" w:cs="方正小标宋_GBK"/>
          <w:sz w:val="70"/>
          <w:szCs w:val="70"/>
        </w:rPr>
        <w:t>年度部门决算情况说明</w:t>
      </w:r>
    </w:p>
    <w:p>
      <w:pPr>
        <w:widowControl/>
        <w:jc w:val="left"/>
        <w:rPr>
          <w:rFonts w:asciiTheme="minorEastAsia" w:hAnsiTheme="minorEastAsia" w:eastAsiaTheme="minorEastAsia"/>
          <w:sz w:val="32"/>
          <w:szCs w:val="32"/>
        </w:rPr>
      </w:pPr>
      <w:r>
        <w:rPr>
          <w:rFonts w:hint="eastAsia" w:ascii="方正小标宋_GBK" w:hAnsi="方正小标宋_GBK" w:eastAsia="方正小标宋_GBK" w:cs="方正小标宋_GBK"/>
          <w:sz w:val="70"/>
          <w:szCs w:val="70"/>
        </w:rPr>
        <w:br w:type="page"/>
      </w:r>
    </w:p>
    <w:p>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一、收入支出决算总体情况说明</w:t>
      </w:r>
    </w:p>
    <w:p>
      <w:pPr>
        <w:pStyle w:val="12"/>
        <w:ind w:firstLine="640" w:firstLineChars="200"/>
        <w:rPr>
          <w:rFonts w:hint="default" w:asciiTheme="minorEastAsia" w:hAnsiTheme="minorEastAsia" w:eastAsiaTheme="minorEastAsia"/>
          <w:sz w:val="32"/>
          <w:szCs w:val="32"/>
          <w:lang w:val="en-US" w:eastAsia="zh-CN"/>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2</w:t>
      </w:r>
      <w:r>
        <w:rPr>
          <w:rFonts w:hint="eastAsia" w:ascii="Times New Roman" w:hAnsi="Times New Roman" w:eastAsia="仿宋_GB2312"/>
          <w:sz w:val="32"/>
          <w:szCs w:val="32"/>
        </w:rPr>
        <w:t>年度收、支总计</w:t>
      </w:r>
      <w:r>
        <w:rPr>
          <w:rFonts w:hint="eastAsia" w:ascii="Times New Roman" w:hAnsi="Times New Roman" w:eastAsia="仿宋_GB2312"/>
          <w:sz w:val="32"/>
          <w:szCs w:val="32"/>
          <w:lang w:val="en-US" w:eastAsia="zh-CN"/>
        </w:rPr>
        <w:t>6399.84</w:t>
      </w:r>
      <w:r>
        <w:rPr>
          <w:rFonts w:hint="eastAsia" w:ascii="Times New Roman" w:hAnsi="Times New Roman" w:eastAsia="仿宋_GB2312"/>
          <w:sz w:val="32"/>
          <w:szCs w:val="32"/>
        </w:rPr>
        <w:t>万元。与上年相比，增加</w:t>
      </w:r>
      <w:r>
        <w:rPr>
          <w:rFonts w:hint="eastAsia" w:ascii="Times New Roman" w:hAnsi="Times New Roman" w:eastAsia="仿宋_GB2312"/>
          <w:sz w:val="32"/>
          <w:szCs w:val="32"/>
          <w:lang w:val="en-US" w:eastAsia="zh-CN"/>
        </w:rPr>
        <w:t>1171.89</w:t>
      </w:r>
      <w:r>
        <w:rPr>
          <w:rFonts w:hint="eastAsia" w:ascii="Times New Roman" w:hAnsi="Times New Roman" w:eastAsia="仿宋_GB2312"/>
          <w:sz w:val="32"/>
          <w:szCs w:val="32"/>
        </w:rPr>
        <w:t>万元，增长</w:t>
      </w:r>
      <w:r>
        <w:rPr>
          <w:rFonts w:hint="eastAsia" w:ascii="Times New Roman" w:hAnsi="Times New Roman" w:eastAsia="仿宋_GB2312"/>
          <w:sz w:val="32"/>
          <w:szCs w:val="32"/>
          <w:lang w:val="en-US" w:eastAsia="zh-CN"/>
        </w:rPr>
        <w:t>22.42</w:t>
      </w:r>
      <w:r>
        <w:rPr>
          <w:rFonts w:hint="eastAsia" w:ascii="Times New Roman" w:hAnsi="Times New Roman" w:eastAsia="仿宋_GB2312"/>
          <w:sz w:val="32"/>
          <w:szCs w:val="32"/>
        </w:rPr>
        <w:t>%，主要是因为因为</w:t>
      </w:r>
      <w:r>
        <w:rPr>
          <w:rFonts w:hint="eastAsia" w:ascii="Times New Roman" w:hAnsi="Times New Roman" w:eastAsia="仿宋_GB2312"/>
          <w:sz w:val="32"/>
          <w:szCs w:val="32"/>
          <w:lang w:val="en-US" w:eastAsia="zh-CN"/>
        </w:rPr>
        <w:t>课后服务收支增加、新增人员增加。</w:t>
      </w:r>
    </w:p>
    <w:p>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二、收入决算情况说明</w:t>
      </w:r>
    </w:p>
    <w:p>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2</w:t>
      </w:r>
      <w:r>
        <w:rPr>
          <w:rFonts w:hint="eastAsia" w:ascii="Times New Roman" w:hAnsi="Times New Roman" w:eastAsia="仿宋_GB2312"/>
          <w:sz w:val="32"/>
          <w:szCs w:val="32"/>
        </w:rPr>
        <w:t>年度收入合计</w:t>
      </w:r>
      <w:r>
        <w:rPr>
          <w:rFonts w:hint="eastAsia" w:asciiTheme="minorEastAsia" w:hAnsiTheme="minorEastAsia" w:eastAsiaTheme="minorEastAsia"/>
          <w:sz w:val="32"/>
          <w:szCs w:val="32"/>
          <w:lang w:val="en-US" w:eastAsia="zh-CN"/>
        </w:rPr>
        <w:t>3199.92</w:t>
      </w:r>
      <w:r>
        <w:rPr>
          <w:rFonts w:hint="eastAsia" w:ascii="Times New Roman" w:hAnsi="Times New Roman" w:eastAsia="仿宋_GB2312"/>
          <w:sz w:val="32"/>
          <w:szCs w:val="32"/>
        </w:rPr>
        <w:t>万元，其中：财政拨款收入</w:t>
      </w:r>
      <w:r>
        <w:rPr>
          <w:rFonts w:hint="eastAsia" w:asciiTheme="minorEastAsia" w:hAnsiTheme="minorEastAsia" w:eastAsiaTheme="minorEastAsia"/>
          <w:sz w:val="32"/>
          <w:szCs w:val="32"/>
          <w:lang w:val="en-US" w:eastAsia="zh-CN"/>
        </w:rPr>
        <w:t>2779.19</w:t>
      </w:r>
      <w:r>
        <w:rPr>
          <w:rFonts w:hint="eastAsia" w:ascii="Times New Roman" w:hAnsi="Times New Roman" w:eastAsia="仿宋_GB2312"/>
          <w:sz w:val="32"/>
          <w:szCs w:val="32"/>
        </w:rPr>
        <w:t>万元，占</w:t>
      </w:r>
      <w:r>
        <w:rPr>
          <w:rFonts w:hint="eastAsia" w:asciiTheme="minorEastAsia" w:hAnsiTheme="minorEastAsia" w:eastAsiaTheme="minorEastAsia"/>
          <w:sz w:val="32"/>
          <w:szCs w:val="32"/>
          <w:lang w:val="en-US" w:eastAsia="zh-CN"/>
        </w:rPr>
        <w:t>86.85</w:t>
      </w:r>
      <w:r>
        <w:rPr>
          <w:rFonts w:hint="eastAsia" w:ascii="Times New Roman" w:hAnsi="Times New Roman" w:eastAsia="仿宋_GB2312"/>
          <w:sz w:val="32"/>
          <w:szCs w:val="32"/>
        </w:rPr>
        <w:t>%；上级补助收入</w:t>
      </w:r>
      <w:r>
        <w:rPr>
          <w:rFonts w:hint="eastAsia" w:asciiTheme="minorEastAsia" w:hAnsiTheme="minorEastAsia" w:eastAsiaTheme="minorEastAsia"/>
          <w:sz w:val="32"/>
          <w:szCs w:val="32"/>
          <w:lang w:val="en-US" w:eastAsia="zh-CN"/>
        </w:rPr>
        <w:t>0</w:t>
      </w:r>
      <w:r>
        <w:rPr>
          <w:rFonts w:hint="eastAsia" w:ascii="Times New Roman" w:hAnsi="Times New Roman" w:eastAsia="仿宋_GB2312"/>
          <w:sz w:val="32"/>
          <w:szCs w:val="32"/>
        </w:rPr>
        <w:t>万元，占</w:t>
      </w:r>
      <w:r>
        <w:rPr>
          <w:rFonts w:hint="eastAsia" w:asciiTheme="minorEastAsia" w:hAnsiTheme="minorEastAsia" w:eastAsiaTheme="minorEastAsia"/>
          <w:sz w:val="32"/>
          <w:szCs w:val="32"/>
          <w:lang w:val="en-US" w:eastAsia="zh-CN"/>
        </w:rPr>
        <w:t>0</w:t>
      </w:r>
      <w:r>
        <w:rPr>
          <w:rFonts w:hint="eastAsia" w:ascii="Times New Roman" w:hAnsi="Times New Roman" w:eastAsia="仿宋_GB2312"/>
          <w:sz w:val="32"/>
          <w:szCs w:val="32"/>
        </w:rPr>
        <w:t>%；事业收入</w:t>
      </w:r>
      <w:r>
        <w:rPr>
          <w:rFonts w:hint="eastAsia" w:asciiTheme="minorEastAsia" w:hAnsiTheme="minorEastAsia" w:eastAsiaTheme="minorEastAsia"/>
          <w:sz w:val="32"/>
          <w:szCs w:val="32"/>
          <w:lang w:val="en-US" w:eastAsia="zh-CN"/>
        </w:rPr>
        <w:t>407.62</w:t>
      </w:r>
      <w:r>
        <w:rPr>
          <w:rFonts w:hint="eastAsia" w:ascii="Times New Roman" w:hAnsi="Times New Roman" w:eastAsia="仿宋_GB2312"/>
          <w:sz w:val="32"/>
          <w:szCs w:val="32"/>
        </w:rPr>
        <w:t>万元，占</w:t>
      </w:r>
      <w:r>
        <w:rPr>
          <w:rFonts w:hint="eastAsia" w:asciiTheme="minorEastAsia" w:hAnsiTheme="minorEastAsia" w:eastAsiaTheme="minorEastAsia"/>
          <w:sz w:val="32"/>
          <w:szCs w:val="32"/>
          <w:lang w:val="en-US" w:eastAsia="zh-CN"/>
        </w:rPr>
        <w:t>12.74</w:t>
      </w:r>
      <w:r>
        <w:rPr>
          <w:rFonts w:hint="eastAsia" w:ascii="Times New Roman" w:hAnsi="Times New Roman" w:eastAsia="仿宋_GB2312"/>
          <w:sz w:val="32"/>
          <w:szCs w:val="32"/>
        </w:rPr>
        <w:t>%；经营收入</w:t>
      </w:r>
      <w:r>
        <w:rPr>
          <w:rFonts w:hint="eastAsia" w:asciiTheme="minorEastAsia" w:hAnsiTheme="minorEastAsia" w:eastAsiaTheme="minorEastAsia"/>
          <w:sz w:val="32"/>
          <w:szCs w:val="32"/>
          <w:lang w:val="en-US" w:eastAsia="zh-CN"/>
        </w:rPr>
        <w:t>0</w:t>
      </w:r>
      <w:r>
        <w:rPr>
          <w:rFonts w:hint="eastAsia" w:ascii="Times New Roman" w:hAnsi="Times New Roman" w:eastAsia="仿宋_GB2312"/>
          <w:sz w:val="32"/>
          <w:szCs w:val="32"/>
        </w:rPr>
        <w:t>万元，占</w:t>
      </w:r>
      <w:r>
        <w:rPr>
          <w:rFonts w:hint="eastAsia" w:asciiTheme="minorEastAsia" w:hAnsiTheme="minorEastAsia" w:eastAsiaTheme="minorEastAsia"/>
          <w:sz w:val="32"/>
          <w:szCs w:val="32"/>
          <w:lang w:val="en-US" w:eastAsia="zh-CN"/>
        </w:rPr>
        <w:t>0</w:t>
      </w:r>
      <w:r>
        <w:rPr>
          <w:rFonts w:hint="eastAsia" w:ascii="Times New Roman" w:hAnsi="Times New Roman" w:eastAsia="仿宋_GB2312"/>
          <w:sz w:val="32"/>
          <w:szCs w:val="32"/>
        </w:rPr>
        <w:t>%；附属单位上缴收入</w:t>
      </w:r>
      <w:r>
        <w:rPr>
          <w:rFonts w:hint="eastAsia" w:asciiTheme="minorEastAsia" w:hAnsiTheme="minorEastAsia" w:eastAsiaTheme="minorEastAsia"/>
          <w:sz w:val="32"/>
          <w:szCs w:val="32"/>
          <w:lang w:val="en-US" w:eastAsia="zh-CN"/>
        </w:rPr>
        <w:t>0</w:t>
      </w:r>
      <w:r>
        <w:rPr>
          <w:rFonts w:hint="eastAsia" w:ascii="Times New Roman" w:hAnsi="Times New Roman" w:eastAsia="仿宋_GB2312"/>
          <w:sz w:val="32"/>
          <w:szCs w:val="32"/>
        </w:rPr>
        <w:t>万元，占</w:t>
      </w:r>
      <w:r>
        <w:rPr>
          <w:rFonts w:hint="eastAsia" w:asciiTheme="minorEastAsia" w:hAnsiTheme="minorEastAsia" w:eastAsiaTheme="minorEastAsia"/>
          <w:sz w:val="32"/>
          <w:szCs w:val="32"/>
          <w:lang w:val="en-US" w:eastAsia="zh-CN"/>
        </w:rPr>
        <w:t>0</w:t>
      </w:r>
      <w:r>
        <w:rPr>
          <w:rFonts w:hint="eastAsia" w:ascii="Times New Roman" w:hAnsi="Times New Roman" w:eastAsia="仿宋_GB2312"/>
          <w:sz w:val="32"/>
          <w:szCs w:val="32"/>
        </w:rPr>
        <w:t>%；其他收入</w:t>
      </w:r>
      <w:r>
        <w:rPr>
          <w:rFonts w:hint="eastAsia" w:asciiTheme="minorEastAsia" w:hAnsiTheme="minorEastAsia" w:eastAsiaTheme="minorEastAsia"/>
          <w:sz w:val="32"/>
          <w:szCs w:val="32"/>
          <w:lang w:val="en-US" w:eastAsia="zh-CN"/>
        </w:rPr>
        <w:t>13.12</w:t>
      </w:r>
      <w:r>
        <w:rPr>
          <w:rFonts w:hint="eastAsia" w:ascii="Times New Roman" w:hAnsi="Times New Roman" w:eastAsia="仿宋_GB2312"/>
          <w:sz w:val="32"/>
          <w:szCs w:val="32"/>
        </w:rPr>
        <w:t>万元，占</w:t>
      </w:r>
      <w:r>
        <w:rPr>
          <w:rFonts w:hint="eastAsia" w:asciiTheme="minorEastAsia" w:hAnsiTheme="minorEastAsia" w:eastAsiaTheme="minorEastAsia"/>
          <w:sz w:val="32"/>
          <w:szCs w:val="32"/>
          <w:lang w:val="en-US" w:eastAsia="zh-CN"/>
        </w:rPr>
        <w:t>0.41</w:t>
      </w:r>
      <w:r>
        <w:rPr>
          <w:rFonts w:hint="eastAsia" w:ascii="Times New Roman" w:hAnsi="Times New Roman" w:eastAsia="仿宋_GB2312"/>
          <w:sz w:val="32"/>
          <w:szCs w:val="32"/>
        </w:rPr>
        <w:t>%。</w:t>
      </w:r>
    </w:p>
    <w:p>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三、支出决算情况说明</w:t>
      </w:r>
    </w:p>
    <w:p>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2</w:t>
      </w:r>
      <w:r>
        <w:rPr>
          <w:rFonts w:hint="eastAsia" w:ascii="Times New Roman" w:hAnsi="Times New Roman" w:eastAsia="仿宋_GB2312"/>
          <w:sz w:val="32"/>
          <w:szCs w:val="32"/>
        </w:rPr>
        <w:t>年度支出合计</w:t>
      </w:r>
      <w:r>
        <w:rPr>
          <w:rFonts w:hint="eastAsia" w:asciiTheme="minorEastAsia" w:hAnsiTheme="minorEastAsia" w:eastAsiaTheme="minorEastAsia"/>
          <w:sz w:val="32"/>
          <w:szCs w:val="32"/>
          <w:lang w:val="en-US" w:eastAsia="zh-CN"/>
        </w:rPr>
        <w:t>3199.92</w:t>
      </w:r>
      <w:r>
        <w:rPr>
          <w:rFonts w:hint="eastAsia" w:ascii="Times New Roman" w:hAnsi="Times New Roman" w:eastAsia="仿宋_GB2312"/>
          <w:sz w:val="32"/>
          <w:szCs w:val="32"/>
        </w:rPr>
        <w:t>万元，其中：基本支出</w:t>
      </w:r>
      <w:r>
        <w:rPr>
          <w:rFonts w:hint="eastAsia" w:asciiTheme="minorEastAsia" w:hAnsiTheme="minorEastAsia" w:eastAsiaTheme="minorEastAsia"/>
          <w:sz w:val="32"/>
          <w:szCs w:val="32"/>
          <w:lang w:val="en-US" w:eastAsia="zh-CN"/>
        </w:rPr>
        <w:t>2638.42</w:t>
      </w:r>
      <w:r>
        <w:rPr>
          <w:rFonts w:hint="eastAsia" w:ascii="Times New Roman" w:hAnsi="Times New Roman" w:eastAsia="仿宋_GB2312"/>
          <w:sz w:val="32"/>
          <w:szCs w:val="32"/>
        </w:rPr>
        <w:t>万元，占</w:t>
      </w:r>
      <w:r>
        <w:rPr>
          <w:rFonts w:hint="eastAsia" w:asciiTheme="minorEastAsia" w:hAnsiTheme="minorEastAsia" w:eastAsiaTheme="minorEastAsia"/>
          <w:sz w:val="32"/>
          <w:szCs w:val="32"/>
          <w:lang w:val="en-US" w:eastAsia="zh-CN"/>
        </w:rPr>
        <w:t>82.45</w:t>
      </w:r>
      <w:r>
        <w:rPr>
          <w:rFonts w:hint="eastAsia" w:ascii="Times New Roman" w:hAnsi="Times New Roman" w:eastAsia="仿宋_GB2312"/>
          <w:sz w:val="32"/>
          <w:szCs w:val="32"/>
        </w:rPr>
        <w:t>%；项目支出</w:t>
      </w:r>
      <w:r>
        <w:rPr>
          <w:rFonts w:hint="eastAsia" w:asciiTheme="minorEastAsia" w:hAnsiTheme="minorEastAsia" w:eastAsiaTheme="minorEastAsia"/>
          <w:sz w:val="32"/>
          <w:szCs w:val="32"/>
          <w:lang w:val="en-US" w:eastAsia="zh-CN"/>
        </w:rPr>
        <w:t>561.50</w:t>
      </w:r>
      <w:r>
        <w:rPr>
          <w:rFonts w:hint="eastAsia" w:ascii="Times New Roman" w:hAnsi="Times New Roman" w:eastAsia="仿宋_GB2312"/>
          <w:sz w:val="32"/>
          <w:szCs w:val="32"/>
        </w:rPr>
        <w:t>万元，占</w:t>
      </w:r>
      <w:r>
        <w:rPr>
          <w:rFonts w:hint="eastAsia" w:asciiTheme="minorEastAsia" w:hAnsiTheme="minorEastAsia" w:eastAsiaTheme="minorEastAsia"/>
          <w:sz w:val="32"/>
          <w:szCs w:val="32"/>
          <w:lang w:val="en-US" w:eastAsia="zh-CN"/>
        </w:rPr>
        <w:t>17.55</w:t>
      </w:r>
      <w:r>
        <w:rPr>
          <w:rFonts w:hint="eastAsia" w:ascii="Times New Roman" w:hAnsi="Times New Roman" w:eastAsia="仿宋_GB2312"/>
          <w:sz w:val="32"/>
          <w:szCs w:val="32"/>
        </w:rPr>
        <w:t>%；上缴上级支出</w:t>
      </w:r>
      <w:r>
        <w:rPr>
          <w:rFonts w:hint="eastAsia" w:asciiTheme="minorEastAsia" w:hAnsiTheme="minorEastAsia" w:eastAsiaTheme="minorEastAsia"/>
          <w:sz w:val="32"/>
          <w:szCs w:val="32"/>
          <w:lang w:val="en-US" w:eastAsia="zh-CN"/>
        </w:rPr>
        <w:t>0</w:t>
      </w:r>
      <w:r>
        <w:rPr>
          <w:rFonts w:hint="eastAsia" w:ascii="Times New Roman" w:hAnsi="Times New Roman" w:eastAsia="仿宋_GB2312"/>
          <w:sz w:val="32"/>
          <w:szCs w:val="32"/>
        </w:rPr>
        <w:t>万元，占</w:t>
      </w:r>
      <w:r>
        <w:rPr>
          <w:rFonts w:hint="eastAsia" w:asciiTheme="minorEastAsia" w:hAnsiTheme="minorEastAsia" w:eastAsiaTheme="minorEastAsia"/>
          <w:sz w:val="32"/>
          <w:szCs w:val="32"/>
          <w:lang w:val="en-US" w:eastAsia="zh-CN"/>
        </w:rPr>
        <w:t>0</w:t>
      </w:r>
      <w:r>
        <w:rPr>
          <w:rFonts w:hint="eastAsia" w:ascii="Times New Roman" w:hAnsi="Times New Roman" w:eastAsia="仿宋_GB2312"/>
          <w:sz w:val="32"/>
          <w:szCs w:val="32"/>
        </w:rPr>
        <w:t>%；经营支出</w:t>
      </w:r>
      <w:r>
        <w:rPr>
          <w:rFonts w:hint="eastAsia" w:asciiTheme="minorEastAsia" w:hAnsiTheme="minorEastAsia" w:eastAsiaTheme="minorEastAsia"/>
          <w:sz w:val="32"/>
          <w:szCs w:val="32"/>
          <w:lang w:val="en-US" w:eastAsia="zh-CN"/>
        </w:rPr>
        <w:t>0</w:t>
      </w:r>
      <w:r>
        <w:rPr>
          <w:rFonts w:hint="eastAsia" w:ascii="Times New Roman" w:hAnsi="Times New Roman" w:eastAsia="仿宋_GB2312"/>
          <w:sz w:val="32"/>
          <w:szCs w:val="32"/>
        </w:rPr>
        <w:t>万元，占</w:t>
      </w:r>
      <w:r>
        <w:rPr>
          <w:rFonts w:hint="eastAsia" w:asciiTheme="minorEastAsia" w:hAnsiTheme="minorEastAsia" w:eastAsiaTheme="minorEastAsia"/>
          <w:sz w:val="32"/>
          <w:szCs w:val="32"/>
          <w:lang w:val="en-US" w:eastAsia="zh-CN"/>
        </w:rPr>
        <w:t>0</w:t>
      </w:r>
      <w:r>
        <w:rPr>
          <w:rFonts w:hint="eastAsia" w:ascii="Times New Roman" w:hAnsi="Times New Roman" w:eastAsia="仿宋_GB2312"/>
          <w:sz w:val="32"/>
          <w:szCs w:val="32"/>
        </w:rPr>
        <w:t>%；对附属单位补助支出</w:t>
      </w:r>
      <w:r>
        <w:rPr>
          <w:rFonts w:hint="eastAsia" w:asciiTheme="minorEastAsia" w:hAnsiTheme="minorEastAsia" w:eastAsiaTheme="minorEastAsia"/>
          <w:sz w:val="32"/>
          <w:szCs w:val="32"/>
          <w:lang w:val="en-US" w:eastAsia="zh-CN"/>
        </w:rPr>
        <w:t>0</w:t>
      </w:r>
      <w:r>
        <w:rPr>
          <w:rFonts w:hint="eastAsia" w:ascii="Times New Roman" w:hAnsi="Times New Roman" w:eastAsia="仿宋_GB2312"/>
          <w:sz w:val="32"/>
          <w:szCs w:val="32"/>
        </w:rPr>
        <w:t>万元，占</w:t>
      </w:r>
      <w:r>
        <w:rPr>
          <w:rFonts w:hint="eastAsia" w:asciiTheme="minorEastAsia" w:hAnsiTheme="minorEastAsia" w:eastAsiaTheme="minorEastAsia"/>
          <w:sz w:val="32"/>
          <w:szCs w:val="32"/>
          <w:lang w:val="en-US" w:eastAsia="zh-CN"/>
        </w:rPr>
        <w:t>0</w:t>
      </w:r>
      <w:r>
        <w:rPr>
          <w:rFonts w:hint="eastAsia" w:ascii="Times New Roman" w:hAnsi="Times New Roman" w:eastAsia="仿宋_GB2312"/>
          <w:sz w:val="32"/>
          <w:szCs w:val="32"/>
        </w:rPr>
        <w:t>%。</w:t>
      </w:r>
    </w:p>
    <w:p>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四、财政拨款收入支出决算总体情况说明</w:t>
      </w:r>
    </w:p>
    <w:p>
      <w:pPr>
        <w:pStyle w:val="12"/>
        <w:keepNext w:val="0"/>
        <w:keepLines w:val="0"/>
        <w:pageBreakBefore w:val="0"/>
        <w:widowControl w:val="0"/>
        <w:kinsoku/>
        <w:wordWrap/>
        <w:overflowPunct/>
        <w:topLinePunct w:val="0"/>
        <w:bidi w:val="0"/>
        <w:snapToGrid/>
        <w:spacing w:line="600" w:lineRule="exact"/>
        <w:textAlignment w:val="auto"/>
        <w:rPr>
          <w:rFonts w:hint="default" w:ascii="Times New Roman" w:hAnsi="Times New Roman" w:eastAsia="仿宋_GB2312"/>
          <w:sz w:val="32"/>
          <w:szCs w:val="32"/>
          <w:lang w:val="en-US" w:eastAsia="zh-CN"/>
        </w:rPr>
      </w:pPr>
      <w:r>
        <w:rPr>
          <w:rFonts w:hint="eastAsia" w:ascii="Times New Roman" w:hAnsi="Times New Roman" w:eastAsia="仿宋_GB2312"/>
          <w:sz w:val="32"/>
          <w:szCs w:val="32"/>
        </w:rPr>
        <w:t xml:space="preserve">    202</w:t>
      </w:r>
      <w:r>
        <w:rPr>
          <w:rFonts w:hint="eastAsia" w:ascii="Times New Roman" w:hAnsi="Times New Roman" w:eastAsia="仿宋_GB2312"/>
          <w:sz w:val="32"/>
          <w:szCs w:val="32"/>
          <w:lang w:val="en-US" w:eastAsia="zh-CN"/>
        </w:rPr>
        <w:t>2</w:t>
      </w:r>
      <w:r>
        <w:rPr>
          <w:rFonts w:hint="eastAsia" w:ascii="Times New Roman" w:hAnsi="Times New Roman" w:eastAsia="仿宋_GB2312"/>
          <w:sz w:val="32"/>
          <w:szCs w:val="32"/>
        </w:rPr>
        <w:t>年度财政拨款收、支总计</w:t>
      </w:r>
      <w:r>
        <w:rPr>
          <w:rFonts w:hint="eastAsia" w:ascii="Times New Roman" w:hAnsi="Times New Roman" w:eastAsia="仿宋_GB2312"/>
          <w:sz w:val="32"/>
          <w:szCs w:val="32"/>
          <w:lang w:val="en-US" w:eastAsia="zh-CN"/>
        </w:rPr>
        <w:t>5558.38</w:t>
      </w:r>
      <w:r>
        <w:rPr>
          <w:rFonts w:hint="eastAsia" w:ascii="Times New Roman" w:hAnsi="Times New Roman" w:eastAsia="仿宋_GB2312"/>
          <w:sz w:val="32"/>
          <w:szCs w:val="32"/>
        </w:rPr>
        <w:t>万元，与上年相比，增加</w:t>
      </w:r>
      <w:r>
        <w:rPr>
          <w:rFonts w:hint="eastAsia" w:ascii="Times New Roman" w:hAnsi="Times New Roman" w:eastAsia="仿宋_GB2312"/>
          <w:sz w:val="32"/>
          <w:szCs w:val="32"/>
          <w:lang w:val="en-US" w:eastAsia="zh-CN"/>
        </w:rPr>
        <w:t>904.34</w:t>
      </w:r>
      <w:r>
        <w:rPr>
          <w:rFonts w:hint="eastAsia" w:ascii="Times New Roman" w:hAnsi="Times New Roman" w:eastAsia="仿宋_GB2312"/>
          <w:sz w:val="32"/>
          <w:szCs w:val="32"/>
        </w:rPr>
        <w:t>万元,增长</w:t>
      </w:r>
      <w:r>
        <w:rPr>
          <w:rFonts w:hint="eastAsia" w:ascii="Times New Roman" w:hAnsi="Times New Roman" w:eastAsia="仿宋_GB2312"/>
          <w:sz w:val="32"/>
          <w:szCs w:val="32"/>
          <w:lang w:val="en-US" w:eastAsia="zh-CN"/>
        </w:rPr>
        <w:t>19.43</w:t>
      </w:r>
      <w:r>
        <w:rPr>
          <w:rFonts w:hint="eastAsia" w:ascii="Times New Roman" w:hAnsi="Times New Roman" w:eastAsia="仿宋_GB2312"/>
          <w:sz w:val="32"/>
          <w:szCs w:val="32"/>
        </w:rPr>
        <w:t>%，主要是因为</w:t>
      </w:r>
      <w:r>
        <w:rPr>
          <w:rFonts w:hint="eastAsia" w:ascii="Times New Roman" w:hAnsi="Times New Roman" w:eastAsia="仿宋_GB2312"/>
          <w:sz w:val="32"/>
          <w:szCs w:val="32"/>
          <w:lang w:val="en-US" w:eastAsia="zh-CN"/>
        </w:rPr>
        <w:t>新增人员。</w:t>
      </w:r>
    </w:p>
    <w:p>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五、一般公共预算财政拨款支出决算情况说明</w:t>
      </w:r>
    </w:p>
    <w:p>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楷体" w:hAnsi="楷体" w:eastAsia="楷体" w:cs="楷体"/>
          <w:b w:val="0"/>
          <w:bCs/>
          <w:sz w:val="32"/>
          <w:szCs w:val="32"/>
        </w:rPr>
      </w:pPr>
      <w:r>
        <w:rPr>
          <w:rFonts w:hint="eastAsia" w:ascii="楷体" w:hAnsi="楷体" w:eastAsia="楷体" w:cs="楷体"/>
          <w:b w:val="0"/>
          <w:bCs/>
          <w:sz w:val="32"/>
          <w:szCs w:val="32"/>
        </w:rPr>
        <w:t>（一）财政拨款支出决算总体情况</w:t>
      </w:r>
    </w:p>
    <w:p>
      <w:pPr>
        <w:pStyle w:val="12"/>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2</w:t>
      </w:r>
      <w:r>
        <w:rPr>
          <w:rFonts w:hint="eastAsia" w:ascii="Times New Roman" w:hAnsi="Times New Roman" w:eastAsia="仿宋_GB2312"/>
          <w:sz w:val="32"/>
          <w:szCs w:val="32"/>
        </w:rPr>
        <w:t>年度财政拨款支出</w:t>
      </w:r>
      <w:r>
        <w:rPr>
          <w:rFonts w:hint="eastAsia" w:asciiTheme="minorEastAsia" w:hAnsiTheme="minorEastAsia" w:eastAsiaTheme="minorEastAsia"/>
          <w:sz w:val="32"/>
          <w:szCs w:val="32"/>
          <w:lang w:val="en-US" w:eastAsia="zh-CN"/>
        </w:rPr>
        <w:t>2779.19</w:t>
      </w:r>
      <w:r>
        <w:rPr>
          <w:rFonts w:hint="eastAsia" w:ascii="Times New Roman" w:hAnsi="Times New Roman" w:eastAsia="仿宋_GB2312"/>
          <w:sz w:val="32"/>
          <w:szCs w:val="32"/>
        </w:rPr>
        <w:t>万元，占本年支出合计的</w:t>
      </w:r>
      <w:r>
        <w:rPr>
          <w:rFonts w:hint="eastAsia" w:asciiTheme="minorEastAsia" w:hAnsiTheme="minorEastAsia" w:eastAsiaTheme="minorEastAsia"/>
          <w:sz w:val="32"/>
          <w:szCs w:val="32"/>
          <w:lang w:val="en-US" w:eastAsia="zh-CN"/>
        </w:rPr>
        <w:t>86.85</w:t>
      </w:r>
      <w:r>
        <w:rPr>
          <w:rFonts w:hint="eastAsia" w:ascii="Times New Roman" w:hAnsi="Times New Roman" w:eastAsia="仿宋_GB2312"/>
          <w:sz w:val="32"/>
          <w:szCs w:val="32"/>
        </w:rPr>
        <w:t>%，与上年相比，财政拨款支出增加</w:t>
      </w:r>
      <w:r>
        <w:rPr>
          <w:rFonts w:hint="eastAsia" w:asciiTheme="minorEastAsia" w:hAnsiTheme="minorEastAsia" w:eastAsiaTheme="minorEastAsia"/>
          <w:sz w:val="32"/>
          <w:szCs w:val="32"/>
          <w:lang w:val="en-US" w:eastAsia="zh-CN"/>
        </w:rPr>
        <w:t>452.18</w:t>
      </w:r>
      <w:r>
        <w:rPr>
          <w:rFonts w:hint="eastAsia" w:ascii="Times New Roman" w:hAnsi="Times New Roman" w:eastAsia="仿宋_GB2312"/>
          <w:sz w:val="32"/>
          <w:szCs w:val="32"/>
        </w:rPr>
        <w:t>万元，增长</w:t>
      </w:r>
      <w:r>
        <w:rPr>
          <w:rFonts w:hint="eastAsia" w:asciiTheme="minorEastAsia" w:hAnsiTheme="minorEastAsia" w:eastAsiaTheme="minorEastAsia"/>
          <w:sz w:val="32"/>
          <w:szCs w:val="32"/>
          <w:lang w:val="en-US" w:eastAsia="zh-CN"/>
        </w:rPr>
        <w:t>19.43</w:t>
      </w:r>
      <w:r>
        <w:rPr>
          <w:rFonts w:hint="eastAsia" w:ascii="Times New Roman" w:hAnsi="Times New Roman" w:eastAsia="仿宋_GB2312"/>
          <w:sz w:val="32"/>
          <w:szCs w:val="32"/>
        </w:rPr>
        <w:t>%，主要是因为</w:t>
      </w:r>
      <w:r>
        <w:rPr>
          <w:rFonts w:hint="eastAsia" w:ascii="Times New Roman" w:hAnsi="Times New Roman" w:eastAsia="仿宋_GB2312"/>
          <w:sz w:val="32"/>
          <w:szCs w:val="32"/>
          <w:lang w:val="en-US" w:eastAsia="zh-CN"/>
        </w:rPr>
        <w:t>普通教育支出增加。</w:t>
      </w:r>
    </w:p>
    <w:p>
      <w:pPr>
        <w:pStyle w:val="12"/>
        <w:keepNext w:val="0"/>
        <w:keepLines w:val="0"/>
        <w:pageBreakBefore w:val="0"/>
        <w:widowControl w:val="0"/>
        <w:kinsoku/>
        <w:wordWrap/>
        <w:overflowPunct/>
        <w:topLinePunct w:val="0"/>
        <w:bidi w:val="0"/>
        <w:snapToGrid/>
        <w:spacing w:line="600" w:lineRule="exact"/>
        <w:ind w:firstLine="480" w:firstLineChars="150"/>
        <w:textAlignment w:val="auto"/>
        <w:rPr>
          <w:rFonts w:hint="eastAsia" w:ascii="楷体" w:hAnsi="楷体" w:eastAsia="楷体" w:cs="楷体"/>
          <w:b w:val="0"/>
          <w:bCs/>
          <w:sz w:val="32"/>
          <w:szCs w:val="32"/>
        </w:rPr>
      </w:pPr>
      <w:r>
        <w:rPr>
          <w:rFonts w:hint="eastAsia" w:ascii="楷体" w:hAnsi="楷体" w:eastAsia="楷体" w:cs="楷体"/>
          <w:b w:val="0"/>
          <w:bCs/>
          <w:sz w:val="32"/>
          <w:szCs w:val="32"/>
        </w:rPr>
        <w:t>（二）财政拨款支出决算结构情况</w:t>
      </w:r>
    </w:p>
    <w:p>
      <w:pPr>
        <w:pStyle w:val="12"/>
        <w:ind w:firstLine="640" w:firstLineChars="200"/>
        <w:rPr>
          <w:rFonts w:hint="eastAsia"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2</w:t>
      </w:r>
      <w:r>
        <w:rPr>
          <w:rFonts w:hint="eastAsia" w:ascii="Times New Roman" w:hAnsi="Times New Roman" w:eastAsia="仿宋_GB2312"/>
          <w:sz w:val="32"/>
          <w:szCs w:val="32"/>
        </w:rPr>
        <w:t>年度财政拨款支出</w:t>
      </w:r>
      <w:r>
        <w:rPr>
          <w:rFonts w:hint="eastAsia" w:asciiTheme="minorEastAsia" w:hAnsiTheme="minorEastAsia" w:eastAsiaTheme="minorEastAsia"/>
          <w:sz w:val="32"/>
          <w:szCs w:val="32"/>
          <w:lang w:val="en-US" w:eastAsia="zh-CN"/>
        </w:rPr>
        <w:t>2779.19</w:t>
      </w:r>
      <w:r>
        <w:rPr>
          <w:rFonts w:hint="eastAsia" w:ascii="Times New Roman" w:hAnsi="Times New Roman" w:eastAsia="仿宋_GB2312"/>
          <w:sz w:val="32"/>
          <w:szCs w:val="32"/>
        </w:rPr>
        <w:t>万元，主要用于以下方面：一般公共服务（类）支出</w:t>
      </w:r>
      <w:r>
        <w:rPr>
          <w:rFonts w:hint="eastAsia" w:asciiTheme="minorEastAsia" w:hAnsiTheme="minorEastAsia" w:eastAsiaTheme="minorEastAsia"/>
          <w:sz w:val="32"/>
          <w:szCs w:val="32"/>
          <w:lang w:val="en-US" w:eastAsia="zh-CN"/>
        </w:rPr>
        <w:t>9.4</w:t>
      </w:r>
      <w:r>
        <w:rPr>
          <w:rFonts w:hint="eastAsia" w:ascii="Times New Roman" w:hAnsi="Times New Roman" w:eastAsia="仿宋_GB2312"/>
          <w:sz w:val="32"/>
          <w:szCs w:val="32"/>
        </w:rPr>
        <w:t>万元，占</w:t>
      </w:r>
      <w:r>
        <w:rPr>
          <w:rFonts w:hint="eastAsia" w:asciiTheme="minorEastAsia" w:hAnsiTheme="minorEastAsia" w:eastAsiaTheme="minorEastAsia"/>
          <w:sz w:val="32"/>
          <w:szCs w:val="32"/>
          <w:lang w:val="en-US" w:eastAsia="zh-CN"/>
        </w:rPr>
        <w:t>0.34</w:t>
      </w:r>
      <w:r>
        <w:rPr>
          <w:rFonts w:hint="eastAsia" w:ascii="Times New Roman" w:hAnsi="Times New Roman" w:eastAsia="仿宋_GB2312"/>
          <w:sz w:val="32"/>
          <w:szCs w:val="32"/>
        </w:rPr>
        <w:t>%；教育（类）支出</w:t>
      </w:r>
      <w:r>
        <w:rPr>
          <w:rFonts w:hint="eastAsia" w:asciiTheme="minorEastAsia" w:hAnsiTheme="minorEastAsia" w:eastAsiaTheme="minorEastAsia"/>
          <w:sz w:val="32"/>
          <w:szCs w:val="32"/>
          <w:lang w:val="en-US" w:eastAsia="zh-CN"/>
        </w:rPr>
        <w:t>2446.48</w:t>
      </w:r>
      <w:r>
        <w:rPr>
          <w:rFonts w:hint="eastAsia" w:ascii="Times New Roman" w:hAnsi="Times New Roman" w:eastAsia="仿宋_GB2312"/>
          <w:sz w:val="32"/>
          <w:szCs w:val="32"/>
        </w:rPr>
        <w:t>万元，占</w:t>
      </w:r>
      <w:r>
        <w:rPr>
          <w:rFonts w:hint="eastAsia" w:asciiTheme="minorEastAsia" w:hAnsiTheme="minorEastAsia" w:eastAsiaTheme="minorEastAsia"/>
          <w:sz w:val="32"/>
          <w:szCs w:val="32"/>
          <w:lang w:val="en-US" w:eastAsia="zh-CN"/>
        </w:rPr>
        <w:t>88.03</w:t>
      </w:r>
      <w:r>
        <w:rPr>
          <w:rFonts w:hint="eastAsia" w:ascii="Times New Roman" w:hAnsi="Times New Roman" w:eastAsia="仿宋_GB2312"/>
          <w:sz w:val="32"/>
          <w:szCs w:val="32"/>
        </w:rPr>
        <w:t>%;</w:t>
      </w:r>
      <w:r>
        <w:rPr>
          <w:rFonts w:hint="eastAsia" w:ascii="Times New Roman" w:hAnsi="Times New Roman" w:eastAsia="仿宋_GB2312"/>
          <w:sz w:val="32"/>
          <w:szCs w:val="32"/>
          <w:lang w:val="en-US" w:eastAsia="zh-CN"/>
        </w:rPr>
        <w:t>社会保障和就业支出232.51万元，</w:t>
      </w:r>
      <w:r>
        <w:rPr>
          <w:rFonts w:hint="eastAsia" w:ascii="Times New Roman" w:hAnsi="Times New Roman" w:eastAsia="仿宋_GB2312"/>
          <w:sz w:val="32"/>
          <w:szCs w:val="32"/>
        </w:rPr>
        <w:t>占</w:t>
      </w:r>
      <w:r>
        <w:rPr>
          <w:rFonts w:hint="eastAsia" w:ascii="Times New Roman" w:hAnsi="Times New Roman" w:eastAsia="仿宋_GB2312"/>
          <w:sz w:val="32"/>
          <w:szCs w:val="32"/>
          <w:lang w:val="en-US" w:eastAsia="zh-CN"/>
        </w:rPr>
        <w:t>8.37</w:t>
      </w:r>
      <w:r>
        <w:rPr>
          <w:rFonts w:hint="eastAsia" w:ascii="Times New Roman" w:hAnsi="Times New Roman" w:eastAsia="仿宋_GB2312"/>
          <w:sz w:val="32"/>
          <w:szCs w:val="32"/>
        </w:rPr>
        <w:t>%;</w:t>
      </w:r>
      <w:r>
        <w:rPr>
          <w:rFonts w:hint="eastAsia" w:ascii="Times New Roman" w:hAnsi="Times New Roman" w:eastAsia="仿宋_GB2312"/>
          <w:sz w:val="32"/>
          <w:szCs w:val="32"/>
          <w:lang w:val="en-US" w:eastAsia="zh-CN"/>
        </w:rPr>
        <w:t>卫生健康支出90.8万元，</w:t>
      </w:r>
      <w:r>
        <w:rPr>
          <w:rFonts w:hint="eastAsia" w:ascii="Times New Roman" w:hAnsi="Times New Roman" w:eastAsia="仿宋_GB2312"/>
          <w:sz w:val="32"/>
          <w:szCs w:val="32"/>
        </w:rPr>
        <w:t>占</w:t>
      </w:r>
      <w:r>
        <w:rPr>
          <w:rFonts w:hint="eastAsia" w:ascii="Times New Roman" w:hAnsi="Times New Roman" w:eastAsia="仿宋_GB2312"/>
          <w:sz w:val="32"/>
          <w:szCs w:val="32"/>
          <w:lang w:val="en-US" w:eastAsia="zh-CN"/>
        </w:rPr>
        <w:t>3.27</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w:t>
      </w:r>
    </w:p>
    <w:p>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楷体" w:hAnsi="楷体" w:eastAsia="楷体" w:cs="楷体"/>
          <w:b w:val="0"/>
          <w:bCs/>
          <w:sz w:val="32"/>
          <w:szCs w:val="32"/>
        </w:rPr>
      </w:pPr>
      <w:r>
        <w:rPr>
          <w:rFonts w:hint="eastAsia" w:ascii="楷体" w:hAnsi="楷体" w:eastAsia="楷体" w:cs="楷体"/>
          <w:b w:val="0"/>
          <w:bCs/>
          <w:sz w:val="32"/>
          <w:szCs w:val="32"/>
        </w:rPr>
        <w:t>（三）财政拨款支出决算具体情况</w:t>
      </w:r>
    </w:p>
    <w:p>
      <w:pPr>
        <w:pStyle w:val="12"/>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2</w:t>
      </w:r>
      <w:r>
        <w:rPr>
          <w:rFonts w:hint="eastAsia" w:ascii="Times New Roman" w:hAnsi="Times New Roman" w:eastAsia="仿宋_GB2312"/>
          <w:sz w:val="32"/>
          <w:szCs w:val="32"/>
        </w:rPr>
        <w:t>年度财政拨款支出年初预算数为</w:t>
      </w:r>
      <w:r>
        <w:rPr>
          <w:rFonts w:hint="eastAsia" w:asciiTheme="minorEastAsia" w:hAnsiTheme="minorEastAsia" w:eastAsiaTheme="minorEastAsia"/>
          <w:sz w:val="32"/>
          <w:szCs w:val="32"/>
        </w:rPr>
        <w:t>1821</w:t>
      </w:r>
      <w:r>
        <w:rPr>
          <w:rFonts w:hint="eastAsia" w:asciiTheme="minorEastAsia" w:hAnsiTheme="minorEastAsia" w:eastAsiaTheme="minorEastAsia"/>
          <w:sz w:val="32"/>
          <w:szCs w:val="32"/>
          <w:lang w:val="en-US" w:eastAsia="zh-CN"/>
        </w:rPr>
        <w:t>.</w:t>
      </w:r>
      <w:r>
        <w:rPr>
          <w:rFonts w:hint="eastAsia" w:asciiTheme="minorEastAsia" w:hAnsiTheme="minorEastAsia" w:eastAsiaTheme="minorEastAsia"/>
          <w:sz w:val="32"/>
          <w:szCs w:val="32"/>
        </w:rPr>
        <w:t>92</w:t>
      </w:r>
      <w:r>
        <w:rPr>
          <w:rFonts w:hint="eastAsia" w:ascii="Times New Roman" w:hAnsi="Times New Roman" w:eastAsia="仿宋_GB2312"/>
          <w:sz w:val="32"/>
          <w:szCs w:val="32"/>
        </w:rPr>
        <w:t>万元，支出决算数为</w:t>
      </w:r>
      <w:r>
        <w:rPr>
          <w:rFonts w:hint="eastAsia" w:asciiTheme="minorEastAsia" w:hAnsiTheme="minorEastAsia" w:eastAsiaTheme="minorEastAsia"/>
          <w:sz w:val="32"/>
          <w:szCs w:val="32"/>
          <w:lang w:val="en-US" w:eastAsia="zh-CN"/>
        </w:rPr>
        <w:t>2779.18</w:t>
      </w:r>
      <w:r>
        <w:rPr>
          <w:rFonts w:hint="eastAsia" w:ascii="Times New Roman" w:hAnsi="Times New Roman" w:eastAsia="仿宋_GB2312"/>
          <w:sz w:val="32"/>
          <w:szCs w:val="32"/>
        </w:rPr>
        <w:t>万元，完成年初预算的</w:t>
      </w:r>
      <w:r>
        <w:rPr>
          <w:rFonts w:hint="eastAsia" w:asciiTheme="minorEastAsia" w:hAnsiTheme="minorEastAsia" w:eastAsiaTheme="minorEastAsia"/>
          <w:sz w:val="32"/>
          <w:szCs w:val="32"/>
          <w:lang w:val="en-US" w:eastAsia="zh-CN"/>
        </w:rPr>
        <w:t>152.54</w:t>
      </w:r>
      <w:r>
        <w:rPr>
          <w:rFonts w:hint="eastAsia" w:ascii="Times New Roman" w:hAnsi="Times New Roman" w:eastAsia="仿宋_GB2312"/>
          <w:sz w:val="32"/>
          <w:szCs w:val="32"/>
        </w:rPr>
        <w:t>%，其中：</w:t>
      </w:r>
    </w:p>
    <w:p>
      <w:pPr>
        <w:pStyle w:val="12"/>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1、一般公共服务（类）</w:t>
      </w:r>
      <w:r>
        <w:rPr>
          <w:rFonts w:hint="eastAsia" w:asciiTheme="minorEastAsia" w:hAnsiTheme="minorEastAsia" w:eastAsiaTheme="minorEastAsia"/>
          <w:sz w:val="32"/>
          <w:szCs w:val="32"/>
          <w:lang w:val="en-US" w:eastAsia="zh-CN"/>
        </w:rPr>
        <w:t>组织事务</w:t>
      </w:r>
      <w:r>
        <w:rPr>
          <w:rFonts w:hint="eastAsia" w:ascii="Times New Roman" w:hAnsi="Times New Roman" w:eastAsia="仿宋_GB2312"/>
          <w:sz w:val="32"/>
          <w:szCs w:val="32"/>
        </w:rPr>
        <w:t>（款）</w:t>
      </w:r>
      <w:r>
        <w:rPr>
          <w:rFonts w:hint="eastAsia" w:asciiTheme="minorEastAsia" w:hAnsiTheme="minorEastAsia" w:eastAsiaTheme="minorEastAsia"/>
          <w:sz w:val="32"/>
          <w:szCs w:val="32"/>
          <w:lang w:val="en-US" w:eastAsia="zh-CN"/>
        </w:rPr>
        <w:t>其他组织事务支出</w:t>
      </w:r>
      <w:r>
        <w:rPr>
          <w:rFonts w:hint="eastAsia" w:ascii="Times New Roman" w:hAnsi="Times New Roman" w:eastAsia="仿宋_GB2312"/>
          <w:sz w:val="32"/>
          <w:szCs w:val="32"/>
        </w:rPr>
        <w:t>（项）。</w:t>
      </w:r>
    </w:p>
    <w:p>
      <w:pPr>
        <w:pStyle w:val="12"/>
        <w:ind w:firstLine="640" w:firstLineChars="200"/>
        <w:rPr>
          <w:rFonts w:hint="default"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年初预算为0万元，支出决算为9.4万元，完成年初预算的0%，无法计算完成比例，决算数大于年初预算数的主要原因是：人才引进补贴未列入部门年初预算。</w:t>
      </w:r>
    </w:p>
    <w:p>
      <w:pPr>
        <w:pStyle w:val="12"/>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2、</w:t>
      </w:r>
      <w:r>
        <w:rPr>
          <w:rFonts w:hint="eastAsia" w:ascii="Times New Roman" w:hAnsi="Times New Roman" w:eastAsia="仿宋_GB2312"/>
          <w:sz w:val="32"/>
          <w:szCs w:val="32"/>
          <w:lang w:val="en-US" w:eastAsia="zh-CN"/>
        </w:rPr>
        <w:t>教育</w:t>
      </w:r>
      <w:r>
        <w:rPr>
          <w:rFonts w:hint="eastAsia" w:ascii="Times New Roman" w:hAnsi="Times New Roman" w:eastAsia="仿宋_GB2312"/>
          <w:sz w:val="32"/>
          <w:szCs w:val="32"/>
        </w:rPr>
        <w:t>（类）</w:t>
      </w:r>
      <w:r>
        <w:rPr>
          <w:rFonts w:hint="eastAsia" w:ascii="Times New Roman" w:hAnsi="Times New Roman" w:eastAsia="仿宋_GB2312"/>
          <w:sz w:val="32"/>
          <w:szCs w:val="32"/>
          <w:lang w:val="en-US" w:eastAsia="zh-CN"/>
        </w:rPr>
        <w:t>普通教育</w:t>
      </w:r>
      <w:r>
        <w:rPr>
          <w:rFonts w:hint="eastAsia" w:ascii="Times New Roman" w:hAnsi="Times New Roman" w:eastAsia="仿宋_GB2312"/>
          <w:sz w:val="32"/>
          <w:szCs w:val="32"/>
        </w:rPr>
        <w:t>（款）</w:t>
      </w:r>
      <w:r>
        <w:rPr>
          <w:rFonts w:hint="eastAsia" w:ascii="Times New Roman" w:hAnsi="Times New Roman" w:eastAsia="仿宋_GB2312"/>
          <w:sz w:val="32"/>
          <w:szCs w:val="32"/>
          <w:lang w:val="en-US" w:eastAsia="zh-CN"/>
        </w:rPr>
        <w:t>小学教育</w:t>
      </w:r>
      <w:r>
        <w:rPr>
          <w:rFonts w:hint="eastAsia" w:ascii="Times New Roman" w:hAnsi="Times New Roman" w:eastAsia="仿宋_GB2312"/>
          <w:sz w:val="32"/>
          <w:szCs w:val="32"/>
        </w:rPr>
        <w:t>（项）。</w:t>
      </w:r>
    </w:p>
    <w:p>
      <w:pPr>
        <w:pStyle w:val="12"/>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lang w:eastAsia="zh-CN"/>
        </w:rPr>
      </w:pPr>
      <w:r>
        <w:rPr>
          <w:rFonts w:hint="eastAsia" w:ascii="Times New Roman" w:hAnsi="Times New Roman" w:eastAsia="仿宋_GB2312"/>
          <w:sz w:val="32"/>
          <w:szCs w:val="32"/>
        </w:rPr>
        <w:t>年初预算为1821</w:t>
      </w:r>
      <w:r>
        <w:rPr>
          <w:rFonts w:hint="eastAsia" w:ascii="Times New Roman" w:hAnsi="Times New Roman" w:eastAsia="仿宋_GB2312"/>
          <w:sz w:val="32"/>
          <w:szCs w:val="32"/>
          <w:lang w:val="en-US" w:eastAsia="zh-CN"/>
        </w:rPr>
        <w:t>.</w:t>
      </w:r>
      <w:r>
        <w:rPr>
          <w:rFonts w:hint="eastAsia" w:ascii="Times New Roman" w:hAnsi="Times New Roman" w:eastAsia="仿宋_GB2312"/>
          <w:sz w:val="32"/>
          <w:szCs w:val="32"/>
        </w:rPr>
        <w:t>92万元，支出决算为</w:t>
      </w:r>
      <w:r>
        <w:rPr>
          <w:rFonts w:hint="eastAsia" w:ascii="Times New Roman" w:hAnsi="Times New Roman" w:eastAsia="仿宋_GB2312"/>
          <w:sz w:val="32"/>
          <w:szCs w:val="32"/>
          <w:lang w:val="en-US" w:eastAsia="zh-CN"/>
        </w:rPr>
        <w:t>2052.81</w:t>
      </w:r>
      <w:r>
        <w:rPr>
          <w:rFonts w:hint="eastAsia" w:ascii="Times New Roman" w:hAnsi="Times New Roman" w:eastAsia="仿宋_GB2312"/>
          <w:sz w:val="32"/>
          <w:szCs w:val="32"/>
        </w:rPr>
        <w:t>万元，完成年初预算的</w:t>
      </w:r>
      <w:r>
        <w:rPr>
          <w:rFonts w:hint="eastAsia" w:ascii="Times New Roman" w:hAnsi="Times New Roman" w:eastAsia="仿宋_GB2312"/>
          <w:sz w:val="32"/>
          <w:szCs w:val="32"/>
          <w:lang w:val="en-US" w:eastAsia="zh-CN"/>
        </w:rPr>
        <w:t>112.67</w:t>
      </w:r>
      <w:r>
        <w:rPr>
          <w:rFonts w:hint="eastAsia" w:ascii="Times New Roman" w:hAnsi="Times New Roman" w:eastAsia="仿宋_GB2312"/>
          <w:sz w:val="32"/>
          <w:szCs w:val="32"/>
        </w:rPr>
        <w:t>%，决算数大于年初预算数的主要原因是：是增加了人员经费、生均经费及项目经费支出。</w:t>
      </w:r>
    </w:p>
    <w:p>
      <w:pPr>
        <w:pStyle w:val="12"/>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3、教育（类）普通教育（款）其他普通教育支出（项）。</w:t>
      </w:r>
    </w:p>
    <w:p>
      <w:pPr>
        <w:pStyle w:val="12"/>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rPr>
      </w:pPr>
      <w:r>
        <w:rPr>
          <w:rFonts w:hint="eastAsia" w:ascii="Times New Roman" w:hAnsi="Times New Roman" w:eastAsia="仿宋_GB2312"/>
          <w:sz w:val="32"/>
          <w:szCs w:val="32"/>
          <w:lang w:val="en-US" w:eastAsia="zh-CN"/>
        </w:rPr>
        <w:t>年初预算为0万元，支出决算为393.66万元，</w:t>
      </w:r>
      <w:r>
        <w:rPr>
          <w:rFonts w:hint="eastAsia" w:ascii="Times New Roman" w:hAnsi="Times New Roman" w:eastAsia="仿宋_GB2312"/>
          <w:sz w:val="32"/>
          <w:szCs w:val="32"/>
        </w:rPr>
        <w:t>完成年初预算的</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w:t>
      </w:r>
      <w:r>
        <w:rPr>
          <w:rFonts w:hint="eastAsia" w:ascii="仿宋" w:hAnsi="仿宋" w:eastAsia="仿宋" w:cs="仿宋"/>
          <w:i w:val="0"/>
          <w:iCs w:val="0"/>
          <w:caps w:val="0"/>
          <w:color w:val="auto"/>
          <w:spacing w:val="0"/>
          <w:sz w:val="32"/>
          <w:szCs w:val="32"/>
          <w:shd w:val="clear" w:color="auto" w:fill="FFFFFF"/>
        </w:rPr>
        <w:t>无法计算完成比例</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rPr>
        <w:t>决算数大于年初预算数的主要原因</w:t>
      </w:r>
      <w:r>
        <w:rPr>
          <w:rFonts w:hint="eastAsia" w:ascii="Times New Roman" w:hAnsi="Times New Roman" w:eastAsia="仿宋_GB2312"/>
          <w:sz w:val="32"/>
          <w:szCs w:val="32"/>
          <w:lang w:val="en-US" w:eastAsia="zh-CN"/>
        </w:rPr>
        <w:t>是</w:t>
      </w:r>
      <w:r>
        <w:rPr>
          <w:rFonts w:hint="eastAsia" w:ascii="Times New Roman" w:hAnsi="Times New Roman" w:eastAsia="仿宋_GB2312"/>
          <w:sz w:val="32"/>
          <w:szCs w:val="32"/>
        </w:rPr>
        <w:t>绩效奖等未列入部门年初预算。</w:t>
      </w:r>
    </w:p>
    <w:p>
      <w:pPr>
        <w:pStyle w:val="12"/>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4、社会保障和就业支出（类）行政事业单位养老支出（款）机关事业单位基本养老保险缴费支出（项）。</w:t>
      </w:r>
    </w:p>
    <w:p>
      <w:pPr>
        <w:pStyle w:val="12"/>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rPr>
      </w:pPr>
      <w:r>
        <w:rPr>
          <w:rFonts w:hint="eastAsia" w:ascii="Times New Roman" w:hAnsi="Times New Roman" w:eastAsia="仿宋_GB2312"/>
          <w:sz w:val="32"/>
          <w:szCs w:val="32"/>
          <w:lang w:val="en-US" w:eastAsia="zh-CN"/>
        </w:rPr>
        <w:t>年初预算为0万元，支出决算为180.64万元，</w:t>
      </w:r>
      <w:r>
        <w:rPr>
          <w:rFonts w:hint="eastAsia" w:ascii="Times New Roman" w:hAnsi="Times New Roman" w:eastAsia="仿宋_GB2312"/>
          <w:sz w:val="32"/>
          <w:szCs w:val="32"/>
        </w:rPr>
        <w:t>完成年初预算的</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rPr>
        <w:t>决算数大于年初预算数的主要原因是：财政追加机关事业单位基本养老保险缴费支出。</w:t>
      </w:r>
    </w:p>
    <w:p>
      <w:pPr>
        <w:pStyle w:val="12"/>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5、社会保障和就业支出（类）行政事业单位养老支出（款）其他行政事业单位养老支出（项）</w:t>
      </w:r>
    </w:p>
    <w:p>
      <w:pPr>
        <w:pStyle w:val="12"/>
        <w:keepNext w:val="0"/>
        <w:keepLines w:val="0"/>
        <w:pageBreakBefore w:val="0"/>
        <w:widowControl w:val="0"/>
        <w:kinsoku/>
        <w:wordWrap/>
        <w:overflowPunct/>
        <w:topLinePunct w:val="0"/>
        <w:bidi w:val="0"/>
        <w:snapToGrid/>
        <w:spacing w:line="600" w:lineRule="exact"/>
        <w:ind w:firstLine="800" w:firstLineChars="250"/>
        <w:textAlignment w:val="auto"/>
        <w:rPr>
          <w:rFonts w:hint="default"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年初预算为0万元，支出决算为51.87万元，</w:t>
      </w:r>
      <w:r>
        <w:rPr>
          <w:rFonts w:hint="eastAsia" w:ascii="Times New Roman" w:hAnsi="Times New Roman" w:eastAsia="仿宋_GB2312"/>
          <w:sz w:val="32"/>
          <w:szCs w:val="32"/>
        </w:rPr>
        <w:t>完成年初预算的</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w:t>
      </w:r>
      <w:r>
        <w:rPr>
          <w:rFonts w:hint="eastAsia" w:ascii="仿宋" w:hAnsi="仿宋" w:eastAsia="仿宋" w:cs="仿宋"/>
          <w:i w:val="0"/>
          <w:iCs w:val="0"/>
          <w:caps w:val="0"/>
          <w:color w:val="auto"/>
          <w:spacing w:val="0"/>
          <w:sz w:val="32"/>
          <w:szCs w:val="32"/>
          <w:shd w:val="clear" w:color="auto" w:fill="FFFFFF"/>
        </w:rPr>
        <w:t>无法计算完成比例</w:t>
      </w:r>
      <w:r>
        <w:rPr>
          <w:rFonts w:hint="eastAsia" w:ascii="仿宋" w:hAnsi="仿宋" w:eastAsia="仿宋" w:cs="仿宋"/>
          <w:i w:val="0"/>
          <w:iCs w:val="0"/>
          <w:caps w:val="0"/>
          <w:color w:val="auto"/>
          <w:spacing w:val="0"/>
          <w:sz w:val="32"/>
          <w:szCs w:val="32"/>
          <w:shd w:val="clear" w:color="auto" w:fill="FFFFFF"/>
          <w:lang w:eastAsia="zh-CN"/>
        </w:rPr>
        <w:t>，</w:t>
      </w:r>
      <w:r>
        <w:rPr>
          <w:rFonts w:hint="eastAsia" w:ascii="Times New Roman" w:hAnsi="Times New Roman" w:eastAsia="仿宋_GB2312"/>
          <w:sz w:val="32"/>
          <w:szCs w:val="32"/>
        </w:rPr>
        <w:t>决算数大于年初预算数的主要原因是：</w:t>
      </w:r>
      <w:r>
        <w:rPr>
          <w:rFonts w:hint="eastAsia" w:ascii="Times New Roman" w:hAnsi="Times New Roman" w:eastAsia="仿宋_GB2312"/>
          <w:sz w:val="32"/>
          <w:szCs w:val="32"/>
          <w:lang w:val="en-US" w:eastAsia="zh-CN"/>
        </w:rPr>
        <w:t>退休人员补助未</w:t>
      </w:r>
      <w:r>
        <w:rPr>
          <w:rFonts w:hint="eastAsia" w:ascii="Times New Roman" w:hAnsi="Times New Roman" w:eastAsia="仿宋_GB2312"/>
          <w:sz w:val="32"/>
          <w:szCs w:val="32"/>
        </w:rPr>
        <w:t>列入部门年初预算</w:t>
      </w:r>
      <w:r>
        <w:rPr>
          <w:rFonts w:hint="eastAsia" w:ascii="Times New Roman" w:hAnsi="Times New Roman" w:eastAsia="仿宋_GB2312"/>
          <w:sz w:val="32"/>
          <w:szCs w:val="32"/>
          <w:lang w:eastAsia="zh-CN"/>
        </w:rPr>
        <w:t>。</w:t>
      </w:r>
    </w:p>
    <w:p>
      <w:pPr>
        <w:pStyle w:val="12"/>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6、卫生健康支出（类）行政事业单位医疗（款）行政单位医疗（项）</w:t>
      </w:r>
    </w:p>
    <w:p>
      <w:pPr>
        <w:pStyle w:val="12"/>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年初预算为0万元，支出决算为90.8万元，完成年初预算的0%，</w:t>
      </w:r>
      <w:r>
        <w:rPr>
          <w:rFonts w:hint="eastAsia" w:ascii="仿宋" w:hAnsi="仿宋" w:eastAsia="仿宋" w:cs="仿宋"/>
          <w:i w:val="0"/>
          <w:iCs w:val="0"/>
          <w:caps w:val="0"/>
          <w:color w:val="auto"/>
          <w:spacing w:val="0"/>
          <w:sz w:val="32"/>
          <w:szCs w:val="32"/>
          <w:shd w:val="clear" w:color="auto" w:fill="FFFFFF"/>
        </w:rPr>
        <w:t>无法计算完成比例</w:t>
      </w:r>
      <w:r>
        <w:rPr>
          <w:rFonts w:hint="eastAsia" w:ascii="仿宋" w:hAnsi="仿宋" w:eastAsia="仿宋" w:cs="仿宋"/>
          <w:i w:val="0"/>
          <w:iCs w:val="0"/>
          <w:caps w:val="0"/>
          <w:color w:val="auto"/>
          <w:spacing w:val="0"/>
          <w:sz w:val="32"/>
          <w:szCs w:val="32"/>
          <w:shd w:val="clear" w:color="auto" w:fill="FFFFFF"/>
          <w:lang w:eastAsia="zh-CN"/>
        </w:rPr>
        <w:t>，</w:t>
      </w:r>
      <w:r>
        <w:rPr>
          <w:rFonts w:hint="eastAsia" w:ascii="Times New Roman" w:hAnsi="Times New Roman" w:eastAsia="仿宋_GB2312"/>
          <w:sz w:val="32"/>
          <w:szCs w:val="32"/>
        </w:rPr>
        <w:t>决算数大于年初预算数的主要原因是：行政单位医疗缴费单位部分未列入部门年初预算</w:t>
      </w:r>
      <w:r>
        <w:rPr>
          <w:rFonts w:hint="eastAsia" w:ascii="Times New Roman" w:hAnsi="Times New Roman" w:eastAsia="仿宋_GB2312"/>
          <w:sz w:val="32"/>
          <w:szCs w:val="32"/>
          <w:lang w:eastAsia="zh-CN"/>
        </w:rPr>
        <w:t>。</w:t>
      </w:r>
    </w:p>
    <w:p>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六、一般公共预算财政拨款基本支出决算情况说明</w:t>
      </w:r>
    </w:p>
    <w:p>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2</w:t>
      </w:r>
      <w:r>
        <w:rPr>
          <w:rFonts w:hint="eastAsia" w:ascii="Times New Roman" w:hAnsi="Times New Roman" w:eastAsia="仿宋_GB2312"/>
          <w:sz w:val="32"/>
          <w:szCs w:val="32"/>
        </w:rPr>
        <w:t>年度财政拨款基本支出</w:t>
      </w:r>
      <w:r>
        <w:rPr>
          <w:rFonts w:hint="eastAsia" w:asciiTheme="minorEastAsia" w:hAnsiTheme="minorEastAsia" w:eastAsiaTheme="minorEastAsia"/>
          <w:sz w:val="32"/>
          <w:szCs w:val="32"/>
          <w:lang w:val="en-US" w:eastAsia="zh-CN"/>
        </w:rPr>
        <w:t>2217.69</w:t>
      </w:r>
      <w:r>
        <w:rPr>
          <w:rFonts w:hint="eastAsia" w:ascii="Times New Roman" w:hAnsi="Times New Roman" w:eastAsia="仿宋_GB2312"/>
          <w:sz w:val="32"/>
          <w:szCs w:val="32"/>
        </w:rPr>
        <w:t>万元，其中：</w:t>
      </w:r>
    </w:p>
    <w:p>
      <w:pPr>
        <w:pStyle w:val="12"/>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lang w:eastAsia="zh-CN"/>
        </w:rPr>
      </w:pPr>
      <w:r>
        <w:rPr>
          <w:rFonts w:hint="eastAsia" w:ascii="Times New Roman" w:hAnsi="Times New Roman" w:eastAsia="仿宋_GB2312"/>
          <w:sz w:val="32"/>
          <w:szCs w:val="32"/>
        </w:rPr>
        <w:t>人员经费</w:t>
      </w:r>
      <w:r>
        <w:rPr>
          <w:rFonts w:hint="eastAsia" w:ascii="Times New Roman" w:hAnsi="Times New Roman" w:eastAsia="仿宋_GB2312"/>
          <w:sz w:val="32"/>
          <w:szCs w:val="32"/>
          <w:lang w:val="en-US" w:eastAsia="zh-CN"/>
        </w:rPr>
        <w:t>2153.57</w:t>
      </w:r>
      <w:r>
        <w:rPr>
          <w:rFonts w:hint="eastAsia" w:ascii="Times New Roman" w:hAnsi="Times New Roman" w:eastAsia="仿宋_GB2312"/>
          <w:sz w:val="32"/>
          <w:szCs w:val="32"/>
        </w:rPr>
        <w:t>万元，占基本支出的</w:t>
      </w:r>
      <w:r>
        <w:rPr>
          <w:rFonts w:hint="eastAsia" w:ascii="Times New Roman" w:hAnsi="Times New Roman" w:eastAsia="仿宋_GB2312"/>
          <w:sz w:val="32"/>
          <w:szCs w:val="32"/>
          <w:lang w:val="en-US" w:eastAsia="zh-CN"/>
        </w:rPr>
        <w:t>97.11</w:t>
      </w:r>
      <w:r>
        <w:rPr>
          <w:rFonts w:hint="eastAsia" w:ascii="Times New Roman" w:hAnsi="Times New Roman" w:eastAsia="仿宋_GB2312"/>
          <w:sz w:val="32"/>
          <w:szCs w:val="32"/>
        </w:rPr>
        <w:t>%,主要包括基本工资、津贴补贴、奖金、绩效工资、基本养老保险缴费、基本医疗保险缴费等</w:t>
      </w:r>
      <w:r>
        <w:rPr>
          <w:rFonts w:hint="eastAsia" w:ascii="Times New Roman" w:hAnsi="Times New Roman" w:eastAsia="仿宋_GB2312"/>
          <w:sz w:val="32"/>
          <w:szCs w:val="32"/>
          <w:lang w:eastAsia="zh-CN"/>
        </w:rPr>
        <w:t>。</w:t>
      </w:r>
    </w:p>
    <w:p>
      <w:pPr>
        <w:pStyle w:val="12"/>
        <w:keepNext w:val="0"/>
        <w:keepLines w:val="0"/>
        <w:pageBreakBefore w:val="0"/>
        <w:widowControl w:val="0"/>
        <w:kinsoku/>
        <w:wordWrap/>
        <w:overflowPunct/>
        <w:topLinePunct w:val="0"/>
        <w:bidi w:val="0"/>
        <w:snapToGrid/>
        <w:spacing w:line="600" w:lineRule="exact"/>
        <w:ind w:firstLine="800" w:firstLineChars="250"/>
        <w:textAlignment w:val="auto"/>
        <w:rPr>
          <w:rFonts w:hint="default" w:asciiTheme="minorEastAsia" w:hAnsiTheme="minorEastAsia" w:eastAsiaTheme="minorEastAsia"/>
          <w:sz w:val="32"/>
          <w:szCs w:val="32"/>
          <w:lang w:val="en-US" w:eastAsia="zh-CN"/>
        </w:rPr>
      </w:pPr>
      <w:r>
        <w:rPr>
          <w:rFonts w:hint="eastAsia" w:ascii="Times New Roman" w:hAnsi="Times New Roman" w:eastAsia="仿宋_GB2312"/>
          <w:sz w:val="32"/>
          <w:szCs w:val="32"/>
        </w:rPr>
        <w:t>公用经费</w:t>
      </w:r>
      <w:r>
        <w:rPr>
          <w:rFonts w:hint="eastAsia" w:ascii="Times New Roman" w:hAnsi="Times New Roman" w:eastAsia="仿宋_GB2312"/>
          <w:sz w:val="32"/>
          <w:szCs w:val="32"/>
          <w:lang w:val="en-US" w:eastAsia="zh-CN"/>
        </w:rPr>
        <w:t>64.13</w:t>
      </w:r>
      <w:r>
        <w:rPr>
          <w:rFonts w:hint="eastAsia" w:ascii="Times New Roman" w:hAnsi="Times New Roman" w:eastAsia="仿宋_GB2312"/>
          <w:sz w:val="32"/>
          <w:szCs w:val="32"/>
        </w:rPr>
        <w:t>万元，占基本支出的</w:t>
      </w:r>
      <w:r>
        <w:rPr>
          <w:rFonts w:hint="eastAsia" w:ascii="Times New Roman" w:hAnsi="Times New Roman" w:eastAsia="仿宋_GB2312"/>
          <w:sz w:val="32"/>
          <w:szCs w:val="32"/>
          <w:lang w:val="en-US" w:eastAsia="zh-CN"/>
        </w:rPr>
        <w:t>2.89</w:t>
      </w:r>
      <w:r>
        <w:rPr>
          <w:rFonts w:hint="eastAsia" w:ascii="Times New Roman" w:hAnsi="Times New Roman" w:eastAsia="仿宋_GB2312"/>
          <w:sz w:val="32"/>
          <w:szCs w:val="32"/>
        </w:rPr>
        <w:t>%，主要包括办公费、印刷费、水电费、维修费、培训费、办公设备、专用设备购置等。</w:t>
      </w:r>
    </w:p>
    <w:p>
      <w:pPr>
        <w:pStyle w:val="12"/>
        <w:keepNext w:val="0"/>
        <w:keepLines w:val="0"/>
        <w:pageBreakBefore w:val="0"/>
        <w:widowControl w:val="0"/>
        <w:numPr>
          <w:ilvl w:val="0"/>
          <w:numId w:val="2"/>
        </w:numPr>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财政拨款三公经费支出决算情况说明</w:t>
      </w:r>
    </w:p>
    <w:p>
      <w:pPr>
        <w:pStyle w:val="12"/>
        <w:keepNext w:val="0"/>
        <w:keepLines w:val="0"/>
        <w:pageBreakBefore w:val="0"/>
        <w:widowControl w:val="0"/>
        <w:numPr>
          <w:ilvl w:val="0"/>
          <w:numId w:val="0"/>
        </w:numPr>
        <w:kinsoku/>
        <w:wordWrap/>
        <w:overflowPunct/>
        <w:topLinePunct w:val="0"/>
        <w:bidi w:val="0"/>
        <w:snapToGrid/>
        <w:spacing w:line="600" w:lineRule="exact"/>
        <w:ind w:firstLine="640" w:firstLineChars="200"/>
        <w:textAlignment w:val="auto"/>
        <w:rPr>
          <w:rFonts w:hint="eastAsia" w:ascii="楷体" w:hAnsi="楷体" w:eastAsia="楷体" w:cs="楷体"/>
          <w:b/>
          <w:bCs w:val="0"/>
          <w:sz w:val="32"/>
          <w:szCs w:val="32"/>
        </w:rPr>
      </w:pPr>
      <w:r>
        <w:rPr>
          <w:rFonts w:hint="eastAsia" w:ascii="楷体" w:hAnsi="楷体" w:eastAsia="楷体" w:cs="楷体"/>
          <w:b/>
          <w:bCs w:val="0"/>
          <w:sz w:val="32"/>
          <w:szCs w:val="32"/>
        </w:rPr>
        <w:t>（一）“三公”经费财政拨款支出决算总体情况说明</w:t>
      </w:r>
    </w:p>
    <w:p>
      <w:pPr>
        <w:pStyle w:val="12"/>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“三公”经费财政拨款支出预算为</w:t>
      </w:r>
      <w:r>
        <w:rPr>
          <w:rFonts w:hint="eastAsia" w:ascii="Times New Roman" w:hAnsi="Times New Roman" w:eastAsia="仿宋_GB2312"/>
          <w:sz w:val="32"/>
          <w:szCs w:val="32"/>
          <w:lang w:val="en-US" w:eastAsia="zh-CN"/>
        </w:rPr>
        <w:t>2.5</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万元，完成预算的</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%，其中：</w:t>
      </w:r>
    </w:p>
    <w:p>
      <w:pPr>
        <w:pStyle w:val="12"/>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lang w:eastAsia="zh-CN"/>
        </w:rPr>
      </w:pPr>
      <w:r>
        <w:rPr>
          <w:rFonts w:hint="eastAsia" w:ascii="Times New Roman" w:hAnsi="Times New Roman" w:eastAsia="仿宋_GB2312"/>
          <w:sz w:val="32"/>
          <w:szCs w:val="32"/>
        </w:rPr>
        <w:t>因公出国（境）费支出预算为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万元，完成预算的</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w:t>
      </w:r>
    </w:p>
    <w:p>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公务接待费支出预算为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万元，完成预算的</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w:t>
      </w:r>
    </w:p>
    <w:p>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公务用车购置费支出预算为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万元，完成预算的</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%公务用车运行维护费支出预算为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w:t>
      </w:r>
    </w:p>
    <w:p>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楷体" w:hAnsi="楷体" w:eastAsia="楷体" w:cs="楷体"/>
          <w:b/>
          <w:bCs w:val="0"/>
          <w:sz w:val="32"/>
          <w:szCs w:val="32"/>
        </w:rPr>
      </w:pPr>
      <w:r>
        <w:rPr>
          <w:rFonts w:hint="eastAsia" w:ascii="楷体" w:hAnsi="楷体" w:eastAsia="楷体" w:cs="楷体"/>
          <w:b/>
          <w:bCs w:val="0"/>
          <w:sz w:val="32"/>
          <w:szCs w:val="32"/>
        </w:rPr>
        <w:t>（二）“三公”经费财政拨款支出决算具体情况说明</w:t>
      </w:r>
    </w:p>
    <w:p>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2</w:t>
      </w:r>
      <w:r>
        <w:rPr>
          <w:rFonts w:hint="eastAsia" w:ascii="Times New Roman" w:hAnsi="Times New Roman" w:eastAsia="仿宋_GB2312"/>
          <w:sz w:val="32"/>
          <w:szCs w:val="32"/>
        </w:rPr>
        <w:t>年度“三公”经费财政拨款支出决算中，公务接待费支出决算</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%,因公出国（境）费支出决算</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%,公务用车购置费及运行维护费支出决算</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%。其中：</w:t>
      </w:r>
    </w:p>
    <w:p>
      <w:pPr>
        <w:pStyle w:val="12"/>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楷体" w:hAnsi="楷体" w:eastAsia="仿宋_GB2312" w:cs="楷体"/>
          <w:b/>
          <w:bCs/>
          <w:i/>
          <w:color w:val="auto"/>
          <w:sz w:val="32"/>
          <w:szCs w:val="32"/>
          <w:lang w:eastAsia="zh-CN"/>
        </w:rPr>
      </w:pPr>
      <w:r>
        <w:rPr>
          <w:rFonts w:hint="eastAsia" w:ascii="Times New Roman" w:hAnsi="Times New Roman" w:eastAsia="仿宋_GB2312"/>
          <w:sz w:val="32"/>
          <w:szCs w:val="32"/>
          <w:lang w:val="en-US" w:eastAsia="zh-CN"/>
        </w:rPr>
        <w:t>1、</w:t>
      </w:r>
      <w:r>
        <w:rPr>
          <w:rFonts w:hint="eastAsia" w:ascii="Times New Roman" w:hAnsi="Times New Roman" w:eastAsia="仿宋_GB2312"/>
          <w:sz w:val="32"/>
          <w:szCs w:val="32"/>
        </w:rPr>
        <w:t>因公出国（境）费支出决算为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万元，全年安排因公出国（境）团组</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个，累计</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人次</w:t>
      </w:r>
      <w:r>
        <w:rPr>
          <w:rFonts w:hint="eastAsia" w:ascii="Times New Roman" w:hAnsi="Times New Roman" w:eastAsia="仿宋_GB2312"/>
          <w:sz w:val="32"/>
          <w:szCs w:val="32"/>
          <w:lang w:eastAsia="zh-CN"/>
        </w:rPr>
        <w:t>。</w:t>
      </w:r>
    </w:p>
    <w:p>
      <w:pPr>
        <w:pStyle w:val="12"/>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2、公务接待费支出决算为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元，全年共接待来访团组</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个、来宾</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人次。</w:t>
      </w:r>
    </w:p>
    <w:p>
      <w:pPr>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3、公务用车购置费及运行维护费支出决算为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万元，其中：公务用车购置费</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w:t>
      </w:r>
      <w:r>
        <w:rPr>
          <w:rFonts w:hint="eastAsia" w:ascii="Times New Roman" w:hAnsi="Times New Roman" w:eastAsia="仿宋_GB2312"/>
          <w:color w:val="000000" w:themeColor="text1"/>
          <w:sz w:val="32"/>
          <w:szCs w:val="32"/>
          <w14:textFill>
            <w14:solidFill>
              <w14:schemeClr w14:val="tx1"/>
            </w14:solidFill>
          </w14:textFill>
        </w:rPr>
        <w:t>。</w:t>
      </w:r>
      <w:r>
        <w:rPr>
          <w:rFonts w:hint="eastAsia" w:ascii="Times New Roman" w:hAnsi="Times New Roman" w:eastAsia="仿宋_GB2312"/>
          <w:sz w:val="32"/>
          <w:szCs w:val="32"/>
        </w:rPr>
        <w:t>公务用车运行维护费</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万元，截止202</w:t>
      </w:r>
      <w:r>
        <w:rPr>
          <w:rFonts w:hint="eastAsia" w:ascii="Times New Roman" w:hAnsi="Times New Roman" w:eastAsia="仿宋_GB2312"/>
          <w:sz w:val="32"/>
          <w:szCs w:val="32"/>
          <w:lang w:val="en-US" w:eastAsia="zh-CN"/>
        </w:rPr>
        <w:t>2</w:t>
      </w:r>
      <w:r>
        <w:rPr>
          <w:rFonts w:hint="eastAsia" w:ascii="Times New Roman" w:hAnsi="Times New Roman" w:eastAsia="仿宋_GB2312"/>
          <w:sz w:val="32"/>
          <w:szCs w:val="32"/>
        </w:rPr>
        <w:t>年12月31日，我单位开支财政拨款的公务用车保有量为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辆。</w:t>
      </w:r>
    </w:p>
    <w:p>
      <w:pPr>
        <w:pStyle w:val="12"/>
        <w:keepNext w:val="0"/>
        <w:keepLines w:val="0"/>
        <w:pageBreakBefore w:val="0"/>
        <w:widowControl w:val="0"/>
        <w:kinsoku/>
        <w:wordWrap/>
        <w:overflowPunct/>
        <w:topLinePunct w:val="0"/>
        <w:bidi w:val="0"/>
        <w:snapToGrid/>
        <w:spacing w:line="600" w:lineRule="exact"/>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本单位无三公经费。</w:t>
      </w:r>
    </w:p>
    <w:p>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八、政府性基金预算收入支出决算情况</w:t>
      </w:r>
    </w:p>
    <w:p>
      <w:pPr>
        <w:pStyle w:val="12"/>
        <w:keepNext w:val="0"/>
        <w:keepLines w:val="0"/>
        <w:pageBreakBefore w:val="0"/>
        <w:widowControl w:val="0"/>
        <w:kinsoku/>
        <w:wordWrap/>
        <w:overflowPunct/>
        <w:topLinePunct w:val="0"/>
        <w:bidi w:val="0"/>
        <w:snapToGrid/>
        <w:spacing w:line="600" w:lineRule="exact"/>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rPr>
        <w:t xml:space="preserve">     202</w:t>
      </w:r>
      <w:r>
        <w:rPr>
          <w:rFonts w:hint="eastAsia" w:ascii="Times New Roman" w:hAnsi="Times New Roman" w:eastAsia="仿宋_GB2312"/>
          <w:sz w:val="32"/>
          <w:szCs w:val="32"/>
          <w:lang w:val="en-US" w:eastAsia="zh-CN"/>
        </w:rPr>
        <w:t>2</w:t>
      </w:r>
      <w:r>
        <w:rPr>
          <w:rFonts w:hint="eastAsia" w:ascii="Times New Roman" w:hAnsi="Times New Roman" w:eastAsia="仿宋_GB2312"/>
          <w:sz w:val="32"/>
          <w:szCs w:val="32"/>
        </w:rPr>
        <w:t>年度政府性基金预算财政拨款收入</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万元；年初结转和结余</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万元，其中基本支出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万元，项目支出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万元；年末结转和结余</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w:t>
      </w:r>
      <w:r>
        <w:rPr>
          <w:rFonts w:hint="eastAsia" w:ascii="Times New Roman" w:hAnsi="Times New Roman" w:eastAsia="仿宋_GB2312"/>
          <w:sz w:val="32"/>
          <w:szCs w:val="32"/>
          <w:lang w:val="en-US" w:eastAsia="zh-CN"/>
        </w:rPr>
        <w:t>本单位无政府性基金收支。</w:t>
      </w:r>
    </w:p>
    <w:p>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lang w:val="en-US" w:eastAsia="zh-CN"/>
        </w:rPr>
      </w:pPr>
      <w:r>
        <w:rPr>
          <w:rFonts w:hint="eastAsia" w:hAnsi="黑体" w:cs="黑体"/>
          <w:b w:val="0"/>
          <w:bCs/>
          <w:sz w:val="32"/>
          <w:szCs w:val="32"/>
          <w:lang w:val="en-US" w:eastAsia="zh-CN"/>
        </w:rPr>
        <w:t>九、</w:t>
      </w:r>
      <w:r>
        <w:rPr>
          <w:rFonts w:hint="eastAsia" w:ascii="黑体" w:hAnsi="黑体" w:eastAsia="黑体" w:cs="黑体"/>
          <w:b w:val="0"/>
          <w:bCs/>
          <w:sz w:val="32"/>
          <w:szCs w:val="32"/>
          <w:lang w:val="en-US" w:eastAsia="zh-CN"/>
        </w:rPr>
        <w:t>国有资本经营预算财政拨款</w:t>
      </w:r>
      <w:r>
        <w:rPr>
          <w:rFonts w:hint="eastAsia" w:hAnsi="黑体" w:cs="黑体"/>
          <w:b w:val="0"/>
          <w:bCs/>
          <w:sz w:val="32"/>
          <w:szCs w:val="32"/>
          <w:lang w:val="en-US" w:eastAsia="zh-CN"/>
        </w:rPr>
        <w:t>收入</w:t>
      </w:r>
      <w:r>
        <w:rPr>
          <w:rFonts w:hint="eastAsia" w:ascii="黑体" w:hAnsi="黑体" w:eastAsia="黑体" w:cs="黑体"/>
          <w:b w:val="0"/>
          <w:bCs/>
          <w:sz w:val="32"/>
          <w:szCs w:val="32"/>
          <w:lang w:val="en-US" w:eastAsia="zh-CN"/>
        </w:rPr>
        <w:t>支出</w:t>
      </w:r>
      <w:r>
        <w:rPr>
          <w:rFonts w:hint="eastAsia" w:ascii="黑体" w:hAnsi="黑体" w:eastAsia="黑体" w:cs="黑体"/>
          <w:b w:val="0"/>
          <w:bCs/>
          <w:sz w:val="32"/>
          <w:szCs w:val="32"/>
        </w:rPr>
        <w:t>决算情况</w:t>
      </w:r>
      <w:r>
        <w:rPr>
          <w:rFonts w:hint="eastAsia" w:ascii="黑体" w:hAnsi="黑体" w:eastAsia="黑体" w:cs="黑体"/>
          <w:b w:val="0"/>
          <w:bCs/>
          <w:sz w:val="32"/>
          <w:szCs w:val="32"/>
          <w:lang w:val="en-US" w:eastAsia="zh-CN"/>
        </w:rPr>
        <w:t>说明</w:t>
      </w:r>
    </w:p>
    <w:p>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2022</w:t>
      </w:r>
      <w:r>
        <w:rPr>
          <w:rFonts w:hint="eastAsia" w:ascii="Times New Roman" w:hAnsi="Times New Roman" w:eastAsia="仿宋_GB2312"/>
          <w:sz w:val="32"/>
          <w:szCs w:val="32"/>
        </w:rPr>
        <w:t>年度</w:t>
      </w:r>
      <w:r>
        <w:rPr>
          <w:rFonts w:hint="eastAsia" w:ascii="Times New Roman" w:hAnsi="Times New Roman" w:eastAsia="仿宋_GB2312"/>
          <w:sz w:val="32"/>
          <w:szCs w:val="32"/>
          <w:lang w:val="en-US" w:eastAsia="zh-CN"/>
        </w:rPr>
        <w:t>国有资本经营预算财政拨款收入</w:t>
      </w:r>
      <w:bookmarkStart w:id="3" w:name="_GoBack"/>
      <w:bookmarkEnd w:id="3"/>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万元，其中基本支出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万元，项目支出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rPr>
        <w:t>本单位无</w:t>
      </w:r>
      <w:r>
        <w:rPr>
          <w:rFonts w:hint="eastAsia" w:ascii="Times New Roman" w:hAnsi="Times New Roman" w:eastAsia="仿宋_GB2312"/>
          <w:sz w:val="32"/>
          <w:szCs w:val="32"/>
          <w:lang w:val="en-US" w:eastAsia="zh-CN"/>
        </w:rPr>
        <w:t>国有资本经营预算财政拨款支出。</w:t>
      </w:r>
    </w:p>
    <w:p>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hAnsi="黑体" w:cs="黑体"/>
          <w:b w:val="0"/>
          <w:bCs/>
          <w:sz w:val="32"/>
          <w:szCs w:val="32"/>
          <w:lang w:val="en-US" w:eastAsia="zh-CN"/>
        </w:rPr>
      </w:pPr>
      <w:r>
        <w:rPr>
          <w:rFonts w:hint="eastAsia" w:hAnsi="黑体" w:cs="黑体"/>
          <w:b w:val="0"/>
          <w:bCs/>
          <w:sz w:val="32"/>
          <w:szCs w:val="32"/>
          <w:lang w:val="en-US" w:eastAsia="zh-CN"/>
        </w:rPr>
        <w:t>十、关于机关运行经费支出说明</w:t>
      </w:r>
    </w:p>
    <w:p>
      <w:pPr>
        <w:pStyle w:val="12"/>
        <w:ind w:firstLine="640" w:firstLineChars="200"/>
        <w:rPr>
          <w:rFonts w:hint="eastAsia" w:ascii="Times New Roman" w:hAnsi="Times New Roman" w:eastAsia="仿宋_GB2312"/>
          <w:sz w:val="32"/>
          <w:szCs w:val="32"/>
        </w:rPr>
      </w:pPr>
      <w:r>
        <w:rPr>
          <w:rFonts w:hint="eastAsia" w:ascii="Times New Roman" w:hAnsi="Times New Roman" w:eastAsia="仿宋_GB2312"/>
          <w:sz w:val="32"/>
          <w:szCs w:val="32"/>
        </w:rPr>
        <w:t>本部门202</w:t>
      </w:r>
      <w:r>
        <w:rPr>
          <w:rFonts w:hint="eastAsia" w:ascii="Times New Roman" w:hAnsi="Times New Roman" w:eastAsia="仿宋_GB2312"/>
          <w:sz w:val="32"/>
          <w:szCs w:val="32"/>
          <w:lang w:val="en-US" w:eastAsia="zh-CN"/>
        </w:rPr>
        <w:t>2</w:t>
      </w:r>
      <w:r>
        <w:rPr>
          <w:rFonts w:hint="eastAsia" w:ascii="Times New Roman" w:hAnsi="Times New Roman" w:eastAsia="仿宋_GB2312"/>
          <w:sz w:val="32"/>
          <w:szCs w:val="32"/>
        </w:rPr>
        <w:t>年度机关运行经费支出</w:t>
      </w:r>
      <w:r>
        <w:rPr>
          <w:rFonts w:hint="eastAsia" w:asciiTheme="minorEastAsia" w:hAnsiTheme="minorEastAsia" w:eastAsiaTheme="minorEastAsia"/>
          <w:sz w:val="32"/>
          <w:szCs w:val="32"/>
          <w:lang w:val="en-US" w:eastAsia="zh-CN"/>
        </w:rPr>
        <w:t>64.13</w:t>
      </w:r>
      <w:r>
        <w:rPr>
          <w:rFonts w:hint="eastAsia" w:ascii="Times New Roman" w:hAnsi="Times New Roman" w:eastAsia="仿宋_GB2312"/>
          <w:sz w:val="32"/>
          <w:szCs w:val="32"/>
        </w:rPr>
        <w:t>万元，上年决算数减少</w:t>
      </w:r>
      <w:r>
        <w:rPr>
          <w:rFonts w:hint="eastAsia" w:asciiTheme="minorEastAsia" w:hAnsiTheme="minorEastAsia" w:eastAsiaTheme="minorEastAsia"/>
          <w:sz w:val="32"/>
          <w:szCs w:val="32"/>
          <w:lang w:val="en-US" w:eastAsia="zh-CN"/>
        </w:rPr>
        <w:t>274.97</w:t>
      </w:r>
      <w:r>
        <w:rPr>
          <w:rFonts w:hint="eastAsia" w:ascii="Times New Roman" w:hAnsi="Times New Roman" w:eastAsia="仿宋_GB2312"/>
          <w:sz w:val="32"/>
          <w:szCs w:val="32"/>
        </w:rPr>
        <w:t xml:space="preserve"> 万元，降低</w:t>
      </w:r>
      <w:r>
        <w:rPr>
          <w:rFonts w:hint="eastAsia" w:asciiTheme="minorEastAsia" w:hAnsiTheme="minorEastAsia" w:eastAsiaTheme="minorEastAsia"/>
          <w:sz w:val="32"/>
          <w:szCs w:val="32"/>
          <w:lang w:val="en-US" w:eastAsia="zh-CN"/>
        </w:rPr>
        <w:t>81.09</w:t>
      </w:r>
      <w:r>
        <w:rPr>
          <w:rFonts w:hint="eastAsia" w:ascii="Times New Roman" w:hAnsi="Times New Roman" w:eastAsia="仿宋_GB2312"/>
          <w:sz w:val="32"/>
          <w:szCs w:val="32"/>
        </w:rPr>
        <w:t>%。主要原因是：上年部分项目资金列入公用经费中核算，本年度调出至项目支出核算</w:t>
      </w:r>
      <w:r>
        <w:rPr>
          <w:rFonts w:hint="eastAsia" w:ascii="Times New Roman" w:hAnsi="Times New Roman" w:eastAsia="仿宋_GB2312"/>
          <w:sz w:val="32"/>
          <w:szCs w:val="32"/>
          <w:lang w:eastAsia="zh-CN"/>
        </w:rPr>
        <w:t>。</w:t>
      </w:r>
    </w:p>
    <w:p>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十</w:t>
      </w:r>
      <w:r>
        <w:rPr>
          <w:rFonts w:hint="eastAsia" w:hAnsi="黑体" w:cs="黑体"/>
          <w:b w:val="0"/>
          <w:bCs/>
          <w:sz w:val="32"/>
          <w:szCs w:val="32"/>
          <w:lang w:val="en-US" w:eastAsia="zh-CN"/>
        </w:rPr>
        <w:t>一</w:t>
      </w:r>
      <w:r>
        <w:rPr>
          <w:rFonts w:hint="eastAsia" w:ascii="黑体" w:hAnsi="黑体" w:eastAsia="黑体" w:cs="黑体"/>
          <w:b w:val="0"/>
          <w:bCs/>
          <w:sz w:val="32"/>
          <w:szCs w:val="32"/>
        </w:rPr>
        <w:t>、一般性支出情况说明</w:t>
      </w:r>
    </w:p>
    <w:p>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2</w:t>
      </w:r>
      <w:r>
        <w:rPr>
          <w:rFonts w:hint="eastAsia" w:ascii="Times New Roman" w:hAnsi="Times New Roman" w:eastAsia="仿宋_GB2312"/>
          <w:sz w:val="32"/>
          <w:szCs w:val="32"/>
        </w:rPr>
        <w:t>年本部门开支会议费</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rPr>
        <w:t>人数</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人，；开支培训费</w:t>
      </w:r>
      <w:r>
        <w:rPr>
          <w:rFonts w:hint="eastAsia" w:ascii="Times New Roman" w:hAnsi="Times New Roman" w:eastAsia="仿宋_GB2312"/>
          <w:sz w:val="32"/>
          <w:szCs w:val="32"/>
          <w:lang w:val="en-US" w:eastAsia="zh-CN"/>
        </w:rPr>
        <w:t>2.66</w:t>
      </w:r>
      <w:r>
        <w:rPr>
          <w:rFonts w:hint="eastAsia" w:ascii="Times New Roman" w:hAnsi="Times New Roman" w:eastAsia="仿宋_GB2312"/>
          <w:sz w:val="32"/>
          <w:szCs w:val="32"/>
        </w:rPr>
        <w:t>万元，用于开展</w:t>
      </w:r>
      <w:r>
        <w:rPr>
          <w:rFonts w:hint="eastAsia" w:ascii="Times New Roman" w:hAnsi="Times New Roman" w:eastAsia="仿宋_GB2312"/>
          <w:sz w:val="32"/>
          <w:szCs w:val="32"/>
          <w:lang w:val="en-US" w:eastAsia="zh-CN"/>
        </w:rPr>
        <w:t>教育相关</w:t>
      </w:r>
      <w:r>
        <w:rPr>
          <w:rFonts w:hint="eastAsia" w:ascii="Times New Roman" w:hAnsi="Times New Roman" w:eastAsia="仿宋_GB2312"/>
          <w:sz w:val="32"/>
          <w:szCs w:val="32"/>
        </w:rPr>
        <w:t>培训，人数</w:t>
      </w:r>
      <w:r>
        <w:rPr>
          <w:rFonts w:hint="eastAsia" w:ascii="Times New Roman" w:hAnsi="Times New Roman" w:eastAsia="仿宋_GB2312"/>
          <w:sz w:val="32"/>
          <w:szCs w:val="32"/>
          <w:lang w:val="en-US" w:eastAsia="zh-CN"/>
        </w:rPr>
        <w:t>二十余</w:t>
      </w:r>
      <w:r>
        <w:rPr>
          <w:rFonts w:hint="eastAsia" w:ascii="Times New Roman" w:hAnsi="Times New Roman" w:eastAsia="仿宋_GB2312"/>
          <w:sz w:val="32"/>
          <w:szCs w:val="32"/>
        </w:rPr>
        <w:t>人，内容为学校教师参加国培、省培、市培计划等各科目专业培训；举办节庆、晚会、论坛、赛事活动</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rPr>
        <w:t>开支</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w:t>
      </w:r>
      <w:r>
        <w:rPr>
          <w:rFonts w:hint="eastAsia" w:ascii="Times New Roman" w:hAnsi="Times New Roman" w:eastAsia="仿宋_GB2312"/>
          <w:sz w:val="32"/>
          <w:szCs w:val="32"/>
          <w:lang w:val="en-US" w:eastAsia="zh-CN"/>
        </w:rPr>
        <w:t xml:space="preserve"> </w:t>
      </w:r>
    </w:p>
    <w:p>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十</w:t>
      </w:r>
      <w:r>
        <w:rPr>
          <w:rFonts w:hint="eastAsia" w:hAnsi="黑体" w:cs="黑体"/>
          <w:b w:val="0"/>
          <w:bCs/>
          <w:sz w:val="32"/>
          <w:szCs w:val="32"/>
          <w:lang w:val="en-US" w:eastAsia="zh-CN"/>
        </w:rPr>
        <w:t>二</w:t>
      </w:r>
      <w:r>
        <w:rPr>
          <w:rFonts w:hint="eastAsia" w:ascii="黑体" w:hAnsi="黑体" w:eastAsia="黑体" w:cs="黑体"/>
          <w:b w:val="0"/>
          <w:bCs/>
          <w:sz w:val="32"/>
          <w:szCs w:val="32"/>
        </w:rPr>
        <w:t>、关于政府采购支出说明</w:t>
      </w:r>
    </w:p>
    <w:p>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本部门202</w:t>
      </w:r>
      <w:r>
        <w:rPr>
          <w:rFonts w:hint="eastAsia" w:ascii="Times New Roman" w:hAnsi="Times New Roman" w:eastAsia="仿宋_GB2312"/>
          <w:sz w:val="32"/>
          <w:szCs w:val="32"/>
          <w:lang w:val="en-US" w:eastAsia="zh-CN"/>
        </w:rPr>
        <w:t>2</w:t>
      </w:r>
      <w:r>
        <w:rPr>
          <w:rFonts w:hint="eastAsia" w:ascii="Times New Roman" w:hAnsi="Times New Roman" w:eastAsia="仿宋_GB2312"/>
          <w:sz w:val="32"/>
          <w:szCs w:val="32"/>
        </w:rPr>
        <w:t>年度政府采购支出总额</w:t>
      </w:r>
      <w:r>
        <w:rPr>
          <w:rFonts w:hint="eastAsia" w:asciiTheme="minorEastAsia" w:hAnsiTheme="minorEastAsia" w:eastAsiaTheme="minorEastAsia"/>
          <w:sz w:val="32"/>
          <w:szCs w:val="32"/>
          <w:lang w:val="en-US" w:eastAsia="zh-CN"/>
        </w:rPr>
        <w:t>149.26</w:t>
      </w:r>
      <w:r>
        <w:rPr>
          <w:rFonts w:hint="eastAsia" w:ascii="Times New Roman" w:hAnsi="Times New Roman" w:eastAsia="仿宋_GB2312"/>
          <w:sz w:val="32"/>
          <w:szCs w:val="32"/>
        </w:rPr>
        <w:t>万元，其中：政府采购货物支出</w:t>
      </w:r>
      <w:r>
        <w:rPr>
          <w:rFonts w:hint="eastAsia" w:asciiTheme="minorEastAsia" w:hAnsiTheme="minorEastAsia" w:eastAsiaTheme="minorEastAsia"/>
          <w:sz w:val="32"/>
          <w:szCs w:val="32"/>
          <w:lang w:val="en-US" w:eastAsia="zh-CN"/>
        </w:rPr>
        <w:t>70.08</w:t>
      </w:r>
      <w:r>
        <w:rPr>
          <w:rFonts w:hint="eastAsia" w:ascii="Times New Roman" w:hAnsi="Times New Roman" w:eastAsia="仿宋_GB2312"/>
          <w:sz w:val="32"/>
          <w:szCs w:val="32"/>
        </w:rPr>
        <w:t>万元、政府采购工程支出</w:t>
      </w:r>
      <w:r>
        <w:rPr>
          <w:rFonts w:hint="eastAsia" w:asciiTheme="minorEastAsia" w:hAnsiTheme="minorEastAsia" w:eastAsiaTheme="minorEastAsia"/>
          <w:sz w:val="32"/>
          <w:szCs w:val="32"/>
          <w:lang w:val="en-US" w:eastAsia="zh-CN"/>
        </w:rPr>
        <w:t>79.18</w:t>
      </w:r>
      <w:r>
        <w:rPr>
          <w:rFonts w:hint="eastAsia" w:ascii="Times New Roman" w:hAnsi="Times New Roman" w:eastAsia="仿宋_GB2312"/>
          <w:sz w:val="32"/>
          <w:szCs w:val="32"/>
        </w:rPr>
        <w:t>万元、政府采购服务支出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万元。授予中小企业合同金额</w:t>
      </w:r>
      <w:r>
        <w:rPr>
          <w:rFonts w:hint="eastAsia" w:asciiTheme="minorEastAsia" w:hAnsiTheme="minorEastAsia" w:eastAsiaTheme="minorEastAsia"/>
          <w:sz w:val="32"/>
          <w:szCs w:val="32"/>
          <w:lang w:val="en-US" w:eastAsia="zh-CN"/>
        </w:rPr>
        <w:t>149.26</w:t>
      </w:r>
      <w:r>
        <w:rPr>
          <w:rFonts w:hint="eastAsia" w:ascii="Times New Roman" w:hAnsi="Times New Roman" w:eastAsia="仿宋_GB2312"/>
          <w:sz w:val="32"/>
          <w:szCs w:val="32"/>
        </w:rPr>
        <w:t>万元，占政府采购支出总额的</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rPr>
        <w:t>%，其中：授予小微企业合同金额</w:t>
      </w:r>
      <w:r>
        <w:rPr>
          <w:rFonts w:hint="eastAsia" w:asciiTheme="minorEastAsia" w:hAnsiTheme="minorEastAsia" w:eastAsiaTheme="minorEastAsia"/>
          <w:sz w:val="32"/>
          <w:szCs w:val="32"/>
          <w:lang w:val="en-US" w:eastAsia="zh-CN"/>
        </w:rPr>
        <w:t>149.26</w:t>
      </w:r>
      <w:r>
        <w:rPr>
          <w:rFonts w:hint="eastAsia" w:ascii="Times New Roman" w:hAnsi="Times New Roman" w:eastAsia="仿宋_GB2312"/>
          <w:sz w:val="32"/>
          <w:szCs w:val="32"/>
        </w:rPr>
        <w:t>万元，占政府采购支出总额的</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rPr>
        <w:t>%。货物采购授予中小企业合同金额占货物支出金额的</w:t>
      </w:r>
      <w:r>
        <w:rPr>
          <w:rFonts w:hint="eastAsia" w:asciiTheme="minorEastAsia" w:hAnsiTheme="minorEastAsia" w:eastAsiaTheme="minorEastAsia"/>
          <w:sz w:val="32"/>
          <w:szCs w:val="32"/>
          <w:lang w:val="en-US" w:eastAsia="zh-CN"/>
        </w:rPr>
        <w:t>70.08</w:t>
      </w:r>
      <w:r>
        <w:rPr>
          <w:rFonts w:hint="eastAsia" w:ascii="Times New Roman" w:hAnsi="Times New Roman" w:eastAsia="仿宋_GB2312"/>
          <w:sz w:val="32"/>
          <w:szCs w:val="32"/>
        </w:rPr>
        <w:t>%，工程采购授予中小企业合同金额占工程支出金额的</w:t>
      </w:r>
      <w:r>
        <w:rPr>
          <w:rFonts w:hint="eastAsia" w:asciiTheme="minorEastAsia" w:hAnsiTheme="minorEastAsia" w:eastAsiaTheme="minorEastAsia"/>
          <w:sz w:val="32"/>
          <w:szCs w:val="32"/>
          <w:lang w:val="en-US" w:eastAsia="zh-CN"/>
        </w:rPr>
        <w:t>79.18</w:t>
      </w:r>
      <w:r>
        <w:rPr>
          <w:rFonts w:hint="eastAsia" w:ascii="Times New Roman" w:hAnsi="Times New Roman" w:eastAsia="仿宋_GB2312"/>
          <w:sz w:val="32"/>
          <w:szCs w:val="32"/>
        </w:rPr>
        <w:t>%，服务采购授予中小企业合同金额占服务支出金额的</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w:t>
      </w:r>
    </w:p>
    <w:p>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十</w:t>
      </w:r>
      <w:r>
        <w:rPr>
          <w:rFonts w:hint="eastAsia" w:hAnsi="黑体" w:cs="黑体"/>
          <w:b w:val="0"/>
          <w:bCs/>
          <w:sz w:val="32"/>
          <w:szCs w:val="32"/>
          <w:lang w:val="en-US" w:eastAsia="zh-CN"/>
        </w:rPr>
        <w:t>三</w:t>
      </w:r>
      <w:r>
        <w:rPr>
          <w:rFonts w:hint="eastAsia" w:ascii="黑体" w:hAnsi="黑体" w:eastAsia="黑体" w:cs="黑体"/>
          <w:b w:val="0"/>
          <w:bCs/>
          <w:sz w:val="32"/>
          <w:szCs w:val="32"/>
        </w:rPr>
        <w:t>、关于国有资产占用情况说明</w:t>
      </w:r>
    </w:p>
    <w:p>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截至202</w:t>
      </w:r>
      <w:r>
        <w:rPr>
          <w:rFonts w:hint="eastAsia" w:ascii="Times New Roman" w:hAnsi="Times New Roman" w:eastAsia="仿宋_GB2312"/>
          <w:sz w:val="32"/>
          <w:szCs w:val="32"/>
          <w:lang w:val="en-US" w:eastAsia="zh-CN"/>
        </w:rPr>
        <w:t>2</w:t>
      </w:r>
      <w:r>
        <w:rPr>
          <w:rFonts w:hint="eastAsia" w:ascii="Times New Roman" w:hAnsi="Times New Roman" w:eastAsia="仿宋_GB2312"/>
          <w:sz w:val="32"/>
          <w:szCs w:val="32"/>
        </w:rPr>
        <w:t>年12月31日，本单位共有车辆</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辆，其中，主要领导干部用车</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辆，机要通信用车</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辆、应急保障用车</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辆、执法执勤用车</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辆、特种专业技术用车</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辆、其他用车</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辆；单位价值50万元以上通用设备</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台（套）；单位价值100万元以上专用设备</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台（套）。</w:t>
      </w:r>
    </w:p>
    <w:p>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十</w:t>
      </w:r>
      <w:r>
        <w:rPr>
          <w:rFonts w:hint="eastAsia" w:hAnsi="黑体" w:cs="黑体"/>
          <w:b w:val="0"/>
          <w:bCs/>
          <w:sz w:val="32"/>
          <w:szCs w:val="32"/>
          <w:lang w:val="en-US" w:eastAsia="zh-CN"/>
        </w:rPr>
        <w:t>四</w:t>
      </w:r>
      <w:r>
        <w:rPr>
          <w:rFonts w:hint="eastAsia" w:ascii="黑体" w:hAnsi="黑体" w:eastAsia="黑体" w:cs="黑体"/>
          <w:b w:val="0"/>
          <w:bCs/>
          <w:sz w:val="32"/>
          <w:szCs w:val="32"/>
        </w:rPr>
        <w:t>、关于</w:t>
      </w: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2</w:t>
      </w:r>
      <w:r>
        <w:rPr>
          <w:rFonts w:hint="eastAsia" w:ascii="黑体" w:hAnsi="黑体" w:eastAsia="黑体" w:cs="黑体"/>
          <w:b w:val="0"/>
          <w:bCs/>
          <w:sz w:val="32"/>
          <w:szCs w:val="32"/>
        </w:rPr>
        <w:t>年度预算绩效情况的说明</w:t>
      </w:r>
    </w:p>
    <w:p>
      <w:pPr>
        <w:autoSpaceDE w:val="0"/>
        <w:autoSpaceDN w:val="0"/>
        <w:adjustRightInd w:val="0"/>
        <w:ind w:firstLine="640" w:firstLineChars="200"/>
        <w:jc w:val="left"/>
        <w:rPr>
          <w:rFonts w:hint="eastAsia" w:ascii="Times New Roman" w:hAnsi="Times New Roman" w:eastAsia="仿宋_GB2312" w:cs="黑体"/>
          <w:color w:val="000000"/>
          <w:kern w:val="0"/>
          <w:sz w:val="32"/>
          <w:szCs w:val="32"/>
          <w:lang w:val="en-US" w:eastAsia="zh-CN" w:bidi="ar-SA"/>
        </w:rPr>
      </w:pPr>
      <w:r>
        <w:rPr>
          <w:rFonts w:hint="eastAsia" w:ascii="Times New Roman" w:hAnsi="Times New Roman" w:eastAsia="仿宋_GB2312" w:cs="黑体"/>
          <w:color w:val="000000"/>
          <w:kern w:val="0"/>
          <w:sz w:val="32"/>
          <w:szCs w:val="32"/>
          <w:lang w:val="en-US" w:eastAsia="zh-CN" w:bidi="ar-SA"/>
        </w:rPr>
        <w:t>本部门2022年按照财政绩效部门要求制定了整体支出绩效目标和项目支出绩效目标，并进行了整体支出绩效自评。详见附件整体支出绩效自评报告</w:t>
      </w:r>
    </w:p>
    <w:p>
      <w:pPr>
        <w:pStyle w:val="12"/>
        <w:jc w:val="center"/>
        <w:rPr>
          <w:sz w:val="72"/>
          <w:szCs w:val="72"/>
        </w:rPr>
      </w:pPr>
    </w:p>
    <w:p>
      <w:pPr>
        <w:pStyle w:val="12"/>
        <w:jc w:val="both"/>
        <w:rPr>
          <w:sz w:val="72"/>
          <w:szCs w:val="72"/>
        </w:rPr>
      </w:pPr>
    </w:p>
    <w:p>
      <w:pPr>
        <w:pStyle w:val="12"/>
        <w:jc w:val="both"/>
        <w:rPr>
          <w:rFonts w:hint="eastAsia" w:ascii="方正小标宋_GBK" w:hAnsi="方正小标宋_GBK" w:eastAsia="方正小标宋_GBK" w:cs="方正小标宋_GBK"/>
          <w:sz w:val="72"/>
          <w:szCs w:val="72"/>
        </w:rPr>
      </w:pPr>
    </w:p>
    <w:p>
      <w:pPr>
        <w:pStyle w:val="12"/>
        <w:ind w:firstLine="3600" w:firstLineChars="500"/>
        <w:jc w:val="both"/>
        <w:rPr>
          <w:rFonts w:hint="eastAsia" w:ascii="方正小标宋_GBK" w:hAnsi="方正小标宋_GBK" w:eastAsia="方正小标宋_GBK" w:cs="方正小标宋_GBK"/>
          <w:sz w:val="72"/>
          <w:szCs w:val="72"/>
        </w:rPr>
      </w:pPr>
      <w:r>
        <w:rPr>
          <w:rFonts w:hint="eastAsia" w:ascii="方正小标宋_GBK" w:hAnsi="方正小标宋_GBK" w:eastAsia="方正小标宋_GBK" w:cs="方正小标宋_GBK"/>
          <w:sz w:val="72"/>
          <w:szCs w:val="72"/>
        </w:rPr>
        <w:t>第四部分</w:t>
      </w:r>
    </w:p>
    <w:p>
      <w:pPr>
        <w:jc w:val="center"/>
        <w:rPr>
          <w:rFonts w:hint="eastAsia" w:ascii="方正小标宋_GBK" w:hAnsi="方正小标宋_GBK" w:eastAsia="方正小标宋_GBK" w:cs="方正小标宋_GBK"/>
          <w:color w:val="000000"/>
          <w:kern w:val="0"/>
          <w:sz w:val="70"/>
          <w:szCs w:val="70"/>
        </w:rPr>
      </w:pPr>
    </w:p>
    <w:p>
      <w:pPr>
        <w:jc w:val="center"/>
        <w:rPr>
          <w:rFonts w:hint="eastAsia" w:ascii="方正小标宋_GBK" w:hAnsi="方正小标宋_GBK" w:eastAsia="方正小标宋_GBK" w:cs="方正小标宋_GBK"/>
          <w:color w:val="000000"/>
          <w:kern w:val="0"/>
          <w:sz w:val="70"/>
          <w:szCs w:val="70"/>
        </w:rPr>
      </w:pPr>
      <w:r>
        <w:rPr>
          <w:rFonts w:hint="eastAsia" w:ascii="方正小标宋_GBK" w:hAnsi="方正小标宋_GBK" w:eastAsia="方正小标宋_GBK" w:cs="方正小标宋_GBK"/>
          <w:color w:val="000000"/>
          <w:kern w:val="0"/>
          <w:sz w:val="70"/>
          <w:szCs w:val="70"/>
        </w:rPr>
        <w:t>名词解释</w:t>
      </w:r>
    </w:p>
    <w:p>
      <w:pPr>
        <w:widowControl/>
        <w:jc w:val="left"/>
        <w:rPr>
          <w:rFonts w:cs="黑体" w:asciiTheme="minorEastAsia" w:hAnsiTheme="minorEastAsia"/>
          <w:color w:val="000000"/>
          <w:kern w:val="0"/>
          <w:sz w:val="32"/>
          <w:szCs w:val="32"/>
        </w:rPr>
      </w:pPr>
      <w:r>
        <w:rPr>
          <w:rFonts w:hint="eastAsia" w:ascii="方正小标宋_GBK" w:hAnsi="方正小标宋_GBK" w:eastAsia="方正小标宋_GBK" w:cs="方正小标宋_GBK"/>
          <w:color w:val="000000"/>
          <w:kern w:val="0"/>
          <w:sz w:val="70"/>
          <w:szCs w:val="70"/>
        </w:rPr>
        <w:br w:type="page"/>
      </w:r>
    </w:p>
    <w:p>
      <w:pPr>
        <w:pStyle w:val="6"/>
        <w:keepNext w:val="0"/>
        <w:keepLines w:val="0"/>
        <w:pageBreakBefore w:val="0"/>
        <w:shd w:val="clear" w:color="auto" w:fill="FFFFFF"/>
        <w:kinsoku/>
        <w:wordWrap/>
        <w:overflowPunct/>
        <w:topLinePunct w:val="0"/>
        <w:autoSpaceDE/>
        <w:autoSpaceDN/>
        <w:bidi w:val="0"/>
        <w:adjustRightInd/>
        <w:snapToGrid/>
        <w:spacing w:before="60" w:beforeAutospacing="0" w:after="0" w:afterAutospacing="0" w:line="600" w:lineRule="exact"/>
        <w:ind w:firstLine="640" w:firstLineChars="200"/>
        <w:jc w:val="left"/>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一、财政拨款收入：指单位本年度从市级财政部门取得的财政拨款。</w:t>
      </w:r>
    </w:p>
    <w:p>
      <w:pPr>
        <w:pStyle w:val="6"/>
        <w:keepNext w:val="0"/>
        <w:keepLines w:val="0"/>
        <w:pageBreakBefore w:val="0"/>
        <w:shd w:val="clear" w:color="auto" w:fill="FFFFFF"/>
        <w:kinsoku/>
        <w:wordWrap/>
        <w:overflowPunct/>
        <w:topLinePunct w:val="0"/>
        <w:autoSpaceDE/>
        <w:autoSpaceDN/>
        <w:bidi w:val="0"/>
        <w:adjustRightInd/>
        <w:snapToGrid/>
        <w:spacing w:before="60" w:beforeAutospacing="0" w:after="0" w:afterAutospacing="0" w:line="600" w:lineRule="exact"/>
        <w:ind w:firstLine="640" w:firstLineChars="200"/>
        <w:jc w:val="left"/>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二、上级补助收入：指事业单位从主管部门和上级单位取得的非财政补助收入。</w:t>
      </w:r>
    </w:p>
    <w:p>
      <w:pPr>
        <w:pStyle w:val="6"/>
        <w:keepNext w:val="0"/>
        <w:keepLines w:val="0"/>
        <w:pageBreakBefore w:val="0"/>
        <w:shd w:val="clear" w:color="auto" w:fill="FFFFFF"/>
        <w:kinsoku/>
        <w:wordWrap/>
        <w:overflowPunct/>
        <w:topLinePunct w:val="0"/>
        <w:autoSpaceDE/>
        <w:autoSpaceDN/>
        <w:bidi w:val="0"/>
        <w:adjustRightInd/>
        <w:snapToGrid/>
        <w:spacing w:before="60" w:beforeAutospacing="0" w:after="0" w:afterAutospacing="0" w:line="600" w:lineRule="exact"/>
        <w:ind w:firstLine="640" w:firstLineChars="200"/>
        <w:jc w:val="left"/>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三、事业收入：指事业单位开展专业业务活动及其辅助活动取得的收入，事业单位收到的财政专户实际核拨的教育收费等资金在此反映。</w:t>
      </w:r>
    </w:p>
    <w:p>
      <w:pPr>
        <w:pStyle w:val="6"/>
        <w:keepNext w:val="0"/>
        <w:keepLines w:val="0"/>
        <w:pageBreakBefore w:val="0"/>
        <w:shd w:val="clear" w:color="auto" w:fill="FFFFFF"/>
        <w:kinsoku/>
        <w:wordWrap/>
        <w:overflowPunct/>
        <w:topLinePunct w:val="0"/>
        <w:autoSpaceDE/>
        <w:autoSpaceDN/>
        <w:bidi w:val="0"/>
        <w:adjustRightInd/>
        <w:snapToGrid/>
        <w:spacing w:before="60" w:beforeAutospacing="0" w:after="0" w:afterAutospacing="0" w:line="600" w:lineRule="exact"/>
        <w:ind w:firstLine="640" w:firstLineChars="200"/>
        <w:jc w:val="left"/>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四、经营收入：指事业单位在专业业务活动及其辅助活动之外开展非独立核算经营活动取得的收入。</w:t>
      </w:r>
    </w:p>
    <w:p>
      <w:pPr>
        <w:pStyle w:val="6"/>
        <w:keepNext w:val="0"/>
        <w:keepLines w:val="0"/>
        <w:pageBreakBefore w:val="0"/>
        <w:shd w:val="clear" w:color="auto" w:fill="FFFFFF"/>
        <w:kinsoku/>
        <w:wordWrap/>
        <w:overflowPunct/>
        <w:topLinePunct w:val="0"/>
        <w:autoSpaceDE/>
        <w:autoSpaceDN/>
        <w:bidi w:val="0"/>
        <w:adjustRightInd/>
        <w:snapToGrid/>
        <w:spacing w:before="60" w:beforeAutospacing="0" w:after="0" w:afterAutospacing="0" w:line="600" w:lineRule="exact"/>
        <w:ind w:firstLine="640" w:firstLineChars="200"/>
        <w:jc w:val="left"/>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五、附属单位缴款：指事业单位附属独立核算单位按照有关规定上缴的收入。</w:t>
      </w:r>
    </w:p>
    <w:p>
      <w:pPr>
        <w:pStyle w:val="6"/>
        <w:keepNext w:val="0"/>
        <w:keepLines w:val="0"/>
        <w:pageBreakBefore w:val="0"/>
        <w:shd w:val="clear" w:color="auto" w:fill="FFFFFF"/>
        <w:kinsoku/>
        <w:wordWrap/>
        <w:overflowPunct/>
        <w:topLinePunct w:val="0"/>
        <w:autoSpaceDE/>
        <w:autoSpaceDN/>
        <w:bidi w:val="0"/>
        <w:adjustRightInd/>
        <w:snapToGrid/>
        <w:spacing w:before="60" w:beforeAutospacing="0" w:after="0" w:afterAutospacing="0" w:line="600" w:lineRule="exact"/>
        <w:ind w:firstLine="640" w:firstLineChars="200"/>
        <w:jc w:val="left"/>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六、其他收入：指单位取得的除上述“财政拨款收入”、“事业收入”、“经营收入”等以外的各项收入。</w:t>
      </w:r>
    </w:p>
    <w:p>
      <w:pPr>
        <w:pStyle w:val="6"/>
        <w:keepNext w:val="0"/>
        <w:keepLines w:val="0"/>
        <w:pageBreakBefore w:val="0"/>
        <w:shd w:val="clear" w:color="auto" w:fill="FFFFFF"/>
        <w:kinsoku/>
        <w:wordWrap/>
        <w:overflowPunct/>
        <w:topLinePunct w:val="0"/>
        <w:autoSpaceDE/>
        <w:autoSpaceDN/>
        <w:bidi w:val="0"/>
        <w:adjustRightInd/>
        <w:snapToGrid/>
        <w:spacing w:before="60" w:beforeAutospacing="0" w:after="0" w:afterAutospacing="0" w:line="600" w:lineRule="exact"/>
        <w:ind w:firstLine="640" w:firstLineChars="200"/>
        <w:jc w:val="left"/>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七、用事业基金弥补收支差额：指事业单位用事业基金弥补当年收支差额的数额。</w:t>
      </w:r>
    </w:p>
    <w:p>
      <w:pPr>
        <w:pStyle w:val="6"/>
        <w:keepNext w:val="0"/>
        <w:keepLines w:val="0"/>
        <w:pageBreakBefore w:val="0"/>
        <w:shd w:val="clear" w:color="auto" w:fill="FFFFFF"/>
        <w:kinsoku/>
        <w:wordWrap/>
        <w:overflowPunct/>
        <w:topLinePunct w:val="0"/>
        <w:autoSpaceDE/>
        <w:autoSpaceDN/>
        <w:bidi w:val="0"/>
        <w:adjustRightInd/>
        <w:snapToGrid/>
        <w:spacing w:before="60" w:beforeAutospacing="0" w:after="0" w:afterAutospacing="0" w:line="600" w:lineRule="exact"/>
        <w:ind w:firstLine="640" w:firstLineChars="200"/>
        <w:jc w:val="left"/>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八、年初结转和结余：指单位上年结转本年使用的基本支出结转、项目支出结转和结余和经营结余。</w:t>
      </w:r>
    </w:p>
    <w:p>
      <w:pPr>
        <w:pStyle w:val="6"/>
        <w:keepNext w:val="0"/>
        <w:keepLines w:val="0"/>
        <w:pageBreakBefore w:val="0"/>
        <w:shd w:val="clear" w:color="auto" w:fill="FFFFFF"/>
        <w:kinsoku/>
        <w:wordWrap/>
        <w:overflowPunct/>
        <w:topLinePunct w:val="0"/>
        <w:autoSpaceDE/>
        <w:autoSpaceDN/>
        <w:bidi w:val="0"/>
        <w:adjustRightInd/>
        <w:snapToGrid/>
        <w:spacing w:before="60" w:beforeAutospacing="0" w:after="0" w:afterAutospacing="0" w:line="600" w:lineRule="exact"/>
        <w:ind w:firstLine="640" w:firstLineChars="200"/>
        <w:jc w:val="left"/>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九、一般公共服务（类）人大事务（款）行政运行（项）：指人大常委会办公厅用于保障机构正常运行、开展日常工作的基本支出。</w:t>
      </w:r>
    </w:p>
    <w:p>
      <w:pPr>
        <w:pStyle w:val="6"/>
        <w:keepNext w:val="0"/>
        <w:keepLines w:val="0"/>
        <w:pageBreakBefore w:val="0"/>
        <w:shd w:val="clear" w:color="auto" w:fill="FFFFFF"/>
        <w:kinsoku/>
        <w:wordWrap/>
        <w:overflowPunct/>
        <w:topLinePunct w:val="0"/>
        <w:autoSpaceDE/>
        <w:autoSpaceDN/>
        <w:bidi w:val="0"/>
        <w:adjustRightInd/>
        <w:snapToGrid/>
        <w:spacing w:before="60" w:beforeAutospacing="0" w:after="0" w:afterAutospacing="0" w:line="600" w:lineRule="exact"/>
        <w:ind w:firstLine="640" w:firstLineChars="200"/>
        <w:jc w:val="left"/>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十、结余分配：指事业单位按规定对非财政补助结余资金提取的职工福利基金、事业基金和缴纳的所得税，以及减少单位按规定应缴回的基本建设竣工项目结余资金。</w:t>
      </w:r>
    </w:p>
    <w:p>
      <w:pPr>
        <w:pStyle w:val="6"/>
        <w:keepNext w:val="0"/>
        <w:keepLines w:val="0"/>
        <w:pageBreakBefore w:val="0"/>
        <w:shd w:val="clear" w:color="auto" w:fill="FFFFFF"/>
        <w:kinsoku/>
        <w:wordWrap/>
        <w:overflowPunct/>
        <w:topLinePunct w:val="0"/>
        <w:autoSpaceDE/>
        <w:autoSpaceDN/>
        <w:bidi w:val="0"/>
        <w:adjustRightInd/>
        <w:snapToGrid/>
        <w:spacing w:before="60" w:beforeAutospacing="0" w:after="0" w:afterAutospacing="0" w:line="600" w:lineRule="exact"/>
        <w:ind w:firstLine="640" w:firstLineChars="200"/>
        <w:jc w:val="left"/>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十一、年末结转和结余资金：指本年度或以前年度预算安排、因客观条件发生变化无法按原计划实施，需要延迟到以后年度按有关规定继续使用的资金。</w:t>
      </w:r>
    </w:p>
    <w:p>
      <w:pPr>
        <w:pStyle w:val="6"/>
        <w:keepNext w:val="0"/>
        <w:keepLines w:val="0"/>
        <w:pageBreakBefore w:val="0"/>
        <w:shd w:val="clear" w:color="auto" w:fill="FFFFFF"/>
        <w:kinsoku/>
        <w:wordWrap/>
        <w:overflowPunct/>
        <w:topLinePunct w:val="0"/>
        <w:autoSpaceDE/>
        <w:autoSpaceDN/>
        <w:bidi w:val="0"/>
        <w:adjustRightInd/>
        <w:snapToGrid/>
        <w:spacing w:before="60" w:beforeAutospacing="0" w:after="0" w:afterAutospacing="0" w:line="600" w:lineRule="exact"/>
        <w:ind w:firstLine="640" w:firstLineChars="200"/>
        <w:jc w:val="left"/>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十二、基本支出：指为保障机构正常运转、完成日常工作任务而发生的人员支出和公用支出。</w:t>
      </w:r>
    </w:p>
    <w:p>
      <w:pPr>
        <w:pStyle w:val="6"/>
        <w:keepNext w:val="0"/>
        <w:keepLines w:val="0"/>
        <w:pageBreakBefore w:val="0"/>
        <w:shd w:val="clear" w:color="auto" w:fill="FFFFFF"/>
        <w:kinsoku/>
        <w:wordWrap/>
        <w:overflowPunct/>
        <w:topLinePunct w:val="0"/>
        <w:autoSpaceDE/>
        <w:autoSpaceDN/>
        <w:bidi w:val="0"/>
        <w:adjustRightInd/>
        <w:snapToGrid/>
        <w:spacing w:before="60" w:beforeAutospacing="0" w:after="0" w:afterAutospacing="0" w:line="600" w:lineRule="exact"/>
        <w:ind w:firstLine="640" w:firstLineChars="200"/>
        <w:jc w:val="left"/>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十三、项目支出：指在基本支出之外为完成特定的行政任务或事业发展目标所发生的支出。</w:t>
      </w:r>
    </w:p>
    <w:p>
      <w:pPr>
        <w:pStyle w:val="6"/>
        <w:keepNext w:val="0"/>
        <w:keepLines w:val="0"/>
        <w:pageBreakBefore w:val="0"/>
        <w:shd w:val="clear" w:color="auto" w:fill="FFFFFF"/>
        <w:kinsoku/>
        <w:wordWrap/>
        <w:overflowPunct/>
        <w:topLinePunct w:val="0"/>
        <w:autoSpaceDE/>
        <w:autoSpaceDN/>
        <w:bidi w:val="0"/>
        <w:adjustRightInd/>
        <w:snapToGrid/>
        <w:spacing w:before="60" w:beforeAutospacing="0" w:after="0" w:afterAutospacing="0" w:line="600" w:lineRule="exact"/>
        <w:ind w:firstLine="640" w:firstLineChars="200"/>
        <w:jc w:val="left"/>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十四、上缴上级支出：指事业单位按照财政部门和主管部门的规定上缴上级单位的支出。</w:t>
      </w:r>
    </w:p>
    <w:p>
      <w:pPr>
        <w:pStyle w:val="6"/>
        <w:keepNext w:val="0"/>
        <w:keepLines w:val="0"/>
        <w:pageBreakBefore w:val="0"/>
        <w:shd w:val="clear" w:color="auto" w:fill="FFFFFF"/>
        <w:kinsoku/>
        <w:wordWrap/>
        <w:overflowPunct/>
        <w:topLinePunct w:val="0"/>
        <w:autoSpaceDE/>
        <w:autoSpaceDN/>
        <w:bidi w:val="0"/>
        <w:adjustRightInd/>
        <w:snapToGrid/>
        <w:spacing w:before="60" w:beforeAutospacing="0" w:after="0" w:afterAutospacing="0" w:line="600" w:lineRule="exact"/>
        <w:ind w:firstLine="640" w:firstLineChars="200"/>
        <w:jc w:val="left"/>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十五、经营支出：指事业单位在专业业务活动及其辅助活动之外开展非独立核算经营活动发生的支出。</w:t>
      </w:r>
    </w:p>
    <w:p>
      <w:pPr>
        <w:pStyle w:val="6"/>
        <w:keepNext w:val="0"/>
        <w:keepLines w:val="0"/>
        <w:pageBreakBefore w:val="0"/>
        <w:shd w:val="clear" w:color="auto" w:fill="FFFFFF"/>
        <w:kinsoku/>
        <w:wordWrap/>
        <w:overflowPunct/>
        <w:topLinePunct w:val="0"/>
        <w:autoSpaceDE/>
        <w:autoSpaceDN/>
        <w:bidi w:val="0"/>
        <w:adjustRightInd/>
        <w:snapToGrid/>
        <w:spacing w:before="60" w:beforeAutospacing="0" w:after="0" w:afterAutospacing="0" w:line="600" w:lineRule="exact"/>
        <w:ind w:firstLine="640" w:firstLineChars="200"/>
        <w:jc w:val="left"/>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十六、对附属单位补助支出：指事业单位用财政补助收入之外的收入对附属单位补助发生的支出。</w:t>
      </w:r>
    </w:p>
    <w:p>
      <w:pPr>
        <w:pStyle w:val="6"/>
        <w:keepNext w:val="0"/>
        <w:keepLines w:val="0"/>
        <w:pageBreakBefore w:val="0"/>
        <w:shd w:val="clear" w:color="auto" w:fill="FFFFFF"/>
        <w:kinsoku/>
        <w:wordWrap/>
        <w:overflowPunct/>
        <w:topLinePunct w:val="0"/>
        <w:autoSpaceDE/>
        <w:autoSpaceDN/>
        <w:bidi w:val="0"/>
        <w:adjustRightInd/>
        <w:snapToGrid/>
        <w:spacing w:before="60" w:beforeAutospacing="0" w:after="0" w:afterAutospacing="0" w:line="600" w:lineRule="exact"/>
        <w:ind w:firstLine="640" w:firstLineChars="200"/>
        <w:jc w:val="left"/>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十七、“三公”经费：指市级部门用一般公共预算财政拨款安排的因公出国（境）费、公务用车购置及运行费和公务接待费。其中，因公出国（境）费指单位公务出国（境）的住宿费、旅费、伙食补助费、杂费、培训费等支出；公务用车购置及运行费指单位公务用车购置费及租用费、燃料费、维修费、过路过桥费、保险费、安全奖励费用等支出；公务接待费指单位按规定开支的各类公务接待（含外宾接待）支出。</w:t>
      </w:r>
    </w:p>
    <w:p>
      <w:pPr>
        <w:pStyle w:val="6"/>
        <w:keepNext w:val="0"/>
        <w:keepLines w:val="0"/>
        <w:pageBreakBefore w:val="0"/>
        <w:shd w:val="clear" w:color="auto" w:fill="FFFFFF"/>
        <w:kinsoku/>
        <w:wordWrap/>
        <w:overflowPunct/>
        <w:topLinePunct w:val="0"/>
        <w:autoSpaceDE/>
        <w:autoSpaceDN/>
        <w:bidi w:val="0"/>
        <w:adjustRightInd/>
        <w:snapToGrid/>
        <w:spacing w:before="60" w:beforeAutospacing="0" w:after="0" w:afterAutospacing="0" w:line="600" w:lineRule="exact"/>
        <w:ind w:firstLine="640" w:firstLineChars="200"/>
        <w:jc w:val="left"/>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十八、机关运行经费：指为保障行政单位（含参照公务员法管理的事业单位）运行用于购买货物和服务的各项资金，包括办公费、印刷费、差旅费、会议费、日常维修费、专用材料及办公用房水电费、物业管理费、公务用车运行维护费等。在财政部有明确规定前，“机关运行经费”暂指一般公共预算安排的基本支出中的“商品和服务支出”经费。</w:t>
      </w:r>
    </w:p>
    <w:p>
      <w:pPr>
        <w:pStyle w:val="6"/>
        <w:keepNext w:val="0"/>
        <w:keepLines w:val="0"/>
        <w:pageBreakBefore w:val="0"/>
        <w:shd w:val="clear" w:color="auto" w:fill="FFFFFF"/>
        <w:kinsoku/>
        <w:wordWrap/>
        <w:overflowPunct/>
        <w:topLinePunct w:val="0"/>
        <w:autoSpaceDE/>
        <w:autoSpaceDN/>
        <w:bidi w:val="0"/>
        <w:adjustRightInd/>
        <w:snapToGrid/>
        <w:spacing w:before="60" w:beforeAutospacing="0" w:after="0" w:afterAutospacing="0" w:line="600" w:lineRule="exact"/>
        <w:jc w:val="left"/>
        <w:textAlignment w:val="auto"/>
        <w:rPr>
          <w:rFonts w:hint="eastAsia" w:ascii="仿宋" w:hAnsi="仿宋" w:eastAsia="仿宋" w:cs="仿宋"/>
          <w:color w:val="auto"/>
          <w:sz w:val="32"/>
          <w:szCs w:val="32"/>
        </w:rPr>
      </w:pPr>
    </w:p>
    <w:p>
      <w:pPr>
        <w:jc w:val="left"/>
        <w:rPr>
          <w:rFonts w:cs="黑体" w:asciiTheme="minorEastAsia" w:hAnsiTheme="minorEastAsia"/>
          <w:color w:val="000000"/>
          <w:kern w:val="0"/>
          <w:sz w:val="32"/>
          <w:szCs w:val="32"/>
        </w:rPr>
      </w:pPr>
    </w:p>
    <w:sectPr>
      <w:pgSz w:w="11906" w:h="16838"/>
      <w:pgMar w:top="720" w:right="720" w:bottom="720" w:left="720" w:header="851" w:footer="992" w:gutter="0"/>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moder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_GBK">
    <w:altName w:val="微软雅黑"/>
    <w:panose1 w:val="03000509000000000000"/>
    <w:charset w:val="86"/>
    <w:family w:val="script"/>
    <w:pitch w:val="default"/>
    <w:sig w:usb0="00000000" w:usb1="0000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8E9FA66"/>
    <w:multiLevelType w:val="singleLevel"/>
    <w:tmpl w:val="08E9FA66"/>
    <w:lvl w:ilvl="0" w:tentative="0">
      <w:start w:val="7"/>
      <w:numFmt w:val="chineseCounting"/>
      <w:suff w:val="nothing"/>
      <w:lvlText w:val="%1、"/>
      <w:lvlJc w:val="left"/>
      <w:rPr>
        <w:rFonts w:hint="eastAsia"/>
      </w:rPr>
    </w:lvl>
  </w:abstractNum>
  <w:abstractNum w:abstractNumId="1">
    <w:nsid w:val="373518C1"/>
    <w:multiLevelType w:val="multilevel"/>
    <w:tmpl w:val="373518C1"/>
    <w:lvl w:ilvl="0" w:tentative="0">
      <w:start w:val="1"/>
      <w:numFmt w:val="none"/>
      <w:lvlText w:val="一、"/>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BmNmFkZDcwZjRhZDMxNTNiMzQ3ZTJjMDQzMWFkNzYifQ=="/>
  </w:docVars>
  <w:rsids>
    <w:rsidRoot w:val="004506F9"/>
    <w:rsid w:val="0002229B"/>
    <w:rsid w:val="000273BD"/>
    <w:rsid w:val="00040CBC"/>
    <w:rsid w:val="000415B7"/>
    <w:rsid w:val="00041E3F"/>
    <w:rsid w:val="00055DAA"/>
    <w:rsid w:val="00061F7B"/>
    <w:rsid w:val="000658A3"/>
    <w:rsid w:val="00074155"/>
    <w:rsid w:val="000A3F69"/>
    <w:rsid w:val="00103957"/>
    <w:rsid w:val="00152C6D"/>
    <w:rsid w:val="00162D39"/>
    <w:rsid w:val="001678BD"/>
    <w:rsid w:val="00182373"/>
    <w:rsid w:val="001A67DB"/>
    <w:rsid w:val="001C3C29"/>
    <w:rsid w:val="001D51E5"/>
    <w:rsid w:val="001E080D"/>
    <w:rsid w:val="001E53D0"/>
    <w:rsid w:val="001F0C3B"/>
    <w:rsid w:val="00202C82"/>
    <w:rsid w:val="00214427"/>
    <w:rsid w:val="00226CB7"/>
    <w:rsid w:val="00264552"/>
    <w:rsid w:val="00264EF9"/>
    <w:rsid w:val="00265724"/>
    <w:rsid w:val="0027426B"/>
    <w:rsid w:val="002E0A30"/>
    <w:rsid w:val="003130C4"/>
    <w:rsid w:val="00316C4B"/>
    <w:rsid w:val="0032192B"/>
    <w:rsid w:val="003479BD"/>
    <w:rsid w:val="0037197D"/>
    <w:rsid w:val="003768D5"/>
    <w:rsid w:val="003926B9"/>
    <w:rsid w:val="003C47E6"/>
    <w:rsid w:val="003C4FC2"/>
    <w:rsid w:val="00416E61"/>
    <w:rsid w:val="0042790C"/>
    <w:rsid w:val="004506F9"/>
    <w:rsid w:val="004717A2"/>
    <w:rsid w:val="00473DF3"/>
    <w:rsid w:val="00487911"/>
    <w:rsid w:val="00491741"/>
    <w:rsid w:val="004B0CEE"/>
    <w:rsid w:val="00500E5F"/>
    <w:rsid w:val="005122EF"/>
    <w:rsid w:val="0051441A"/>
    <w:rsid w:val="00517C33"/>
    <w:rsid w:val="00517D5F"/>
    <w:rsid w:val="00523644"/>
    <w:rsid w:val="0054069E"/>
    <w:rsid w:val="00544866"/>
    <w:rsid w:val="005767CC"/>
    <w:rsid w:val="00590D9F"/>
    <w:rsid w:val="00595D26"/>
    <w:rsid w:val="005A74E6"/>
    <w:rsid w:val="005B404E"/>
    <w:rsid w:val="005D4D55"/>
    <w:rsid w:val="005E2CFB"/>
    <w:rsid w:val="005F2103"/>
    <w:rsid w:val="005F3D1C"/>
    <w:rsid w:val="0062378F"/>
    <w:rsid w:val="00641842"/>
    <w:rsid w:val="00651EEC"/>
    <w:rsid w:val="00686673"/>
    <w:rsid w:val="00691E8C"/>
    <w:rsid w:val="006A22C4"/>
    <w:rsid w:val="006A351B"/>
    <w:rsid w:val="006B0422"/>
    <w:rsid w:val="006C1B53"/>
    <w:rsid w:val="006D7730"/>
    <w:rsid w:val="006E5284"/>
    <w:rsid w:val="006F3EB5"/>
    <w:rsid w:val="00702E34"/>
    <w:rsid w:val="00704395"/>
    <w:rsid w:val="00710FE7"/>
    <w:rsid w:val="00717621"/>
    <w:rsid w:val="00720FF1"/>
    <w:rsid w:val="00727A53"/>
    <w:rsid w:val="00787B42"/>
    <w:rsid w:val="007C4539"/>
    <w:rsid w:val="007F3657"/>
    <w:rsid w:val="00812ED5"/>
    <w:rsid w:val="008277D9"/>
    <w:rsid w:val="0084478C"/>
    <w:rsid w:val="0086638C"/>
    <w:rsid w:val="008A3E8D"/>
    <w:rsid w:val="009237C4"/>
    <w:rsid w:val="00944C48"/>
    <w:rsid w:val="00950252"/>
    <w:rsid w:val="00967F5D"/>
    <w:rsid w:val="009A0F95"/>
    <w:rsid w:val="009B3ADF"/>
    <w:rsid w:val="009C3B52"/>
    <w:rsid w:val="009E6817"/>
    <w:rsid w:val="009E6E9A"/>
    <w:rsid w:val="00A01D2B"/>
    <w:rsid w:val="00A42218"/>
    <w:rsid w:val="00A70249"/>
    <w:rsid w:val="00A70B02"/>
    <w:rsid w:val="00A71D9F"/>
    <w:rsid w:val="00A92E9F"/>
    <w:rsid w:val="00AB18FF"/>
    <w:rsid w:val="00B33BEA"/>
    <w:rsid w:val="00B57C9F"/>
    <w:rsid w:val="00B63572"/>
    <w:rsid w:val="00B845B3"/>
    <w:rsid w:val="00B85D8B"/>
    <w:rsid w:val="00BB4A40"/>
    <w:rsid w:val="00BD6C3E"/>
    <w:rsid w:val="00BE3674"/>
    <w:rsid w:val="00C10681"/>
    <w:rsid w:val="00C3049A"/>
    <w:rsid w:val="00C31B1E"/>
    <w:rsid w:val="00C77645"/>
    <w:rsid w:val="00CE04C3"/>
    <w:rsid w:val="00CE76A0"/>
    <w:rsid w:val="00D148C6"/>
    <w:rsid w:val="00D17A8A"/>
    <w:rsid w:val="00D415BA"/>
    <w:rsid w:val="00D63780"/>
    <w:rsid w:val="00D644EE"/>
    <w:rsid w:val="00DD06FF"/>
    <w:rsid w:val="00DD5FE9"/>
    <w:rsid w:val="00E00C7A"/>
    <w:rsid w:val="00E37D6C"/>
    <w:rsid w:val="00E55B68"/>
    <w:rsid w:val="00E561AE"/>
    <w:rsid w:val="00E67BE6"/>
    <w:rsid w:val="00E8683C"/>
    <w:rsid w:val="00EA2B72"/>
    <w:rsid w:val="00F74360"/>
    <w:rsid w:val="00FB462F"/>
    <w:rsid w:val="00FC69E0"/>
    <w:rsid w:val="00FE16FA"/>
    <w:rsid w:val="00FE328A"/>
    <w:rsid w:val="00FE6269"/>
    <w:rsid w:val="00FF5CD6"/>
    <w:rsid w:val="0A6C380C"/>
    <w:rsid w:val="32E83504"/>
    <w:rsid w:val="42450CE7"/>
    <w:rsid w:val="52567E22"/>
    <w:rsid w:val="5777D4F5"/>
    <w:rsid w:val="5FC6BB1E"/>
    <w:rsid w:val="5FF720F1"/>
    <w:rsid w:val="6912736E"/>
    <w:rsid w:val="737D59BA"/>
    <w:rsid w:val="73F240A6"/>
    <w:rsid w:val="77C37683"/>
    <w:rsid w:val="79FF515B"/>
    <w:rsid w:val="7E9F11B4"/>
    <w:rsid w:val="7FC69637"/>
    <w:rsid w:val="7FFDB408"/>
    <w:rsid w:val="CBFF70E0"/>
    <w:rsid w:val="EEABED75"/>
    <w:rsid w:val="FB36E1A6"/>
    <w:rsid w:val="FFFF1C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customStyle="1" w:styleId="2">
    <w:name w:val="_Style 1"/>
    <w:basedOn w:val="1"/>
    <w:qFormat/>
    <w:uiPriority w:val="99"/>
    <w:pPr>
      <w:spacing w:line="481" w:lineRule="atLeast"/>
      <w:ind w:firstLine="623"/>
      <w:textAlignment w:val="baseline"/>
    </w:pPr>
    <w:rPr>
      <w:color w:val="000000"/>
      <w:sz w:val="31"/>
      <w:szCs w:val="31"/>
    </w:rPr>
  </w:style>
  <w:style w:type="paragraph" w:styleId="3">
    <w:name w:val="Balloon Text"/>
    <w:basedOn w:val="1"/>
    <w:link w:val="14"/>
    <w:semiHidden/>
    <w:unhideWhenUsed/>
    <w:qFormat/>
    <w:uiPriority w:val="99"/>
    <w:rPr>
      <w:sz w:val="18"/>
      <w:szCs w:val="18"/>
    </w:rPr>
  </w:style>
  <w:style w:type="paragraph" w:styleId="4">
    <w:name w:val="footer"/>
    <w:basedOn w:val="1"/>
    <w:link w:val="11"/>
    <w:unhideWhenUsed/>
    <w:qFormat/>
    <w:uiPriority w:val="99"/>
    <w:pPr>
      <w:tabs>
        <w:tab w:val="center" w:pos="4153"/>
        <w:tab w:val="right" w:pos="8306"/>
      </w:tabs>
      <w:snapToGrid w:val="0"/>
      <w:jc w:val="left"/>
    </w:pPr>
    <w:rPr>
      <w:sz w:val="18"/>
      <w:szCs w:val="18"/>
    </w:rPr>
  </w:style>
  <w:style w:type="paragraph" w:styleId="5">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Normal (Web)"/>
    <w:basedOn w:val="1"/>
    <w:qFormat/>
    <w:uiPriority w:val="0"/>
    <w:pPr>
      <w:spacing w:before="0" w:beforeAutospacing="1" w:after="0" w:afterAutospacing="1"/>
      <w:ind w:left="0" w:right="0"/>
      <w:jc w:val="left"/>
    </w:pPr>
    <w:rPr>
      <w:kern w:val="0"/>
      <w:sz w:val="24"/>
      <w:lang w:val="en-US" w:eastAsia="zh-CN" w:bidi="ar"/>
    </w:rPr>
  </w:style>
  <w:style w:type="character" w:styleId="9">
    <w:name w:val="Strong"/>
    <w:basedOn w:val="8"/>
    <w:qFormat/>
    <w:uiPriority w:val="0"/>
    <w:rPr>
      <w:b/>
    </w:rPr>
  </w:style>
  <w:style w:type="character" w:customStyle="1" w:styleId="10">
    <w:name w:val="页眉 Char"/>
    <w:basedOn w:val="8"/>
    <w:link w:val="5"/>
    <w:qFormat/>
    <w:uiPriority w:val="99"/>
    <w:rPr>
      <w:sz w:val="18"/>
      <w:szCs w:val="18"/>
    </w:rPr>
  </w:style>
  <w:style w:type="character" w:customStyle="1" w:styleId="11">
    <w:name w:val="页脚 Char"/>
    <w:basedOn w:val="8"/>
    <w:link w:val="4"/>
    <w:qFormat/>
    <w:uiPriority w:val="99"/>
    <w:rPr>
      <w:sz w:val="18"/>
      <w:szCs w:val="18"/>
    </w:rPr>
  </w:style>
  <w:style w:type="paragraph" w:customStyle="1" w:styleId="12">
    <w:name w:val="Default"/>
    <w:qFormat/>
    <w:uiPriority w:val="0"/>
    <w:pPr>
      <w:widowControl w:val="0"/>
      <w:autoSpaceDE w:val="0"/>
      <w:autoSpaceDN w:val="0"/>
      <w:adjustRightInd w:val="0"/>
    </w:pPr>
    <w:rPr>
      <w:rFonts w:ascii="黑体" w:eastAsia="黑体" w:cs="黑体" w:hAnsiTheme="minorHAnsi"/>
      <w:color w:val="000000"/>
      <w:kern w:val="0"/>
      <w:sz w:val="24"/>
      <w:szCs w:val="24"/>
      <w:lang w:val="en-US" w:eastAsia="zh-CN" w:bidi="ar-SA"/>
    </w:rPr>
  </w:style>
  <w:style w:type="paragraph" w:styleId="13">
    <w:name w:val="List Paragraph"/>
    <w:basedOn w:val="1"/>
    <w:qFormat/>
    <w:uiPriority w:val="34"/>
    <w:pPr>
      <w:ind w:firstLine="420" w:firstLineChars="200"/>
    </w:pPr>
  </w:style>
  <w:style w:type="character" w:customStyle="1" w:styleId="14">
    <w:name w:val="批注框文本 Char"/>
    <w:basedOn w:val="8"/>
    <w:link w:val="3"/>
    <w:semiHidden/>
    <w:qFormat/>
    <w:uiPriority w:val="99"/>
    <w:rPr>
      <w:sz w:val="18"/>
      <w:szCs w:val="18"/>
    </w:rPr>
  </w:style>
  <w:style w:type="character" w:customStyle="1" w:styleId="15">
    <w:name w:val="font01"/>
    <w:basedOn w:val="8"/>
    <w:qFormat/>
    <w:uiPriority w:val="0"/>
    <w:rPr>
      <w:rFonts w:hint="eastAsia" w:ascii="宋体" w:hAnsi="宋体" w:eastAsia="宋体" w:cs="宋体"/>
      <w:color w:val="000000"/>
      <w:sz w:val="22"/>
      <w:szCs w:val="22"/>
      <w:u w:val="none"/>
    </w:rPr>
  </w:style>
  <w:style w:type="character" w:customStyle="1" w:styleId="16">
    <w:name w:val="font21"/>
    <w:basedOn w:val="8"/>
    <w:qFormat/>
    <w:uiPriority w:val="0"/>
    <w:rPr>
      <w:rFonts w:hint="eastAsia" w:ascii="宋体" w:hAnsi="宋体" w:eastAsia="宋体" w:cs="宋体"/>
      <w:color w:val="000000"/>
      <w:sz w:val="24"/>
      <w:szCs w:val="24"/>
      <w:u w:val="none"/>
    </w:rPr>
  </w:style>
  <w:style w:type="character" w:customStyle="1" w:styleId="17">
    <w:name w:val="font11"/>
    <w:basedOn w:val="8"/>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24</Pages>
  <Words>1347</Words>
  <Characters>7679</Characters>
  <Lines>63</Lines>
  <Paragraphs>18</Paragraphs>
  <TotalTime>11</TotalTime>
  <ScaleCrop>false</ScaleCrop>
  <LinksUpToDate>false</LinksUpToDate>
  <CharactersWithSpaces>9008</CharactersWithSpaces>
  <Application>WPS Office_12.1.0.15374_F1E327BC-269C-435d-A152-05C5408002CA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2020-07-04T18:32:00Z</dcterms:created>
  <dc:creator>李航 null</dc:creator>
  <cp:lastModifiedBy>admin</cp:lastModifiedBy>
  <cp:lastPrinted>2023-08-15T09:28:00Z</cp:lastPrinted>
  <dcterms:modified xsi:type="dcterms:W3CDTF">2023-09-28T04:12:14Z</dcterms:modified>
  <cp:revision>67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2052-12.1.0.15374</vt:lpwstr>
  </property>
  <property fmtid="{D5CDD505-2E9C-101B-9397-08002B2CF9AE}" pid="3" name="ICV">
    <vt:lpwstr>4DBF217C14B645868613321604C6C2EA_12</vt:lpwstr>
  </property>
</Properties>
</file>