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F427D">
      <w:pPr>
        <w:pStyle w:val="13"/>
        <w:jc w:val="center"/>
        <w:rPr>
          <w:sz w:val="84"/>
          <w:szCs w:val="84"/>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CB909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0CB909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4466B6A4">
      <w:pPr>
        <w:pStyle w:val="13"/>
        <w:jc w:val="center"/>
        <w:rPr>
          <w:rFonts w:hint="eastAsia" w:ascii="方正小标宋_GBK" w:hAnsi="方正小标宋_GBK" w:eastAsia="方正小标宋_GBK" w:cs="方正小标宋_GBK"/>
          <w:sz w:val="84"/>
          <w:szCs w:val="84"/>
        </w:rPr>
      </w:pPr>
    </w:p>
    <w:p w14:paraId="120E5648">
      <w:pPr>
        <w:pStyle w:val="13"/>
        <w:jc w:val="center"/>
        <w:rPr>
          <w:rFonts w:hint="eastAsia" w:ascii="方正小标宋_GBK" w:hAnsi="方正小标宋_GBK" w:eastAsia="方正小标宋_GBK" w:cs="方正小标宋_GBK"/>
          <w:sz w:val="84"/>
          <w:szCs w:val="84"/>
        </w:rPr>
      </w:pPr>
    </w:p>
    <w:p w14:paraId="5D85CEB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082BA38">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怀化市实验小学</w:t>
      </w:r>
      <w:r>
        <w:rPr>
          <w:rFonts w:hint="eastAsia" w:ascii="方正小标宋_GBK" w:hAnsi="方正小标宋_GBK" w:eastAsia="方正小标宋_GBK" w:cs="方正小标宋_GBK"/>
          <w:sz w:val="84"/>
          <w:szCs w:val="84"/>
        </w:rPr>
        <w:t>部门决算</w:t>
      </w:r>
    </w:p>
    <w:p w14:paraId="5E9CF715">
      <w:pPr>
        <w:pStyle w:val="13"/>
        <w:jc w:val="center"/>
        <w:rPr>
          <w:rFonts w:hint="eastAsia" w:ascii="方正小标宋_GBK" w:hAnsi="方正小标宋_GBK" w:eastAsia="方正小标宋_GBK" w:cs="方正小标宋_GBK"/>
          <w:sz w:val="56"/>
          <w:szCs w:val="56"/>
        </w:rPr>
      </w:pPr>
    </w:p>
    <w:p w14:paraId="0D29C3D6">
      <w:pPr>
        <w:pStyle w:val="13"/>
        <w:jc w:val="center"/>
        <w:rPr>
          <w:sz w:val="56"/>
          <w:szCs w:val="56"/>
        </w:rPr>
      </w:pPr>
    </w:p>
    <w:p w14:paraId="2C335201">
      <w:pPr>
        <w:pStyle w:val="13"/>
        <w:jc w:val="center"/>
        <w:rPr>
          <w:sz w:val="56"/>
          <w:szCs w:val="56"/>
        </w:rPr>
      </w:pPr>
    </w:p>
    <w:p w14:paraId="46AD3CD6">
      <w:pPr>
        <w:pStyle w:val="13"/>
        <w:jc w:val="center"/>
        <w:rPr>
          <w:sz w:val="56"/>
          <w:szCs w:val="56"/>
        </w:rPr>
      </w:pPr>
    </w:p>
    <w:p w14:paraId="296249B7">
      <w:pPr>
        <w:pStyle w:val="13"/>
        <w:jc w:val="center"/>
        <w:rPr>
          <w:sz w:val="32"/>
          <w:szCs w:val="32"/>
        </w:rPr>
      </w:pPr>
    </w:p>
    <w:p w14:paraId="3C06CE2E">
      <w:pPr>
        <w:pStyle w:val="13"/>
        <w:jc w:val="center"/>
        <w:rPr>
          <w:sz w:val="32"/>
          <w:szCs w:val="32"/>
        </w:rPr>
      </w:pPr>
    </w:p>
    <w:p w14:paraId="32EA3113">
      <w:pPr>
        <w:pStyle w:val="13"/>
        <w:jc w:val="center"/>
        <w:rPr>
          <w:sz w:val="32"/>
          <w:szCs w:val="32"/>
        </w:rPr>
      </w:pPr>
    </w:p>
    <w:p w14:paraId="75EA75AB">
      <w:pPr>
        <w:pStyle w:val="13"/>
        <w:jc w:val="center"/>
        <w:rPr>
          <w:sz w:val="32"/>
          <w:szCs w:val="32"/>
        </w:rPr>
      </w:pPr>
    </w:p>
    <w:p w14:paraId="7E236FB5">
      <w:pPr>
        <w:pStyle w:val="13"/>
        <w:jc w:val="center"/>
        <w:rPr>
          <w:sz w:val="32"/>
          <w:szCs w:val="32"/>
        </w:rPr>
      </w:pPr>
    </w:p>
    <w:p w14:paraId="18D1CC3B">
      <w:pPr>
        <w:pStyle w:val="13"/>
        <w:spacing w:line="540" w:lineRule="exact"/>
        <w:jc w:val="center"/>
        <w:rPr>
          <w:sz w:val="56"/>
          <w:szCs w:val="56"/>
        </w:rPr>
      </w:pPr>
    </w:p>
    <w:p w14:paraId="14D6757A">
      <w:pPr>
        <w:pStyle w:val="13"/>
        <w:spacing w:line="500" w:lineRule="exact"/>
        <w:jc w:val="both"/>
        <w:rPr>
          <w:b/>
          <w:sz w:val="36"/>
          <w:szCs w:val="28"/>
        </w:rPr>
      </w:pPr>
    </w:p>
    <w:p w14:paraId="68004CF3">
      <w:pPr>
        <w:pStyle w:val="13"/>
        <w:spacing w:line="500" w:lineRule="exact"/>
        <w:jc w:val="center"/>
        <w:rPr>
          <w:b/>
          <w:sz w:val="36"/>
          <w:szCs w:val="28"/>
        </w:rPr>
      </w:pPr>
      <w:r>
        <w:rPr>
          <w:rFonts w:hint="eastAsia"/>
          <w:b/>
          <w:sz w:val="36"/>
          <w:szCs w:val="28"/>
        </w:rPr>
        <w:t>目录</w:t>
      </w:r>
    </w:p>
    <w:p w14:paraId="7BCDAE6C">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 xml:space="preserve"> 怀化市实验小学部门</w:t>
      </w:r>
      <w:r>
        <w:rPr>
          <w:rFonts w:hint="eastAsia" w:ascii="黑体" w:hAnsi="黑体" w:eastAsia="黑体" w:cs="黑体"/>
          <w:b w:val="0"/>
          <w:bCs/>
          <w:sz w:val="28"/>
          <w:szCs w:val="28"/>
        </w:rPr>
        <w:t>概况</w:t>
      </w:r>
    </w:p>
    <w:p w14:paraId="02B1C56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38C880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61639A0">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61953A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5FDFA8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75A77B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E45720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76D5C9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68E5C5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4A6CB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D7FD61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61ED50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635E7C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A6A3D0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BE629BC">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3DF7C4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4254DC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48E3E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6821F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3287E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812AF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8CD183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31AAEC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5FF912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7CA8A9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06CF5A1">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179E16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91335A7">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36E72AE">
      <w:pPr>
        <w:pStyle w:val="13"/>
        <w:spacing w:line="500" w:lineRule="exact"/>
        <w:rPr>
          <w:rFonts w:hint="eastAsia" w:ascii="黑体" w:hAnsi="黑体" w:eastAsia="黑体" w:cs="黑体"/>
          <w:b w:val="0"/>
          <w:bCs/>
          <w:sz w:val="28"/>
          <w:szCs w:val="28"/>
        </w:rPr>
      </w:pPr>
    </w:p>
    <w:p w14:paraId="41E5F767">
      <w:pPr>
        <w:jc w:val="center"/>
        <w:rPr>
          <w:sz w:val="72"/>
          <w:szCs w:val="72"/>
        </w:rPr>
      </w:pPr>
    </w:p>
    <w:p w14:paraId="4DDD2C14">
      <w:pPr>
        <w:jc w:val="center"/>
        <w:rPr>
          <w:sz w:val="72"/>
          <w:szCs w:val="72"/>
        </w:rPr>
      </w:pPr>
    </w:p>
    <w:p w14:paraId="675D9777">
      <w:pPr>
        <w:jc w:val="center"/>
        <w:rPr>
          <w:sz w:val="72"/>
          <w:szCs w:val="72"/>
        </w:rPr>
      </w:pPr>
    </w:p>
    <w:p w14:paraId="4A2D48D8">
      <w:pPr>
        <w:jc w:val="center"/>
        <w:rPr>
          <w:sz w:val="72"/>
          <w:szCs w:val="72"/>
        </w:rPr>
      </w:pPr>
    </w:p>
    <w:p w14:paraId="3879A2E7">
      <w:pPr>
        <w:rPr>
          <w:rFonts w:hint="eastAsia" w:ascii="方正小标宋_GBK" w:hAnsi="方正小标宋_GBK" w:eastAsia="方正小标宋_GBK" w:cs="方正小标宋_GBK"/>
          <w:sz w:val="72"/>
          <w:szCs w:val="72"/>
        </w:rPr>
      </w:pPr>
    </w:p>
    <w:p w14:paraId="74F122A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08C7CF4">
      <w:pPr>
        <w:pStyle w:val="13"/>
        <w:jc w:val="center"/>
        <w:rPr>
          <w:rFonts w:hint="eastAsia" w:ascii="方正小标宋_GBK" w:hAnsi="方正小标宋_GBK" w:eastAsia="方正小标宋_GBK" w:cs="方正小标宋_GBK"/>
          <w:sz w:val="84"/>
          <w:szCs w:val="84"/>
        </w:rPr>
      </w:pPr>
    </w:p>
    <w:p w14:paraId="535468E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怀化市实验小学</w:t>
      </w:r>
      <w:r>
        <w:rPr>
          <w:rFonts w:hint="eastAsia" w:ascii="方正小标宋_GBK" w:hAnsi="方正小标宋_GBK" w:eastAsia="方正小标宋_GBK" w:cs="方正小标宋_GBK"/>
          <w:sz w:val="84"/>
          <w:szCs w:val="84"/>
        </w:rPr>
        <w:t>概况</w:t>
      </w:r>
    </w:p>
    <w:p w14:paraId="789C3E95">
      <w:pPr>
        <w:jc w:val="center"/>
        <w:rPr>
          <w:rFonts w:hint="eastAsia" w:ascii="方正小标宋_GBK" w:hAnsi="方正小标宋_GBK" w:eastAsia="方正小标宋_GBK" w:cs="方正小标宋_GBK"/>
          <w:sz w:val="72"/>
          <w:szCs w:val="72"/>
        </w:rPr>
      </w:pPr>
    </w:p>
    <w:p w14:paraId="5A159D84">
      <w:pPr>
        <w:jc w:val="center"/>
        <w:rPr>
          <w:rFonts w:hint="eastAsia" w:ascii="方正小标宋_GBK" w:hAnsi="方正小标宋_GBK" w:eastAsia="方正小标宋_GBK" w:cs="方正小标宋_GBK"/>
          <w:sz w:val="72"/>
          <w:szCs w:val="72"/>
        </w:rPr>
      </w:pPr>
    </w:p>
    <w:p w14:paraId="3DE351C0">
      <w:pPr>
        <w:jc w:val="center"/>
        <w:rPr>
          <w:sz w:val="72"/>
          <w:szCs w:val="72"/>
        </w:rPr>
      </w:pPr>
    </w:p>
    <w:p w14:paraId="5AF39E6B">
      <w:pPr>
        <w:jc w:val="center"/>
        <w:rPr>
          <w:sz w:val="72"/>
          <w:szCs w:val="72"/>
        </w:rPr>
      </w:pPr>
    </w:p>
    <w:p w14:paraId="63B98E07">
      <w:pPr>
        <w:jc w:val="center"/>
        <w:rPr>
          <w:sz w:val="72"/>
          <w:szCs w:val="72"/>
        </w:rPr>
      </w:pPr>
    </w:p>
    <w:p w14:paraId="0177F25D">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B7FB77A">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sz w:val="32"/>
          <w:szCs w:val="32"/>
        </w:rPr>
        <w:t>（</w:t>
      </w:r>
      <w:r>
        <w:rPr>
          <w:rFonts w:hint="eastAsia" w:ascii="Times New Roman" w:hAnsi="Times New Roman" w:eastAsia="仿宋_GB2312" w:cs="黑体"/>
          <w:color w:val="000000"/>
          <w:kern w:val="0"/>
          <w:sz w:val="32"/>
          <w:szCs w:val="32"/>
          <w:lang w:val="en-US" w:eastAsia="zh-CN" w:bidi="ar-SA"/>
        </w:rPr>
        <w:t>一）实施小学义务教育，促进教育事业发展。小学学历教育，教改实验（相关服务）。</w:t>
      </w:r>
    </w:p>
    <w:p w14:paraId="5072EB9B">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（二）负责对教学及其他专项项目的监督管理工作。</w:t>
      </w:r>
    </w:p>
    <w:p w14:paraId="2E2A14CC">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（三）完成上级交办的其他工作。</w:t>
      </w:r>
    </w:p>
    <w:p w14:paraId="5974C17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6647845">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黑体"/>
          <w:color w:val="000000"/>
          <w:kern w:val="0"/>
          <w:sz w:val="32"/>
          <w:szCs w:val="32"/>
          <w:lang w:val="en-US" w:eastAsia="zh-CN" w:bidi="ar-SA"/>
        </w:rPr>
        <w:t>怀化市实验小学内设机构包括：各学科教研组、教导处、德育处、综治办、少先队大队部、总务处、办公室、财务室等10个部门。</w:t>
      </w:r>
    </w:p>
    <w:p w14:paraId="1F2ED423">
      <w:pPr>
        <w:widowControl/>
        <w:spacing w:line="60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黑体"/>
          <w:color w:val="000000"/>
          <w:kern w:val="0"/>
          <w:sz w:val="32"/>
          <w:szCs w:val="32"/>
          <w:lang w:val="en-US" w:eastAsia="zh-CN" w:bidi="ar-SA"/>
        </w:rPr>
        <w:t>怀化市实验小学2023年部门决算汇总公开单位构成包括：怀化市实验小学只有本级，没有其他二级预算单位，因此，纳入</w:t>
      </w:r>
      <w:r>
        <w:rPr>
          <w:rFonts w:hint="default" w:ascii="Times New Roman" w:hAnsi="Times New Roman" w:eastAsia="仿宋_GB2312" w:cs="黑体"/>
          <w:color w:val="000000"/>
          <w:kern w:val="0"/>
          <w:sz w:val="32"/>
          <w:szCs w:val="32"/>
          <w:lang w:val="en-US" w:eastAsia="zh-CN" w:bidi="ar-SA"/>
        </w:rPr>
        <w:t>202</w:t>
      </w:r>
      <w:r>
        <w:rPr>
          <w:rFonts w:hint="eastAsia" w:ascii="Times New Roman" w:hAnsi="Times New Roman" w:eastAsia="仿宋_GB2312" w:cs="黑体"/>
          <w:color w:val="000000"/>
          <w:kern w:val="0"/>
          <w:sz w:val="32"/>
          <w:szCs w:val="32"/>
          <w:lang w:val="en-US" w:eastAsia="zh-CN" w:bidi="ar-SA"/>
        </w:rPr>
        <w:t>3</w:t>
      </w:r>
      <w:r>
        <w:rPr>
          <w:rFonts w:hint="default" w:ascii="Times New Roman" w:hAnsi="Times New Roman" w:eastAsia="仿宋_GB2312" w:cs="黑体"/>
          <w:color w:val="000000"/>
          <w:kern w:val="0"/>
          <w:sz w:val="32"/>
          <w:szCs w:val="32"/>
          <w:lang w:val="en-US" w:eastAsia="zh-CN" w:bidi="ar-SA"/>
        </w:rPr>
        <w:t>年部门</w:t>
      </w:r>
      <w:r>
        <w:rPr>
          <w:rFonts w:hint="eastAsia" w:ascii="Times New Roman" w:hAnsi="Times New Roman" w:eastAsia="仿宋_GB2312" w:cs="黑体"/>
          <w:color w:val="000000"/>
          <w:kern w:val="0"/>
          <w:sz w:val="32"/>
          <w:szCs w:val="32"/>
          <w:lang w:val="en-US" w:eastAsia="zh-CN" w:bidi="ar-SA"/>
        </w:rPr>
        <w:t>决算</w:t>
      </w:r>
      <w:r>
        <w:rPr>
          <w:rFonts w:hint="default" w:ascii="Times New Roman" w:hAnsi="Times New Roman" w:eastAsia="仿宋_GB2312" w:cs="黑体"/>
          <w:color w:val="000000"/>
          <w:kern w:val="0"/>
          <w:sz w:val="32"/>
          <w:szCs w:val="32"/>
          <w:lang w:val="en-US" w:eastAsia="zh-CN" w:bidi="ar-SA"/>
        </w:rPr>
        <w:t>编制范围的只有怀化市实验小学本级。</w:t>
      </w:r>
    </w:p>
    <w:p w14:paraId="0ECF4793">
      <w:pPr>
        <w:jc w:val="center"/>
        <w:rPr>
          <w:rFonts w:ascii="黑体" w:hAnsi="黑体" w:eastAsia="黑体"/>
          <w:sz w:val="28"/>
          <w:szCs w:val="28"/>
        </w:rPr>
      </w:pPr>
    </w:p>
    <w:p w14:paraId="1E37F210">
      <w:pPr>
        <w:jc w:val="center"/>
        <w:rPr>
          <w:rFonts w:ascii="黑体" w:hAnsi="黑体" w:eastAsia="黑体"/>
          <w:sz w:val="28"/>
          <w:szCs w:val="28"/>
        </w:rPr>
      </w:pPr>
    </w:p>
    <w:p w14:paraId="0F29EEE0">
      <w:pPr>
        <w:jc w:val="center"/>
        <w:rPr>
          <w:rFonts w:ascii="黑体" w:hAnsi="黑体" w:eastAsia="黑体"/>
          <w:sz w:val="28"/>
          <w:szCs w:val="28"/>
        </w:rPr>
      </w:pPr>
    </w:p>
    <w:p w14:paraId="20003C33">
      <w:pPr>
        <w:jc w:val="center"/>
        <w:rPr>
          <w:rFonts w:ascii="黑体" w:hAnsi="黑体" w:eastAsia="黑体"/>
          <w:sz w:val="28"/>
          <w:szCs w:val="28"/>
        </w:rPr>
      </w:pPr>
    </w:p>
    <w:p w14:paraId="13FE2D66">
      <w:pPr>
        <w:jc w:val="center"/>
        <w:rPr>
          <w:rFonts w:ascii="黑体" w:hAnsi="黑体" w:eastAsia="黑体"/>
          <w:sz w:val="28"/>
          <w:szCs w:val="28"/>
        </w:rPr>
      </w:pPr>
    </w:p>
    <w:p w14:paraId="070EF89D">
      <w:pPr>
        <w:jc w:val="center"/>
        <w:rPr>
          <w:rFonts w:ascii="黑体" w:hAnsi="黑体" w:eastAsia="黑体"/>
          <w:sz w:val="28"/>
          <w:szCs w:val="28"/>
        </w:rPr>
      </w:pPr>
    </w:p>
    <w:p w14:paraId="3C834792">
      <w:pPr>
        <w:jc w:val="center"/>
        <w:rPr>
          <w:rFonts w:ascii="黑体" w:hAnsi="黑体" w:eastAsia="黑体"/>
          <w:sz w:val="28"/>
          <w:szCs w:val="28"/>
        </w:rPr>
      </w:pPr>
    </w:p>
    <w:p w14:paraId="3B98A35E">
      <w:pPr>
        <w:jc w:val="center"/>
        <w:rPr>
          <w:rFonts w:ascii="黑体" w:hAnsi="黑体" w:eastAsia="黑体"/>
          <w:sz w:val="28"/>
          <w:szCs w:val="28"/>
        </w:rPr>
      </w:pPr>
    </w:p>
    <w:p w14:paraId="4E20053D">
      <w:pPr>
        <w:jc w:val="center"/>
        <w:rPr>
          <w:rFonts w:ascii="黑体" w:hAnsi="黑体" w:eastAsia="黑体"/>
          <w:sz w:val="28"/>
          <w:szCs w:val="28"/>
        </w:rPr>
      </w:pPr>
    </w:p>
    <w:p w14:paraId="7B8E9933">
      <w:pPr>
        <w:jc w:val="center"/>
        <w:rPr>
          <w:rFonts w:ascii="黑体" w:hAnsi="黑体" w:eastAsia="黑体"/>
          <w:sz w:val="28"/>
          <w:szCs w:val="28"/>
        </w:rPr>
      </w:pPr>
    </w:p>
    <w:p w14:paraId="6638DACA">
      <w:pPr>
        <w:jc w:val="center"/>
        <w:rPr>
          <w:rFonts w:ascii="黑体" w:hAnsi="黑体" w:eastAsia="黑体"/>
          <w:sz w:val="28"/>
          <w:szCs w:val="28"/>
        </w:rPr>
      </w:pPr>
    </w:p>
    <w:p w14:paraId="63B688B7">
      <w:pPr>
        <w:jc w:val="center"/>
        <w:rPr>
          <w:rFonts w:ascii="黑体" w:hAnsi="黑体" w:eastAsia="黑体"/>
          <w:sz w:val="28"/>
          <w:szCs w:val="28"/>
        </w:rPr>
      </w:pPr>
    </w:p>
    <w:p w14:paraId="05585B37">
      <w:pPr>
        <w:jc w:val="center"/>
        <w:rPr>
          <w:sz w:val="72"/>
          <w:szCs w:val="72"/>
        </w:rPr>
      </w:pPr>
    </w:p>
    <w:p w14:paraId="37588C09">
      <w:pPr>
        <w:jc w:val="center"/>
        <w:rPr>
          <w:sz w:val="72"/>
          <w:szCs w:val="72"/>
        </w:rPr>
      </w:pPr>
    </w:p>
    <w:p w14:paraId="1BDE501D">
      <w:pPr>
        <w:jc w:val="center"/>
        <w:rPr>
          <w:sz w:val="72"/>
          <w:szCs w:val="72"/>
        </w:rPr>
      </w:pPr>
    </w:p>
    <w:p w14:paraId="7C041AB6">
      <w:pPr>
        <w:jc w:val="center"/>
        <w:rPr>
          <w:sz w:val="72"/>
          <w:szCs w:val="72"/>
        </w:rPr>
      </w:pPr>
    </w:p>
    <w:p w14:paraId="72B76FE4">
      <w:pPr>
        <w:pStyle w:val="13"/>
        <w:jc w:val="center"/>
        <w:rPr>
          <w:rFonts w:hint="eastAsia" w:ascii="方正小标宋_GBK" w:hAnsi="方正小标宋_GBK" w:eastAsia="方正小标宋_GBK" w:cs="方正小标宋_GBK"/>
          <w:sz w:val="84"/>
          <w:szCs w:val="84"/>
        </w:rPr>
      </w:pPr>
    </w:p>
    <w:p w14:paraId="17DC372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F591500">
      <w:pPr>
        <w:pStyle w:val="13"/>
        <w:jc w:val="center"/>
        <w:rPr>
          <w:rFonts w:hint="eastAsia" w:ascii="方正小标宋_GBK" w:hAnsi="方正小标宋_GBK" w:eastAsia="方正小标宋_GBK" w:cs="方正小标宋_GBK"/>
          <w:sz w:val="84"/>
          <w:szCs w:val="84"/>
        </w:rPr>
      </w:pPr>
    </w:p>
    <w:p w14:paraId="591FA34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F343B1C">
      <w:pPr>
        <w:pStyle w:val="13"/>
        <w:jc w:val="cente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（见附件:2023年部门决算公开表）</w:t>
      </w:r>
    </w:p>
    <w:p w14:paraId="59328AD8">
      <w:pPr>
        <w:pStyle w:val="13"/>
        <w:jc w:val="center"/>
        <w:rPr>
          <w:rFonts w:hint="eastAsia" w:ascii="方正小标宋_GBK" w:hAnsi="方正小标宋_GBK" w:eastAsia="方正小标宋_GBK" w:cs="方正小标宋_GBK"/>
          <w:sz w:val="84"/>
          <w:szCs w:val="84"/>
        </w:rPr>
      </w:pPr>
    </w:p>
    <w:p w14:paraId="5D181D5F">
      <w:pPr>
        <w:jc w:val="center"/>
        <w:rPr>
          <w:sz w:val="72"/>
          <w:szCs w:val="72"/>
        </w:rPr>
      </w:pPr>
    </w:p>
    <w:p w14:paraId="19EF2143">
      <w:pPr>
        <w:jc w:val="center"/>
        <w:rPr>
          <w:sz w:val="72"/>
          <w:szCs w:val="72"/>
        </w:rPr>
      </w:pPr>
    </w:p>
    <w:p w14:paraId="288D44F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7AB81470">
      <w:pPr>
        <w:pStyle w:val="13"/>
        <w:jc w:val="both"/>
        <w:rPr>
          <w:sz w:val="72"/>
          <w:szCs w:val="72"/>
        </w:rPr>
      </w:pPr>
    </w:p>
    <w:p w14:paraId="1ABC4504">
      <w:pPr>
        <w:pStyle w:val="13"/>
        <w:jc w:val="center"/>
        <w:rPr>
          <w:rFonts w:hint="eastAsia" w:ascii="方正小标宋_GBK" w:hAnsi="方正小标宋_GBK" w:eastAsia="方正小标宋_GBK" w:cs="方正小标宋_GBK"/>
          <w:sz w:val="72"/>
          <w:szCs w:val="72"/>
        </w:rPr>
      </w:pPr>
    </w:p>
    <w:p w14:paraId="60F3BD42">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F01D345">
      <w:pPr>
        <w:pStyle w:val="13"/>
        <w:jc w:val="center"/>
        <w:rPr>
          <w:rFonts w:hint="eastAsia" w:ascii="方正小标宋_GBK" w:hAnsi="方正小标宋_GBK" w:eastAsia="方正小标宋_GBK" w:cs="方正小标宋_GBK"/>
          <w:sz w:val="70"/>
          <w:szCs w:val="70"/>
        </w:rPr>
      </w:pPr>
    </w:p>
    <w:p w14:paraId="5834FAA6">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3DD68E0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680D7F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37D33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6137.27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262.57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4.09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作业本、研学实践等代收费不再纳入其他收入，且2023年上发2022年下的课后服务费有所减少。</w:t>
      </w:r>
    </w:p>
    <w:p w14:paraId="28FD21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EAD20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年度收入合计3068</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63万元，其中：财政拨款收入2807</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08万元，占</w:t>
      </w:r>
      <w:r>
        <w:rPr>
          <w:rFonts w:hint="eastAsia" w:ascii="Times New Roman" w:hAnsi="Times New Roman" w:eastAsia="仿宋_GB2312"/>
          <w:sz w:val="32"/>
          <w:szCs w:val="32"/>
          <w:lang w:val="en-US" w:eastAsia="zh-CN"/>
        </w:rPr>
        <w:t>91.48</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%；事业收入261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55万元，占</w:t>
      </w:r>
      <w:r>
        <w:rPr>
          <w:rFonts w:hint="eastAsia" w:ascii="Times New Roman" w:hAnsi="Times New Roman" w:eastAsia="仿宋_GB2312"/>
          <w:sz w:val="32"/>
          <w:szCs w:val="32"/>
          <w:lang w:val="en-US" w:eastAsia="zh-CN"/>
        </w:rPr>
        <w:t>8.52</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12F872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276AD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年度支出合计3068</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63万元，其中：基本支出2391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9</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77.95</w:t>
      </w:r>
      <w:r>
        <w:rPr>
          <w:rFonts w:hint="eastAsia" w:ascii="Times New Roman" w:hAnsi="Times New Roman" w:eastAsia="仿宋_GB2312"/>
          <w:sz w:val="32"/>
          <w:szCs w:val="32"/>
        </w:rPr>
        <w:t>%；项目支出676</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69万元，占</w:t>
      </w:r>
      <w:r>
        <w:rPr>
          <w:rFonts w:hint="eastAsia" w:ascii="Times New Roman" w:hAnsi="Times New Roman" w:eastAsia="仿宋_GB2312"/>
          <w:sz w:val="32"/>
          <w:szCs w:val="32"/>
          <w:lang w:val="en-US" w:eastAsia="zh-CN"/>
        </w:rPr>
        <w:t>22.05</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FBCA4F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10F0547">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5614.16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55.78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新增人员。</w:t>
      </w:r>
    </w:p>
    <w:p w14:paraId="0C88FE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945D97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732F2F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年度财政拨款支出2807</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08万元，占本年支出合计的</w:t>
      </w:r>
      <w:r>
        <w:rPr>
          <w:rFonts w:hint="eastAsia" w:ascii="Times New Roman" w:hAnsi="Times New Roman" w:eastAsia="仿宋_GB2312"/>
          <w:sz w:val="32"/>
          <w:szCs w:val="32"/>
          <w:lang w:val="en-US" w:eastAsia="zh-CN"/>
        </w:rPr>
        <w:t>91.48</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27.89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一般公共预算拨款增加。</w:t>
      </w:r>
    </w:p>
    <w:p w14:paraId="5FEB3925">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C50D77D">
      <w:pPr>
        <w:pStyle w:val="13"/>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年度财政拨款支出2807</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08万元，主要用于以下方面：一般公共服务（类）支出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%；教育（类）支出2373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34万元，占</w:t>
      </w:r>
      <w:r>
        <w:rPr>
          <w:rFonts w:hint="eastAsia" w:ascii="Times New Roman" w:hAnsi="Times New Roman" w:eastAsia="仿宋_GB2312"/>
          <w:sz w:val="32"/>
          <w:szCs w:val="32"/>
          <w:lang w:val="en-US" w:eastAsia="zh-CN"/>
        </w:rPr>
        <w:t>84.55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社会保障和就业支出300.97万元，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10.72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卫生健康支出115.77万元，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4.12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E42A80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6A29A7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年度财政拨款支出年初预算数为2673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81万元，支出决算数为2807</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08万元，完成年初预算的</w:t>
      </w:r>
      <w:r>
        <w:rPr>
          <w:rFonts w:hint="eastAsia" w:ascii="Times New Roman" w:hAnsi="Times New Roman" w:eastAsia="仿宋_GB2312"/>
          <w:sz w:val="32"/>
          <w:szCs w:val="32"/>
          <w:lang w:val="en-US" w:eastAsia="zh-CN"/>
        </w:rPr>
        <w:t>104.98</w:t>
      </w:r>
      <w:r>
        <w:rPr>
          <w:rFonts w:hint="eastAsia" w:ascii="Times New Roman" w:hAnsi="Times New Roman" w:eastAsia="仿宋_GB2312"/>
          <w:sz w:val="32"/>
          <w:szCs w:val="32"/>
        </w:rPr>
        <w:t>%，其中：</w:t>
      </w:r>
    </w:p>
    <w:p w14:paraId="7E75361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heme="minorEastAsia" w:hAnsiTheme="minorEastAsia" w:eastAsiaTheme="minorEastAsia"/>
          <w:sz w:val="32"/>
          <w:szCs w:val="32"/>
          <w:lang w:val="en-US" w:eastAsia="zh-CN"/>
        </w:rPr>
        <w:t>组织事务</w:t>
      </w:r>
      <w:r>
        <w:rPr>
          <w:rFonts w:hint="eastAsia" w:ascii="Times New Roman" w:hAnsi="Times New Roman" w:eastAsia="仿宋_GB2312"/>
          <w:sz w:val="32"/>
          <w:szCs w:val="32"/>
        </w:rPr>
        <w:t>（款）</w:t>
      </w:r>
      <w:r>
        <w:rPr>
          <w:rFonts w:hint="eastAsia" w:asciiTheme="minorEastAsia" w:hAnsiTheme="minorEastAsia" w:eastAsiaTheme="minorEastAsia"/>
          <w:sz w:val="32"/>
          <w:szCs w:val="32"/>
          <w:lang w:val="en-US" w:eastAsia="zh-CN"/>
        </w:rPr>
        <w:t>其他组织事务支出</w:t>
      </w:r>
      <w:r>
        <w:rPr>
          <w:rFonts w:hint="eastAsia" w:ascii="Times New Roman" w:hAnsi="Times New Roman" w:eastAsia="仿宋_GB2312"/>
          <w:sz w:val="32"/>
          <w:szCs w:val="32"/>
        </w:rPr>
        <w:t>（项）。</w:t>
      </w:r>
    </w:p>
    <w:p w14:paraId="0C893BD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无法计算完成比例</w:t>
      </w:r>
      <w:r>
        <w:rPr>
          <w:rFonts w:hint="eastAsia" w:ascii="Times New Roman" w:hAnsi="Times New Roman" w:eastAsia="仿宋_GB2312"/>
          <w:sz w:val="32"/>
          <w:szCs w:val="32"/>
        </w:rPr>
        <w:t>，决算数大于年初预算数的主要原因是：市直企事单位引进人才</w:t>
      </w:r>
      <w:r>
        <w:rPr>
          <w:rFonts w:hint="eastAsia" w:ascii="Times New Roman" w:hAnsi="Times New Roman" w:eastAsia="仿宋_GB2312"/>
          <w:sz w:val="32"/>
          <w:szCs w:val="32"/>
          <w:lang w:eastAsia="zh-CN"/>
        </w:rPr>
        <w:t>、人才资源开展专项资金</w:t>
      </w:r>
      <w:r>
        <w:rPr>
          <w:rFonts w:hint="eastAsia" w:ascii="Times New Roman" w:hAnsi="Times New Roman" w:eastAsia="仿宋_GB2312"/>
          <w:sz w:val="32"/>
          <w:szCs w:val="32"/>
          <w:lang w:val="en-US" w:eastAsia="zh-CN"/>
        </w:rPr>
        <w:t>未列入部门年初预算。</w:t>
      </w:r>
    </w:p>
    <w:p w14:paraId="3AE8861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小学教育</w:t>
      </w:r>
      <w:r>
        <w:rPr>
          <w:rFonts w:hint="eastAsia" w:ascii="Times New Roman" w:hAnsi="Times New Roman" w:eastAsia="仿宋_GB2312"/>
          <w:sz w:val="32"/>
          <w:szCs w:val="32"/>
        </w:rPr>
        <w:t>（项）。</w:t>
      </w:r>
    </w:p>
    <w:p w14:paraId="22AC484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w:t>
      </w:r>
      <w:r>
        <w:rPr>
          <w:rFonts w:hint="eastAsia" w:ascii="Times New Roman" w:hAnsi="Times New Roman" w:eastAsia="仿宋_GB2312"/>
          <w:color w:val="000000" w:themeColor="text1"/>
          <w:sz w:val="32"/>
          <w:szCs w:val="32"/>
          <w14:textFill>
            <w14:solidFill>
              <w14:schemeClr w14:val="tx1"/>
            </w14:solidFill>
          </w14:textFill>
        </w:rPr>
        <w:t>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2142.54</w:t>
      </w:r>
      <w:r>
        <w:rPr>
          <w:rFonts w:hint="eastAsia" w:ascii="Times New Roman" w:hAnsi="Times New Roman" w:eastAsia="仿宋_GB2312"/>
          <w:sz w:val="32"/>
          <w:szCs w:val="32"/>
        </w:rPr>
        <w:t>万元，支出决算为2357</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38万元，完成年初预算的</w:t>
      </w:r>
      <w:r>
        <w:rPr>
          <w:rFonts w:hint="eastAsia" w:ascii="Times New Roman" w:hAnsi="Times New Roman" w:eastAsia="仿宋_GB2312"/>
          <w:sz w:val="32"/>
          <w:szCs w:val="32"/>
          <w:lang w:val="en-US" w:eastAsia="zh-CN"/>
        </w:rPr>
        <w:t>110.03</w:t>
      </w:r>
      <w:r>
        <w:rPr>
          <w:rFonts w:hint="eastAsia" w:ascii="Times New Roman" w:hAnsi="Times New Roman" w:eastAsia="仿宋_GB2312"/>
          <w:sz w:val="32"/>
          <w:szCs w:val="32"/>
        </w:rPr>
        <w:t>%，决算数大于年初预算数的主要原因是：是增加了人员经费、生均经费及项目经费支出</w:t>
      </w:r>
      <w:r>
        <w:rPr>
          <w:rFonts w:hint="eastAsia" w:ascii="Times New Roman" w:hAnsi="Times New Roman" w:eastAsia="仿宋_GB2312"/>
          <w:sz w:val="32"/>
          <w:szCs w:val="32"/>
          <w:lang w:eastAsia="zh-CN"/>
        </w:rPr>
        <w:t>。</w:t>
      </w:r>
    </w:p>
    <w:p w14:paraId="32AB233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3、教育（类）普通教育（款）其他普通教育支出（项）。</w:t>
      </w:r>
    </w:p>
    <w:p w14:paraId="47746D3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年初预算为0万元，支出决算为15.96万元，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w:t>
      </w:r>
      <w:r>
        <w:rPr>
          <w:rFonts w:hint="eastAsia" w:ascii="Times New Roman" w:hAnsi="Times New Roman" w:eastAsia="仿宋_GB2312"/>
          <w:sz w:val="32"/>
          <w:szCs w:val="32"/>
          <w:lang w:val="en-US" w:eastAsia="zh-CN"/>
        </w:rPr>
        <w:t>是心理健康专项资金、</w:t>
      </w:r>
      <w:r>
        <w:rPr>
          <w:rFonts w:hint="eastAsia" w:ascii="Times New Roman" w:hAnsi="Times New Roman" w:eastAsia="仿宋_GB2312"/>
          <w:sz w:val="32"/>
          <w:szCs w:val="32"/>
        </w:rPr>
        <w:t>绩效奖等未列入部门年初预算。</w:t>
      </w:r>
    </w:p>
    <w:p w14:paraId="438F2D8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FF0000"/>
          <w:sz w:val="32"/>
          <w:szCs w:val="32"/>
          <w:lang w:val="en-US" w:eastAsia="zh-CN"/>
        </w:rPr>
      </w:pPr>
      <w:r>
        <w:rPr>
          <w:rFonts w:hint="eastAsia" w:ascii="Times New Roman" w:hAnsi="Times New Roman" w:eastAsia="仿宋_GB2312"/>
          <w:sz w:val="32"/>
          <w:szCs w:val="32"/>
          <w:lang w:val="en-US" w:eastAsia="zh-CN"/>
        </w:rPr>
        <w:t>4、社会保障和就业支出（类）行政事业单位养老支出（款）机关事业单位基本养老保险缴费支出（项）。</w:t>
      </w:r>
    </w:p>
    <w:p w14:paraId="4F7D749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年初预算为0万元，支出决算为239.19万元，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决算数大于年初预算数的主要原因是：追加机关事业单位基本养老保险缴费支出。</w:t>
      </w:r>
    </w:p>
    <w:p w14:paraId="1B963B5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5、社会保障和就业支出（类）行政事业单位养老支出（款）其他行政事业单位养老支出（项）</w:t>
      </w:r>
    </w:p>
    <w:p w14:paraId="7BE8340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年初预算为0万元，支出决算为61.78万元，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退休人员补助未</w:t>
      </w:r>
      <w:r>
        <w:rPr>
          <w:rFonts w:hint="eastAsia" w:ascii="Times New Roman" w:hAnsi="Times New Roman" w:eastAsia="仿宋_GB2312"/>
          <w:sz w:val="32"/>
          <w:szCs w:val="32"/>
        </w:rPr>
        <w:t>列入部门年初预算</w:t>
      </w:r>
      <w:r>
        <w:rPr>
          <w:rFonts w:hint="eastAsia" w:ascii="Times New Roman" w:hAnsi="Times New Roman" w:eastAsia="仿宋_GB2312"/>
          <w:sz w:val="32"/>
          <w:szCs w:val="32"/>
          <w:lang w:eastAsia="zh-CN"/>
        </w:rPr>
        <w:t>。</w:t>
      </w:r>
    </w:p>
    <w:p w14:paraId="479DC65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6、卫生健康支出（类）行政事业单位医疗（款）行政单位医疗（项）</w:t>
      </w:r>
    </w:p>
    <w:p w14:paraId="009E6C6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黑体" w:hAnsi="黑体" w:eastAsia="黑体" w:cs="黑体"/>
          <w:b w:val="0"/>
          <w:bCs/>
          <w:sz w:val="32"/>
          <w:szCs w:val="32"/>
          <w:lang w:val="en-US" w:eastAsia="zh-CN"/>
        </w:rPr>
      </w:pPr>
      <w:r>
        <w:rPr>
          <w:rFonts w:hint="eastAsia" w:ascii="Times New Roman" w:hAnsi="Times New Roman" w:eastAsia="仿宋_GB2312"/>
          <w:sz w:val="32"/>
          <w:szCs w:val="32"/>
          <w:lang w:val="en-US" w:eastAsia="zh-CN"/>
        </w:rPr>
        <w:t>年初预算为0万元，支出决算为115.77万元，完成年初预算的0%，</w:t>
      </w:r>
      <w:r>
        <w:rPr>
          <w:rFonts w:hint="eastAsia" w:ascii="仿宋" w:hAnsi="仿宋" w:eastAsia="仿宋" w:cs="仿宋"/>
          <w:i w:val="0"/>
          <w:iCs w:val="0"/>
          <w:caps w:val="0"/>
          <w:color w:val="auto"/>
          <w:spacing w:val="0"/>
          <w:sz w:val="32"/>
          <w:szCs w:val="32"/>
          <w:shd w:val="clear" w:color="auto" w:fill="FFFFFF"/>
        </w:rPr>
        <w:t>无法计算完成比例</w:t>
      </w:r>
      <w:r>
        <w:rPr>
          <w:rFonts w:hint="eastAsia" w:ascii="仿宋" w:hAnsi="仿宋" w:eastAsia="仿宋" w:cs="仿宋"/>
          <w:i w:val="0"/>
          <w:iCs w:val="0"/>
          <w:caps w:val="0"/>
          <w:color w:val="auto"/>
          <w:spacing w:val="0"/>
          <w:sz w:val="32"/>
          <w:szCs w:val="32"/>
          <w:shd w:val="clear" w:color="auto" w:fill="FFFFFF"/>
          <w:lang w:eastAsia="zh-CN"/>
        </w:rPr>
        <w:t>，</w:t>
      </w:r>
      <w:r>
        <w:rPr>
          <w:rFonts w:hint="eastAsia" w:ascii="Times New Roman" w:hAnsi="Times New Roman" w:eastAsia="仿宋_GB2312"/>
          <w:sz w:val="32"/>
          <w:szCs w:val="32"/>
        </w:rPr>
        <w:t>决算数大于年初预算数的主要原因是：行政单位医疗缴费单位部分未列入部门年初预算</w:t>
      </w:r>
      <w:r>
        <w:rPr>
          <w:rFonts w:hint="eastAsia" w:ascii="Times New Roman" w:hAnsi="Times New Roman" w:eastAsia="仿宋_GB2312"/>
          <w:sz w:val="32"/>
          <w:szCs w:val="32"/>
          <w:lang w:eastAsia="zh-CN"/>
        </w:rPr>
        <w:t>。</w:t>
      </w:r>
    </w:p>
    <w:p w14:paraId="3079FA6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895134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年度财政拨款基本支出2391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9</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万元，其中：</w:t>
      </w:r>
    </w:p>
    <w:p w14:paraId="4355BB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2271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94.96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绩效工资、基本养老保险缴费、基本医疗保险缴费等</w:t>
      </w:r>
      <w:r>
        <w:rPr>
          <w:rFonts w:hint="eastAsia" w:ascii="Times New Roman" w:hAnsi="Times New Roman" w:eastAsia="仿宋_GB2312"/>
          <w:sz w:val="32"/>
          <w:szCs w:val="32"/>
          <w:lang w:eastAsia="zh-CN"/>
        </w:rPr>
        <w:t>。</w:t>
      </w:r>
    </w:p>
    <w:p w14:paraId="50A73B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120</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67万元，占基本支出的</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水电费、维修费、培训费、办公设备、专用设备购置等。</w:t>
      </w:r>
    </w:p>
    <w:p w14:paraId="47B865BA">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4EE13E5">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31F3C4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0A9ED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B9DBA4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6A87A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F013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C924D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4B472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C420CD2">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val="en-US" w:eastAsia="zh-CN"/>
        </w:rPr>
        <w:t>。</w:t>
      </w:r>
    </w:p>
    <w:p w14:paraId="6933465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780C5DD3">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C4BE2B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A878AC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14:paraId="19DDF73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2437B4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为非参公事业单位，不在机关运动经费统计范围之内。</w:t>
      </w:r>
    </w:p>
    <w:p w14:paraId="10DCB192">
      <w:pPr>
        <w:pStyle w:val="13"/>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32"/>
          <w:szCs w:val="32"/>
        </w:rPr>
      </w:pPr>
      <w:r>
        <w:rPr>
          <w:rFonts w:hint="eastAsia" w:ascii="Times New Roman" w:hAnsi="Times New Roman" w:eastAsia="仿宋_GB2312"/>
          <w:sz w:val="32"/>
          <w:szCs w:val="32"/>
          <w:lang w:val="en-US" w:eastAsia="zh-CN"/>
        </w:rPr>
        <w:t xml:space="preserve">    </w:t>
      </w:r>
      <w:r>
        <w:rPr>
          <w:rFonts w:hint="eastAsia" w:ascii="黑体" w:hAnsi="黑体" w:eastAsia="黑体" w:cs="黑体"/>
          <w:b w:val="0"/>
          <w:bCs/>
          <w:sz w:val="32"/>
          <w:szCs w:val="32"/>
        </w:rPr>
        <w:t>十、一般性支出情况说明</w:t>
      </w:r>
    </w:p>
    <w:p w14:paraId="253C7F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举办等节庆、晚会、论坛、赛事活动，开支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B34F5F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7CF2AC6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年度政府采购支出总额414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万元，其中：政府采购货物支出414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万元。授予中小企业合同金额414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%，其中：授予小微企业合同金额414</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8</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34A9A82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74F796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val="en-US" w:eastAsia="zh-CN"/>
        </w:rPr>
        <w:t>无</w:t>
      </w:r>
      <w:r>
        <w:rPr>
          <w:rFonts w:hint="eastAsia" w:ascii="Times New Roman" w:hAnsi="Times New Roman" w:eastAsia="仿宋_GB2312"/>
          <w:color w:val="auto"/>
          <w:sz w:val="32"/>
          <w:szCs w:val="32"/>
        </w:rPr>
        <w:t>其他用车；单位价值100万元以上设备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58BB8D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142E56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65AE1E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1、跟踪监控项目数量。不断完善项目支出的绩效目标编制，按照“一个项目一个绩效申报及监控”的原则，及时填制项目绩效申报表，按时间节点填报绩效监控。</w:t>
      </w:r>
    </w:p>
    <w:p w14:paraId="55EDF9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2、跟踪监控项目进度。对财政资金执行跟踪监控，由各单位财务人员对照2024年项目支出绩效申报表，逐一项目支出进行跟踪监控，并按时填报绩效监控表。</w:t>
      </w:r>
    </w:p>
    <w:p w14:paraId="7C9D6F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3、明确跟踪监控时点。项目支出按时间节点进行跟踪监控，加强项目绩效目标过程管理，动态反映项目执行及项目绩效目标完成程度。</w:t>
      </w:r>
    </w:p>
    <w:p w14:paraId="00641A2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楷体" w:hAnsi="楷体" w:eastAsia="楷体" w:cs="楷体"/>
          <w:b/>
          <w:bCs/>
          <w:sz w:val="32"/>
          <w:szCs w:val="32"/>
          <w:lang w:eastAsia="zh-CN"/>
        </w:rPr>
      </w:pPr>
      <w:r>
        <w:rPr>
          <w:rFonts w:hint="eastAsia" w:ascii="Times New Roman" w:hAnsi="Times New Roman" w:eastAsia="仿宋_GB2312" w:cs="黑体"/>
          <w:color w:val="auto"/>
          <w:kern w:val="0"/>
          <w:sz w:val="32"/>
          <w:szCs w:val="32"/>
          <w:lang w:val="en-US" w:eastAsia="zh-CN" w:bidi="ar-SA"/>
        </w:rPr>
        <w:t>4、明确跟踪监控内容。从资金到位、拨付环节、项目进度、绩效目标完成程度、绩效目标偏差率情况等环节对项目绩效目标进行全方位监控。</w:t>
      </w:r>
    </w:p>
    <w:p w14:paraId="1448EDA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6E67D0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1、我单位职责是：（1）实施小学义务教育，促进教育事业发展。小学学历教育，教改实验（相关服务）。（2）负责对教学及其他专项项目的监管工作。（3）完成上级交办的其他工作。</w:t>
      </w:r>
    </w:p>
    <w:p w14:paraId="2B104F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年度总体目标:目标1紧紧围绕“培养德智体美劳全面发展的新时代好少年”办学目标，将立德树人视为视为工作之根本，将育人始终贯穿在我们的教育教学之中，形成全员育人，处处育人的氛围，严格遵循五项管理的要求，为学生健康成长奠定基础；目标2、以“双减”为依托，努力开展教育教学改革，完善教学管理机制和制度，探索适合我校学生实际并行之有效的教育教学方法，狠抓常规强基础，鼓励创新求发展。</w:t>
      </w:r>
    </w:p>
    <w:p w14:paraId="00A469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资产管理情况：怀化市实验小学严格按照财务制度中的资产管理制度进行资产管理，明确资产使用人和保管责任人，落实资产使用人在资产管理中的责任。建立资产台账，详细登记资产信息。国有资产处置（包括无偿转让、出租、出借、出售、置换、报损、报废）按照财政部相关文件的规定执行。</w:t>
      </w:r>
    </w:p>
    <w:p w14:paraId="3C56B3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4、实现产出和取得效益方面：</w:t>
      </w:r>
    </w:p>
    <w:p w14:paraId="013E82C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2023年我校在市委市政府和教育主管部门的正确领导下，在全体教职员工的共同努力下，紧绕“培养德智体美劳全面发展的新时代好少年”办学目标，贯彻落实立德树人根本任务；紧扣“安全是底线、教育教学是生命线”有序开展校园安全和教育教学各项工作；紧抓“聚焦核心素养 提升课堂实效”教学目标，组织教师学习新课标，落实教学教研常规，不断促进课堂教学质量提升。</w:t>
      </w:r>
    </w:p>
    <w:p w14:paraId="0FD9EC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开展教育教学活动，做实师徒结对交流。继续做好常态化课堂教学教研活动，上半年开展了青年教师教学比武活动，参赛人数49人，听课人次达583人次，共评出一等奖10人、二等奖19人；下半年开展了教学名师课堂展示评选活动，19人参加上课，听课人次约400人次；组织参加湖南省教育学会论文评比、怀化市教育学会论文评比，省级获奖24篇，市级获奖13篇。张林老师获全国小语青年教师教学大赛一等奖，覃爔、柴伟、陈永倩老师分别参加市直语文数学英语青年教师教学竞赛获二等奖，艾青老师参加戏曲课堂教学竞赛获市级一等奖第一名，舒远怀老师参加体育教学获录像课一等奖，向芳、石明英老师获湖南省精品课二等奖、怀化市一等奖，各组积极参加省集体备课大赛，按时提交资料，6节课进入复评。6月，开展了“浓情端午 清风校园”的主题千人书法比赛，采用线下形式进行，共提交3300余份作品，192人获校级奖，640人获班级奖。科学组协同四年级各中队开展了蔬菜种植活动，美术组在父亲节当天开展了“父爱如衫 无可T代”的扎染学科特色活动，9月，开展了推普周活动，组织参加诵读经典活动，学生组教师组节目均获市级奖，并送省参加评比；11月，体育组组织校运会，语数学科进行学科特色活动，12月，科学组组织科技节活动。</w:t>
      </w:r>
    </w:p>
    <w:p w14:paraId="564DA5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下半年开展了主题为“师徒结对传薪火 青蓝携手共成长”2023-2024青蓝工程师徒结对活动，共结成66对师徒。定期进行检查与指导，努力提高课堂教学水平，增强教书育人的能力，期末根据情况对师徒结对的质量进行检查。</w:t>
      </w:r>
    </w:p>
    <w:p w14:paraId="6DF89A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教育教学这条生命线，我校紧抓不懈，力求通过扎实有效的教学教研活动，促进青年教师的快速成长，充分发挥骨干教师的示范引领作用，团结一致，携手共进，进而保障教育教学质量的提升。</w:t>
      </w:r>
    </w:p>
    <w:p w14:paraId="78F24A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atLeast"/>
        <w:ind w:left="0" w:right="0"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秋季学期，我校德育部门积极探索德育队伍建设新路径，每月举办了一次家长进校园的活动，充分展现了家庭教育的重要性。9月，家校同心，“育”见美好，开展了五年级“家长进课堂”活动，以“救”在身边为主题，让家长走进校园，走上讲台，以“客串教师”的身份给学生带来了一堂别开生面的课。10月，开展了三年级家长进课堂活动：健康人生从“齿”开始，家长讲堂，丰富课堂，亲子共进，互助成长。11月，开展了四年级家长进课堂：防性侵防欺凌。12月，开展了二年级家长进课堂活动：牢固树立安全意识，增强安全防范。家长用抢险队的照片引出堂课的主题，在孩子们对家长充满敬意的眼神中，开始了讲授。家校共育，相辅相成，家校陪伴，阳光灿烂。后期，我校将发动更多的力量加入到德育工作中来，实施全方位立德树人，提升思政教育成效。</w:t>
      </w:r>
    </w:p>
    <w:p w14:paraId="5D17F14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65876A8F">
      <w:pPr>
        <w:keepNext w:val="0"/>
        <w:keepLines w:val="0"/>
        <w:pageBreakBefore w:val="0"/>
        <w:widowControl w:val="0"/>
        <w:numPr>
          <w:ilvl w:val="0"/>
          <w:numId w:val="0"/>
        </w:numPr>
        <w:kinsoku/>
        <w:wordWrap/>
        <w:overflowPunct/>
        <w:topLinePunct w:val="0"/>
        <w:autoSpaceDE/>
        <w:autoSpaceDN/>
        <w:bidi w:val="0"/>
        <w:adjustRightInd/>
        <w:snapToGrid/>
        <w:spacing w:line="580" w:lineRule="atLeas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项资金绩效评价工作专业性强、分类细，对项目管理能力和统筹协调能力有一定要求。由于每一个业务条线负责各自的专项资金绩效评价工作，从事该项业务的工作人员有一部分从未接触过绩效自评这项工作，导致难以提交高质量的绩效自评资料。</w:t>
      </w:r>
    </w:p>
    <w:p w14:paraId="7BCB694E">
      <w:pPr>
        <w:pStyle w:val="13"/>
        <w:bidi w:val="0"/>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今后将完善绩效管理制度，细化预算编制工作，建立科学合理的项目预算效果考核机制，依据预设的绩效数量、质量指标全面衡量预算实施效果，既重“绩”，更重“效”，同时加强绩效业务人员培训力度，不断增强绩效考评的客观性和科学性，切实促进预算资金科学管理和实际绩效水平不断提高。</w:t>
      </w:r>
    </w:p>
    <w:p w14:paraId="74CC610F">
      <w:pPr>
        <w:keepNext w:val="0"/>
        <w:keepLines w:val="0"/>
        <w:pageBreakBefore w:val="0"/>
        <w:widowControl w:val="0"/>
        <w:numPr>
          <w:ilvl w:val="0"/>
          <w:numId w:val="0"/>
        </w:numPr>
        <w:kinsoku/>
        <w:wordWrap/>
        <w:overflowPunct/>
        <w:topLinePunct w:val="0"/>
        <w:autoSpaceDE/>
        <w:autoSpaceDN/>
        <w:bidi w:val="0"/>
        <w:adjustRightInd/>
        <w:snapToGrid/>
        <w:spacing w:line="580" w:lineRule="atLeast"/>
        <w:ind w:firstLine="640" w:firstLineChars="200"/>
        <w:textAlignment w:val="auto"/>
        <w:rPr>
          <w:rFonts w:hint="eastAsia" w:ascii="Times New Roman" w:hAnsi="Times New Roman" w:eastAsia="仿宋_GB2312" w:cs="黑体"/>
          <w:color w:val="auto"/>
          <w:kern w:val="0"/>
          <w:sz w:val="32"/>
          <w:szCs w:val="32"/>
          <w:lang w:val="en-US" w:eastAsia="zh-CN" w:bidi="ar-SA"/>
        </w:rPr>
      </w:pPr>
    </w:p>
    <w:p w14:paraId="1F42970D">
      <w:pPr>
        <w:pStyle w:val="13"/>
        <w:jc w:val="both"/>
        <w:rPr>
          <w:rFonts w:hint="eastAsia" w:ascii="仿宋" w:hAnsi="仿宋" w:eastAsia="仿宋" w:cs="仿宋"/>
          <w:i w:val="0"/>
          <w:iCs w:val="0"/>
          <w:caps w:val="0"/>
          <w:color w:val="3D3D3D"/>
          <w:spacing w:val="0"/>
          <w:kern w:val="0"/>
          <w:sz w:val="32"/>
          <w:szCs w:val="32"/>
          <w:lang w:val="en-US" w:eastAsia="zh-CN" w:bidi="ar"/>
        </w:rPr>
      </w:pPr>
    </w:p>
    <w:p w14:paraId="1FF25F2F">
      <w:pPr>
        <w:pStyle w:val="13"/>
        <w:jc w:val="center"/>
        <w:rPr>
          <w:sz w:val="72"/>
          <w:szCs w:val="72"/>
        </w:rPr>
      </w:pPr>
    </w:p>
    <w:p w14:paraId="6CD6B2B5">
      <w:pPr>
        <w:pStyle w:val="13"/>
        <w:jc w:val="center"/>
        <w:rPr>
          <w:sz w:val="72"/>
          <w:szCs w:val="72"/>
        </w:rPr>
      </w:pPr>
    </w:p>
    <w:p w14:paraId="1613BD5C">
      <w:pPr>
        <w:pStyle w:val="13"/>
        <w:jc w:val="both"/>
        <w:rPr>
          <w:rFonts w:hint="eastAsia" w:ascii="方正小标宋_GBK" w:hAnsi="方正小标宋_GBK" w:eastAsia="方正小标宋_GBK" w:cs="方正小标宋_GBK"/>
          <w:sz w:val="72"/>
          <w:szCs w:val="72"/>
        </w:rPr>
      </w:pPr>
    </w:p>
    <w:p w14:paraId="63112C2F">
      <w:pPr>
        <w:pStyle w:val="13"/>
        <w:jc w:val="center"/>
        <w:rPr>
          <w:rFonts w:hint="eastAsia" w:ascii="方正小标宋_GBK" w:hAnsi="方正小标宋_GBK" w:eastAsia="方正小标宋_GBK" w:cs="方正小标宋_GBK"/>
          <w:sz w:val="72"/>
          <w:szCs w:val="72"/>
        </w:rPr>
      </w:pPr>
    </w:p>
    <w:p w14:paraId="7DE12BFA">
      <w:pPr>
        <w:pStyle w:val="13"/>
        <w:jc w:val="center"/>
        <w:rPr>
          <w:rFonts w:hint="eastAsia" w:ascii="方正小标宋_GBK" w:hAnsi="方正小标宋_GBK" w:eastAsia="方正小标宋_GBK" w:cs="方正小标宋_GBK"/>
          <w:sz w:val="72"/>
          <w:szCs w:val="72"/>
        </w:rPr>
      </w:pPr>
    </w:p>
    <w:p w14:paraId="34A36D6D">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CDF4CB1">
      <w:pPr>
        <w:jc w:val="center"/>
        <w:rPr>
          <w:rFonts w:hint="eastAsia" w:ascii="方正小标宋_GBK" w:hAnsi="方正小标宋_GBK" w:eastAsia="方正小标宋_GBK" w:cs="方正小标宋_GBK"/>
          <w:color w:val="000000"/>
          <w:kern w:val="0"/>
          <w:sz w:val="70"/>
          <w:szCs w:val="70"/>
        </w:rPr>
      </w:pPr>
    </w:p>
    <w:p w14:paraId="1B48281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B20311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E175CA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484BB06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7769A32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728F688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14:paraId="0CC3C654">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14:paraId="297AE17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14:paraId="3ECF91E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14:paraId="4CCB9C8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14:paraId="5855583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14:paraId="49C139C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14:paraId="1EE4EEC8">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14:paraId="36A5C60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14:paraId="57FD45F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14:paraId="310F431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14:paraId="717DB35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14:paraId="77F8BCB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14:paraId="7853FC5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64F7C53F">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14:paraId="11176824">
      <w:pPr>
        <w:pStyle w:val="13"/>
        <w:jc w:val="center"/>
        <w:rPr>
          <w:rFonts w:hint="eastAsia" w:ascii="方正小标宋_GBK" w:hAnsi="方正小标宋_GBK" w:eastAsia="方正小标宋_GBK" w:cs="方正小标宋_GBK"/>
          <w:sz w:val="72"/>
          <w:szCs w:val="72"/>
        </w:rPr>
      </w:pPr>
    </w:p>
    <w:p w14:paraId="7A54E01C">
      <w:pPr>
        <w:pStyle w:val="13"/>
        <w:jc w:val="center"/>
        <w:rPr>
          <w:rFonts w:hint="eastAsia" w:ascii="方正小标宋_GBK" w:hAnsi="方正小标宋_GBK" w:eastAsia="方正小标宋_GBK" w:cs="方正小标宋_GBK"/>
          <w:sz w:val="72"/>
          <w:szCs w:val="72"/>
        </w:rPr>
      </w:pPr>
    </w:p>
    <w:p w14:paraId="6446FAC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D3A3D77">
      <w:pPr>
        <w:pStyle w:val="13"/>
        <w:jc w:val="center"/>
        <w:rPr>
          <w:rFonts w:hint="eastAsia" w:ascii="方正小标宋_GBK" w:hAnsi="方正小标宋_GBK" w:eastAsia="方正小标宋_GBK" w:cs="方正小标宋_GBK"/>
          <w:sz w:val="70"/>
          <w:szCs w:val="70"/>
        </w:rPr>
      </w:pPr>
    </w:p>
    <w:p w14:paraId="0891AB11">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089C87C9">
      <w:pPr>
        <w:rPr>
          <w:sz w:val="72"/>
          <w:szCs w:val="72"/>
        </w:rPr>
      </w:pPr>
    </w:p>
    <w:p w14:paraId="0341F73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一、</w:t>
      </w:r>
      <w:r>
        <w:rPr>
          <w:rFonts w:hint="eastAsia" w:ascii="Times New Roman" w:hAnsi="Times New Roman" w:eastAsia="仿宋_GB2312"/>
          <w:sz w:val="32"/>
          <w:szCs w:val="32"/>
          <w:lang w:val="en-US" w:eastAsia="zh-CN"/>
        </w:rPr>
        <w:t>2023年部门决算公开表</w:t>
      </w:r>
    </w:p>
    <w:p w14:paraId="322646C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Times New Roman" w:hAnsi="Times New Roman" w:eastAsia="仿宋_GB2312"/>
          <w:sz w:val="32"/>
          <w:szCs w:val="32"/>
          <w:lang w:val="en-US" w:eastAsia="zh-CN"/>
        </w:rPr>
        <w:t>2023年度怀化市实验小学整体支出绩效自评报告</w:t>
      </w:r>
      <w:bookmarkStart w:id="0" w:name="_GoBack"/>
      <w:bookmarkEnd w:id="0"/>
    </w:p>
    <w:p w14:paraId="233027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rPr>
      </w:pPr>
    </w:p>
    <w:p w14:paraId="4B8ABA74">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p>
    <w:p w14:paraId="52DAF9A9">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03DAB8C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D10E5"/>
    <w:multiLevelType w:val="singleLevel"/>
    <w:tmpl w:val="DF3D10E5"/>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wNzI5ODEzYWYzOWU2OTVmYzBlZDVhMzdlM2MxMz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35089E"/>
    <w:rsid w:val="16D230C5"/>
    <w:rsid w:val="1D97DEFF"/>
    <w:rsid w:val="1DFF72E5"/>
    <w:rsid w:val="1EFC6F07"/>
    <w:rsid w:val="2D3A1B63"/>
    <w:rsid w:val="2FDF85B8"/>
    <w:rsid w:val="2FFFEE04"/>
    <w:rsid w:val="315B2602"/>
    <w:rsid w:val="315C67D1"/>
    <w:rsid w:val="34DF85B0"/>
    <w:rsid w:val="3B8F36BC"/>
    <w:rsid w:val="48DA12F4"/>
    <w:rsid w:val="491032A9"/>
    <w:rsid w:val="491FF225"/>
    <w:rsid w:val="4FFD214C"/>
    <w:rsid w:val="516A31D2"/>
    <w:rsid w:val="5777D4F5"/>
    <w:rsid w:val="59710761"/>
    <w:rsid w:val="59DD8326"/>
    <w:rsid w:val="5B986FBA"/>
    <w:rsid w:val="5DEF592A"/>
    <w:rsid w:val="5FC6BB1E"/>
    <w:rsid w:val="5FF720F1"/>
    <w:rsid w:val="67FF5C0B"/>
    <w:rsid w:val="6EFC0924"/>
    <w:rsid w:val="6FB74722"/>
    <w:rsid w:val="6FEF8B7E"/>
    <w:rsid w:val="71A6591B"/>
    <w:rsid w:val="737D59BA"/>
    <w:rsid w:val="77C37683"/>
    <w:rsid w:val="79FF515B"/>
    <w:rsid w:val="7D702115"/>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_Style 1"/>
    <w:basedOn w:val="1"/>
    <w:qFormat/>
    <w:uiPriority w:val="99"/>
    <w:pPr>
      <w:spacing w:line="481" w:lineRule="atLeast"/>
      <w:ind w:firstLine="623"/>
      <w:textAlignment w:val="baseline"/>
    </w:pPr>
    <w:rPr>
      <w:color w:val="000000"/>
      <w:sz w:val="31"/>
      <w:szCs w:val="3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6555</Words>
  <Characters>6955</Characters>
  <Lines>63</Lines>
  <Paragraphs>18</Paragraphs>
  <TotalTime>21</TotalTime>
  <ScaleCrop>false</ScaleCrop>
  <LinksUpToDate>false</LinksUpToDate>
  <CharactersWithSpaces>6975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cp:lastModifiedBy>
  <cp:lastPrinted>2024-08-08T10:20:00Z</cp:lastPrinted>
  <dcterms:modified xsi:type="dcterms:W3CDTF">2024-09-23T01:22:39Z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6E2C4879F75047DEBABA1D2318EFD018_12</vt:lpwstr>
  </property>
</Properties>
</file>